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Times New Roman" w:hAnsi="Times New Roman" w:cs="Times New Roman"/>
          <w:sz w:val="16"/>
          <w:szCs w:val="16"/>
          <w:lang w:val="uk-UA" w:eastAsia="zh-CN" w:bidi="ar-SA"/>
        </w:rPr>
      </w:pPr>
      <w:r>
        <w:rPr/>
        <w:object w:dxaOrig="3105" w:dyaOrig="3300">
          <v:shape id="ole_rId2" style="width:58.2pt;height:59.2pt" o:ole="">
            <v:imagedata r:id="rId3" o:title=""/>
          </v:shape>
          <o:OLEObject Type="Embed" ProgID="" ShapeID="ole_rId2" DrawAspect="Content" ObjectID="_713687355" r:id="rId2"/>
        </w:object>
      </w:r>
    </w:p>
    <w:p>
      <w:pPr>
        <w:pStyle w:val="Normal"/>
        <w:jc w:val="center"/>
        <w:rPr>
          <w:rFonts w:ascii="Times New Roman" w:hAnsi="Times New Roman" w:cs="Times New Roman"/>
          <w:sz w:val="16"/>
          <w:szCs w:val="16"/>
          <w:lang w:val="uk-UA" w:eastAsia="zh-CN" w:bidi="ar-SA"/>
        </w:rPr>
      </w:pPr>
      <w:r>
        <w:rPr>
          <w:rFonts w:cs="Times New Roman"/>
          <w:sz w:val="16"/>
          <w:szCs w:val="16"/>
          <w:lang w:val="uk-UA" w:eastAsia="zh-CN" w:bidi="ar-SA"/>
        </w:rPr>
      </w:r>
    </w:p>
    <w:p>
      <w:pPr>
        <w:pStyle w:val="1"/>
        <w:rPr>
          <w:rFonts w:ascii="Times New Roman" w:hAnsi="Times New Roman" w:cs="Times New Roman"/>
          <w:sz w:val="28"/>
          <w:szCs w:val="28"/>
          <w:lang w:val="uk-UA" w:eastAsia="zh-CN" w:bidi="ar-SA"/>
        </w:rPr>
      </w:pPr>
      <w:r>
        <w:rPr>
          <w:rFonts w:cs="Times New Roman"/>
          <w:sz w:val="28"/>
          <w:szCs w:val="28"/>
          <w:lang w:val="uk-UA" w:eastAsia="zh-CN" w:bidi="ar-SA"/>
        </w:rPr>
        <w:t>ЛУЦЬКА  МІСЬКА  РАДА</w:t>
      </w:r>
    </w:p>
    <w:p>
      <w:pPr>
        <w:pStyle w:val="Normal"/>
        <w:rPr>
          <w:rFonts w:ascii="Times New Roman" w:hAnsi="Times New Roman" w:cs="Times New Roman"/>
          <w:sz w:val="20"/>
          <w:szCs w:val="20"/>
          <w:lang w:val="uk-UA" w:eastAsia="zh-CN" w:bidi="ar-SA"/>
        </w:rPr>
      </w:pPr>
      <w:r>
        <w:rPr>
          <w:rFonts w:cs="Times New Roman"/>
          <w:sz w:val="20"/>
          <w:szCs w:val="20"/>
          <w:lang w:val="uk-UA" w:eastAsia="zh-CN" w:bidi="ar-SA"/>
        </w:rPr>
      </w:r>
    </w:p>
    <w:p>
      <w:pPr>
        <w:pStyle w:val="2"/>
        <w:tabs>
          <w:tab w:val="clear" w:pos="708"/>
          <w:tab w:val="left" w:pos="4218" w:leader="none"/>
          <w:tab w:val="left" w:pos="4674" w:leader="none"/>
        </w:tabs>
        <w:spacing w:before="0" w:after="0"/>
        <w:jc w:val="center"/>
        <w:rPr/>
      </w:pPr>
      <w:r>
        <w:rPr>
          <w:rFonts w:eastAsia="Times New Roman" w:cs="Times New Roman" w:ascii="Times New Roman" w:hAnsi="Times New Roman"/>
          <w:i w:val="false"/>
          <w:sz w:val="32"/>
          <w:szCs w:val="32"/>
          <w:lang w:val="uk-UA" w:eastAsia="zh-CN" w:bidi="ar-SA"/>
        </w:rPr>
        <w:t xml:space="preserve"> </w:t>
      </w:r>
      <w:r>
        <w:rPr>
          <w:rFonts w:cs="Times New Roman" w:ascii="Times New Roman" w:hAnsi="Times New Roman"/>
          <w:i w:val="false"/>
          <w:sz w:val="32"/>
          <w:szCs w:val="32"/>
          <w:lang w:val="uk-UA" w:eastAsia="zh-CN" w:bidi="ar-SA"/>
        </w:rPr>
        <w:t>Р І Ш Е Н Н Я</w:t>
      </w:r>
    </w:p>
    <w:p>
      <w:pPr>
        <w:pStyle w:val="Normal"/>
        <w:jc w:val="center"/>
        <w:rPr>
          <w:rFonts w:ascii="Times New Roman" w:hAnsi="Times New Roman" w:cs="Times New Roman"/>
          <w:b/>
          <w:b/>
          <w:bCs w:val="false"/>
          <w:i/>
          <w:i/>
          <w:sz w:val="40"/>
          <w:szCs w:val="40"/>
          <w:lang w:val="uk-UA" w:eastAsia="zh-CN" w:bidi="ar-SA"/>
        </w:rPr>
      </w:pPr>
      <w:r>
        <w:rPr>
          <w:rFonts w:cs="Times New Roman"/>
          <w:b/>
          <w:bCs w:val="false"/>
          <w:i/>
          <w:sz w:val="40"/>
          <w:szCs w:val="40"/>
          <w:lang w:val="uk-UA" w:eastAsia="zh-CN" w:bidi="ar-SA"/>
        </w:rPr>
      </w:r>
    </w:p>
    <w:p>
      <w:pPr>
        <w:pStyle w:val="Normal"/>
        <w:tabs>
          <w:tab w:val="clear" w:pos="708"/>
          <w:tab w:val="left" w:pos="4687" w:leader="none"/>
        </w:tabs>
        <w:jc w:val="both"/>
        <w:rPr>
          <w:rFonts w:ascii="Times New Roman" w:hAnsi="Times New Roman" w:cs="Times New Roman"/>
          <w:sz w:val="24"/>
          <w:lang w:val="uk-UA" w:eastAsia="zh-CN" w:bidi="ar-SA"/>
        </w:rPr>
      </w:pPr>
      <w:r>
        <w:rPr>
          <w:rFonts w:cs="Times New Roman"/>
          <w:sz w:val="24"/>
          <w:lang w:val="uk-UA" w:eastAsia="zh-CN" w:bidi="ar-SA"/>
        </w:rPr>
        <w:t>________________                                        Луцьк                                         №______________</w:t>
      </w:r>
    </w:p>
    <w:p>
      <w:pPr>
        <w:pStyle w:val="Normal"/>
        <w:rPr>
          <w:rFonts w:ascii="Times New Roman" w:hAnsi="Times New Roman" w:cs="Times New Roman"/>
          <w:sz w:val="22"/>
          <w:szCs w:val="22"/>
          <w:lang w:val="uk-UA" w:eastAsia="zh-CN" w:bidi="ar-SA"/>
        </w:rPr>
      </w:pPr>
      <w:r>
        <w:rPr>
          <w:rFonts w:cs="Times New Roman"/>
          <w:sz w:val="22"/>
          <w:szCs w:val="22"/>
          <w:lang w:val="uk-UA" w:eastAsia="zh-CN" w:bidi="ar-SA"/>
        </w:rPr>
      </w:r>
    </w:p>
    <w:p>
      <w:pPr>
        <w:pStyle w:val="Normal"/>
        <w:widowControl/>
        <w:suppressAutoHyphens w:val="true"/>
        <w:bidi w:val="0"/>
        <w:ind w:left="0" w:right="4479" w:hanging="0"/>
        <w:jc w:val="both"/>
        <w:rPr/>
      </w:pPr>
      <w:r>
        <w:rPr>
          <w:rFonts w:cs="Times New Roman"/>
          <w:sz w:val="28"/>
          <w:szCs w:val="28"/>
          <w:lang w:val="uk-UA" w:eastAsia="zh-CN" w:bidi="ar-SA"/>
        </w:rPr>
        <w:t xml:space="preserve">Про проведення земельних торгів (аукціону) з продажу земельних ділянок </w:t>
      </w:r>
      <w:r>
        <w:rPr>
          <w:rFonts w:cs="Times New Roman"/>
          <w:color w:val="000000"/>
          <w:sz w:val="28"/>
          <w:szCs w:val="28"/>
          <w:lang w:val="uk-UA" w:eastAsia="zh-CN" w:bidi="ar-SA"/>
        </w:rPr>
        <w:t>комунальної власності Луцької міської територіальної громади, у формі електронного аукціону</w:t>
      </w:r>
    </w:p>
    <w:p>
      <w:pPr>
        <w:pStyle w:val="Normal"/>
        <w:widowControl/>
        <w:suppressAutoHyphens w:val="true"/>
        <w:bidi w:val="0"/>
        <w:ind w:left="0" w:right="340" w:hanging="0"/>
        <w:jc w:val="both"/>
        <w:rPr>
          <w:rFonts w:ascii="Times New Roman" w:hAnsi="Times New Roman" w:cs="Times New Roman"/>
          <w:color w:val="000000"/>
          <w:sz w:val="28"/>
          <w:szCs w:val="28"/>
          <w:lang w:val="uk-UA" w:eastAsia="zh-CN" w:bidi="ar-SA"/>
        </w:rPr>
      </w:pPr>
      <w:r>
        <w:rPr>
          <w:rFonts w:cs="Times New Roman"/>
          <w:color w:val="000000"/>
          <w:sz w:val="28"/>
          <w:szCs w:val="28"/>
          <w:lang w:val="uk-UA" w:eastAsia="zh-CN" w:bidi="ar-SA"/>
        </w:rPr>
      </w:r>
    </w:p>
    <w:p>
      <w:pPr>
        <w:sectPr>
          <w:type w:val="nextPage"/>
          <w:pgSz w:w="11906" w:h="16838"/>
          <w:pgMar w:left="1984" w:right="567" w:header="0" w:top="567" w:footer="0" w:bottom="1757" w:gutter="0"/>
          <w:pgNumType w:fmt="decimal"/>
          <w:formProt w:val="false"/>
          <w:textDirection w:val="lrTb"/>
          <w:docGrid w:type="default" w:linePitch="360" w:charSpace="0"/>
        </w:sectPr>
      </w:pPr>
    </w:p>
    <w:p>
      <w:pPr>
        <w:pStyle w:val="Normal"/>
        <w:ind w:left="0" w:right="0" w:firstLine="720"/>
        <w:jc w:val="both"/>
        <w:rPr/>
      </w:pPr>
      <w:r>
        <w:rPr>
          <w:rFonts w:cs="Times New Roman"/>
          <w:color w:val="000000"/>
          <w:szCs w:val="28"/>
          <w:lang w:val="uk-UA" w:eastAsia="zh-CN" w:bidi="ar-SA"/>
        </w:rPr>
        <w:t>Керуючись статтями 13, 142, 143 Конституції України, статтями 12,</w:t>
        <w:br/>
        <w:t>79-1, 83, 90, 134-139 Земельного кодексу України, статтями 26, 59 Закону України “Про місцеве самоврядування в Україні”, статтями 15, 16, 24 Закону України “Про Державний земельний к</w:t>
      </w:r>
      <w:r>
        <w:rPr>
          <w:rFonts w:eastAsia="Times New Roman" w:cs="Times New Roman"/>
          <w:bCs/>
          <w:color w:val="000000"/>
          <w:sz w:val="28"/>
          <w:szCs w:val="28"/>
          <w:lang w:val="uk-UA" w:eastAsia="zh-CN" w:bidi="ar-SA"/>
        </w:rPr>
        <w:t xml:space="preserve">адастр”, статтею 13 Закону України “Про оцінку земель”, пунктом 3 розділу II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5, 12 Закону України “Про державну реєстрацію речових прав на нерухоме майно”, Постановою Кабінету Міністрів України від 22.09.2021 № 1013 “Деякі питання підготовки до проведення та проведення земельних торгів для продажу земельних ділянок та набуття прав користування ними (оренди, суперфіцію, емфітевзису)”, </w:t>
      </w:r>
      <w:r>
        <w:rPr>
          <w:rFonts w:cs="Times New Roman"/>
          <w:color w:val="000000"/>
          <w:szCs w:val="28"/>
          <w:lang w:val="uk-UA" w:eastAsia="zh-CN" w:bidi="ar-SA"/>
        </w:rPr>
        <w:t xml:space="preserve">міська рада </w:t>
      </w:r>
    </w:p>
    <w:p>
      <w:pPr>
        <w:pStyle w:val="Normal"/>
        <w:ind w:left="0" w:right="0" w:hanging="0"/>
        <w:jc w:val="both"/>
        <w:rPr>
          <w:rFonts w:ascii="Times New Roman" w:hAnsi="Times New Roman" w:cs="Times New Roman"/>
          <w:color w:val="000000"/>
          <w:szCs w:val="28"/>
          <w:lang w:val="uk-UA" w:eastAsia="zh-CN" w:bidi="ar-SA"/>
        </w:rPr>
      </w:pPr>
      <w:r>
        <w:rPr>
          <w:rFonts w:cs="Times New Roman"/>
          <w:color w:val="000000"/>
          <w:szCs w:val="28"/>
          <w:lang w:val="uk-UA" w:eastAsia="zh-CN" w:bidi="ar-SA"/>
        </w:rPr>
      </w:r>
    </w:p>
    <w:p>
      <w:pPr>
        <w:pStyle w:val="Normal"/>
        <w:jc w:val="both"/>
        <w:rPr>
          <w:rFonts w:ascii="Times New Roman" w:hAnsi="Times New Roman" w:cs="Times New Roman"/>
          <w:color w:val="000000"/>
          <w:szCs w:val="28"/>
          <w:lang w:val="uk-UA" w:eastAsia="zh-CN" w:bidi="ar-SA"/>
        </w:rPr>
      </w:pPr>
      <w:r>
        <w:rPr>
          <w:rFonts w:cs="Times New Roman"/>
          <w:color w:val="000000"/>
          <w:szCs w:val="28"/>
          <w:lang w:val="uk-UA" w:eastAsia="zh-CN" w:bidi="ar-SA"/>
        </w:rPr>
        <w:t>ВИРІШИЛА:</w:t>
      </w:r>
    </w:p>
    <w:p>
      <w:pPr>
        <w:pStyle w:val="Normal"/>
        <w:jc w:val="both"/>
        <w:rPr>
          <w:rFonts w:ascii="Times New Roman" w:hAnsi="Times New Roman" w:cs="Times New Roman"/>
          <w:color w:val="000000"/>
          <w:szCs w:val="28"/>
          <w:lang w:val="uk-UA" w:eastAsia="zh-CN" w:bidi="ar-SA"/>
        </w:rPr>
      </w:pPr>
      <w:r>
        <w:rPr>
          <w:rFonts w:cs="Times New Roman"/>
          <w:color w:val="000000"/>
          <w:szCs w:val="28"/>
          <w:lang w:val="uk-UA" w:eastAsia="zh-CN" w:bidi="ar-SA"/>
        </w:rPr>
      </w:r>
    </w:p>
    <w:p>
      <w:pPr>
        <w:pStyle w:val="Normal"/>
        <w:widowControl/>
        <w:numPr>
          <w:ilvl w:val="0"/>
          <w:numId w:val="2"/>
        </w:numPr>
        <w:tabs>
          <w:tab w:val="clear" w:pos="708"/>
          <w:tab w:val="left" w:pos="1020" w:leader="none"/>
        </w:tabs>
        <w:suppressAutoHyphens w:val="true"/>
        <w:bidi w:val="0"/>
        <w:ind w:left="0" w:right="0" w:firstLine="624"/>
        <w:jc w:val="both"/>
        <w:rPr/>
      </w:pPr>
      <w:r>
        <w:rPr>
          <w:rFonts w:cs="Times New Roman"/>
          <w:b w:val="false"/>
          <w:i w:val="false"/>
          <w:caps w:val="false"/>
          <w:smallCaps w:val="false"/>
          <w:color w:val="000000"/>
          <w:spacing w:val="0"/>
          <w:sz w:val="28"/>
          <w:szCs w:val="28"/>
          <w:lang w:val="uk-UA" w:eastAsia="zh-CN" w:bidi="ar-SA"/>
        </w:rPr>
        <w:t>Включити у перелік земельних ділянок несільськогосподарського призначення комунальної власності Луцької міської територіальної громади, земельні ділянки, що виставляються на земельні торги окремими лотами (д</w:t>
      </w:r>
      <w:r>
        <w:rPr>
          <w:rFonts w:cs="Times New Roman"/>
          <w:color w:val="000000"/>
          <w:sz w:val="28"/>
          <w:szCs w:val="28"/>
          <w:lang w:val="uk-UA" w:eastAsia="zh-CN" w:bidi="ar-SA"/>
        </w:rPr>
        <w:t xml:space="preserve">одаток 1). </w:t>
      </w:r>
    </w:p>
    <w:p>
      <w:pPr>
        <w:pStyle w:val="Normal"/>
        <w:widowControl/>
        <w:numPr>
          <w:ilvl w:val="0"/>
          <w:numId w:val="2"/>
        </w:numPr>
        <w:tabs>
          <w:tab w:val="clear" w:pos="708"/>
          <w:tab w:val="left" w:pos="1020" w:leader="none"/>
        </w:tabs>
        <w:suppressAutoHyphens w:val="true"/>
        <w:bidi w:val="0"/>
        <w:ind w:left="0" w:right="0" w:firstLine="624"/>
        <w:jc w:val="both"/>
        <w:rPr/>
      </w:pPr>
      <w:r>
        <w:rPr>
          <w:rFonts w:cs="Times New Roman"/>
          <w:color w:val="000000"/>
          <w:sz w:val="28"/>
          <w:szCs w:val="28"/>
          <w:lang w:val="uk-UA" w:eastAsia="zh-CN" w:bidi="ar-SA"/>
        </w:rPr>
        <w:t xml:space="preserve">Провести земельні торги (аукціон) з продажу земельних ділянок несільськогосподарського призначення комунальної власності Луцької міської територіальної громади, що зазначені в додатку 1, у формі електронного аукціону </w:t>
      </w:r>
      <w:r>
        <w:rPr>
          <w:rFonts w:cs="Times New Roman"/>
          <w:b w:val="false"/>
          <w:i w:val="false"/>
          <w:caps w:val="false"/>
          <w:smallCaps w:val="false"/>
          <w:color w:val="000000"/>
          <w:spacing w:val="0"/>
          <w:sz w:val="28"/>
          <w:szCs w:val="28"/>
          <w:lang w:val="uk-UA" w:eastAsia="zh-CN" w:bidi="ar-SA"/>
        </w:rPr>
        <w:t>в режимі реального часу в мережі Інтернет,</w:t>
      </w:r>
      <w:r>
        <w:rPr>
          <w:rFonts w:cs="Times New Roman"/>
          <w:color w:val="000000"/>
          <w:sz w:val="28"/>
          <w:szCs w:val="28"/>
          <w:lang w:val="uk-UA" w:eastAsia="zh-CN" w:bidi="ar-SA"/>
        </w:rPr>
        <w:t xml:space="preserve"> </w:t>
      </w:r>
      <w:r>
        <w:rPr>
          <w:rFonts w:cs="Times New Roman"/>
          <w:b w:val="false"/>
          <w:i w:val="false"/>
          <w:caps w:val="false"/>
          <w:smallCaps w:val="false"/>
          <w:color w:val="000000"/>
          <w:spacing w:val="0"/>
          <w:sz w:val="28"/>
          <w:szCs w:val="28"/>
        </w:rPr>
        <w:t>не раніше 30 днів та не пізніше 45 днів з дня оприлюднення оголошення про проведення земельних торгів.</w:t>
      </w:r>
      <w:r>
        <w:rPr>
          <w:rFonts w:cs="Times New Roman"/>
          <w:color w:val="000000"/>
          <w:sz w:val="28"/>
          <w:szCs w:val="28"/>
        </w:rPr>
        <w:t xml:space="preserve"> </w:t>
      </w:r>
    </w:p>
    <w:p>
      <w:pPr>
        <w:pStyle w:val="Normal"/>
        <w:widowControl/>
        <w:numPr>
          <w:ilvl w:val="0"/>
          <w:numId w:val="2"/>
        </w:numPr>
        <w:tabs>
          <w:tab w:val="clear" w:pos="708"/>
          <w:tab w:val="left" w:pos="1020" w:leader="none"/>
        </w:tabs>
        <w:suppressAutoHyphens w:val="true"/>
        <w:bidi w:val="0"/>
        <w:ind w:left="0" w:right="0" w:firstLine="624"/>
        <w:jc w:val="both"/>
        <w:rPr/>
      </w:pPr>
      <w:r>
        <w:rPr>
          <w:rFonts w:cs="Times New Roman"/>
          <w:color w:val="000000"/>
          <w:szCs w:val="28"/>
          <w:lang w:val="uk-UA" w:eastAsia="zh-CN" w:bidi="ar-SA"/>
        </w:rPr>
        <w:t>Затвердити стартові ціни продажу на земельних торгах (аукціоні) земельних ділянок несільськогосподарського призначення комунальної власності Луцької міської територіальної громади, що визначені на підставі висновків суб</w:t>
      </w:r>
      <w:r>
        <w:rPr>
          <w:rFonts w:eastAsia="Times New Roman" w:cs="Times New Roman"/>
          <w:color w:val="000000"/>
          <w:szCs w:val="28"/>
          <w:lang w:val="uk-UA" w:eastAsia="zh-CN" w:bidi="ar-SA"/>
        </w:rPr>
        <w:t>’єкта оціночної діяльності ФОП Рак А.А.</w:t>
      </w:r>
      <w:r>
        <w:rPr>
          <w:rFonts w:cs="Times New Roman"/>
          <w:color w:val="000000"/>
          <w:szCs w:val="28"/>
          <w:lang w:val="uk-UA" w:eastAsia="zh-CN" w:bidi="ar-SA"/>
        </w:rPr>
        <w:t xml:space="preserve"> від </w:t>
      </w:r>
      <w:r>
        <w:rPr>
          <w:rFonts w:eastAsia="Times New Roman" w:cs="Times New Roman"/>
          <w:bCs/>
          <w:color w:val="000000"/>
          <w:kern w:val="0"/>
          <w:sz w:val="28"/>
          <w:szCs w:val="28"/>
          <w:lang w:val="uk-UA" w:eastAsia="zh-CN" w:bidi="ar-SA"/>
        </w:rPr>
        <w:t>08</w:t>
      </w:r>
      <w:r>
        <w:rPr>
          <w:rFonts w:cs="Times New Roman"/>
          <w:color w:val="000000"/>
          <w:szCs w:val="28"/>
          <w:lang w:val="uk-UA" w:eastAsia="zh-CN" w:bidi="ar-SA"/>
        </w:rPr>
        <w:t>.0</w:t>
      </w:r>
      <w:r>
        <w:rPr>
          <w:rFonts w:eastAsia="Times New Roman" w:cs="Times New Roman"/>
          <w:bCs/>
          <w:color w:val="000000"/>
          <w:kern w:val="0"/>
          <w:sz w:val="28"/>
          <w:szCs w:val="28"/>
          <w:lang w:val="uk-UA" w:eastAsia="zh-CN" w:bidi="ar-SA"/>
        </w:rPr>
        <w:t>2</w:t>
      </w:r>
      <w:r>
        <w:rPr>
          <w:rFonts w:cs="Times New Roman"/>
          <w:color w:val="000000"/>
          <w:szCs w:val="28"/>
          <w:lang w:val="uk-UA" w:eastAsia="zh-CN" w:bidi="ar-SA"/>
        </w:rPr>
        <w:t>.202</w:t>
      </w:r>
      <w:r>
        <w:rPr>
          <w:rFonts w:eastAsia="Times New Roman" w:cs="Times New Roman"/>
          <w:bCs/>
          <w:color w:val="000000"/>
          <w:kern w:val="0"/>
          <w:sz w:val="28"/>
          <w:szCs w:val="28"/>
          <w:lang w:val="uk-UA" w:eastAsia="zh-CN" w:bidi="ar-SA"/>
        </w:rPr>
        <w:t>3</w:t>
      </w:r>
      <w:r>
        <w:rPr>
          <w:rFonts w:cs="Times New Roman"/>
          <w:color w:val="000000"/>
          <w:szCs w:val="28"/>
          <w:lang w:val="uk-UA" w:eastAsia="zh-CN" w:bidi="ar-SA"/>
        </w:rPr>
        <w:t xml:space="preserve"> про експертну грошову оцінку земельних ділянок, призначених для продажу на земельних торгах (аукціоні), що зазначені в додатку 1.</w:t>
      </w:r>
    </w:p>
    <w:p>
      <w:pPr>
        <w:pStyle w:val="Normal"/>
        <w:widowControl/>
        <w:numPr>
          <w:ilvl w:val="0"/>
          <w:numId w:val="2"/>
        </w:numPr>
        <w:tabs>
          <w:tab w:val="clear" w:pos="708"/>
          <w:tab w:val="left" w:pos="1020" w:leader="none"/>
        </w:tabs>
        <w:suppressAutoHyphens w:val="true"/>
        <w:bidi w:val="0"/>
        <w:ind w:left="0" w:right="0" w:firstLine="624"/>
        <w:jc w:val="both"/>
        <w:rPr/>
      </w:pPr>
      <w:r>
        <w:rPr>
          <w:rFonts w:cs="Times New Roman"/>
          <w:color w:val="000000"/>
          <w:szCs w:val="28"/>
          <w:lang w:val="uk-UA" w:eastAsia="zh-CN" w:bidi="ar-SA"/>
        </w:rPr>
        <w:t>Встановити крок земельних торгів (аукціону) з продажу земельних ділянок (лотів), зазначених в додатку 1, у розмірі 5 (п’ять) відсотків від стартової ціни лота</w:t>
      </w:r>
      <w:r>
        <w:rPr>
          <w:rFonts w:eastAsia="Times New Roman" w:cs="Times New Roman"/>
          <w:color w:val="000000"/>
          <w:szCs w:val="28"/>
          <w:lang w:val="uk-UA" w:eastAsia="zh-CN" w:bidi="ar-SA"/>
        </w:rPr>
        <w:t>.</w:t>
      </w:r>
    </w:p>
    <w:p>
      <w:pPr>
        <w:pStyle w:val="Normal"/>
        <w:widowControl/>
        <w:numPr>
          <w:ilvl w:val="0"/>
          <w:numId w:val="2"/>
        </w:numPr>
        <w:tabs>
          <w:tab w:val="clear" w:pos="708"/>
          <w:tab w:val="left" w:pos="1020" w:leader="none"/>
        </w:tabs>
        <w:suppressAutoHyphens w:val="true"/>
        <w:bidi w:val="0"/>
        <w:ind w:left="0" w:right="0" w:firstLine="624"/>
        <w:jc w:val="both"/>
        <w:rPr/>
      </w:pPr>
      <w:r>
        <w:rPr>
          <w:rFonts w:eastAsia="Times New Roman" w:cs="Times New Roman"/>
          <w:color w:val="000000"/>
          <w:szCs w:val="28"/>
          <w:lang w:val="uk-UA" w:eastAsia="zh-CN" w:bidi="ar-SA"/>
        </w:rPr>
        <w:t>Уповноважити Луцького міського голову Полі</w:t>
      </w:r>
      <w:r>
        <w:rPr>
          <w:rFonts w:eastAsia="Times New Roman" w:cs="Times New Roman"/>
          <w:bCs/>
          <w:color w:val="000000"/>
          <w:kern w:val="0"/>
          <w:sz w:val="28"/>
          <w:szCs w:val="28"/>
          <w:lang w:val="uk-UA" w:eastAsia="zh-CN" w:bidi="ar-SA"/>
        </w:rPr>
        <w:t>щ</w:t>
      </w:r>
      <w:r>
        <w:rPr>
          <w:rFonts w:eastAsia="Times New Roman" w:cs="Times New Roman"/>
          <w:color w:val="000000"/>
          <w:szCs w:val="28"/>
          <w:lang w:val="uk-UA" w:eastAsia="zh-CN" w:bidi="ar-SA"/>
        </w:rPr>
        <w:t>ука Ігоря Ігоровича, а у разі його відсутності (відпустка, відрядження) заступника Луцького міського гол</w:t>
      </w:r>
      <w:r>
        <w:rPr>
          <w:rFonts w:eastAsia="Times New Roman" w:cs="Times New Roman"/>
          <w:b w:val="false"/>
          <w:bCs w:val="false"/>
          <w:color w:val="000000"/>
          <w:sz w:val="28"/>
          <w:szCs w:val="28"/>
          <w:lang w:val="uk-UA" w:eastAsia="zh-CN" w:bidi="ar-SA"/>
        </w:rPr>
        <w:t>ови Чебелюк Ірину Іванівну, за результатами земельних торгів</w:t>
        <w:br/>
        <w:t xml:space="preserve">з продажу земельних ділянок несільськогосподарського призначення комунальної власності, підписати від імені Луцької міської ради, яка діє від імені Луцької міської територіальної громади </w:t>
      </w:r>
      <w:r>
        <w:rPr>
          <w:rFonts w:eastAsia="Times New Roman" w:cs="Times New Roman"/>
          <w:color w:val="000000"/>
          <w:szCs w:val="28"/>
          <w:lang w:val="uk-UA" w:eastAsia="zh-CN" w:bidi="ar-SA"/>
        </w:rPr>
        <w:t xml:space="preserve">протоколи земельних торгів (аукціону), </w:t>
      </w:r>
      <w:r>
        <w:rPr>
          <w:rFonts w:eastAsia="Times New Roman" w:cs="Times New Roman"/>
          <w:b w:val="false"/>
          <w:i w:val="false"/>
          <w:caps w:val="false"/>
          <w:smallCaps w:val="false"/>
          <w:color w:val="000000"/>
          <w:spacing w:val="0"/>
          <w:sz w:val="28"/>
          <w:szCs w:val="28"/>
          <w:lang w:val="uk-UA" w:eastAsia="zh-CN" w:bidi="ar-SA"/>
        </w:rPr>
        <w:t>та укласти договори купівлі-продажу земельних ділянок.</w:t>
      </w:r>
      <w:r>
        <w:rPr>
          <w:rFonts w:eastAsia="Times New Roman" w:cs="Times New Roman"/>
          <w:color w:val="000000"/>
          <w:sz w:val="28"/>
          <w:szCs w:val="28"/>
          <w:lang w:val="uk-UA" w:eastAsia="zh-CN" w:bidi="ar-SA"/>
        </w:rPr>
        <w:t xml:space="preserve"> </w:t>
      </w:r>
    </w:p>
    <w:p>
      <w:pPr>
        <w:pStyle w:val="Normal"/>
        <w:widowControl/>
        <w:numPr>
          <w:ilvl w:val="0"/>
          <w:numId w:val="0"/>
        </w:numPr>
        <w:suppressAutoHyphens w:val="true"/>
        <w:bidi w:val="0"/>
        <w:ind w:left="0" w:right="0" w:firstLine="624"/>
        <w:jc w:val="both"/>
        <w:rPr/>
      </w:pPr>
      <w:r>
        <w:rPr>
          <w:rFonts w:eastAsia="Times New Roman" w:cs="Times New Roman"/>
          <w:color w:val="000000"/>
          <w:szCs w:val="28"/>
          <w:lang w:val="uk-UA" w:eastAsia="zh-CN" w:bidi="ar-SA"/>
        </w:rPr>
        <w:t>У разі необхідності міський голова на підставі виданої ним довіреності може призначити іншу посадову особу для підписання протоколів земельних торгів (аукціону), та</w:t>
      </w:r>
      <w:r>
        <w:rPr>
          <w:rFonts w:eastAsia="Times New Roman" w:cs="Times New Roman"/>
          <w:b w:val="false"/>
          <w:i w:val="false"/>
          <w:caps w:val="false"/>
          <w:smallCaps w:val="false"/>
          <w:color w:val="000000"/>
          <w:spacing w:val="0"/>
          <w:sz w:val="28"/>
          <w:szCs w:val="28"/>
          <w:lang w:val="uk-UA" w:eastAsia="zh-CN" w:bidi="ar-SA"/>
        </w:rPr>
        <w:t xml:space="preserve"> укладення договорів купівлі-продажу земельних ділянок.</w:t>
      </w:r>
      <w:r>
        <w:rPr>
          <w:rFonts w:eastAsia="Times New Roman" w:cs="Times New Roman"/>
          <w:color w:val="000000"/>
          <w:sz w:val="28"/>
          <w:szCs w:val="28"/>
          <w:lang w:val="uk-UA" w:eastAsia="zh-CN" w:bidi="ar-SA"/>
        </w:rPr>
        <w:t xml:space="preserve"> </w:t>
      </w:r>
    </w:p>
    <w:p>
      <w:pPr>
        <w:pStyle w:val="Normal"/>
        <w:widowControl/>
        <w:numPr>
          <w:ilvl w:val="0"/>
          <w:numId w:val="2"/>
        </w:numPr>
        <w:tabs>
          <w:tab w:val="clear" w:pos="708"/>
          <w:tab w:val="left" w:pos="1020" w:leader="none"/>
        </w:tabs>
        <w:suppressAutoHyphens w:val="true"/>
        <w:bidi w:val="0"/>
        <w:ind w:left="0" w:right="0" w:firstLine="624"/>
        <w:jc w:val="both"/>
        <w:rPr>
          <w:rFonts w:ascii="Times New Roman" w:hAnsi="Times New Roman" w:eastAsia="Times New Roman" w:cs="Times New Roman"/>
          <w:b w:val="false"/>
          <w:b w:val="false"/>
          <w:i w:val="false"/>
          <w:i w:val="false"/>
          <w:caps w:val="false"/>
          <w:smallCaps w:val="false"/>
          <w:color w:val="000000"/>
          <w:spacing w:val="0"/>
          <w:sz w:val="28"/>
          <w:szCs w:val="28"/>
          <w:lang w:val="uk-UA" w:eastAsia="zh-CN" w:bidi="ar-SA"/>
        </w:rPr>
      </w:pPr>
      <w:r>
        <w:rPr>
          <w:rFonts w:eastAsia="Times New Roman" w:cs="Times New Roman"/>
          <w:b w:val="false"/>
          <w:i w:val="false"/>
          <w:caps w:val="false"/>
          <w:smallCaps w:val="false"/>
          <w:color w:val="000000"/>
          <w:spacing w:val="0"/>
          <w:sz w:val="28"/>
          <w:szCs w:val="28"/>
          <w:lang w:val="uk-UA" w:eastAsia="zh-CN" w:bidi="ar-SA"/>
        </w:rPr>
        <w:t>Затвердити проект договору купівлі-продажу земельної ділянки, який пропонується укласти з переможцем земельних торгів (додаток 2).</w:t>
      </w:r>
    </w:p>
    <w:p>
      <w:pPr>
        <w:pStyle w:val="Normal"/>
        <w:widowControl/>
        <w:numPr>
          <w:ilvl w:val="0"/>
          <w:numId w:val="0"/>
        </w:numPr>
        <w:suppressAutoHyphens w:val="true"/>
        <w:bidi w:val="0"/>
        <w:ind w:left="0" w:right="0" w:firstLine="624"/>
        <w:jc w:val="both"/>
        <w:rPr>
          <w:rFonts w:ascii="Times New Roman" w:hAnsi="Times New Roman" w:eastAsia="Times New Roman" w:cs="Times New Roman"/>
          <w:color w:val="000000"/>
          <w:szCs w:val="28"/>
          <w:lang w:val="uk-UA" w:eastAsia="zh-CN" w:bidi="ar-SA"/>
        </w:rPr>
      </w:pPr>
      <w:r>
        <w:rPr>
          <w:rFonts w:eastAsia="Times New Roman" w:cs="Times New Roman"/>
          <w:color w:val="000000"/>
          <w:szCs w:val="28"/>
          <w:lang w:val="uk-UA" w:eastAsia="zh-CN" w:bidi="ar-SA"/>
        </w:rPr>
        <w:t>Договори купівлі-продажу земельних ділянок, проданих на земельних торгах (аукціоні), укласти в порядку та строки, визначені чинним законодавством України.</w:t>
      </w:r>
    </w:p>
    <w:p>
      <w:pPr>
        <w:pStyle w:val="Normal"/>
        <w:widowControl/>
        <w:numPr>
          <w:ilvl w:val="0"/>
          <w:numId w:val="0"/>
        </w:numPr>
        <w:suppressAutoHyphens w:val="true"/>
        <w:bidi w:val="0"/>
        <w:ind w:left="0" w:right="0" w:firstLine="624"/>
        <w:jc w:val="both"/>
        <w:rPr>
          <w:rFonts w:ascii="Times New Roman" w:hAnsi="Times New Roman" w:eastAsia="Times New Roman" w:cs="Times New Roman"/>
          <w:color w:val="000000"/>
          <w:szCs w:val="28"/>
          <w:lang w:val="uk-UA" w:eastAsia="zh-CN" w:bidi="ar-SA"/>
        </w:rPr>
      </w:pPr>
      <w:bookmarkStart w:id="0" w:name="n1269"/>
      <w:bookmarkEnd w:id="0"/>
      <w:r>
        <w:rPr>
          <w:rFonts w:cs="Times New Roman"/>
          <w:b w:val="false"/>
          <w:i w:val="false"/>
          <w:caps w:val="false"/>
          <w:smallCaps w:val="false"/>
          <w:color w:val="000000"/>
          <w:spacing w:val="0"/>
          <w:sz w:val="28"/>
          <w:szCs w:val="28"/>
        </w:rPr>
        <w:t>Розмір, порядок сплати та повернення винагороди, що сплачується переможцем земельних торгів оператору електронного майданчика, визначен</w:t>
      </w:r>
      <w:r>
        <w:rPr>
          <w:rFonts w:cs="Times New Roman"/>
          <w:b w:val="false"/>
          <w:i w:val="false"/>
          <w:caps w:val="false"/>
          <w:smallCaps w:val="false"/>
          <w:color w:val="000000"/>
          <w:spacing w:val="0"/>
          <w:sz w:val="28"/>
          <w:szCs w:val="28"/>
        </w:rPr>
        <w:t>і</w:t>
      </w:r>
      <w:r>
        <w:rPr>
          <w:rFonts w:cs="Times New Roman"/>
          <w:b w:val="false"/>
          <w:i w:val="false"/>
          <w:caps w:val="false"/>
          <w:smallCaps w:val="false"/>
          <w:color w:val="000000"/>
          <w:spacing w:val="0"/>
          <w:sz w:val="28"/>
          <w:szCs w:val="28"/>
        </w:rPr>
        <w:t xml:space="preserve"> </w:t>
      </w:r>
      <w:r>
        <w:rPr>
          <w:rFonts w:cs="Times New Roman"/>
          <w:b w:val="false"/>
          <w:i w:val="false"/>
          <w:caps w:val="false"/>
          <w:smallCaps w:val="false"/>
          <w:color w:val="000000"/>
          <w:spacing w:val="0"/>
          <w:sz w:val="28"/>
          <w:szCs w:val="28"/>
        </w:rPr>
        <w:t xml:space="preserve">в </w:t>
      </w:r>
      <w:r>
        <w:rPr>
          <w:rFonts w:cs="Times New Roman"/>
          <w:b w:val="false"/>
          <w:i w:val="false"/>
          <w:caps w:val="false"/>
          <w:smallCaps w:val="false"/>
          <w:color w:val="000000"/>
          <w:spacing w:val="0"/>
          <w:sz w:val="28"/>
          <w:szCs w:val="28"/>
        </w:rPr>
        <w:t>Постанов</w:t>
      </w:r>
      <w:r>
        <w:rPr>
          <w:rFonts w:cs="Times New Roman"/>
          <w:b w:val="false"/>
          <w:i w:val="false"/>
          <w:caps w:val="false"/>
          <w:smallCaps w:val="false"/>
          <w:color w:val="000000"/>
          <w:spacing w:val="0"/>
          <w:sz w:val="28"/>
          <w:szCs w:val="28"/>
        </w:rPr>
        <w:t>і</w:t>
      </w:r>
      <w:r>
        <w:rPr>
          <w:rFonts w:cs="Times New Roman"/>
          <w:b w:val="false"/>
          <w:i w:val="false"/>
          <w:caps w:val="false"/>
          <w:smallCaps w:val="false"/>
          <w:color w:val="000000"/>
          <w:spacing w:val="0"/>
          <w:sz w:val="28"/>
          <w:szCs w:val="28"/>
        </w:rPr>
        <w:t xml:space="preserve"> Кабінету Міністрів України </w:t>
      </w:r>
      <w:r>
        <w:rPr>
          <w:rFonts w:eastAsia="Times New Roman" w:cs="Times New Roman"/>
          <w:b w:val="false"/>
          <w:bCs/>
          <w:i w:val="false"/>
          <w:caps w:val="false"/>
          <w:smallCaps w:val="false"/>
          <w:color w:val="000000"/>
          <w:spacing w:val="0"/>
          <w:sz w:val="28"/>
          <w:szCs w:val="28"/>
          <w:lang w:val="uk-UA" w:eastAsia="zh-CN" w:bidi="ar-SA"/>
        </w:rPr>
        <w:t>від 22.09.2021 № 1013 “Деякі питання підготовки до проведення та проведення земельних торгів для продажу земельних ділянок та набуття прав користування ними (оренди, суперфіцію, емфітевзису)”.</w:t>
      </w:r>
    </w:p>
    <w:p>
      <w:pPr>
        <w:pStyle w:val="Normal"/>
        <w:widowControl/>
        <w:numPr>
          <w:ilvl w:val="0"/>
          <w:numId w:val="2"/>
        </w:numPr>
        <w:tabs>
          <w:tab w:val="clear" w:pos="708"/>
          <w:tab w:val="left" w:pos="1020" w:leader="none"/>
        </w:tabs>
        <w:suppressAutoHyphens w:val="true"/>
        <w:bidi w:val="0"/>
        <w:spacing w:lineRule="auto" w:line="240" w:before="0" w:after="0"/>
        <w:ind w:left="0" w:right="0" w:firstLine="624"/>
        <w:jc w:val="both"/>
        <w:rPr>
          <w:rFonts w:ascii="Times New Roman" w:hAnsi="Times New Roman" w:cs="Times New Roman"/>
          <w:color w:val="000000"/>
          <w:szCs w:val="28"/>
          <w:lang w:val="uk-UA" w:eastAsia="zh-CN" w:bidi="ar-SA"/>
        </w:rPr>
      </w:pPr>
      <w:r>
        <w:rPr>
          <w:rFonts w:cs="Times New Roman"/>
          <w:color w:val="000000"/>
          <w:szCs w:val="28"/>
          <w:lang w:val="uk-UA" w:eastAsia="zh-CN" w:bidi="ar-SA"/>
        </w:rPr>
        <w:t>Контроль за виконанням даного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spacing w:lineRule="auto" w:line="240" w:before="0" w:after="0"/>
        <w:jc w:val="both"/>
        <w:rPr>
          <w:rFonts w:ascii="Times New Roman" w:hAnsi="Times New Roman" w:cs="Times New Roman"/>
          <w:color w:val="000000"/>
          <w:szCs w:val="28"/>
          <w:lang w:val="uk-UA" w:eastAsia="zh-CN" w:bidi="ar-SA"/>
        </w:rPr>
      </w:pPr>
      <w:r>
        <w:rPr>
          <w:rFonts w:cs="Times New Roman"/>
          <w:color w:val="000000"/>
          <w:szCs w:val="28"/>
          <w:lang w:val="uk-UA" w:eastAsia="zh-CN" w:bidi="ar-SA"/>
        </w:rPr>
      </w:r>
    </w:p>
    <w:p>
      <w:pPr>
        <w:pStyle w:val="Normal"/>
        <w:jc w:val="both"/>
        <w:rPr>
          <w:rFonts w:ascii="Times New Roman" w:hAnsi="Times New Roman" w:cs="Times New Roman"/>
          <w:color w:val="000000"/>
          <w:szCs w:val="28"/>
          <w:lang w:val="uk-UA" w:eastAsia="zh-CN" w:bidi="ar-SA"/>
        </w:rPr>
      </w:pPr>
      <w:r>
        <w:rPr>
          <w:rFonts w:cs="Times New Roman"/>
          <w:color w:val="000000"/>
          <w:szCs w:val="28"/>
          <w:lang w:val="uk-UA" w:eastAsia="zh-CN" w:bidi="ar-SA"/>
        </w:rPr>
      </w:r>
    </w:p>
    <w:p>
      <w:pPr>
        <w:pStyle w:val="Normal"/>
        <w:widowControl/>
        <w:tabs>
          <w:tab w:val="clear" w:pos="708"/>
          <w:tab w:val="left" w:pos="7365" w:leader="none"/>
        </w:tabs>
        <w:suppressAutoHyphens w:val="true"/>
        <w:bidi w:val="0"/>
        <w:ind w:left="0" w:right="0" w:hanging="0"/>
        <w:jc w:val="both"/>
        <w:rPr>
          <w:rFonts w:ascii="Times New Roman" w:hAnsi="Times New Roman" w:cs="Times New Roman"/>
          <w:color w:val="000000"/>
          <w:sz w:val="28"/>
          <w:szCs w:val="28"/>
          <w:lang w:val="uk-UA" w:eastAsia="zh-CN" w:bidi="ar-SA"/>
        </w:rPr>
      </w:pPr>
      <w:r>
        <w:rPr>
          <w:rFonts w:cs="Times New Roman"/>
          <w:color w:val="000000"/>
          <w:sz w:val="28"/>
          <w:szCs w:val="28"/>
          <w:lang w:val="uk-UA" w:eastAsia="zh-CN" w:bidi="ar-SA"/>
        </w:rPr>
        <w:t>Міський голова</w:t>
        <w:tab/>
        <w:t>Ігор ПОЛІЩУК</w:t>
      </w:r>
    </w:p>
    <w:p>
      <w:pPr>
        <w:pStyle w:val="Normal"/>
        <w:widowControl/>
        <w:tabs>
          <w:tab w:val="clear" w:pos="708"/>
          <w:tab w:val="left" w:pos="7365" w:leader="none"/>
        </w:tabs>
        <w:suppressAutoHyphens w:val="true"/>
        <w:bidi w:val="0"/>
        <w:ind w:left="0" w:right="0" w:hanging="0"/>
        <w:jc w:val="both"/>
        <w:rPr>
          <w:rFonts w:ascii="Times New Roman" w:hAnsi="Times New Roman" w:cs="Times New Roman"/>
          <w:color w:val="000000"/>
          <w:lang w:val="uk-UA" w:eastAsia="zh-CN" w:bidi="ar-SA"/>
        </w:rPr>
      </w:pPr>
      <w:r>
        <w:rPr>
          <w:rFonts w:cs="Times New Roman"/>
          <w:color w:val="000000"/>
          <w:lang w:val="uk-UA" w:eastAsia="zh-CN" w:bidi="ar-SA"/>
        </w:rPr>
      </w:r>
    </w:p>
    <w:p>
      <w:pPr>
        <w:pStyle w:val="Normal"/>
        <w:widowControl/>
        <w:tabs>
          <w:tab w:val="clear" w:pos="708"/>
          <w:tab w:val="left" w:pos="7365" w:leader="none"/>
        </w:tabs>
        <w:suppressAutoHyphens w:val="true"/>
        <w:bidi w:val="0"/>
        <w:ind w:left="0" w:right="0" w:hanging="0"/>
        <w:jc w:val="both"/>
        <w:rPr>
          <w:rFonts w:ascii="Times New Roman" w:hAnsi="Times New Roman" w:cs="Times New Roman"/>
          <w:color w:val="000000"/>
          <w:lang w:val="uk-UA" w:eastAsia="zh-CN" w:bidi="ar-SA"/>
        </w:rPr>
      </w:pPr>
      <w:r>
        <w:rPr>
          <w:rFonts w:cs="Times New Roman"/>
          <w:color w:val="000000"/>
          <w:lang w:val="uk-UA" w:eastAsia="zh-CN" w:bidi="ar-SA"/>
        </w:rPr>
      </w:r>
    </w:p>
    <w:p>
      <w:pPr>
        <w:pStyle w:val="Normal"/>
        <w:widowControl/>
        <w:tabs>
          <w:tab w:val="clear" w:pos="708"/>
          <w:tab w:val="left" w:pos="7513" w:leader="none"/>
        </w:tabs>
        <w:suppressAutoHyphens w:val="true"/>
        <w:bidi w:val="0"/>
        <w:ind w:left="0" w:right="-365" w:hanging="0"/>
        <w:jc w:val="both"/>
        <w:rPr>
          <w:rFonts w:ascii="Times New Roman" w:hAnsi="Times New Roman" w:eastAsia="Times New Roman" w:cs="Times New Roman"/>
          <w:bCs/>
          <w:color w:val="000000"/>
          <w:kern w:val="0"/>
          <w:sz w:val="24"/>
          <w:szCs w:val="24"/>
          <w:lang w:val="uk-UA" w:eastAsia="zh-CN" w:bidi="ar-SA"/>
        </w:rPr>
      </w:pPr>
      <w:r>
        <w:rPr>
          <w:rFonts w:eastAsia="Times New Roman" w:cs="Times New Roman"/>
          <w:bCs/>
          <w:color w:val="000000"/>
          <w:kern w:val="0"/>
          <w:sz w:val="24"/>
          <w:szCs w:val="24"/>
          <w:lang w:val="uk-UA" w:eastAsia="zh-CN" w:bidi="ar-SA"/>
        </w:rPr>
        <w:t>Козлюк</w:t>
      </w:r>
    </w:p>
    <w:sectPr>
      <w:type w:val="continuous"/>
      <w:pgSz w:w="11906" w:h="16838"/>
      <w:pgMar w:left="1984" w:right="567" w:header="0" w:top="567" w:footer="0" w:bottom="1757" w:gutter="0"/>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Liberation Sans">
    <w:altName w:val="Arial"/>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decimal"/>
      <w:lvlText w:val="%1."/>
      <w:lvlJc w:val="left"/>
      <w:pPr>
        <w:tabs>
          <w:tab w:val="num" w:pos="720"/>
        </w:tabs>
        <w:ind w:left="720" w:hanging="360"/>
      </w:pPr>
      <w:rPr>
        <w:sz w:val="28"/>
        <w:b w:val="false"/>
        <w:szCs w:val="28"/>
        <w:bCs w:val="false"/>
        <w:rFonts w:ascii="Times New Roman" w:hAnsi="Times New Roman" w:cs="Times New Roman"/>
      </w:rPr>
    </w:lvl>
    <w:lvl w:ilvl="1">
      <w:start w:val="1"/>
      <w:numFmt w:val="decimal"/>
      <w:lvlText w:val="%1.%2."/>
      <w:lvlJc w:val="left"/>
      <w:pPr>
        <w:tabs>
          <w:tab w:val="num" w:pos="1080"/>
        </w:tabs>
        <w:ind w:left="1080" w:hanging="360"/>
      </w:pPr>
      <w:rPr>
        <w:sz w:val="28"/>
        <w:b w:val="false"/>
        <w:szCs w:val="28"/>
        <w:bCs w:val="false"/>
        <w:rFonts w:ascii="Times New Roman" w:hAnsi="Times New Roman" w:cs="Times New Roman"/>
      </w:rPr>
    </w:lvl>
    <w:lvl w:ilvl="2">
      <w:start w:val="1"/>
      <w:numFmt w:val="decimal"/>
      <w:lvlText w:val="%3."/>
      <w:lvlJc w:val="left"/>
      <w:pPr>
        <w:tabs>
          <w:tab w:val="num" w:pos="1440"/>
        </w:tabs>
        <w:ind w:left="1440" w:hanging="360"/>
      </w:pPr>
      <w:rPr>
        <w:sz w:val="28"/>
        <w:b w:val="false"/>
        <w:szCs w:val="28"/>
        <w:bCs w:val="false"/>
        <w:rFonts w:ascii="Times New Roman" w:hAnsi="Times New Roman" w:cs="Times New Roman"/>
      </w:rPr>
    </w:lvl>
    <w:lvl w:ilvl="3">
      <w:start w:val="1"/>
      <w:numFmt w:val="decimal"/>
      <w:lvlText w:val="%4."/>
      <w:lvlJc w:val="left"/>
      <w:pPr>
        <w:tabs>
          <w:tab w:val="num" w:pos="1800"/>
        </w:tabs>
        <w:ind w:left="1800" w:hanging="360"/>
      </w:pPr>
      <w:rPr>
        <w:sz w:val="28"/>
        <w:b w:val="false"/>
        <w:szCs w:val="28"/>
        <w:bCs w:val="false"/>
        <w:rFonts w:ascii="Times New Roman" w:hAnsi="Times New Roman" w:cs="Times New Roman"/>
      </w:rPr>
    </w:lvl>
    <w:lvl w:ilvl="4">
      <w:start w:val="1"/>
      <w:numFmt w:val="decimal"/>
      <w:lvlText w:val="%5."/>
      <w:lvlJc w:val="left"/>
      <w:pPr>
        <w:tabs>
          <w:tab w:val="num" w:pos="2160"/>
        </w:tabs>
        <w:ind w:left="2160" w:hanging="360"/>
      </w:pPr>
      <w:rPr>
        <w:sz w:val="28"/>
        <w:b w:val="false"/>
        <w:szCs w:val="28"/>
        <w:bCs w:val="false"/>
        <w:rFonts w:ascii="Times New Roman" w:hAnsi="Times New Roman" w:cs="Times New Roman"/>
      </w:rPr>
    </w:lvl>
    <w:lvl w:ilvl="5">
      <w:start w:val="1"/>
      <w:numFmt w:val="decimal"/>
      <w:lvlText w:val="%6."/>
      <w:lvlJc w:val="left"/>
      <w:pPr>
        <w:tabs>
          <w:tab w:val="num" w:pos="2520"/>
        </w:tabs>
        <w:ind w:left="2520" w:hanging="360"/>
      </w:pPr>
      <w:rPr>
        <w:sz w:val="28"/>
        <w:b w:val="false"/>
        <w:szCs w:val="28"/>
        <w:bCs w:val="false"/>
        <w:rFonts w:ascii="Times New Roman" w:hAnsi="Times New Roman" w:cs="Times New Roman"/>
      </w:rPr>
    </w:lvl>
    <w:lvl w:ilvl="6">
      <w:start w:val="1"/>
      <w:numFmt w:val="decimal"/>
      <w:lvlText w:val="%7."/>
      <w:lvlJc w:val="left"/>
      <w:pPr>
        <w:tabs>
          <w:tab w:val="num" w:pos="2880"/>
        </w:tabs>
        <w:ind w:left="2880" w:hanging="360"/>
      </w:pPr>
      <w:rPr>
        <w:sz w:val="28"/>
        <w:b w:val="false"/>
        <w:szCs w:val="28"/>
        <w:bCs w:val="false"/>
        <w:rFonts w:ascii="Times New Roman" w:hAnsi="Times New Roman" w:cs="Times New Roman"/>
      </w:rPr>
    </w:lvl>
    <w:lvl w:ilvl="7">
      <w:start w:val="1"/>
      <w:numFmt w:val="decimal"/>
      <w:lvlText w:val="%8."/>
      <w:lvlJc w:val="left"/>
      <w:pPr>
        <w:tabs>
          <w:tab w:val="num" w:pos="3240"/>
        </w:tabs>
        <w:ind w:left="3240" w:hanging="360"/>
      </w:pPr>
      <w:rPr>
        <w:sz w:val="28"/>
        <w:b w:val="false"/>
        <w:szCs w:val="28"/>
        <w:bCs w:val="false"/>
        <w:rFonts w:ascii="Times New Roman" w:hAnsi="Times New Roman" w:cs="Times New Roman"/>
      </w:rPr>
    </w:lvl>
    <w:lvl w:ilvl="8">
      <w:start w:val="1"/>
      <w:numFmt w:val="decimal"/>
      <w:lvlText w:val="%9."/>
      <w:lvlJc w:val="left"/>
      <w:pPr>
        <w:tabs>
          <w:tab w:val="num" w:pos="3600"/>
        </w:tabs>
        <w:ind w:left="3600" w:hanging="360"/>
      </w:pPr>
      <w:rPr>
        <w:sz w:val="28"/>
        <w:b w:val="false"/>
        <w:szCs w:val="28"/>
        <w:bCs w:val="false"/>
        <w:rFonts w:ascii="Times New Roman" w:hAnsi="Times New Roman" w:cs="Times New Roman"/>
      </w:r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bCs/>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ascii="Times New Roman" w:hAnsi="Times New Roman" w:cs="Times New Roman"/>
      <w:b w:val="false"/>
      <w:bCs w:val="false"/>
      <w:sz w:val="28"/>
      <w:szCs w:val="28"/>
    </w:rPr>
  </w:style>
  <w:style w:type="character" w:styleId="Style12">
    <w:name w:val="Основной шрифт абзаца"/>
    <w:qFormat/>
    <w:rPr/>
  </w:style>
  <w:style w:type="character" w:styleId="Style13">
    <w:name w:val="Символ нумерации"/>
    <w:qFormat/>
    <w:rPr>
      <w:rFonts w:ascii="Times New Roman" w:hAnsi="Times New Roman" w:cs="Times New Roman"/>
      <w:b w:val="false"/>
      <w:bCs w:val="false"/>
      <w:sz w:val="28"/>
      <w:szCs w:val="28"/>
    </w:rPr>
  </w:style>
  <w:style w:type="paragraph" w:styleId="Style14">
    <w:name w:val="Заголовок"/>
    <w:basedOn w:val="Normal"/>
    <w:next w:val="Style15"/>
    <w:qFormat/>
    <w:pPr>
      <w:keepNext w:val="true"/>
      <w:spacing w:before="240" w:after="120"/>
    </w:pPr>
    <w:rPr>
      <w:rFonts w:ascii="Liberation Sans;Arial" w:hAnsi="Liberation Sans;Arial" w:eastAsia="Microsoft YaHei" w:cs="Mangal"/>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cs="Arial"/>
    </w:rPr>
  </w:style>
  <w:style w:type="paragraph" w:styleId="Style19">
    <w:name w:val="Название"/>
    <w:basedOn w:val="Normal"/>
    <w:qFormat/>
    <w:pPr>
      <w:suppressLineNumbers/>
      <w:spacing w:before="120" w:after="120"/>
    </w:pPr>
    <w:rPr>
      <w:rFonts w:cs="Mangal"/>
      <w:i/>
      <w:iCs/>
      <w:sz w:val="24"/>
      <w:szCs w:val="24"/>
    </w:rPr>
  </w:style>
  <w:style w:type="paragraph" w:styleId="Style20">
    <w:name w:val="Указатель"/>
    <w:basedOn w:val="Normal"/>
    <w:qFormat/>
    <w:pPr>
      <w:suppressLineNumbers/>
    </w:pPr>
    <w:rPr>
      <w:rFonts w:cs="Mangal"/>
    </w:rPr>
  </w:style>
  <w:style w:type="paragraph" w:styleId="Style21">
    <w:name w:val=" Знак"/>
    <w:basedOn w:val="Normal"/>
    <w:qFormat/>
    <w:pPr/>
    <w:rPr>
      <w:rFonts w:ascii="Verdana" w:hAnsi="Verdana" w:cs="Verdana"/>
      <w:bCs w:val="false"/>
      <w:sz w:val="20"/>
      <w:szCs w:val="20"/>
      <w:lang w:val="en-US"/>
    </w:rPr>
  </w:style>
  <w:style w:type="paragraph" w:styleId="Style22">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23">
    <w:name w:val="Header"/>
    <w:basedOn w:val="Normal"/>
    <w:pPr>
      <w:tabs>
        <w:tab w:val="clear" w:pos="708"/>
        <w:tab w:val="center" w:pos="4677" w:leader="none"/>
        <w:tab w:val="right" w:pos="9355" w:leader="none"/>
      </w:tabs>
    </w:pPr>
    <w:rPr/>
  </w:style>
  <w:style w:type="paragraph" w:styleId="Style24">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1213</TotalTime>
  <Application>LibreOffice/7.0.0.3$Windows_X86_64 LibreOffice_project/8061b3e9204bef6b321a21033174034a5e2ea88e</Application>
  <Pages>2</Pages>
  <Words>488</Words>
  <Characters>3323</Characters>
  <CharactersWithSpaces>3875</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2013-06-11T12:50:00Z</dcterms:created>
  <dc:creator>natasha_18</dc:creator>
  <dc:description/>
  <dc:language>uk-UA</dc:language>
  <cp:lastModifiedBy>Василь Демчук</cp:lastModifiedBy>
  <cp:lastPrinted>2023-02-08T15:08:09Z</cp:lastPrinted>
  <dcterms:modified xsi:type="dcterms:W3CDTF">2023-02-13T10:24:49Z</dcterms:modified>
  <cp:revision>144</cp:revision>
  <dc:subject/>
  <dc:title> </dc:title>
</cp:coreProperties>
</file>