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uppressAutoHyphens w:val="true"/>
        <w:bidi w:val="0"/>
        <w:ind w:left="12699" w:right="0" w:hanging="0"/>
        <w:rPr>
          <w:szCs w:val="28"/>
        </w:rPr>
      </w:pPr>
      <w:r>
        <w:rPr>
          <w:szCs w:val="28"/>
        </w:rPr>
      </w:r>
    </w:p>
    <w:p>
      <w:pPr>
        <w:pStyle w:val="Normal"/>
        <w:widowControl/>
        <w:suppressAutoHyphens w:val="true"/>
        <w:bidi w:val="0"/>
        <w:ind w:left="12699" w:right="0" w:hanging="0"/>
        <w:rPr>
          <w:szCs w:val="28"/>
        </w:rPr>
      </w:pPr>
      <w:r>
        <w:rPr>
          <w:szCs w:val="28"/>
        </w:rPr>
        <w:t>Додаток 1</w:t>
      </w:r>
    </w:p>
    <w:p>
      <w:pPr>
        <w:pStyle w:val="Normal"/>
        <w:widowControl/>
        <w:suppressAutoHyphens w:val="true"/>
        <w:bidi w:val="0"/>
        <w:ind w:left="12699" w:right="0" w:hanging="0"/>
        <w:rPr>
          <w:szCs w:val="28"/>
        </w:rPr>
      </w:pPr>
      <w:r>
        <w:rPr>
          <w:szCs w:val="28"/>
        </w:rPr>
        <w:t xml:space="preserve">до рішення міської ради </w:t>
      </w:r>
    </w:p>
    <w:p>
      <w:pPr>
        <w:pStyle w:val="Normal"/>
        <w:widowControl/>
        <w:suppressAutoHyphens w:val="true"/>
        <w:bidi w:val="0"/>
        <w:ind w:left="12699" w:right="0" w:hanging="0"/>
        <w:rPr>
          <w:szCs w:val="28"/>
        </w:rPr>
      </w:pPr>
      <w:r>
        <w:rPr>
          <w:szCs w:val="28"/>
        </w:rPr>
        <w:t>______________ № ____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 xml:space="preserve">Перелік 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 xml:space="preserve">земельних ділянок комунальної власності несільськогосподарського призначення Луцької міської територіальної громади, 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що виставляються на земельні торги (аукціон) на території міста Луцька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</w:r>
    </w:p>
    <w:tbl>
      <w:tblPr>
        <w:tblW w:w="157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9"/>
        <w:gridCol w:w="1816"/>
        <w:gridCol w:w="779"/>
        <w:gridCol w:w="2326"/>
        <w:gridCol w:w="2954"/>
        <w:gridCol w:w="2161"/>
        <w:gridCol w:w="2370"/>
        <w:gridCol w:w="1484"/>
        <w:gridCol w:w="1184"/>
      </w:tblGrid>
      <w:tr>
        <w:trPr>
          <w:trHeight w:val="645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 xml:space="preserve">№ </w:t>
            </w:r>
            <w:r>
              <w:rPr>
                <w:sz w:val="20"/>
                <w:szCs w:val="20"/>
                <w:lang w:val="uk-UA" w:eastAsia="zh-CN" w:bidi="ar-SA"/>
              </w:rPr>
              <w:t>лоту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 xml:space="preserve">Адреса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2850" w:leader="none"/>
              </w:tabs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земельної ділянки, м. Луцьк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ind w:left="0" w:right="-57" w:hanging="0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Площа (га)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Кадастровий номер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земельної ділянки</w:t>
            </w:r>
          </w:p>
        </w:tc>
        <w:tc>
          <w:tcPr>
            <w:tcW w:w="2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uk-UA" w:eastAsia="zh-CN" w:bidi="ar-SA"/>
              </w:rPr>
              <w:t>Вид ц</w:t>
            </w:r>
            <w:r>
              <w:rPr>
                <w:sz w:val="20"/>
                <w:szCs w:val="20"/>
                <w:lang w:val="uk-UA" w:eastAsia="zh-CN" w:bidi="ar-SA"/>
              </w:rPr>
              <w:t>ільов</w:t>
            </w: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ого</w:t>
            </w:r>
            <w:r>
              <w:rPr>
                <w:sz w:val="20"/>
                <w:szCs w:val="20"/>
                <w:lang w:val="uk-UA" w:eastAsia="zh-CN" w:bidi="ar-SA"/>
              </w:rPr>
              <w:t xml:space="preserve"> призначення 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земельної ділянки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Вид функціонального призначення території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 xml:space="preserve">Відомості про обмеження (безстрокові) у використанні земельної ділянки 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Стартова ціна лоту (грн)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(без ПДВ)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Умови продажу</w:t>
            </w:r>
          </w:p>
        </w:tc>
      </w:tr>
      <w:tr>
        <w:trPr>
          <w:trHeight w:val="660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1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hyperlink r:id="rId2">
              <w:r>
                <w:rPr>
                  <w:color w:val="auto"/>
                  <w:sz w:val="20"/>
                  <w:szCs w:val="20"/>
                  <w:u w:val="none"/>
                  <w:lang w:val="uk-UA" w:eastAsia="zh-CN" w:bidi="ar-SA"/>
                </w:rPr>
                <w:t>вул. Конякіна, 1-г</w:t>
              </w:r>
            </w:hyperlink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0,5200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3">
              <w:r>
                <w:rPr>
                  <w:rFonts w:eastAsia="Times New Roman" w:cs="Times New Roman"/>
                  <w:bCs/>
                  <w:color w:val="auto"/>
                  <w:sz w:val="20"/>
                  <w:szCs w:val="20"/>
                  <w:u w:val="none"/>
                  <w:lang w:val="uk-UA" w:eastAsia="zh-CN" w:bidi="ar-SA"/>
                </w:rPr>
                <w:t xml:space="preserve">0710100000:33:017:0020 </w:t>
              </w:r>
            </w:hyperlink>
          </w:p>
        </w:tc>
        <w:tc>
          <w:tcPr>
            <w:tcW w:w="2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rPr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sz w:val="20"/>
                <w:szCs w:val="20"/>
                <w:lang w:val="uk-UA" w:eastAsia="zh-CN" w:bidi="ar-SA"/>
              </w:rPr>
              <w:t>11.02 — 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      </w:r>
            <w:r>
              <w:rPr>
                <w:rFonts w:eastAsia="Times New Roman" w:cs="Times New Roman"/>
                <w:b w:val="false"/>
                <w:bCs w:val="false"/>
                <w:color w:val="auto"/>
                <w:sz w:val="20"/>
                <w:szCs w:val="20"/>
                <w:lang w:val="uk-UA" w:eastAsia="zh-CN" w:bidi="ar-SA"/>
              </w:rPr>
              <w:t xml:space="preserve"> 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rPr>
                <w:rFonts w:eastAsia="Times New Roman" w:cs="Times New Roman"/>
                <w:b w:val="false"/>
                <w:b w:val="false"/>
                <w:bCs/>
                <w:i w:val="false"/>
                <w:i w:val="false"/>
                <w:caps w:val="false"/>
                <w:smallCaps w:val="false"/>
                <w:color w:val="auto"/>
                <w:spacing w:val="0"/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sz w:val="20"/>
                <w:szCs w:val="20"/>
                <w:lang w:val="uk-UA" w:eastAsia="zh-CN" w:bidi="ar-SA"/>
              </w:rPr>
              <w:t>для будівництва та обслуговування автостоянки та транспортних споруд (АЗС, СТО, мийки та ін.))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eastAsia="Times New Roman" w:cs="Times New Roman"/>
                <w:b w:val="false"/>
                <w:b w:val="false"/>
                <w:bCs/>
                <w:i w:val="false"/>
                <w:i w:val="false"/>
                <w:caps w:val="false"/>
                <w:smallCaps w:val="false"/>
                <w:color w:val="auto"/>
                <w:spacing w:val="0"/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sz w:val="20"/>
                <w:szCs w:val="20"/>
                <w:lang w:val="uk-UA" w:eastAsia="zh-CN" w:bidi="ar-SA"/>
              </w:rPr>
              <w:t>Охоронна зона навколо інженерних комунікацій (01.08) площею 0,2769 га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suppressAutoHyphens w:val="true"/>
              <w:bidi w:val="0"/>
              <w:spacing w:before="0" w:after="0"/>
              <w:ind w:left="0" w:right="0" w:hanging="0"/>
              <w:jc w:val="right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1 </w:t>
            </w: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946</w:t>
            </w:r>
            <w:r>
              <w:rPr>
                <w:sz w:val="20"/>
                <w:szCs w:val="20"/>
                <w:lang w:val="uk-UA" w:eastAsia="zh-CN" w:bidi="ar-SA"/>
              </w:rPr>
              <w:t> </w:t>
            </w: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256</w:t>
            </w:r>
            <w:r>
              <w:rPr>
                <w:sz w:val="20"/>
                <w:szCs w:val="20"/>
                <w:lang w:val="uk-UA" w:eastAsia="zh-CN" w:bidi="ar-SA"/>
              </w:rPr>
              <w:t>,00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Власність</w:t>
            </w:r>
          </w:p>
        </w:tc>
      </w:tr>
      <w:tr>
        <w:trPr>
          <w:trHeight w:val="660" w:hRule="atLeast"/>
        </w:trPr>
        <w:tc>
          <w:tcPr>
            <w:tcW w:w="62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2</w:t>
            </w:r>
          </w:p>
        </w:tc>
        <w:tc>
          <w:tcPr>
            <w:tcW w:w="181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hyperlink r:id="rId4">
              <w:r>
                <w:rPr>
                  <w:color w:val="auto"/>
                  <w:sz w:val="20"/>
                  <w:szCs w:val="20"/>
                  <w:u w:val="none"/>
                  <w:lang w:val="uk-UA" w:eastAsia="zh-CN" w:bidi="ar-SA"/>
                </w:rPr>
                <w:t>вул. Конякіна, 1-д</w:t>
              </w:r>
            </w:hyperlink>
          </w:p>
        </w:tc>
        <w:tc>
          <w:tcPr>
            <w:tcW w:w="77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0,2200</w:t>
            </w:r>
          </w:p>
        </w:tc>
        <w:tc>
          <w:tcPr>
            <w:tcW w:w="23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hyperlink r:id="rId5">
              <w:r>
                <w:rPr>
                  <w:rFonts w:eastAsia="Times New Roman" w:cs="Times New Roman"/>
                  <w:b w:val="false"/>
                  <w:bCs/>
                  <w:i w:val="false"/>
                  <w:caps w:val="false"/>
                  <w:smallCaps w:val="false"/>
                  <w:color w:val="auto"/>
                  <w:spacing w:val="0"/>
                  <w:sz w:val="20"/>
                  <w:szCs w:val="20"/>
                  <w:u w:val="none"/>
                  <w:lang w:val="uk-UA" w:eastAsia="zh-CN" w:bidi="ar-SA"/>
                </w:rPr>
                <w:t xml:space="preserve">0710100000:33:017:0019 </w:t>
              </w:r>
            </w:hyperlink>
          </w:p>
        </w:tc>
        <w:tc>
          <w:tcPr>
            <w:tcW w:w="295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rPr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sz w:val="20"/>
                <w:szCs w:val="20"/>
                <w:lang w:val="uk-UA" w:eastAsia="zh-CN" w:bidi="ar-SA"/>
              </w:rPr>
              <w:t>11.02 — 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      </w:r>
            <w:r>
              <w:rPr>
                <w:rFonts w:eastAsia="Times New Roman" w:cs="Times New Roman"/>
                <w:b w:val="false"/>
                <w:bCs w:val="false"/>
                <w:color w:val="auto"/>
                <w:sz w:val="20"/>
                <w:szCs w:val="20"/>
                <w:lang w:val="uk-UA" w:eastAsia="zh-CN" w:bidi="ar-SA"/>
              </w:rPr>
              <w:t xml:space="preserve"> </w:t>
            </w:r>
          </w:p>
        </w:tc>
        <w:tc>
          <w:tcPr>
            <w:tcW w:w="216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rPr>
                <w:rFonts w:eastAsia="Times New Roman" w:cs="Times New Roman"/>
                <w:b w:val="false"/>
                <w:b w:val="false"/>
                <w:bCs/>
                <w:i w:val="false"/>
                <w:i w:val="false"/>
                <w:caps w:val="false"/>
                <w:smallCaps w:val="false"/>
                <w:color w:val="auto"/>
                <w:spacing w:val="0"/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sz w:val="20"/>
                <w:szCs w:val="20"/>
                <w:lang w:val="uk-UA" w:eastAsia="zh-CN" w:bidi="ar-SA"/>
              </w:rPr>
              <w:t>для будівництва та обслуговування автостоянки та транспортних споруд (АЗС, СТО, мийки та ін.))</w:t>
            </w:r>
          </w:p>
        </w:tc>
        <w:tc>
          <w:tcPr>
            <w:tcW w:w="237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eastAsia="Times New Roman" w:cs="Times New Roman"/>
                <w:b w:val="false"/>
                <w:b w:val="false"/>
                <w:bCs/>
                <w:i w:val="false"/>
                <w:i w:val="false"/>
                <w:caps w:val="false"/>
                <w:smallCaps w:val="false"/>
                <w:color w:val="auto"/>
                <w:spacing w:val="0"/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sz w:val="20"/>
                <w:szCs w:val="20"/>
                <w:lang w:val="uk-UA" w:eastAsia="zh-CN" w:bidi="ar-SA"/>
              </w:rPr>
              <w:t>Охоронна зона навколо інженерних комунікацій (01.08) площею 0,0860 га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left="0" w:right="34" w:hanging="0"/>
              <w:jc w:val="right"/>
              <w:rPr>
                <w:b w:val="false"/>
                <w:b w:val="false"/>
                <w:bCs w:val="false"/>
                <w:lang w:val="uk-UA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auto"/>
                <w:kern w:val="0"/>
                <w:sz w:val="20"/>
                <w:szCs w:val="20"/>
                <w:lang w:val="uk-UA" w:eastAsia="zh-CN" w:bidi="ar-SA"/>
              </w:rPr>
              <w:t>815</w:t>
            </w:r>
            <w:r>
              <w:rPr>
                <w:b w:val="false"/>
                <w:bCs w:val="false"/>
                <w:color w:val="auto"/>
                <w:sz w:val="20"/>
                <w:szCs w:val="20"/>
                <w:lang w:val="uk-UA" w:eastAsia="zh-CN" w:bidi="ar-SA"/>
              </w:rPr>
              <w:t> </w:t>
            </w:r>
            <w:r>
              <w:rPr>
                <w:rFonts w:eastAsia="Times New Roman" w:cs="Times New Roman"/>
                <w:b w:val="false"/>
                <w:bCs w:val="false"/>
                <w:color w:val="auto"/>
                <w:kern w:val="0"/>
                <w:sz w:val="20"/>
                <w:szCs w:val="20"/>
                <w:lang w:val="uk-UA" w:eastAsia="zh-CN" w:bidi="ar-SA"/>
              </w:rPr>
              <w:t>804</w:t>
            </w:r>
            <w:r>
              <w:rPr>
                <w:b w:val="false"/>
                <w:bCs w:val="false"/>
                <w:color w:val="auto"/>
                <w:sz w:val="20"/>
                <w:szCs w:val="20"/>
                <w:lang w:val="uk-UA" w:eastAsia="zh-CN" w:bidi="ar-SA"/>
              </w:rPr>
              <w:t>,00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Власність</w:t>
            </w:r>
          </w:p>
        </w:tc>
      </w:tr>
    </w:tbl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widowControl/>
        <w:tabs>
          <w:tab w:val="clear" w:pos="708"/>
          <w:tab w:val="left" w:pos="13380" w:leader="none"/>
        </w:tabs>
        <w:suppressAutoHyphens w:val="true"/>
        <w:bidi w:val="0"/>
        <w:spacing w:before="0" w:after="0"/>
        <w:ind w:left="283" w:right="0" w:hanging="0"/>
        <w:jc w:val="left"/>
        <w:rPr/>
      </w:pPr>
      <w:r>
        <w:rPr>
          <w:szCs w:val="28"/>
        </w:rPr>
        <w:t>Секретар міської ради</w:t>
      </w:r>
      <w:r>
        <w:rPr>
          <w:szCs w:val="28"/>
          <w:lang w:val="en-US"/>
        </w:rPr>
        <w:t xml:space="preserve"> </w:t>
        <w:tab/>
      </w:r>
      <w:r>
        <w:rPr>
          <w:szCs w:val="28"/>
          <w:lang w:val="uk-UA"/>
        </w:rPr>
        <w:t>Юрій БЕЗПЯТКО</w:t>
      </w:r>
    </w:p>
    <w:sectPr>
      <w:type w:val="nextPage"/>
      <w:pgSz w:orient="landscape" w:w="16838" w:h="11906"/>
      <w:pgMar w:left="567" w:right="567" w:header="0" w:top="850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Style13">
    <w:name w:val="Гіперпосилання"/>
    <w:basedOn w:val="Style12"/>
    <w:rPr>
      <w:color w:val="0000FF"/>
      <w:u w:val="single"/>
    </w:rPr>
  </w:style>
  <w:style w:type="character" w:styleId="Style14">
    <w:name w:val="Відвідане гіперпосилання"/>
    <w:rPr>
      <w:color w:val="80000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Style22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6">
    <w:name w:val="Содержимое таблицы"/>
    <w:basedOn w:val="Normal"/>
    <w:qFormat/>
    <w:pPr>
      <w:suppressLineNumbers/>
    </w:pPr>
    <w:rPr/>
  </w:style>
  <w:style w:type="paragraph" w:styleId="Style27">
    <w:name w:val="Заголовок таблицы"/>
    <w:basedOn w:val="Style26"/>
    <w:qFormat/>
    <w:pPr>
      <w:suppressLineNumbers/>
      <w:jc w:val="center"/>
    </w:pPr>
    <w:rPr>
      <w:b/>
      <w:bCs/>
    </w:rPr>
  </w:style>
  <w:style w:type="paragraph" w:styleId="Style28">
    <w:name w:val="Вміст таблиці"/>
    <w:basedOn w:val="Normal"/>
    <w:qFormat/>
    <w:pPr>
      <w:suppressLineNumbers/>
    </w:pPr>
    <w:rPr/>
  </w:style>
  <w:style w:type="paragraph" w:styleId="Style29">
    <w:name w:val="Заголовок таблиці"/>
    <w:basedOn w:val="Style28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google.com.ua/maps/place/50&#176;46&apos;32.9" TargetMode="External"/><Relationship Id="rId3" Type="http://schemas.openxmlformats.org/officeDocument/2006/relationships/hyperlink" Target="https://map.land.gov.ua/?cc=2823539.2366365083,6581713.03272756&amp;z=16&amp;l=kadastr&amp;bl=ortho10k_all&amp;marker=2823539.2366365083,6581713.03272756" TargetMode="External"/><Relationship Id="rId4" Type="http://schemas.openxmlformats.org/officeDocument/2006/relationships/hyperlink" Target="https://www.google.com.ua/maps/place/50&#176;46&apos;31.4" TargetMode="External"/><Relationship Id="rId5" Type="http://schemas.openxmlformats.org/officeDocument/2006/relationships/hyperlink" Target="https://map.land.gov.ua/?cc=2823674.593874097,6581647.7427902&amp;z=16&amp;l=kadastr&amp;bl=ortho10k_all&amp;marker=2823674.593874097,6581647.7427902" TargetMode="Externa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885</TotalTime>
  <Application>LibreOffice/7.0.0.3$Windows_X86_64 LibreOffice_project/8061b3e9204bef6b321a21033174034a5e2ea88e</Application>
  <Pages>1</Pages>
  <Words>172</Words>
  <Characters>1191</Characters>
  <CharactersWithSpaces>1338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2013-01-02T11:05:00Z</dcterms:created>
  <dc:creator>nkhmel</dc:creator>
  <dc:description/>
  <dc:language>uk-UA</dc:language>
  <cp:lastModifiedBy>Василь Демчук</cp:lastModifiedBy>
  <cp:lastPrinted>1995-11-21T17:41:00Z</cp:lastPrinted>
  <dcterms:modified xsi:type="dcterms:W3CDTF">2023-02-13T10:55:47Z</dcterms:modified>
  <cp:revision>83</cp:revision>
  <dc:subject/>
  <dc:title> </dc:title>
</cp:coreProperties>
</file>