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Додаток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 рішення міської ради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від ___________ № _____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Комплексна програма охорони довкілля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Луцької міської територіальної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громади на 2022-2025 роки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Паспорт Програми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tbl>
      <w:tblPr>
        <w:tblW w:w="9488" w:type="dxa"/>
        <w:jc w:val="left"/>
        <w:tblInd w:w="-2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19"/>
        <w:gridCol w:w="3815"/>
        <w:gridCol w:w="4954"/>
      </w:tblGrid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Ініціатор розроблення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Луцька міська рада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Розробник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Співрозробники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0"/>
              <w:widowControl w:val="false"/>
              <w:snapToGrid w:val="false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716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ради, департамент житлово-комунального господарства, підприємства, установи, організації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Учасники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0"/>
              <w:widowControl w:val="false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327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2022–2025 роки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Загальний обсяг фінансових ресурсів, необхідних для реалізації програми,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всього, у тому числі: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ind w:left="-83" w:hanging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93 459,0 млн. грн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31 170,0 млн. грн</w:t>
            </w:r>
          </w:p>
        </w:tc>
      </w:tr>
      <w:tr>
        <w:trPr>
          <w:trHeight w:val="481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9.2.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62 289,0 млн. грн</w:t>
            </w:r>
          </w:p>
        </w:tc>
      </w:tr>
    </w:tbl>
    <w:p>
      <w:pPr>
        <w:pStyle w:val="Normal"/>
        <w:spacing w:before="0" w:after="200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</w:t>
        <w:tab/>
        <w:tab/>
        <w:tab/>
        <w:tab/>
        <w:tab/>
        <w:tab/>
        <w:tab/>
        <w:tab/>
        <w:tab/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p>
      <w:pPr>
        <w:sectPr>
          <w:headerReference w:type="default" r:id="rId2"/>
          <w:type w:val="nextPage"/>
          <w:pgSz w:w="11906" w:h="16838"/>
          <w:pgMar w:left="1985" w:right="567" w:gutter="0" w:header="709" w:top="766" w:footer="0" w:bottom="1134"/>
          <w:pgNumType w:start="2" w:fmt="decimal"/>
          <w:formProt w:val="false"/>
          <w:textDirection w:val="lrTb"/>
          <w:docGrid w:type="default" w:linePitch="100" w:charSpace="8192"/>
        </w:sect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1</w:t>
      </w:r>
    </w:p>
    <w:p>
      <w:pPr>
        <w:pStyle w:val="Normal"/>
        <w:widowControl w:val="false"/>
        <w:suppressAutoHyphens w:val="true"/>
        <w:bidi w:val="0"/>
        <w:spacing w:before="0" w:after="0"/>
        <w:ind w:left="4876" w:right="0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Комплексної програми охорони</w:t>
      </w:r>
    </w:p>
    <w:p>
      <w:pPr>
        <w:pStyle w:val="Normal"/>
        <w:widowControl w:val="false"/>
        <w:suppressAutoHyphens w:val="true"/>
        <w:bidi w:val="0"/>
        <w:spacing w:before="0" w:after="0"/>
        <w:ind w:left="4876" w:right="0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довкілля Луцької міської </w:t>
      </w:r>
    </w:p>
    <w:p>
      <w:pPr>
        <w:pStyle w:val="Normal"/>
        <w:widowControl w:val="false"/>
        <w:suppressAutoHyphens w:val="true"/>
        <w:bidi w:val="0"/>
        <w:spacing w:before="0" w:after="0"/>
        <w:ind w:left="4876" w:right="0" w:hanging="0"/>
        <w:jc w:val="both"/>
        <w:rPr/>
      </w:pPr>
      <w:r>
        <w:rPr>
          <w:rFonts w:ascii="Times New Roman" w:hAnsi="Times New Roman"/>
          <w:sz w:val="28"/>
          <w:szCs w:val="28"/>
        </w:rPr>
        <w:t>територіальної громади</w:t>
      </w:r>
    </w:p>
    <w:p>
      <w:pPr>
        <w:pStyle w:val="Normal"/>
        <w:widowControl w:val="false"/>
        <w:suppressAutoHyphens w:val="true"/>
        <w:bidi w:val="0"/>
        <w:spacing w:before="0" w:after="0"/>
        <w:ind w:left="4876" w:right="0" w:hanging="0"/>
        <w:jc w:val="both"/>
        <w:rPr/>
      </w:pPr>
      <w:r>
        <w:rPr>
          <w:rFonts w:ascii="Times New Roman" w:hAnsi="Times New Roman"/>
          <w:sz w:val="28"/>
          <w:szCs w:val="28"/>
        </w:rPr>
        <w:t>на 2022-2025 роки</w:t>
      </w:r>
    </w:p>
    <w:p>
      <w:pPr>
        <w:pStyle w:val="Normal"/>
        <w:jc w:val="both"/>
        <w:rPr/>
      </w:pPr>
      <w:r>
        <w:rPr/>
      </w:r>
    </w:p>
    <w:p>
      <w:pPr>
        <w:pStyle w:val="1"/>
        <w:numPr>
          <w:ilvl w:val="0"/>
          <w:numId w:val="1"/>
        </w:numPr>
        <w:rPr>
          <w:rFonts w:ascii="Times New Roman" w:hAnsi="Times New Roman" w:cs="Times New Roman"/>
          <w:b w:val="false"/>
          <w:b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Луцької міської територіальної громади на 2022–2025 роки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tbl>
      <w:tblPr>
        <w:tblW w:w="9465" w:type="dxa"/>
        <w:jc w:val="left"/>
        <w:tblInd w:w="-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12"/>
        <w:gridCol w:w="1249"/>
        <w:gridCol w:w="1200"/>
        <w:gridCol w:w="1304"/>
        <w:gridCol w:w="1125"/>
        <w:gridCol w:w="1874"/>
      </w:tblGrid>
      <w:tr>
        <w:trPr>
          <w:trHeight w:val="751" w:hRule="atLeast"/>
          <w:cantSplit w:val="true"/>
        </w:trPr>
        <w:tc>
          <w:tcPr>
            <w:tcW w:w="2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2"/>
              <w:widowControl w:val="false"/>
              <w:numPr>
                <w:ilvl w:val="1"/>
                <w:numId w:val="1"/>
              </w:numPr>
              <w:spacing w:before="240" w:after="60"/>
              <w:jc w:val="center"/>
              <w:rPr>
                <w:rFonts w:cs="Times New Roman"/>
                <w:b w:val="false"/>
                <w:b w:val="false"/>
                <w:i w:val="false"/>
                <w:i w:val="false"/>
                <w:color w:val="000000"/>
                <w:sz w:val="28"/>
              </w:rPr>
            </w:pPr>
            <w:r>
              <w:rPr>
                <w:rFonts w:cs="Times New Roman"/>
                <w:b w:val="false"/>
                <w:i w:val="false"/>
                <w:color w:val="000000"/>
                <w:sz w:val="28"/>
              </w:rPr>
            </w:r>
          </w:p>
          <w:p>
            <w:pPr>
              <w:pStyle w:val="2"/>
              <w:widowControl w:val="false"/>
              <w:numPr>
                <w:ilvl w:val="1"/>
                <w:numId w:val="1"/>
              </w:numPr>
              <w:spacing w:before="240" w:after="60"/>
              <w:jc w:val="center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olor w:val="000000"/>
                <w:sz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olor w:val="000000"/>
                <w:sz w:val="28"/>
              </w:rPr>
              <w:t>Обсяг коштів, які планується залучити на виконання Програми за джерелами фінансування, тис.грн</w:t>
            </w:r>
          </w:p>
        </w:tc>
        <w:tc>
          <w:tcPr>
            <w:tcW w:w="4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Роки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8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81" w:right="-81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Загальний обсяг фінансування, тис. грн</w:t>
            </w:r>
          </w:p>
        </w:tc>
      </w:tr>
      <w:tr>
        <w:trPr>
          <w:trHeight w:val="516" w:hRule="atLeast"/>
          <w:cantSplit w:val="true"/>
        </w:trPr>
        <w:tc>
          <w:tcPr>
            <w:tcW w:w="27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8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675" w:hRule="atLeast"/>
          <w:cantSplit w:val="true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eastAsia="SimSun;宋体" w:cs="Times New Roman"/>
                <w:color w:val="000000"/>
                <w:sz w:val="28"/>
                <w:szCs w:val="28"/>
              </w:rPr>
            </w:pPr>
            <w:r>
              <w:rPr>
                <w:rFonts w:eastAsia="SimSun;宋体"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Обсяг фінансових ресурсів всього,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imSun;宋体" w:cs="Times New Roman"/>
                <w:color w:val="000000"/>
                <w:sz w:val="28"/>
                <w:szCs w:val="28"/>
              </w:rPr>
            </w:pPr>
            <w:r>
              <w:rPr>
                <w:rFonts w:eastAsia="SimSun;宋体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20341,0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33071,0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20046,0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20001,0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93459,0</w:t>
            </w:r>
          </w:p>
        </w:tc>
      </w:tr>
      <w:tr>
        <w:trPr>
          <w:trHeight w:val="1172" w:hRule="atLeast"/>
          <w:cantSplit w:val="true"/>
        </w:trPr>
        <w:tc>
          <w:tcPr>
            <w:tcW w:w="271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 т.ч. спецфонд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3760,0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10850,0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8180,0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8380,0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/>
            </w:pPr>
            <w:bookmarkStart w:id="0" w:name="__DdeLink__5859_28057960641"/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31170,0</w:t>
            </w:r>
            <w:bookmarkEnd w:id="0"/>
          </w:p>
        </w:tc>
      </w:tr>
      <w:tr>
        <w:trPr>
          <w:cantSplit w:val="true"/>
        </w:trPr>
        <w:tc>
          <w:tcPr>
            <w:tcW w:w="2712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1912,0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2794,7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2100,0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2210,0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9016,7</w:t>
            </w:r>
          </w:p>
        </w:tc>
      </w:tr>
      <w:tr>
        <w:trPr>
          <w:cantSplit w:val="true"/>
        </w:trPr>
        <w:tc>
          <w:tcPr>
            <w:tcW w:w="27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обласного бюджету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500,0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365,0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865,0</w:t>
            </w:r>
          </w:p>
        </w:tc>
      </w:tr>
      <w:tr>
        <w:trPr>
          <w:cantSplit w:val="true"/>
        </w:trPr>
        <w:tc>
          <w:tcPr>
            <w:tcW w:w="27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державного бюджету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right="-12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---</w:t>
            </w:r>
          </w:p>
        </w:tc>
      </w:tr>
      <w:tr>
        <w:trPr>
          <w:cantSplit w:val="true"/>
        </w:trPr>
        <w:tc>
          <w:tcPr>
            <w:tcW w:w="27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16081,0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21856,0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11866,0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11621,0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61424,0</w:t>
            </w:r>
          </w:p>
        </w:tc>
      </w:tr>
    </w:tbl>
    <w:p>
      <w:pPr>
        <w:pStyle w:val="Normal"/>
        <w:jc w:val="center"/>
        <w:rPr>
          <w:rFonts w:ascii="Times New Roman" w:hAnsi="Times New Roman" w:eastAsia="SimSun;宋体" w:cs="Times New Roman"/>
          <w:color w:val="000000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306"/>
          <w:tab w:val="left" w:pos="1785" w:leader="none"/>
        </w:tabs>
        <w:ind w:firstLine="7020"/>
        <w:rPr>
          <w:rFonts w:ascii="Times New Roman" w:hAnsi="Times New Roman" w:eastAsia="SimSun;宋体" w:cs="Times New Roman"/>
          <w:color w:val="000000"/>
          <w:sz w:val="26"/>
          <w:szCs w:val="28"/>
        </w:rPr>
      </w:pPr>
      <w:r>
        <w:rPr>
          <w:rFonts w:eastAsia="SimSun;宋体" w:cs="Times New Roman" w:ascii="Times New Roman" w:hAnsi="Times New Roman"/>
          <w:color w:val="000000"/>
          <w:sz w:val="26"/>
          <w:szCs w:val="28"/>
        </w:rPr>
      </w:r>
    </w:p>
    <w:p>
      <w:pPr>
        <w:sectPr>
          <w:headerReference w:type="default" r:id="rId3"/>
          <w:type w:val="nextPage"/>
          <w:pgSz w:w="11906" w:h="16838"/>
          <w:pgMar w:left="1985" w:right="567" w:gutter="0" w:header="709" w:top="766" w:footer="0" w:bottom="1134"/>
          <w:pgNumType w:start="2" w:fmt="decimal"/>
          <w:formProt w:val="false"/>
          <w:textDirection w:val="lrTb"/>
          <w:docGrid w:type="default" w:linePitch="100" w:charSpace="8192"/>
        </w:sect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p>
      <w:pPr>
        <w:pStyle w:val="Normal"/>
        <w:tabs>
          <w:tab w:val="clear" w:pos="306"/>
          <w:tab w:val="left" w:pos="4815" w:leader="none"/>
          <w:tab w:val="left" w:pos="9300" w:leader="none"/>
        </w:tabs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ab/>
        <w:t>Додаток 2</w:t>
      </w:r>
    </w:p>
    <w:p>
      <w:pPr>
        <w:pStyle w:val="Normal"/>
        <w:widowControl w:val="false"/>
        <w:suppressAutoHyphens w:val="true"/>
        <w:bidi w:val="0"/>
        <w:spacing w:before="0" w:after="0"/>
        <w:ind w:left="9298" w:right="0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Комплексної програми охорони</w:t>
      </w:r>
    </w:p>
    <w:p>
      <w:pPr>
        <w:pStyle w:val="Normal"/>
        <w:widowControl w:val="false"/>
        <w:suppressAutoHyphens w:val="true"/>
        <w:bidi w:val="0"/>
        <w:spacing w:before="0" w:after="0"/>
        <w:ind w:left="9298" w:right="0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довкілля Луцької міської </w:t>
      </w:r>
    </w:p>
    <w:p>
      <w:pPr>
        <w:pStyle w:val="Normal"/>
        <w:widowControl w:val="false"/>
        <w:suppressAutoHyphens w:val="true"/>
        <w:bidi w:val="0"/>
        <w:spacing w:before="0" w:after="0"/>
        <w:ind w:left="9298" w:right="0" w:hanging="0"/>
        <w:jc w:val="both"/>
        <w:rPr/>
      </w:pPr>
      <w:r>
        <w:rPr>
          <w:rFonts w:ascii="Times New Roman" w:hAnsi="Times New Roman"/>
          <w:sz w:val="28"/>
          <w:szCs w:val="28"/>
        </w:rPr>
        <w:t>територіальної громади</w:t>
      </w:r>
    </w:p>
    <w:p>
      <w:pPr>
        <w:pStyle w:val="Normal"/>
        <w:widowControl w:val="false"/>
        <w:suppressAutoHyphens w:val="true"/>
        <w:bidi w:val="0"/>
        <w:spacing w:before="0" w:after="0"/>
        <w:ind w:left="9241" w:right="0" w:hanging="0"/>
        <w:jc w:val="left"/>
        <w:rPr/>
      </w:pPr>
      <w:r>
        <w:rPr>
          <w:rFonts w:ascii="Times New Roman" w:hAnsi="Times New Roman"/>
          <w:sz w:val="28"/>
          <w:szCs w:val="28"/>
        </w:rPr>
        <w:t>на 2022-2025 роки</w:t>
      </w:r>
    </w:p>
    <w:p>
      <w:pPr>
        <w:pStyle w:val="Normal"/>
        <w:ind w:left="9072" w:hanging="0"/>
        <w:rPr/>
      </w:pPr>
      <w:r>
        <w:rPr/>
      </w:r>
    </w:p>
    <w:p>
      <w:pPr>
        <w:pStyle w:val="Normal"/>
        <w:widowControl/>
        <w:jc w:val="center"/>
        <w:rPr>
          <w:rFonts w:ascii="Times New Roman" w:hAnsi="Times New Roman" w:eastAsia="SimSun;宋体" w:cs="Times New Roman"/>
          <w:color w:val="000000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Луцької міської територіальної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громади  на 2022–2025 роки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tbl>
      <w:tblPr>
        <w:tblW w:w="1576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43"/>
        <w:gridCol w:w="4688"/>
        <w:gridCol w:w="1708"/>
        <w:gridCol w:w="1406"/>
        <w:gridCol w:w="1245"/>
        <w:gridCol w:w="1484"/>
        <w:gridCol w:w="2990"/>
      </w:tblGrid>
      <w:tr>
        <w:trPr/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Назва завдання</w:t>
            </w:r>
          </w:p>
        </w:tc>
        <w:tc>
          <w:tcPr>
            <w:tcW w:w="4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Назва заходу</w:t>
            </w:r>
          </w:p>
        </w:tc>
        <w:tc>
          <w:tcPr>
            <w:tcW w:w="1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Виконавці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Терміни виконання</w:t>
            </w:r>
          </w:p>
        </w:tc>
        <w:tc>
          <w:tcPr>
            <w:tcW w:w="2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Фінансування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Результативні показники</w:t>
            </w:r>
          </w:p>
        </w:tc>
      </w:tr>
      <w:tr>
        <w:trPr/>
        <w:tc>
          <w:tcPr>
            <w:tcW w:w="22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7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4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Джерела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Обсяги, тис. грн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0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І. Охорона і раціональне використання водних ресурсів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0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1. Біологічна меліорація водойм (зариблення)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Збереження та примноження  біоресурсів, покращення стану водойм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2. Заходи щодо відновлення і підтримання сприятливого гідрологічного режиму, санітарного  стану та благоустрою  річок та водойм, створення водоохоронних зон (в т.ч. розробка проектної документації)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920,0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санітарно-екологічного стану водойм,  встановлення меж природоохоронних територій, забезпечення їх охорони.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widowControl w:val="false"/>
              <w:spacing w:before="0" w:after="0"/>
              <w:jc w:val="both"/>
              <w:rPr/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3. Утримання в належному стані прибережних захисних смуг та водоохоронних зон річок та водойм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700,0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750,0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4"/>
              </w:rPr>
              <w:t>Попередження заростання та замулення водних об’єктів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widowControl w:val="false"/>
              <w:spacing w:before="0" w:after="0"/>
              <w:jc w:val="both"/>
              <w:rPr>
                <w:rFonts w:ascii="Times New Roman" w:hAnsi="Times New Roman"/>
                <w:color w:val="000000"/>
                <w:spacing w:val="2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700,0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Санітарне прибирання, покращення рекреаційних можливостей використання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widowControl w:val="false"/>
              <w:spacing w:before="0" w:after="0"/>
              <w:jc w:val="both"/>
              <w:rPr/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4. Очищення русел річок від повалених дерев, догляд за прибережними захисними смугами та водоохоронними зонами  (видалення аварійних, сухостійних, вітровальних, фаутних дерев) з метою покращення гідрологічного режиму та санітарного стану водних об'єктів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widowControl w:val="false"/>
              <w:overflowPunct w:val="true"/>
              <w:spacing w:before="0" w:after="0"/>
              <w:ind w:left="-57" w:hanging="0"/>
              <w:jc w:val="both"/>
              <w:rPr/>
            </w:pPr>
            <w:r>
              <w:rPr>
                <w:rFonts w:ascii="Times New Roman" w:hAnsi="Times New Roman"/>
                <w:spacing w:val="2"/>
                <w:lang w:val="uk-UA"/>
              </w:rPr>
              <w:t>Покращення гідрологічного режиму та санітарного стану водних об'єктів, відновлення судноплавства на р. Стир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widowControl w:val="false"/>
              <w:spacing w:before="0" w:after="0"/>
              <w:jc w:val="both"/>
              <w:rPr/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5. Відновлення гідрологічного режиму та санітарного стану заплави р. Стир в районі вул. Гнідавська — вул. Ковельська в м. Луцьку (в т.ч. розробка/коригування проєкту)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3600,0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Відповідно до ПКД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Очищення заплави від мулових осадів, поглиблення водойми, відновлення водообміну в гідрологічній системі р. Стир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/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widowControl w:val="false"/>
              <w:spacing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pacing w:val="2"/>
                <w:lang w:val="uk-UA"/>
              </w:rPr>
              <w:t>6. Реконструкція та відновлення водойми на територіїс. Прилуцьке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Обласний бюджет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bookmarkStart w:id="1" w:name="__DdeLink__1797_1591253645"/>
            <w:r>
              <w:rPr>
                <w:rFonts w:ascii="Times New Roman" w:hAnsi="Times New Roman"/>
                <w:sz w:val="24"/>
              </w:rPr>
              <w:t>Відповідно до ПКД</w:t>
            </w:r>
            <w:bookmarkEnd w:id="1"/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Відновлення  водойми, розвиток рекреаційного потенціалу території, адаптація до кліматичних змін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/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3"/>
              <w:widowControl w:val="false"/>
              <w:spacing w:before="0" w:after="0"/>
              <w:jc w:val="both"/>
              <w:rPr/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7. Будівництво локальних очисних споруд дощової каналізації на основних скидах у відкриті водойми міста (в т.ч. розробка проєкту)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Відповідно до ПКД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Покращить якість води у поверхневих водних об’єктах, зменшить руйнування  на випусках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8. Р</w:t>
            </w:r>
            <w:r>
              <w:rPr>
                <w:rFonts w:ascii="Times New Roman" w:hAnsi="Times New Roman"/>
                <w:sz w:val="24"/>
              </w:rPr>
              <w:t>еконструкція гідротехнічних споруд (дамби, греблі, шлюзи тощо)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Відповідно до ПКД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 xml:space="preserve">Забезпечення стійкості штучно створених водних систем, можливість при потребі регулювати рівень води у об’єктах при настанні несприятливих явищ </w:t>
            </w:r>
            <w:r>
              <w:rPr>
                <w:rFonts w:ascii="Times New Roman" w:hAnsi="Times New Roman"/>
                <w:sz w:val="24"/>
                <w:lang w:val="ru-RU"/>
              </w:rPr>
              <w:t>(</w:t>
            </w:r>
            <w:r>
              <w:rPr>
                <w:rFonts w:ascii="Times New Roman" w:hAnsi="Times New Roman"/>
                <w:sz w:val="24"/>
              </w:rPr>
              <w:t xml:space="preserve">повені, засухи </w:t>
            </w:r>
            <w:r>
              <w:rPr>
                <w:rFonts w:ascii="Times New Roman" w:hAnsi="Times New Roman"/>
                <w:sz w:val="24"/>
                <w:lang w:val="ru-RU"/>
              </w:rPr>
              <w:t>)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9. Роботи, пов'язані з поліпшенням технічного стану та благоустрою водойм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Підвищить рекреаційний потенціал території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10. Паспортизація малих річок і водойм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80,0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Створення передумов для збереження, захисту, надання в оренду ставів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11. Паспортизація гідротехнічних споруд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Створення передумов для збереження, захисту, надання в оренду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12. Реконструкція маслобензовловлювача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“Теремно Хліб”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13. Проведення лабораторного контролю за якісним складом стічних вод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14. Реконструкція радіального відстійника очисних споруд промислової каналізації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“Луцька картонно-паперова фабрика”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15. Встановлення  ротаційного сепаратора для очищення води після установки з виготовлення картону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“Луцька картонно-паперова фабрика”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16. Будівництво локальних очисних споруд стічних вод на дільниці галтування ролика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17. Реконструкція системи очищення дощових вод та розробка концепції повторного використання дощових  стоків для технічних потреб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6000,0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7000,0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7000,0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очищення зливових стоків, раціональне використання природних ресурсів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18. Розчищення русла та укріплення берегів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р. Сапалаївка в місці скиду зливових вод з очисних споруд підприємства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Попередження руйнування берегів річки, замулення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19. Проведення лабораторного контролю за якісним складом стічних вод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20. Реконструкція насосного обладнання на очисних спорудах зливових вод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Забезпечення безперебійної роботи та очищення стоків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0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21. Заходи на проведення очистки меліоративних каналів на території Центрального парку культури і відпочинку ім. Лесі Українки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ЖГК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Обласний бюджет/ 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500,0/500,0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300,0/1500,0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Покращення санітарного стану парку та водойм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ІІ. Охорона атмосферного повітря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1. Обслуговування системи моніторингу атмосферного повітря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 xml:space="preserve">Створення </w:t>
            </w:r>
            <w:r>
              <w:rPr>
                <w:rFonts w:ascii="Times New Roman" w:hAnsi="Times New Roman"/>
                <w:color w:val="333333"/>
                <w:sz w:val="24"/>
              </w:rPr>
              <w:t>та забезпечення функціювання місцевих екологічних АІС, які є складовою мережі загальнодержавної екологічної автоматизованої інформаційно-аналітичної системи забезпечення доступу до екологічної інформації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2. Реконструкція вентиляційної системи від деревообробного обладнання столярної майстерні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“Теремно Хліб”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3. Проведення режимно-налагоджувальних робіт на котлоагрегатах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ДКП “Луцьктепло”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245,0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270,0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360,0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360,0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4. Проведення лабораторного контролю викидів забруднювальних речовин в атмосферне повітря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5. Проведення інвентаризації джерел викидів забруднювальних речовин в атмосферне повітря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6. Організація виробництва для очищення газопилового потоку (реконструкція ПГОУ)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7. Організація виробництва для очищення газопилового потоку (реконструкція ПГОУ)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8. Проведення лабораторного контролю викидів забруднюючих речовин в атмосферне повітря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9. Проведення режимно-налагоджувальних робіт на котлоагрегатах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ІІІ. Охорона і раціональне використання земель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1. Моніторинг стану забруднення ґрунтів</w:t>
            </w:r>
          </w:p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Луцької міської територіальної громади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Не потребує коштів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333333"/>
                <w:sz w:val="24"/>
              </w:rPr>
              <w:t>Забезпечення доступу до екологічної інформації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 xml:space="preserve">ІV. Охорона і раціональне використання </w:t>
              <w:br/>
              <w:t>природних рослинних ресурсів</w:t>
            </w:r>
          </w:p>
        </w:tc>
        <w:tc>
          <w:tcPr>
            <w:tcW w:w="46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1. Заходи з озеленення 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населених пунктів Луцької міської територіальної громади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280,0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99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color w:val="212529"/>
                <w:sz w:val="24"/>
              </w:rPr>
            </w:r>
          </w:p>
        </w:tc>
        <w:tc>
          <w:tcPr>
            <w:tcW w:w="46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99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2. Ліквідація наслідків буреломів, сніголомів, вітровалів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Забезпечення безпеки життя та здоров’я мешканців громади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1341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3. Заходи щодо запобігання інтродукції та поширення чужорідних видів рослин, які загрожують природним екосистемам (борщівник, амброзія 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комітет, ДЖКГ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Захист та збереження природних екосистем, захист здоров’я мешканці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4. Проведення інвентаризації зелених насаджень, виготовлення документації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Захист та збереження природних екосистем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0"/>
              <w:widowControl w:val="false"/>
              <w:spacing w:lineRule="atLeast" w:line="24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5. Обробка зелених насаджень від кліщів, комарів, білого американського метелика та ін.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Захист та збереження природних екосистем від інвазійних видів, захист здоров’я мешканці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6. Заходи з озеленення території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>
          <w:trHeight w:val="1188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7. Заходи з озеленення території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11,0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11,0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11,0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11,0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212529"/>
                <w:sz w:val="24"/>
                <w:lang w:val="en-US"/>
              </w:rPr>
              <w:t>V</w:t>
            </w:r>
            <w:r>
              <w:rPr>
                <w:rFonts w:ascii="Times New Roman" w:hAnsi="Times New Roman"/>
                <w:color w:val="212529"/>
                <w:sz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color w:val="212529"/>
                <w:sz w:val="24"/>
              </w:rPr>
              <w:t xml:space="preserve">Охорона і раціональне використання </w:t>
              <w:br/>
              <w:t>ресурсів тваринного світу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1. Будівництво та облаштування притулку для утримання безпритульних тварин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біорізноманіття,  охорона ресурсів тваринного світу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2. Заходи щодо охорони тваринного світу та боротьби з браконьєрством (придбання матеріально-технічних засобів тощо)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color w:val="212529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біорізноманіття,  охорона ресурсів тваринного світу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VІ. Збереження природно-заповідного фонду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1. Утримання територій та об’єктів природно-заповідного фонду міської громади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2. Розроблення проєктів створення територій і об'єктів природно-заповідного фонду та організації їх територій, наукові дослідження видового складу флори та фауни, екосистемних послуг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color w:val="212529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комітет, ДЖКГ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Захист  територій природо-заповідного фонду , їх раціональне не виснажливе використання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3. Розроблення документації із землеустрою для територій та об’єктів природно-заповідного фонду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color w:val="212529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Захист  територій природо-заповідного фонду</w:t>
            </w:r>
          </w:p>
        </w:tc>
      </w:tr>
      <w:tr>
        <w:trPr>
          <w:trHeight w:val="1090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4. Діяльність щодо збереження видів тварин, занесених до Червоної книги України (придбання кормів)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 та тварин занесених до Червоної книги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5. Створення Ботанічного саду на вул. Потебні в м. Луцьку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ВНУ ім. Лесі Українки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2023  2025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Інші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Cs w:val="22"/>
              </w:rPr>
              <w:t>Відповідно до проєктної документації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 xml:space="preserve">VІІ. Раціональне використання і зберігання </w:t>
              <w:br/>
              <w:t>відходів виробництва і побутових відходів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1. Заходи щодо екологічно безпечного збирання, перевезення, зберігання, утилізації і знешкодження відходів (відпрацьовані люмінесцентні лампи, ртутні термометри, хімічні джерела струму, зношені шини та ін.)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270,0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Вилучення небезпечних відходів із загального потоку ТПВ, зменшення забруднення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2. Придбання обладнання для збору відходів (компостери для встановлення у ЗДО та ЗЗСО) та інше.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Впровадження компостування в громаді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3. Реконструкція місця зберігання небезпечних відходів (АКБ)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7" w:right="-57" w:hanging="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ПрАТ “ТеремноХліб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4. Проєктування та встановлення системи для утилізації полімерних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“Луцька картонно-паперова фабрика”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Раціональне використання відходів виробництва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5. Утилізація промислових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6. Придбання обладнання для тимчасового зберігання небезпечних відходів (відпрацьовані люмінесцентні лампи)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7. Реконструкція (модернізація) місця зберігання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1500,0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Segoe UI" w:cs="Tahoma" w:ascii="Times New Roman" w:hAnsi="Times New Roman"/>
                <w:color w:val="212529"/>
                <w:kern w:val="0"/>
                <w:sz w:val="24"/>
              </w:rPr>
              <w:t>8. Р</w:t>
            </w:r>
            <w:r>
              <w:rPr>
                <w:rFonts w:ascii="Times New Roman" w:hAnsi="Times New Roman"/>
                <w:color w:val="212529"/>
                <w:sz w:val="24"/>
              </w:rPr>
              <w:t>озширення та реконструкція споруд, придбання та встановлення обладнання для збору, складування та утилізації промислових відходів виробництва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color w:val="212529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9. Вдосконалення процесу сортування промислових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Раціональне використання відходів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10. Утилізація промислових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VІІІ. Наука, інформація і освіта, забезпечення участі у діяльності</w:t>
              <w:br/>
              <w:t>міжнародних організацій природоохоронного спрямування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1. Придбання обладнання для оснащення ним природоохоронних організацій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Організація належного контролю за  порушеннями  природоохоронного законодавства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/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2. Проведення наукових досліджень (моніторинг якості атмосферного повітря, поверхневих вод тощо)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Обласний бюджет/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65,0/30,0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Забезпечення рівноваги природних систем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3. Заходи зі збереження біорізноманіття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80,0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обізнаності  дітей та молоді  з  питань  біорізноманіття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4. Створення та обслуговування  автоматизованих геоінформаційних систем та приладів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та забезпечення функціювання місцевих екологічних АІС, які є складовою мережі загальнодержавної екологічної автоматизованої інформаційно-аналітичної системи забезпечення доступу до екологічної інформації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5. Проведення науково-технічних конференцій і семінарів, організація виставок, фестивалів та інших заходів щодо пропаганди охорони навколишнього природного середовища, видання поліграфічної продукції з екологічної тематики, створення бібліотек, відеотек, фонотек тощо(в т.ч. придбання одноразових рукавиць та пакетів для сміття в рамках проведення міських екологічних акцій)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Очищення довкілля в ході  загальноміських  акцій, популяризація природоохоронної діяльності</w:t>
            </w:r>
          </w:p>
        </w:tc>
      </w:tr>
      <w:tr>
        <w:trPr>
          <w:trHeight w:val="1487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6. Організація і здійснення робіт з екологічної освіти, підготовки кадрів, підвищення кваліфікації та обміну досвідом роботи працівників природоохоронних органів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bookmarkStart w:id="2" w:name="__DdeLink__2169_771351238"/>
            <w:r>
              <w:rPr>
                <w:rFonts w:ascii="Times New Roman" w:hAnsi="Times New Roman"/>
                <w:sz w:val="24"/>
              </w:rPr>
              <w:t>Поширення екологічний знань</w:t>
            </w:r>
            <w:bookmarkEnd w:id="2"/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7. Проведення семінарів, круглих столів, конференцій з питань сучасних екологічних проблем, видання поліграфічної продукції екологічної тематики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ВНУ ім. Лесі Українки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Популяризація природоохоронної діяльності, підвищення поінформованості мешканців громади щодо питань охорони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8.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Поширення екологічний знань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9.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6,0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Поширення екологічний знань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10. Атестація лабораторії  підприємства  для здійснення моніторингу атмосферного повітря та стічних вод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Забезпечення  контролю за станом довкілля</w:t>
            </w:r>
          </w:p>
        </w:tc>
      </w:tr>
      <w:tr>
        <w:trPr>
          <w:trHeight w:val="619" w:hRule="atLeast"/>
        </w:trPr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Всього за роками,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 тому числі: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napToGrid w:val="false"/>
              <w:ind w:left="-83" w:hanging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4"/>
              </w:rPr>
              <w:t>93 459,0</w:t>
            </w:r>
            <w:r>
              <w:rPr>
                <w:rFonts w:cs="Times New Roman" w:ascii="Times New Roman" w:hAnsi="Times New Roman"/>
                <w:color w:val="000000"/>
                <w:sz w:val="24"/>
              </w:rPr>
              <w:t xml:space="preserve"> млн. грн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20 341,0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33071,0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  <w:sz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20046,0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color w:val="000000"/>
                <w:sz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20001,0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Всього за джерелами фінансування, у тому числі:     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  <w:t>коштів бюджету громади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83" w:hanging="0"/>
              <w:jc w:val="center"/>
              <w:rPr>
                <w:sz w:val="24"/>
              </w:rPr>
            </w:pPr>
            <w:bookmarkStart w:id="3" w:name="__DdeLink__2049_535223266"/>
            <w:r>
              <w:rPr>
                <w:rFonts w:eastAsia="Calibri" w:cs="Times New Roman" w:ascii="Times New Roman" w:hAnsi="Times New Roman"/>
                <w:color w:val="000000"/>
                <w:sz w:val="24"/>
              </w:rPr>
              <w:t>31 170,0</w:t>
            </w:r>
            <w:bookmarkEnd w:id="3"/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</w:rPr>
              <w:t>коштів інших джерел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4"/>
              </w:rPr>
              <w:t>62 289,0</w:t>
            </w:r>
          </w:p>
        </w:tc>
      </w:tr>
    </w:tbl>
    <w:p>
      <w:pPr>
        <w:pStyle w:val="Normal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widowControl/>
        <w:snapToGrid w:val="false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widowControl/>
        <w:snapToGrid w:val="false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widowControl/>
        <w:snapToGrid w:val="false"/>
        <w:jc w:val="both"/>
        <w:rPr/>
      </w:pPr>
      <w:r>
        <w:rPr/>
      </w:r>
    </w:p>
    <w:p>
      <w:pPr>
        <w:pStyle w:val="Normal"/>
        <w:tabs>
          <w:tab w:val="clear" w:pos="306"/>
          <w:tab w:val="left" w:pos="4815" w:leader="none"/>
        </w:tabs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Лисак 724 160</w:t>
      </w:r>
    </w:p>
    <w:sectPr>
      <w:headerReference w:type="default" r:id="rId4"/>
      <w:type w:val="nextPage"/>
      <w:pgSz w:orient="landscape" w:w="16838" w:h="11906"/>
      <w:pgMar w:left="567" w:right="567" w:gutter="0" w:header="1701" w:top="1758" w:footer="0" w:bottom="1701"/>
      <w:pgNumType w:start="3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8"/>
      <w:jc w:val="center"/>
      <w:rPr>
        <w:sz w:val="28"/>
        <w:szCs w:val="28"/>
        <w:lang w:val="uk-UA"/>
      </w:rPr>
    </w:pPr>
    <w:r>
      <w:rPr>
        <w:sz w:val="28"/>
        <w:szCs w:val="28"/>
        <w:lang w:val="uk-UA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8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727180593"/>
    </w:sdtPr>
    <w:sdtContent>
      <w:p>
        <w:pPr>
          <w:pStyle w:val="Style28"/>
          <w:jc w:val="center"/>
          <w:rPr>
            <w:rFonts w:ascii="Times New Roman" w:hAnsi="Times New Roman"/>
            <w:sz w:val="28"/>
            <w:szCs w:val="28"/>
          </w:rPr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ascii="Times New Roman" w:hAnsi="Times New Roman"/>
          </w:rPr>
          <w:instrText xml:space="preserve"> PAGE </w:instrText>
        </w:r>
        <w:r>
          <w:rPr>
            <w:sz w:val="28"/>
            <w:szCs w:val="28"/>
            <w:rFonts w:ascii="Times New Roman" w:hAnsi="Times New Roman"/>
          </w:rPr>
          <w:fldChar w:fldCharType="separate"/>
        </w:r>
        <w:r>
          <w:rPr>
            <w:sz w:val="28"/>
            <w:szCs w:val="28"/>
            <w:rFonts w:ascii="Times New Roman" w:hAnsi="Times New Roman"/>
          </w:rPr>
          <w:t>15</w:t>
        </w:r>
        <w:r>
          <w:rPr>
            <w:sz w:val="28"/>
            <w:szCs w:val="28"/>
            <w:rFonts w:ascii="Times New Roman" w:hAnsi="Times New Roman"/>
          </w:rPr>
          <w:fldChar w:fldCharType="end"/>
        </w:r>
      </w:p>
    </w:sdtContent>
  </w:sdt>
  <w:p>
    <w:pPr>
      <w:pStyle w:val="Style28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306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90da3"/>
    <w:pPr>
      <w:widowControl w:val="false"/>
      <w:suppressAutoHyphens w:val="true"/>
      <w:bidi w:val="0"/>
      <w:spacing w:before="0" w:after="0"/>
      <w:jc w:val="left"/>
    </w:pPr>
    <w:rPr>
      <w:rFonts w:ascii="Calibri" w:hAnsi="Calibri" w:cs="Mangal;Liberation Mono" w:eastAsia="NSimSun"/>
      <w:color w:val="auto"/>
      <w:kern w:val="2"/>
      <w:sz w:val="22"/>
      <w:szCs w:val="24"/>
      <w:lang w:eastAsia="zh-CN" w:bidi="hi-IN" w:val="uk-UA"/>
    </w:rPr>
  </w:style>
  <w:style w:type="paragraph" w:styleId="1" w:customStyle="1">
    <w:name w:val="Heading 1"/>
    <w:basedOn w:val="Normal"/>
    <w:next w:val="Normal"/>
    <w:link w:val="Heading1Char"/>
    <w:uiPriority w:val="99"/>
    <w:qFormat/>
    <w:rsid w:val="00190da3"/>
    <w:pPr>
      <w:keepNext w:val="true"/>
      <w:widowControl/>
      <w:jc w:val="center"/>
      <w:outlineLvl w:val="0"/>
    </w:pPr>
    <w:rPr>
      <w:rFonts w:ascii="Liberation Serif;Times New Roma" w:hAnsi="Liberation Serif;Times New Roma" w:eastAsia="SimSun;宋体" w:cs="Liberation Serif;Times New Roma"/>
      <w:b/>
      <w:sz w:val="32"/>
    </w:rPr>
  </w:style>
  <w:style w:type="paragraph" w:styleId="2" w:customStyle="1">
    <w:name w:val="Heading 2"/>
    <w:basedOn w:val="Normal"/>
    <w:next w:val="Normal"/>
    <w:link w:val="Heading2Char"/>
    <w:uiPriority w:val="99"/>
    <w:qFormat/>
    <w:rsid w:val="00190da3"/>
    <w:pPr>
      <w:keepNext w:val="true"/>
      <w:widowControl/>
      <w:spacing w:before="240" w:after="60"/>
      <w:outlineLvl w:val="1"/>
    </w:pPr>
    <w:rPr>
      <w:rFonts w:ascii="Arial" w:hAnsi="Arial" w:eastAsia="SimSun;宋体" w:cs="Arial"/>
      <w:b/>
      <w:i/>
      <w:iCs/>
      <w:sz w:val="24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ing2Char" w:customStyle="1">
    <w:name w:val="Heading 2 Char"/>
    <w:basedOn w:val="DefaultParagraphFont"/>
    <w:uiPriority w:val="9"/>
    <w:semiHidden/>
    <w:qFormat/>
    <w:rsid w:val="0041163d"/>
    <w:rPr>
      <w:rFonts w:ascii="Cambria" w:hAnsi="Cambria" w:eastAsia="" w:cs="Mangal" w:asciiTheme="majorHAnsi" w:eastAsiaTheme="majorEastAsia" w:hAnsiTheme="majorHAnsi"/>
      <w:b/>
      <w:bCs/>
      <w:i/>
      <w:iCs/>
      <w:kern w:val="2"/>
      <w:sz w:val="28"/>
      <w:szCs w:val="25"/>
      <w:lang w:eastAsia="zh-CN" w:bidi="hi-IN"/>
    </w:rPr>
  </w:style>
  <w:style w:type="character" w:styleId="WW8Num1z0" w:customStyle="1">
    <w:name w:val="WW8Num1z0"/>
    <w:uiPriority w:val="99"/>
    <w:qFormat/>
    <w:rsid w:val="00190da3"/>
    <w:rPr/>
  </w:style>
  <w:style w:type="character" w:styleId="WW8Num1z1" w:customStyle="1">
    <w:name w:val="WW8Num1z1"/>
    <w:uiPriority w:val="99"/>
    <w:qFormat/>
    <w:rsid w:val="00190da3"/>
    <w:rPr/>
  </w:style>
  <w:style w:type="character" w:styleId="WW8Num1z2" w:customStyle="1">
    <w:name w:val="WW8Num1z2"/>
    <w:uiPriority w:val="99"/>
    <w:qFormat/>
    <w:rsid w:val="00190da3"/>
    <w:rPr/>
  </w:style>
  <w:style w:type="character" w:styleId="WW8Num1z3" w:customStyle="1">
    <w:name w:val="WW8Num1z3"/>
    <w:uiPriority w:val="99"/>
    <w:qFormat/>
    <w:rsid w:val="00190da3"/>
    <w:rPr/>
  </w:style>
  <w:style w:type="character" w:styleId="WW8Num1z4" w:customStyle="1">
    <w:name w:val="WW8Num1z4"/>
    <w:uiPriority w:val="99"/>
    <w:qFormat/>
    <w:rsid w:val="00190da3"/>
    <w:rPr/>
  </w:style>
  <w:style w:type="character" w:styleId="WW8Num1z5" w:customStyle="1">
    <w:name w:val="WW8Num1z5"/>
    <w:uiPriority w:val="99"/>
    <w:qFormat/>
    <w:rsid w:val="00190da3"/>
    <w:rPr/>
  </w:style>
  <w:style w:type="character" w:styleId="WW8Num1z6" w:customStyle="1">
    <w:name w:val="WW8Num1z6"/>
    <w:uiPriority w:val="99"/>
    <w:qFormat/>
    <w:rsid w:val="00190da3"/>
    <w:rPr/>
  </w:style>
  <w:style w:type="character" w:styleId="WW8Num1z7" w:customStyle="1">
    <w:name w:val="WW8Num1z7"/>
    <w:uiPriority w:val="99"/>
    <w:qFormat/>
    <w:rsid w:val="00190da3"/>
    <w:rPr/>
  </w:style>
  <w:style w:type="character" w:styleId="WW8Num1z8" w:customStyle="1">
    <w:name w:val="WW8Num1z8"/>
    <w:uiPriority w:val="99"/>
    <w:qFormat/>
    <w:rsid w:val="00190da3"/>
    <w:rPr/>
  </w:style>
  <w:style w:type="character" w:styleId="21" w:customStyle="1">
    <w:name w:val="Основной шрифт абзаца2"/>
    <w:uiPriority w:val="99"/>
    <w:qFormat/>
    <w:rsid w:val="00190da3"/>
    <w:rPr/>
  </w:style>
  <w:style w:type="character" w:styleId="WW8Num2z0" w:customStyle="1">
    <w:name w:val="WW8Num2z0"/>
    <w:uiPriority w:val="99"/>
    <w:qFormat/>
    <w:rsid w:val="00190da3"/>
    <w:rPr/>
  </w:style>
  <w:style w:type="character" w:styleId="WW8Num2z1" w:customStyle="1">
    <w:name w:val="WW8Num2z1"/>
    <w:uiPriority w:val="99"/>
    <w:qFormat/>
    <w:rsid w:val="00190da3"/>
    <w:rPr/>
  </w:style>
  <w:style w:type="character" w:styleId="WW8Num2z2" w:customStyle="1">
    <w:name w:val="WW8Num2z2"/>
    <w:uiPriority w:val="99"/>
    <w:qFormat/>
    <w:rsid w:val="00190da3"/>
    <w:rPr/>
  </w:style>
  <w:style w:type="character" w:styleId="WW8Num2z3" w:customStyle="1">
    <w:name w:val="WW8Num2z3"/>
    <w:uiPriority w:val="99"/>
    <w:qFormat/>
    <w:rsid w:val="00190da3"/>
    <w:rPr/>
  </w:style>
  <w:style w:type="character" w:styleId="WW8Num2z4" w:customStyle="1">
    <w:name w:val="WW8Num2z4"/>
    <w:uiPriority w:val="99"/>
    <w:qFormat/>
    <w:rsid w:val="00190da3"/>
    <w:rPr/>
  </w:style>
  <w:style w:type="character" w:styleId="WW8Num2z5" w:customStyle="1">
    <w:name w:val="WW8Num2z5"/>
    <w:uiPriority w:val="99"/>
    <w:qFormat/>
    <w:rsid w:val="00190da3"/>
    <w:rPr/>
  </w:style>
  <w:style w:type="character" w:styleId="WW8Num2z6" w:customStyle="1">
    <w:name w:val="WW8Num2z6"/>
    <w:uiPriority w:val="99"/>
    <w:qFormat/>
    <w:rsid w:val="00190da3"/>
    <w:rPr/>
  </w:style>
  <w:style w:type="character" w:styleId="WW8Num2z7" w:customStyle="1">
    <w:name w:val="WW8Num2z7"/>
    <w:uiPriority w:val="99"/>
    <w:qFormat/>
    <w:rsid w:val="00190da3"/>
    <w:rPr/>
  </w:style>
  <w:style w:type="character" w:styleId="WW8Num2z8" w:customStyle="1">
    <w:name w:val="WW8Num2z8"/>
    <w:uiPriority w:val="99"/>
    <w:qFormat/>
    <w:rsid w:val="00190da3"/>
    <w:rPr/>
  </w:style>
  <w:style w:type="character" w:styleId="WW8Num3z0" w:customStyle="1">
    <w:name w:val="WW8Num3z0"/>
    <w:uiPriority w:val="99"/>
    <w:qFormat/>
    <w:rsid w:val="00190da3"/>
    <w:rPr/>
  </w:style>
  <w:style w:type="character" w:styleId="WW8Num3z1" w:customStyle="1">
    <w:name w:val="WW8Num3z1"/>
    <w:uiPriority w:val="99"/>
    <w:qFormat/>
    <w:rsid w:val="00190da3"/>
    <w:rPr/>
  </w:style>
  <w:style w:type="character" w:styleId="WW8Num3z2" w:customStyle="1">
    <w:name w:val="WW8Num3z2"/>
    <w:uiPriority w:val="99"/>
    <w:qFormat/>
    <w:rsid w:val="00190da3"/>
    <w:rPr/>
  </w:style>
  <w:style w:type="character" w:styleId="WW8Num3z3" w:customStyle="1">
    <w:name w:val="WW8Num3z3"/>
    <w:uiPriority w:val="99"/>
    <w:qFormat/>
    <w:rsid w:val="00190da3"/>
    <w:rPr/>
  </w:style>
  <w:style w:type="character" w:styleId="WW8Num3z4" w:customStyle="1">
    <w:name w:val="WW8Num3z4"/>
    <w:uiPriority w:val="99"/>
    <w:qFormat/>
    <w:rsid w:val="00190da3"/>
    <w:rPr/>
  </w:style>
  <w:style w:type="character" w:styleId="WW8Num3z5" w:customStyle="1">
    <w:name w:val="WW8Num3z5"/>
    <w:uiPriority w:val="99"/>
    <w:qFormat/>
    <w:rsid w:val="00190da3"/>
    <w:rPr/>
  </w:style>
  <w:style w:type="character" w:styleId="WW8Num3z6" w:customStyle="1">
    <w:name w:val="WW8Num3z6"/>
    <w:uiPriority w:val="99"/>
    <w:qFormat/>
    <w:rsid w:val="00190da3"/>
    <w:rPr/>
  </w:style>
  <w:style w:type="character" w:styleId="WW8Num3z7" w:customStyle="1">
    <w:name w:val="WW8Num3z7"/>
    <w:uiPriority w:val="99"/>
    <w:qFormat/>
    <w:rsid w:val="00190da3"/>
    <w:rPr/>
  </w:style>
  <w:style w:type="character" w:styleId="WW8Num3z8" w:customStyle="1">
    <w:name w:val="WW8Num3z8"/>
    <w:uiPriority w:val="99"/>
    <w:qFormat/>
    <w:rsid w:val="00190da3"/>
    <w:rPr/>
  </w:style>
  <w:style w:type="character" w:styleId="11" w:customStyle="1">
    <w:name w:val="Основной шрифт абзаца1"/>
    <w:uiPriority w:val="99"/>
    <w:qFormat/>
    <w:rsid w:val="00190da3"/>
    <w:rPr/>
  </w:style>
  <w:style w:type="character" w:styleId="Style12" w:customStyle="1">
    <w:name w:val="Верх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Style13" w:customStyle="1">
    <w:name w:val="Ниж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12" w:customStyle="1">
    <w:name w:val="Заголовок 1 Знак"/>
    <w:uiPriority w:val="99"/>
    <w:qFormat/>
    <w:rsid w:val="00190da3"/>
    <w:rPr>
      <w:rFonts w:ascii="Liberation Serif;Times New Roma" w:hAnsi="Liberation Serif;Times New Roma" w:eastAsia="SimSun;宋体"/>
      <w:b/>
      <w:kern w:val="2"/>
      <w:sz w:val="24"/>
      <w:lang w:eastAsia="zh-CN"/>
    </w:rPr>
  </w:style>
  <w:style w:type="character" w:styleId="22" w:customStyle="1">
    <w:name w:val="Заголовок 2 Знак"/>
    <w:uiPriority w:val="99"/>
    <w:qFormat/>
    <w:rsid w:val="00190da3"/>
    <w:rPr>
      <w:rFonts w:ascii="Arial" w:hAnsi="Arial" w:eastAsia="SimSun;宋体"/>
      <w:b/>
      <w:i/>
      <w:kern w:val="2"/>
      <w:sz w:val="28"/>
      <w:lang w:eastAsia="zh-CN"/>
    </w:rPr>
  </w:style>
  <w:style w:type="character" w:styleId="Style14" w:customStyle="1">
    <w:name w:val="Маркери списку"/>
    <w:uiPriority w:val="99"/>
    <w:qFormat/>
    <w:rsid w:val="00190da3"/>
    <w:rPr>
      <w:rFonts w:ascii="OpenSymbol" w:hAnsi="OpenSymbol" w:eastAsia="Times New Roman"/>
    </w:rPr>
  </w:style>
  <w:style w:type="character" w:styleId="13" w:customStyle="1">
    <w:name w:val="Гіперпосилання1"/>
    <w:uiPriority w:val="99"/>
    <w:qFormat/>
    <w:rsid w:val="00190da3"/>
    <w:rPr>
      <w:color w:val="000080"/>
      <w:u w:val="single"/>
    </w:rPr>
  </w:style>
  <w:style w:type="character" w:styleId="Style15" w:customStyle="1">
    <w:name w:val="Основний текст Знак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Style16" w:customStyle="1">
    <w:name w:val="Назва Знак"/>
    <w:basedOn w:val="DefaultParagraphFont"/>
    <w:uiPriority w:val="10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erChar" w:customStyle="1">
    <w:name w:val="Header Char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FooterChar" w:customStyle="1">
    <w:name w:val="Footer Char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Style17" w:customStyle="1">
    <w:name w:val="Верхній колонтитул Знак"/>
    <w:basedOn w:val="DefaultParagraphFont"/>
    <w:uiPriority w:val="99"/>
    <w:qFormat/>
    <w:rsid w:val="00fb50b0"/>
    <w:rPr>
      <w:rFonts w:ascii="Calibri" w:hAnsi="Calibri" w:cs="Mangal"/>
      <w:kern w:val="2"/>
      <w:sz w:val="22"/>
      <w:szCs w:val="24"/>
      <w:lang w:eastAsia="zh-CN" w:bidi="hi-IN"/>
    </w:rPr>
  </w:style>
  <w:style w:type="character" w:styleId="Style18" w:customStyle="1">
    <w:name w:val="Нижній колонтитул Знак"/>
    <w:basedOn w:val="DefaultParagraphFont"/>
    <w:uiPriority w:val="99"/>
    <w:semiHidden/>
    <w:qFormat/>
    <w:rsid w:val="00fb50b0"/>
    <w:rPr>
      <w:rFonts w:ascii="Calibri" w:hAnsi="Calibri" w:cs="Mangal"/>
      <w:kern w:val="2"/>
      <w:sz w:val="22"/>
      <w:szCs w:val="24"/>
      <w:lang w:eastAsia="zh-CN" w:bidi="hi-IN"/>
    </w:rPr>
  </w:style>
  <w:style w:type="paragraph" w:styleId="Style19" w:customStyle="1">
    <w:name w:val="Заголовок"/>
    <w:basedOn w:val="Normal"/>
    <w:next w:val="Style20"/>
    <w:uiPriority w:val="99"/>
    <w:qFormat/>
    <w:rsid w:val="00190da3"/>
    <w:pPr>
      <w:keepNext w:val="true"/>
      <w:spacing w:before="240" w:after="120"/>
    </w:pPr>
    <w:rPr>
      <w:rFonts w:ascii="Liberation Sans;Arial" w:hAnsi="Liberation Sans;Arial" w:eastAsia="Microsoft YaHei"/>
      <w:sz w:val="28"/>
      <w:szCs w:val="28"/>
    </w:rPr>
  </w:style>
  <w:style w:type="paragraph" w:styleId="Style20">
    <w:name w:val="Body Text"/>
    <w:basedOn w:val="Normal"/>
    <w:link w:val="Style15"/>
    <w:uiPriority w:val="99"/>
    <w:rsid w:val="00190da3"/>
    <w:pPr>
      <w:spacing w:lineRule="auto" w:line="276" w:before="0" w:after="140"/>
    </w:pPr>
    <w:rPr/>
  </w:style>
  <w:style w:type="paragraph" w:styleId="Style21">
    <w:name w:val="List"/>
    <w:basedOn w:val="Style20"/>
    <w:uiPriority w:val="99"/>
    <w:rsid w:val="00190da3"/>
    <w:pPr/>
    <w:rPr/>
  </w:style>
  <w:style w:type="paragraph" w:styleId="Style22" w:customStyle="1">
    <w:name w:val="Caption"/>
    <w:basedOn w:val="Normal"/>
    <w:qFormat/>
    <w:rsid w:val="00711691"/>
    <w:pPr>
      <w:suppressLineNumbers/>
      <w:spacing w:before="120" w:after="120"/>
    </w:pPr>
    <w:rPr>
      <w:rFonts w:cs="Arial"/>
      <w:i/>
      <w:iCs/>
      <w:sz w:val="24"/>
    </w:rPr>
  </w:style>
  <w:style w:type="paragraph" w:styleId="Style23" w:customStyle="1">
    <w:name w:val="Покажчик"/>
    <w:basedOn w:val="Normal"/>
    <w:uiPriority w:val="99"/>
    <w:qFormat/>
    <w:rsid w:val="00190da3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Style24">
    <w:name w:val="Title"/>
    <w:basedOn w:val="Normal"/>
    <w:link w:val="Style16"/>
    <w:uiPriority w:val="99"/>
    <w:qFormat/>
    <w:rsid w:val="00190da3"/>
    <w:pPr>
      <w:suppressLineNumbers/>
      <w:spacing w:before="120" w:after="120"/>
    </w:pPr>
    <w:rPr>
      <w:rFonts w:cs="Mangal"/>
      <w:i/>
      <w:iCs/>
      <w:sz w:val="24"/>
    </w:rPr>
  </w:style>
  <w:style w:type="paragraph" w:styleId="Index1">
    <w:name w:val="index 1"/>
    <w:basedOn w:val="Normal"/>
    <w:next w:val="Normal"/>
    <w:autoRedefine/>
    <w:uiPriority w:val="99"/>
    <w:semiHidden/>
    <w:qFormat/>
    <w:rsid w:val="00711691"/>
    <w:pPr>
      <w:ind w:left="220" w:hanging="220"/>
    </w:pPr>
    <w:rPr/>
  </w:style>
  <w:style w:type="paragraph" w:styleId="Indexheading">
    <w:name w:val="index heading"/>
    <w:basedOn w:val="Normal"/>
    <w:uiPriority w:val="99"/>
    <w:qFormat/>
    <w:rsid w:val="00190da3"/>
    <w:pPr>
      <w:suppressLineNumbers/>
    </w:pPr>
    <w:rPr>
      <w:rFonts w:cs="Mangal"/>
    </w:rPr>
  </w:style>
  <w:style w:type="paragraph" w:styleId="3" w:customStyle="1">
    <w:name w:val="Указатель3"/>
    <w:basedOn w:val="Normal"/>
    <w:uiPriority w:val="99"/>
    <w:qFormat/>
    <w:rsid w:val="00190da3"/>
    <w:pPr>
      <w:suppressLineNumbers/>
    </w:pPr>
    <w:rPr/>
  </w:style>
  <w:style w:type="paragraph" w:styleId="23" w:customStyle="1">
    <w:name w:val="Название объекта2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24" w:customStyle="1">
    <w:name w:val="Указатель2"/>
    <w:basedOn w:val="Normal"/>
    <w:uiPriority w:val="99"/>
    <w:qFormat/>
    <w:rsid w:val="00190da3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15" w:customStyle="1">
    <w:name w:val="Указатель1"/>
    <w:basedOn w:val="Normal"/>
    <w:uiPriority w:val="99"/>
    <w:qFormat/>
    <w:rsid w:val="00190da3"/>
    <w:pPr>
      <w:suppressLineNumbers/>
    </w:pPr>
    <w:rPr/>
  </w:style>
  <w:style w:type="paragraph" w:styleId="Style25" w:customStyle="1">
    <w:name w:val="Содержимое таблицы"/>
    <w:basedOn w:val="Normal"/>
    <w:uiPriority w:val="99"/>
    <w:qFormat/>
    <w:rsid w:val="00190da3"/>
    <w:pPr>
      <w:suppressLineNumbers/>
    </w:pPr>
    <w:rPr/>
  </w:style>
  <w:style w:type="paragraph" w:styleId="Style26" w:customStyle="1">
    <w:name w:val="Заголовок таблицы"/>
    <w:basedOn w:val="Style25"/>
    <w:uiPriority w:val="99"/>
    <w:qFormat/>
    <w:rsid w:val="00190da3"/>
    <w:pPr>
      <w:jc w:val="center"/>
    </w:pPr>
    <w:rPr>
      <w:b/>
      <w:bCs/>
    </w:rPr>
  </w:style>
  <w:style w:type="paragraph" w:styleId="Style27" w:customStyle="1">
    <w:name w:val="Верхній і нижній колонтитули"/>
    <w:basedOn w:val="Normal"/>
    <w:uiPriority w:val="99"/>
    <w:qFormat/>
    <w:rsid w:val="00190da3"/>
    <w:pPr>
      <w:suppressLineNumbers/>
      <w:tabs>
        <w:tab w:val="clear" w:pos="306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link w:val="Style17"/>
    <w:uiPriority w:val="99"/>
    <w:unhideWhenUsed/>
    <w:rsid w:val="00fb50b0"/>
    <w:pPr>
      <w:tabs>
        <w:tab w:val="clear" w:pos="306"/>
        <w:tab w:val="center" w:pos="4819" w:leader="none"/>
        <w:tab w:val="right" w:pos="9639" w:leader="none"/>
      </w:tabs>
    </w:pPr>
    <w:rPr>
      <w:rFonts w:cs="Mangal"/>
    </w:rPr>
  </w:style>
  <w:style w:type="paragraph" w:styleId="Style29">
    <w:name w:val="Footer"/>
    <w:basedOn w:val="Normal"/>
    <w:link w:val="Style18"/>
    <w:uiPriority w:val="99"/>
    <w:semiHidden/>
    <w:unhideWhenUsed/>
    <w:rsid w:val="00fb50b0"/>
    <w:pPr>
      <w:tabs>
        <w:tab w:val="clear" w:pos="306"/>
        <w:tab w:val="center" w:pos="4819" w:leader="none"/>
        <w:tab w:val="right" w:pos="9639" w:leader="none"/>
      </w:tabs>
    </w:pPr>
    <w:rPr>
      <w:rFonts w:cs="Mangal"/>
    </w:rPr>
  </w:style>
  <w:style w:type="paragraph" w:styleId="Style30" w:customStyle="1">
    <w:name w:val="Вміст таблиці"/>
    <w:basedOn w:val="Normal"/>
    <w:uiPriority w:val="99"/>
    <w:qFormat/>
    <w:rsid w:val="00190da3"/>
    <w:pPr>
      <w:suppressLineNumbers/>
    </w:pPr>
    <w:rPr/>
  </w:style>
  <w:style w:type="paragraph" w:styleId="Style31" w:customStyle="1">
    <w:name w:val="Заголовок таблиці"/>
    <w:basedOn w:val="Style30"/>
    <w:uiPriority w:val="99"/>
    <w:qFormat/>
    <w:rsid w:val="00190da3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190da3"/>
    <w:pPr>
      <w:suppressAutoHyphens w:val="false"/>
      <w:spacing w:before="280" w:after="119"/>
    </w:pPr>
    <w:rPr>
      <w:sz w:val="24"/>
      <w:lang w:val="ru-RU"/>
    </w:rPr>
  </w:style>
  <w:style w:type="paragraph" w:styleId="Style32" w:customStyle="1">
    <w:name w:val="Абзац списка"/>
    <w:basedOn w:val="Normal"/>
    <w:uiPriority w:val="99"/>
    <w:qFormat/>
    <w:rsid w:val="00190da3"/>
    <w:pPr>
      <w:spacing w:before="0" w:after="0"/>
      <w:ind w:left="720" w:hanging="0"/>
      <w:contextualSpacing/>
    </w:pPr>
    <w:rPr/>
  </w:style>
  <w:style w:type="paragraph" w:styleId="Style33" w:customStyle="1">
    <w:name w:val="Обычный (веб)"/>
    <w:basedOn w:val="Normal"/>
    <w:qFormat/>
    <w:rsid w:val="00711691"/>
    <w:pPr>
      <w:suppressAutoHyphens w:val="false"/>
      <w:spacing w:before="280" w:after="119"/>
    </w:pPr>
    <w:rPr>
      <w:sz w:val="24"/>
      <w:lang w:val="ru-RU"/>
    </w:rPr>
  </w:style>
  <w:style w:type="paragraph" w:styleId="31" w:customStyle="1">
    <w:name w:val="Продовження нумерації 3"/>
    <w:basedOn w:val="Style21"/>
    <w:qFormat/>
    <w:rsid w:val="00711691"/>
    <w:pPr>
      <w:spacing w:before="0" w:after="120"/>
      <w:ind w:left="1080" w:hanging="0"/>
    </w:pPr>
    <w:rPr/>
  </w:style>
  <w:style w:type="paragraph" w:styleId="32" w:customStyle="1">
    <w:name w:val="Початок нумерації 3"/>
    <w:basedOn w:val="Style21"/>
    <w:next w:val="ListNumber3"/>
    <w:qFormat/>
    <w:rsid w:val="00711691"/>
    <w:pPr>
      <w:spacing w:before="240" w:after="120"/>
      <w:ind w:left="1080" w:hanging="360"/>
    </w:pPr>
    <w:rPr/>
  </w:style>
  <w:style w:type="paragraph" w:styleId="ListNumber3">
    <w:name w:val="List Number 3"/>
    <w:basedOn w:val="Style21"/>
    <w:qFormat/>
    <w:rsid w:val="00711691"/>
    <w:pPr>
      <w:spacing w:before="0" w:after="120"/>
      <w:ind w:left="1080" w:hanging="36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1306</TotalTime>
  <Application>LibreOffice/7.3.4.2$Windows_X86_64 LibreOffice_project/728fec16bd5f605073805c3c9e7c4212a0120dc5</Application>
  <AppVersion>15.0000</AppVersion>
  <DocSecurity>0</DocSecurity>
  <Pages>16</Pages>
  <Words>2361</Words>
  <Characters>15636</Characters>
  <CharactersWithSpaces>17370</CharactersWithSpaces>
  <Paragraphs>795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/>
  <dc:description/>
  <dc:language>uk-UA</dc:language>
  <cp:lastModifiedBy/>
  <cp:lastPrinted>2023-03-10T11:18:00Z</cp:lastPrinted>
  <dcterms:modified xsi:type="dcterms:W3CDTF">2023-03-13T12:59:12Z</dcterms:modified>
  <cp:revision>201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