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object>
          <v:shape id="ole_rId2" style="width:57.4pt;height:59.2pt" o:ole="">
            <v:imagedata r:id="rId3" o:title=""/>
          </v:shape>
          <o:OLEObject Type="Embed" ProgID="PBrush" ShapeID="ole_rId2" DrawAspect="Content" ObjectID="_153036368" r:id="rId2"/>
        </w:object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stroked="f" style="position:absolute;margin-left:0.05pt;margin-top:0.05pt;width:50.25pt;height:50.2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1"/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передачу </w:t>
      </w:r>
      <w:r>
        <w:rPr>
          <w:rFonts w:cs="Times New Roman" w:ascii="Times New Roman" w:hAnsi="Times New Roman"/>
          <w:sz w:val="28"/>
          <w:szCs w:val="28"/>
        </w:rPr>
        <w:t>матеріальних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sz w:val="28"/>
          <w:szCs w:val="28"/>
        </w:rPr>
        <w:t xml:space="preserve"> для пунктів</w:t>
      </w:r>
    </w:p>
    <w:p>
      <w:pPr>
        <w:pStyle w:val="Normal"/>
        <w:tabs>
          <w:tab w:val="left" w:pos="564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незламності у місті Луцьку</w:t>
      </w:r>
    </w:p>
    <w:p>
      <w:pPr>
        <w:pStyle w:val="Normal"/>
        <w:tabs>
          <w:tab w:val="left" w:pos="56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6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  <w:lang w:eastAsia="ar-SA"/>
        </w:rPr>
        <w:t>Відповідно до статті 42 Закону України «Про місцеве самоврядування в Україні», постанови Кабінету Міністрів України від 17.12.2022 № 1401 «Питання організації та функціонування пунктів незламності», акта приймання-передачі товарів благодійної організації «Благодійний Фонд “Рокада”», з метою облаштування пунктів незламності у місті Луцьку в умовах воєнного стану:</w:t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  <w:lang w:eastAsia="ar-SA"/>
        </w:rPr>
        <w:tab/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  <w:lang w:eastAsia="ar-SA"/>
        </w:rPr>
        <w:tab/>
        <w:t xml:space="preserve">1. Передати матеріальні цінності з балансу </w:t>
      </w:r>
      <w:r>
        <w:rPr>
          <w:rFonts w:cs="Times New Roman" w:ascii="Times New Roman" w:hAnsi="Times New Roman"/>
          <w:sz w:val="28"/>
          <w:szCs w:val="28"/>
          <w:lang w:val="uk-UA" w:eastAsia="ar-SA"/>
        </w:rPr>
        <w:t>В</w:t>
      </w:r>
      <w:r>
        <w:rPr>
          <w:rFonts w:cs="Times New Roman" w:ascii="Times New Roman" w:hAnsi="Times New Roman"/>
          <w:sz w:val="28"/>
          <w:szCs w:val="28"/>
          <w:lang w:eastAsia="ar-SA"/>
        </w:rPr>
        <w:t xml:space="preserve">иконавчого комітету Луцької міської ради </w:t>
      </w:r>
      <w:r>
        <w:rPr>
          <w:rFonts w:cs="Times New Roman" w:ascii="Times New Roman" w:hAnsi="Times New Roman"/>
          <w:sz w:val="28"/>
          <w:szCs w:val="28"/>
          <w:lang w:eastAsia="ar-SA"/>
        </w:rPr>
        <w:t xml:space="preserve">на баланс </w:t>
      </w:r>
      <w:r>
        <w:rPr>
          <w:rFonts w:cs="Times New Roman" w:ascii="Times New Roman" w:hAnsi="Times New Roman"/>
          <w:sz w:val="28"/>
          <w:szCs w:val="28"/>
          <w:lang w:eastAsia="ar-SA"/>
        </w:rPr>
        <w:t>Департаменту освіти Луцької міської ради для пунктів незламності, які розташовані у дошкільних навчальних закладах Луцької міської ради, згідно з додатками</w:t>
      </w:r>
      <w:r>
        <w:rPr>
          <w:rFonts w:cs="Times New Roman" w:ascii="Times New Roman" w:hAnsi="Times New Roman"/>
          <w:sz w:val="28"/>
          <w:szCs w:val="28"/>
          <w:lang w:val="uk-UA" w:eastAsia="ar-SA"/>
        </w:rPr>
        <w:t> 1, 2, 3.</w:t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  <w:lang w:eastAsia="ar-SA"/>
        </w:rPr>
        <w:tab/>
      </w:r>
      <w:r>
        <w:rPr>
          <w:rFonts w:cs="Times New Roman" w:ascii="Times New Roman" w:hAnsi="Times New Roman"/>
          <w:sz w:val="28"/>
          <w:szCs w:val="28"/>
          <w:lang w:val="uk-UA" w:eastAsia="ar-SA"/>
        </w:rPr>
        <w:t>2. Відділу обліку та звітності Луцької міської ради передачу матеріальних цінностей оформити відповідними актами приймання</w:t>
        <w:noBreakHyphen/>
        <w:t>передачі.</w:t>
      </w:r>
    </w:p>
    <w:p>
      <w:pPr>
        <w:pStyle w:val="Normal"/>
        <w:tabs>
          <w:tab w:val="left" w:pos="564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ar-SA"/>
        </w:rPr>
        <w:tab/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tabs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r>
        <w:rPr>
          <w:rFonts w:cs="Times New Roman" w:ascii="Times New Roman" w:hAnsi="Times New Roman"/>
          <w:sz w:val="28"/>
          <w:szCs w:val="28"/>
          <w:lang w:val="en-US" w:eastAsia="ar-SA"/>
        </w:rPr>
      </w:r>
    </w:p>
    <w:p>
      <w:pPr>
        <w:pStyle w:val="Normal"/>
        <w:tabs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r>
        <w:rPr>
          <w:rFonts w:cs="Times New Roman" w:ascii="Times New Roman" w:hAnsi="Times New Roman"/>
          <w:sz w:val="28"/>
          <w:szCs w:val="28"/>
          <w:lang w:val="en-US" w:eastAsia="ar-SA"/>
        </w:rPr>
      </w:r>
    </w:p>
    <w:p>
      <w:pPr>
        <w:pStyle w:val="Normal"/>
        <w:tabs>
          <w:tab w:val="left" w:pos="564" w:leader="none"/>
        </w:tabs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  <w:r>
        <w:rPr>
          <w:rFonts w:cs="Times New Roman" w:ascii="Times New Roman" w:hAnsi="Times New Roman"/>
          <w:sz w:val="28"/>
          <w:szCs w:val="28"/>
          <w:lang w:val="en-US" w:eastAsia="ar-SA"/>
        </w:rPr>
      </w:r>
    </w:p>
    <w:p>
      <w:pPr>
        <w:pStyle w:val="Normal"/>
        <w:tabs>
          <w:tab w:val="left" w:pos="564" w:leader="none"/>
        </w:tabs>
        <w:jc w:val="both"/>
        <w:rPr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 w:eastAsia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right="5810" w:hanging="0"/>
        <w:jc w:val="both"/>
        <w:rPr/>
      </w:pPr>
      <w:r>
        <w:rPr/>
      </w:r>
    </w:p>
    <w:p>
      <w:pPr>
        <w:pStyle w:val="Normal"/>
        <w:ind w:right="5810" w:hanging="0"/>
        <w:jc w:val="both"/>
        <w:rPr/>
      </w:pPr>
      <w:r>
        <w:rPr/>
      </w:r>
    </w:p>
    <w:p>
      <w:pPr>
        <w:pStyle w:val="Normal"/>
        <w:ind w:right="5810" w:hanging="0"/>
        <w:jc w:val="both"/>
        <w:rPr/>
      </w:pPr>
      <w:r>
        <w:rPr/>
        <w:t>Кирилюк 720 087</w:t>
      </w:r>
    </w:p>
    <w:p>
      <w:pPr>
        <w:pStyle w:val="Normal"/>
        <w:ind w:right="5810" w:hanging="0"/>
        <w:jc w:val="both"/>
        <w:rPr/>
      </w:pPr>
      <w:r>
        <w:rPr/>
        <w:t>Горай 777 944</w:t>
      </w:r>
    </w:p>
    <w:p>
      <w:pPr>
        <w:pStyle w:val="Normal"/>
        <w:ind w:right="5810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Header"/>
    <w:basedOn w:val="Normal"/>
    <w:link w:val="aa"/>
    <w:uiPriority w:val="99"/>
    <w:rsid w:val="00580099"/>
    <w:pPr>
      <w:tabs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3">
    <w:name w:val="Footer"/>
    <w:basedOn w:val="Normal"/>
    <w:link w:val="ac"/>
    <w:uiPriority w:val="99"/>
    <w:rsid w:val="00580099"/>
    <w:pPr>
      <w:tabs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Application>LibreOffice/5.4.2.2$Windows_x86 LibreOffice_project/22b09f6418e8c2d508a9eaf86b2399209b0990f4</Application>
  <Pages>1</Pages>
  <Words>136</Words>
  <Characters>929</Characters>
  <CharactersWithSpaces>1140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2023-04-13T16:15:04Z</cp:lastPrinted>
  <dcterms:modified xsi:type="dcterms:W3CDTF">2023-04-19T11:38:59Z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