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application/x-msmetafil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Relationship Id="customR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pPr>
        <w:jc w:val="center"/>
      </w:pPr>
      <w:r>
        <w:drawing>
          <wp:inline xmlns:wp="http://schemas.openxmlformats.org/drawingml/2006/wordprocessingDrawing">
            <wp:extent cx="739140" cy="7518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739140" cy="75184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pPr>
        <w:pStyle w:val="P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ЛУЦЬКА  МІСЬКА  РАДА</w:t>
      </w:r>
    </w:p>
    <w:p>
      <w:pPr>
        <w:rPr>
          <w:rFonts w:ascii="Times New Roman" w:hAnsi="Times New Roman"/>
          <w:sz w:val="20"/>
          <w:szCs w:val="20"/>
        </w:rPr>
      </w:pPr>
    </w:p>
    <w:p>
      <w:pPr>
        <w:pStyle w:val="P2"/>
        <w:tabs>
          <w:tab w:val="clear" w:pos="708" w:leader="none"/>
          <w:tab w:val="left" w:pos="4218" w:leader="none"/>
          <w:tab w:val="left" w:pos="4674" w:leader="none"/>
        </w:tabs>
        <w:spacing w:before="0" w:after="0" w:beforeAutospacing="0" w:afterAutospacing="0"/>
        <w:jc w:val="center"/>
        <w:rPr>
          <w:rFonts w:ascii="Times New Roman" w:hAnsi="Times New Roman"/>
          <w:i w:val="0"/>
          <w:sz w:val="32"/>
          <w:szCs w:val="32"/>
        </w:rPr>
      </w:pPr>
      <w:r>
        <w:rPr>
          <w:rFonts w:ascii="Times New Roman" w:hAnsi="Times New Roman"/>
          <w:i w:val="0"/>
          <w:sz w:val="32"/>
          <w:szCs w:val="32"/>
        </w:rPr>
        <w:t>Р І Ш Е Н Н Я</w:t>
      </w:r>
    </w:p>
    <w:p>
      <w:pPr>
        <w:jc w:val="center"/>
        <w:rPr>
          <w:rFonts w:ascii="Times New Roman" w:hAnsi="Times New Roman"/>
          <w:b w:val="1"/>
          <w:bCs w:val="1"/>
          <w:sz w:val="40"/>
          <w:szCs w:val="40"/>
        </w:rPr>
      </w:pPr>
    </w:p>
    <w:p>
      <w:pPr>
        <w:jc w:val="center"/>
      </w:pPr>
      <w:r>
        <w:t xml:space="preserve">________________                                        Луцьк                                         №_____________</w:t>
      </w:r>
    </w:p>
    <w:p>
      <w:pPr>
        <w:jc w:val="center"/>
      </w:pPr>
    </w:p>
    <w:p>
      <w:pPr>
        <w:widowControl w:val="0"/>
        <w:suppressAutoHyphens w:val="1"/>
        <w:spacing w:before="0" w:after="0" w:beforeAutospacing="0" w:afterAutospacing="0"/>
        <w:ind w:firstLine="0" w:left="0" w:right="4535"/>
        <w:bidi w:val="0"/>
        <w:jc w:val="both"/>
      </w:pPr>
      <w:r>
        <w:rPr>
          <w:sz w:val="28"/>
          <w:szCs w:val="28"/>
          <w:lang w:val="uk-UA"/>
        </w:rPr>
        <w:t xml:space="preserve">Про надання ПРИВАТНОМУ ПІД-ПРИЄМСТВУ </w:t>
      </w:r>
      <w:r>
        <w:rPr>
          <w:color w:val="auto"/>
          <w:sz w:val="28"/>
          <w:szCs w:val="28"/>
          <w:lang w:val="uk-UA"/>
        </w:rPr>
        <w:t>«</w:t>
      </w:r>
      <w:r>
        <w:rPr>
          <w:color w:val="00000A"/>
          <w:sz w:val="28"/>
          <w:szCs w:val="28"/>
          <w:kern w:val="2"/>
          <w:lang w:val="uk-UA" w:bidi="hi-IN" w:eastAsia="zh-CN"/>
        </w:rPr>
        <w:t>ТОРГОВИЙ АЛЬЯНС</w:t>
      </w:r>
      <w:r>
        <w:rPr>
          <w:color w:val="auto"/>
          <w:sz w:val="28"/>
          <w:szCs w:val="28"/>
          <w:kern w:val="2"/>
          <w:lang w:val="uk-UA" w:bidi="hi-IN" w:eastAsia="zh-CN"/>
        </w:rPr>
        <w:t>»</w:t>
      </w:r>
      <w:r>
        <w:rPr>
          <w:sz w:val="28"/>
          <w:szCs w:val="28"/>
          <w:lang w:val="uk-UA" w:bidi="ar-SA" w:eastAsia="zh-CN"/>
        </w:rPr>
        <w:t xml:space="preserve"> </w:t>
      </w:r>
      <w:r>
        <w:rPr>
          <w:sz w:val="28"/>
          <w:szCs w:val="28"/>
          <w:lang w:val="uk-UA"/>
        </w:rPr>
        <w:t xml:space="preserve">дозволу на проведення експертної гро-шової оцінки земельної ділянки кому-нальної власності на </w:t>
      </w:r>
      <w:r>
        <w:rPr>
          <w:sz w:val="28"/>
          <w:szCs w:val="28"/>
          <w:lang w:val="en-US"/>
        </w:rPr>
        <w:t>вул. </w:t>
      </w:r>
      <w:r>
        <w:rPr>
          <w:color w:val="00000A"/>
          <w:sz w:val="28"/>
          <w:szCs w:val="28"/>
          <w:lang w:val="uk-UA" w:bidi="ar-SA" w:eastAsia="ru-RU"/>
        </w:rPr>
        <w:t>Глушець</w:t>
      </w:r>
      <w:r>
        <w:rPr>
          <w:sz w:val="28"/>
          <w:szCs w:val="28"/>
          <w:lang w:val="en-US"/>
        </w:rPr>
        <w:t>, </w:t>
      </w:r>
      <w:r>
        <w:rPr>
          <w:color w:val="00000A"/>
          <w:sz w:val="28"/>
          <w:szCs w:val="28"/>
          <w:lang w:val="uk-UA" w:bidi="ar-SA" w:eastAsia="ru-RU"/>
        </w:rPr>
        <w:t>30</w:t>
        <w:br w:type="textWrapping"/>
      </w:r>
      <w:r>
        <w:rPr>
          <w:sz w:val="28"/>
          <w:szCs w:val="28"/>
          <w:lang w:val="uk-UA"/>
        </w:rPr>
        <w:t xml:space="preserve">у м. Луцьку </w:t>
      </w:r>
    </w:p>
    <w:p>
      <w:pPr>
        <w:widowControl w:val="0"/>
        <w:suppressAutoHyphens w:val="1"/>
        <w:ind w:firstLine="0" w:left="0" w:right="0"/>
        <w:bidi w:val="0"/>
        <w:jc w:val="both"/>
        <w:rPr>
          <w:sz w:val="28"/>
          <w:szCs w:val="28"/>
          <w:lang w:val="uk-UA"/>
        </w:rPr>
      </w:pPr>
    </w:p>
    <w:p>
      <w:pPr>
        <w:widowControl w:val="0"/>
        <w:suppressAutoHyphens w:val="1"/>
        <w:ind w:firstLine="0" w:left="0" w:right="0"/>
        <w:bidi w:val="0"/>
        <w:jc w:val="both"/>
        <w:rPr>
          <w:sz w:val="28"/>
          <w:szCs w:val="28"/>
          <w:lang w:val="uk-UA"/>
        </w:rPr>
      </w:pPr>
    </w:p>
    <w:p>
      <w:pPr>
        <w:ind w:firstLine="0" w:left="0" w:right="0"/>
        <w:jc w:val="both"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sz w:val="28"/>
          <w:szCs w:val="28"/>
          <w:lang w:val="uk-UA" w:bidi="ar-SA" w:eastAsia="zh-CN"/>
        </w:rPr>
        <w:t>ПРИВАТНО</w:t>
      </w:r>
      <w:r>
        <w:rPr>
          <w:color w:val="00000A"/>
          <w:sz w:val="28"/>
          <w:szCs w:val="28"/>
          <w:lang w:val="uk-UA" w:bidi="ar-SA" w:eastAsia="zh-CN"/>
        </w:rPr>
        <w:t>ГО</w:t>
      </w:r>
      <w:r>
        <w:rPr>
          <w:sz w:val="28"/>
          <w:szCs w:val="28"/>
          <w:lang w:val="uk-UA" w:bidi="ar-SA" w:eastAsia="zh-CN"/>
        </w:rPr>
        <w:t xml:space="preserve"> ПІДПРИЄМСТВ</w:t>
      </w:r>
      <w:r>
        <w:rPr>
          <w:color w:val="00000A"/>
          <w:sz w:val="28"/>
          <w:szCs w:val="28"/>
          <w:lang w:val="uk-UA" w:bidi="ar-SA" w:eastAsia="zh-CN"/>
        </w:rPr>
        <w:t>А</w:t>
      </w:r>
      <w:r>
        <w:rPr>
          <w:sz w:val="28"/>
          <w:szCs w:val="28"/>
          <w:lang w:val="uk-UA" w:bidi="ar-SA" w:eastAsia="zh-CN"/>
        </w:rPr>
        <w:t xml:space="preserve"> </w:t>
      </w:r>
      <w:r>
        <w:rPr>
          <w:color w:val="auto"/>
          <w:sz w:val="28"/>
          <w:szCs w:val="28"/>
          <w:lang w:val="uk-UA" w:bidi="ar-SA" w:eastAsia="zh-CN"/>
        </w:rPr>
        <w:t>«</w:t>
      </w:r>
      <w:r>
        <w:rPr>
          <w:color w:val="00000A"/>
          <w:sz w:val="28"/>
          <w:szCs w:val="28"/>
          <w:kern w:val="2"/>
          <w:lang w:val="uk-UA" w:bidi="hi-IN" w:eastAsia="zh-CN"/>
        </w:rPr>
        <w:t>ТОРГОВИЙ АЛЬЯНС</w:t>
      </w:r>
      <w:r>
        <w:rPr>
          <w:color w:val="auto"/>
          <w:sz w:val="28"/>
          <w:szCs w:val="28"/>
          <w:kern w:val="2"/>
          <w:lang w:val="uk-UA" w:bidi="hi-IN" w:eastAsia="zh-CN"/>
        </w:rPr>
        <w:t>»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sz w:val="28"/>
          <w:szCs w:val="28"/>
          <w:lang w:val="en-US"/>
        </w:rPr>
        <w:t>вул. </w:t>
      </w:r>
      <w:r>
        <w:rPr>
          <w:color w:val="00000A"/>
          <w:sz w:val="28"/>
          <w:szCs w:val="28"/>
          <w:lang w:val="uk-UA" w:bidi="ar-SA" w:eastAsia="ru-RU"/>
        </w:rPr>
        <w:t>Глушець</w:t>
      </w:r>
      <w:r>
        <w:rPr>
          <w:sz w:val="28"/>
          <w:szCs w:val="28"/>
          <w:lang w:val="en-US"/>
        </w:rPr>
        <w:t>, </w:t>
      </w:r>
      <w:r>
        <w:rPr>
          <w:color w:val="00000A"/>
          <w:sz w:val="28"/>
          <w:szCs w:val="28"/>
          <w:lang w:val="uk-UA" w:bidi="ar-SA" w:eastAsia="ru-RU"/>
        </w:rPr>
        <w:t>30</w:t>
      </w:r>
      <w:r>
        <w:rPr>
          <w:sz w:val="28"/>
          <w:szCs w:val="28"/>
          <w:lang w:val="uk-UA"/>
        </w:rPr>
        <w:t xml:space="preserve"> у м. Луцьку, площею 0,</w:t>
      </w:r>
      <w:r>
        <w:rPr>
          <w:color w:val="00000A"/>
          <w:sz w:val="28"/>
          <w:szCs w:val="28"/>
          <w:lang w:val="uk-UA" w:bidi="ar-SA" w:eastAsia="ru-RU"/>
        </w:rPr>
        <w:t>1936</w:t>
      </w:r>
      <w:r>
        <w:rPr>
          <w:sz w:val="28"/>
          <w:szCs w:val="28"/>
          <w:lang w:val="uk-UA"/>
        </w:rPr>
        <w:t> га, кадастровим номером 0710100000:</w:t>
      </w:r>
      <w:r>
        <w:rPr>
          <w:color w:val="00000A"/>
          <w:sz w:val="28"/>
          <w:szCs w:val="28"/>
          <w:lang w:val="uk-UA" w:bidi="ar-SA" w:eastAsia="ru-RU"/>
        </w:rPr>
        <w:t>22</w:t>
      </w:r>
      <w:r>
        <w:rPr>
          <w:sz w:val="28"/>
          <w:szCs w:val="28"/>
          <w:lang w:val="uk-UA"/>
        </w:rPr>
        <w:t>:</w:t>
      </w:r>
      <w:r>
        <w:rPr>
          <w:color w:val="00000A"/>
          <w:sz w:val="28"/>
          <w:szCs w:val="28"/>
          <w:lang w:val="uk-UA" w:bidi="ar-SA" w:eastAsia="ru-RU"/>
        </w:rPr>
        <w:t>126</w:t>
      </w:r>
      <w:r>
        <w:rPr>
          <w:sz w:val="28"/>
          <w:szCs w:val="28"/>
          <w:lang w:val="uk-UA"/>
        </w:rPr>
        <w:t>:0</w:t>
      </w:r>
      <w:r>
        <w:rPr>
          <w:color w:val="00000A"/>
          <w:sz w:val="28"/>
          <w:szCs w:val="28"/>
          <w:lang w:val="uk-UA" w:bidi="ar-SA" w:eastAsia="ru-RU"/>
        </w:rPr>
        <w:t>008</w:t>
      </w:r>
      <w:r>
        <w:rPr>
          <w:sz w:val="28"/>
          <w:szCs w:val="28"/>
          <w:lang w:val="uk-UA"/>
        </w:rPr>
        <w:t xml:space="preserve">, видом цільового призначення земельної ділянки: </w:t>
      </w:r>
      <w:r>
        <w:rPr>
          <w:b w:val="0"/>
          <w:bCs w:val="0"/>
          <w:sz w:val="28"/>
          <w:szCs w:val="28"/>
          <w:spacing w:val="-4"/>
          <w:lang w:val="uk-UA" w:bidi="ar-SA" w:eastAsia="zh-CN"/>
        </w:rPr>
        <w:t>11.0</w:t>
      </w:r>
      <w:r>
        <w:rPr>
          <w:b w:val="0"/>
          <w:bCs w:val="0"/>
          <w:color w:val="00000A"/>
          <w:sz w:val="28"/>
          <w:szCs w:val="28"/>
          <w:spacing w:val="-4"/>
          <w:lang w:val="uk-UA" w:bidi="ar-SA" w:eastAsia="zh-CN"/>
        </w:rPr>
        <w:t>4</w:t>
      </w:r>
      <w:r>
        <w:rPr>
          <w:b w:val="0"/>
          <w:bCs w:val="0"/>
          <w:sz w:val="28"/>
          <w:szCs w:val="28"/>
          <w:spacing w:val="-4"/>
          <w:lang w:val="uk-UA" w:bidi="ar-SA" w:eastAsia="zh-CN"/>
        </w:rPr>
        <w:t xml:space="preserve"> - для розміщення та експлуатації основних, підсобних і допоміжних будівель та споруд </w:t>
      </w:r>
      <w:r>
        <w:rPr>
          <w:b w:val="0"/>
          <w:bCs w:val="0"/>
          <w:sz w:val="28"/>
          <w:szCs w:val="28"/>
          <w:spacing w:val="-2"/>
          <w:lang w:val="uk-UA" w:bidi="ar-SA" w:eastAsia="zh-CN"/>
        </w:rPr>
        <w:t>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b w:val="0"/>
          <w:bCs w:val="0"/>
          <w:sz w:val="28"/>
          <w:szCs w:val="28"/>
          <w:spacing w:val="-4"/>
          <w:lang w:val="uk-UA" w:bidi="ar-SA" w:eastAsia="zh-CN"/>
        </w:rPr>
        <w:t>,</w:t>
      </w:r>
      <w:r>
        <w:rPr>
          <w:sz w:val="28"/>
          <w:szCs w:val="28"/>
          <w:spacing w:val="-4"/>
          <w:lang w:val="uk-UA"/>
        </w:rPr>
        <w:t xml:space="preserve"> </w:t>
      </w:r>
      <w:r>
        <w:rPr>
          <w:sz w:val="28"/>
          <w:szCs w:val="28"/>
          <w:lang w:val="uk-UA"/>
        </w:rPr>
        <w:t>та додані до неї документи, з метою її підготовки до продажу у власність, шляхом викупу, керуючись статтями 12, 8</w:t>
      </w:r>
      <w:r>
        <w:rPr>
          <w:smallCaps w:val="0"/>
          <w:sz w:val="28"/>
          <w:szCs w:val="22"/>
          <w:cs w:val="0"/>
          <w:spacing w:val="0"/>
          <w:w w:val="100"/>
          <w:position w:val="0"/>
          <w:snapToGrid w:val="1"/>
          <w:lang w:val="en-US"/>
        </w:rPr>
        <w:t>2</w:t>
      </w:r>
      <w:r>
        <w:rPr>
          <w:sz w:val="28"/>
          <w:szCs w:val="28"/>
          <w:lang w:val="uk-UA"/>
        </w:rPr>
        <w:t xml:space="preserve">, 128 Земельного кодексу України, статтею 26 Закону України </w:t>
      </w:r>
      <w:r>
        <w:rPr>
          <w:color w:val="auto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місцеве самоврядування в Україні</w:t>
      </w:r>
      <w:r>
        <w:rPr>
          <w:color w:val="auto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, статтями 5, 13, 20 Закону України </w:t>
      </w:r>
      <w:r>
        <w:rPr>
          <w:color w:val="auto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оцінку земель</w:t>
      </w:r>
      <w:r>
        <w:rPr>
          <w:color w:val="auto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, витягом з Державного земельного кадастру про земельну ділянку від </w:t>
      </w:r>
      <w:r>
        <w:rPr>
          <w:color w:val="00000A"/>
          <w:sz w:val="28"/>
          <w:szCs w:val="28"/>
          <w:kern w:val="2"/>
          <w:lang w:val="uk-UA" w:bidi="hi-IN" w:eastAsia="zh-CN"/>
        </w:rPr>
        <w:t>11</w:t>
      </w:r>
      <w:r>
        <w:rPr>
          <w:sz w:val="28"/>
          <w:szCs w:val="28"/>
          <w:lang w:val="uk-UA"/>
        </w:rPr>
        <w:t>.0</w:t>
      </w:r>
      <w:r>
        <w:rPr>
          <w:color w:val="00000A"/>
          <w:sz w:val="28"/>
          <w:szCs w:val="28"/>
          <w:kern w:val="2"/>
          <w:lang w:val="uk-UA" w:bidi="hi-IN" w:eastAsia="zh-CN"/>
        </w:rPr>
        <w:t>7</w:t>
      </w:r>
      <w:r>
        <w:rPr>
          <w:sz w:val="28"/>
          <w:szCs w:val="28"/>
          <w:lang w:val="uk-UA"/>
        </w:rPr>
        <w:t>.202</w:t>
      </w:r>
      <w:r>
        <w:rPr>
          <w:color w:val="00000A"/>
          <w:sz w:val="28"/>
          <w:szCs w:val="28"/>
          <w:kern w:val="2"/>
          <w:lang w:val="uk-UA" w:bidi="hi-IN" w:eastAsia="zh-CN"/>
        </w:rPr>
        <w:t>3</w:t>
      </w:r>
      <w:r>
        <w:rPr>
          <w:sz w:val="28"/>
          <w:szCs w:val="28"/>
          <w:lang w:val="uk-UA"/>
        </w:rPr>
        <w:t xml:space="preserve"> НВ-</w:t>
      </w:r>
      <w:r>
        <w:rPr>
          <w:color w:val="00000A"/>
          <w:sz w:val="28"/>
          <w:szCs w:val="28"/>
          <w:kern w:val="2"/>
          <w:lang w:val="uk-UA" w:bidi="hi-IN" w:eastAsia="zh-CN"/>
        </w:rPr>
        <w:t>000134326</w:t>
      </w:r>
      <w:r>
        <w:rPr>
          <w:sz w:val="28"/>
          <w:szCs w:val="28"/>
          <w:lang w:val="uk-UA"/>
        </w:rPr>
        <w:t>202</w:t>
      </w:r>
      <w:r>
        <w:rPr>
          <w:color w:val="00000A"/>
          <w:sz w:val="28"/>
          <w:szCs w:val="28"/>
          <w:kern w:val="2"/>
          <w:lang w:val="uk-UA" w:bidi="hi-IN" w:eastAsia="zh-CN"/>
        </w:rPr>
        <w:t>3</w:t>
      </w:r>
      <w:r>
        <w:rPr>
          <w:sz w:val="28"/>
          <w:szCs w:val="28"/>
          <w:lang w:val="uk-UA"/>
        </w:rPr>
        <w:t xml:space="preserve">, </w:t>
      </w:r>
      <w:r>
        <w:rPr>
          <w:b w:val="0"/>
          <w:i w:val="0"/>
          <w:bCs w:val="0"/>
          <w:iCs w:val="0"/>
          <w:caps w:val="0"/>
          <w:smallCaps w:val="0"/>
          <w:color w:val="000000"/>
          <w:sz w:val="28"/>
          <w:szCs w:val="28"/>
          <w:spacing w:val="0"/>
          <w:lang w:val="uk-UA"/>
        </w:rPr>
        <w:t xml:space="preserve">дорученням постійної комісії з питань земельних відносин та земельного кадастру Луцької міської ради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sz w:val="28"/>
          <w:szCs w:val="28"/>
          <w:lang w:val="uk-UA"/>
        </w:rPr>
        <w:t>міська рада</w:t>
      </w:r>
    </w:p>
    <w:p>
      <w:pPr>
        <w:widowControl w:val="0"/>
        <w:suppressAutoHyphens w:val="1"/>
        <w:ind w:firstLine="0" w:left="0" w:right="0"/>
        <w:bidi w:val="0"/>
        <w:jc w:val="both"/>
        <w:rPr>
          <w:sz w:val="28"/>
          <w:szCs w:val="28"/>
          <w:lang w:val="uk-UA"/>
        </w:rPr>
      </w:pP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ind w:firstLine="540" w:left="0" w:right="0"/>
        <w:jc w:val="both"/>
        <w:rPr>
          <w:sz w:val="28"/>
          <w:szCs w:val="28"/>
          <w:lang w:val="uk-UA"/>
        </w:rPr>
      </w:pPr>
    </w:p>
    <w:p>
      <w:pPr>
        <w:numPr>
          <w:ilvl w:val="0"/>
          <w:numId w:val="1"/>
        </w:numPr>
        <w:tabs>
          <w:tab w:val="clear" w:pos="708" w:leader="none"/>
          <w:tab w:val="left" w:pos="960" w:leader="none"/>
        </w:tabs>
        <w:ind w:firstLine="540" w:left="0" w:right="0"/>
        <w:jc w:val="both"/>
      </w:pPr>
      <w:r>
        <w:rPr>
          <w:sz w:val="28"/>
          <w:szCs w:val="28"/>
          <w:lang w:val="uk-UA"/>
        </w:rPr>
        <w:t xml:space="preserve">Надати </w:t>
      </w:r>
      <w:r>
        <w:rPr>
          <w:color w:val="00000A"/>
          <w:sz w:val="28"/>
          <w:szCs w:val="28"/>
          <w:lang w:val="uk-UA" w:bidi="ar-SA" w:eastAsia="zh-CN"/>
        </w:rPr>
        <w:t xml:space="preserve">ПРИВАТНОМУ ПІДПРИЄМСТВУ </w:t>
      </w:r>
      <w:r>
        <w:rPr>
          <w:color w:val="auto"/>
          <w:sz w:val="28"/>
          <w:szCs w:val="28"/>
          <w:lang w:val="uk-UA" w:bidi="ar-SA" w:eastAsia="zh-CN"/>
        </w:rPr>
        <w:t>«</w:t>
      </w:r>
      <w:r>
        <w:rPr>
          <w:color w:val="00000A"/>
          <w:sz w:val="28"/>
          <w:szCs w:val="28"/>
          <w:kern w:val="2"/>
          <w:lang w:val="uk-UA" w:bidi="hi-IN" w:eastAsia="zh-CN"/>
        </w:rPr>
        <w:t>ТОРГОВИЙ АЛЬЯНС</w:t>
      </w:r>
      <w:r>
        <w:rPr>
          <w:color w:val="auto"/>
          <w:sz w:val="28"/>
          <w:szCs w:val="28"/>
          <w:kern w:val="2"/>
          <w:lang w:val="uk-UA" w:bidi="hi-IN" w:eastAsia="zh-CN"/>
        </w:rPr>
        <w:t>»</w:t>
      </w:r>
      <w:r>
        <w:rPr>
          <w:sz w:val="28"/>
          <w:szCs w:val="28"/>
          <w:lang w:val="uk-UA"/>
        </w:rPr>
        <w:t xml:space="preserve"> 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sz w:val="28"/>
          <w:szCs w:val="28"/>
          <w:lang w:val="en-US"/>
        </w:rPr>
        <w:t>вул. </w:t>
      </w:r>
      <w:r>
        <w:rPr>
          <w:color w:val="00000A"/>
          <w:sz w:val="28"/>
          <w:szCs w:val="28"/>
          <w:lang w:val="uk-UA" w:bidi="ar-SA" w:eastAsia="ru-RU"/>
        </w:rPr>
        <w:t>Глушець</w:t>
      </w:r>
      <w:r>
        <w:rPr>
          <w:sz w:val="28"/>
          <w:szCs w:val="28"/>
          <w:lang w:val="en-US"/>
        </w:rPr>
        <w:t>, </w:t>
      </w:r>
      <w:r>
        <w:rPr>
          <w:color w:val="00000A"/>
          <w:sz w:val="28"/>
          <w:szCs w:val="28"/>
          <w:lang w:val="uk-UA" w:bidi="ar-SA" w:eastAsia="ru-RU"/>
        </w:rPr>
        <w:t>30</w:t>
      </w:r>
      <w:r>
        <w:rPr>
          <w:sz w:val="28"/>
          <w:szCs w:val="28"/>
          <w:lang w:val="uk-UA"/>
        </w:rPr>
        <w:t xml:space="preserve"> у м. Луцьку, площею 0,</w:t>
      </w:r>
      <w:r>
        <w:rPr>
          <w:color w:val="00000A"/>
          <w:sz w:val="28"/>
          <w:szCs w:val="28"/>
          <w:lang w:val="uk-UA" w:bidi="ar-SA" w:eastAsia="ru-RU"/>
        </w:rPr>
        <w:t>1936</w:t>
      </w:r>
      <w:r>
        <w:rPr>
          <w:sz w:val="28"/>
          <w:szCs w:val="28"/>
          <w:lang w:val="uk-UA"/>
        </w:rPr>
        <w:t> га, кадастровим номером 0710100000:</w:t>
      </w:r>
      <w:r>
        <w:rPr>
          <w:color w:val="00000A"/>
          <w:sz w:val="28"/>
          <w:szCs w:val="28"/>
          <w:lang w:val="uk-UA" w:bidi="ar-SA" w:eastAsia="ru-RU"/>
        </w:rPr>
        <w:t>22:126:0008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spacing w:val="-4"/>
          <w:lang w:val="uk-UA"/>
        </w:rPr>
        <w:t xml:space="preserve">видом цільового призначення земельної ділянки: </w:t>
      </w:r>
      <w:r>
        <w:rPr>
          <w:b w:val="0"/>
          <w:bCs w:val="0"/>
          <w:sz w:val="28"/>
          <w:szCs w:val="28"/>
          <w:spacing w:val="-4"/>
          <w:lang w:val="uk-UA" w:bidi="ar-SA" w:eastAsia="zh-CN"/>
        </w:rPr>
        <w:t>11.0</w:t>
      </w:r>
      <w:r>
        <w:rPr>
          <w:b w:val="0"/>
          <w:bCs w:val="0"/>
          <w:color w:val="00000A"/>
          <w:sz w:val="28"/>
          <w:szCs w:val="28"/>
          <w:spacing w:val="-4"/>
          <w:lang w:val="uk-UA" w:bidi="ar-SA" w:eastAsia="zh-CN"/>
        </w:rPr>
        <w:t>4</w:t>
      </w:r>
      <w:r>
        <w:rPr>
          <w:b w:val="0"/>
          <w:bCs w:val="0"/>
          <w:sz w:val="28"/>
          <w:szCs w:val="28"/>
          <w:spacing w:val="-4"/>
          <w:lang w:val="uk-UA" w:bidi="ar-SA" w:eastAsia="zh-CN"/>
        </w:rPr>
        <w:t xml:space="preserve"> - для розміщення та експлуатації основних, підсобних і допоміжних будівель та споруд </w:t>
      </w:r>
      <w:r>
        <w:rPr>
          <w:b w:val="0"/>
          <w:bCs w:val="0"/>
          <w:sz w:val="28"/>
          <w:szCs w:val="28"/>
          <w:spacing w:val="-2"/>
          <w:lang w:val="uk-UA" w:bidi="ar-SA" w:eastAsia="zh-CN"/>
        </w:rPr>
        <w:t>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b w:val="0"/>
          <w:bCs w:val="0"/>
          <w:sz w:val="28"/>
          <w:szCs w:val="28"/>
          <w:spacing w:val="-4"/>
          <w:lang w:val="uk-UA" w:bidi="ar-SA" w:eastAsia="zh-CN"/>
        </w:rPr>
        <w:t>,</w:t>
      </w:r>
      <w:r>
        <w:rPr>
          <w:sz w:val="28"/>
          <w:szCs w:val="28"/>
          <w:lang w:val="uk-UA"/>
        </w:rPr>
        <w:t xml:space="preserve"> згідно з додатком.</w:t>
      </w:r>
    </w:p>
    <w:p>
      <w:pPr>
        <w:numPr>
          <w:ilvl w:val="0"/>
          <w:numId w:val="1"/>
        </w:numPr>
        <w:tabs>
          <w:tab w:val="clear" w:pos="708" w:leader="none"/>
          <w:tab w:val="left" w:pos="1020" w:leader="none"/>
        </w:tabs>
        <w:ind w:firstLine="540" w:left="0" w:right="0"/>
        <w:jc w:val="both"/>
      </w:pPr>
      <w:r>
        <w:rPr>
          <w:sz w:val="28"/>
          <w:szCs w:val="28"/>
          <w:lang w:val="uk-UA"/>
        </w:rPr>
        <w:t xml:space="preserve">Зобов’язати </w:t>
      </w:r>
      <w:r>
        <w:rPr>
          <w:sz w:val="28"/>
          <w:szCs w:val="28"/>
          <w:lang w:val="uk-UA" w:bidi="ar-SA" w:eastAsia="zh-CN"/>
        </w:rPr>
        <w:t>ПРИВАТН</w:t>
      </w:r>
      <w:r>
        <w:rPr>
          <w:color w:val="00000A"/>
          <w:sz w:val="28"/>
          <w:szCs w:val="28"/>
          <w:lang w:val="uk-UA" w:bidi="ar-SA" w:eastAsia="zh-CN"/>
        </w:rPr>
        <w:t>Е</w:t>
      </w:r>
      <w:r>
        <w:rPr>
          <w:sz w:val="28"/>
          <w:szCs w:val="28"/>
          <w:lang w:val="uk-UA" w:bidi="ar-SA" w:eastAsia="zh-CN"/>
        </w:rPr>
        <w:t xml:space="preserve"> ПІДПРИЄМСТВ</w:t>
      </w:r>
      <w:r>
        <w:rPr>
          <w:color w:val="00000A"/>
          <w:sz w:val="28"/>
          <w:szCs w:val="28"/>
          <w:lang w:val="uk-UA" w:bidi="ar-SA" w:eastAsia="zh-CN"/>
        </w:rPr>
        <w:t>О</w:t>
      </w:r>
      <w:r>
        <w:rPr>
          <w:sz w:val="28"/>
          <w:szCs w:val="28"/>
          <w:lang w:val="uk-UA" w:bidi="ar-SA" w:eastAsia="zh-CN"/>
        </w:rPr>
        <w:t xml:space="preserve"> </w:t>
      </w:r>
      <w:r>
        <w:rPr>
          <w:color w:val="auto"/>
          <w:sz w:val="28"/>
          <w:szCs w:val="28"/>
          <w:lang w:val="uk-UA" w:bidi="ar-SA" w:eastAsia="zh-CN"/>
        </w:rPr>
        <w:t>«</w:t>
      </w:r>
      <w:r>
        <w:rPr>
          <w:color w:val="00000A"/>
          <w:sz w:val="28"/>
          <w:szCs w:val="28"/>
          <w:kern w:val="2"/>
          <w:lang w:val="uk-UA" w:bidi="hi-IN" w:eastAsia="zh-CN"/>
        </w:rPr>
        <w:t>ТОРГОВИЙ АЛЬЯНС</w:t>
      </w:r>
      <w:r>
        <w:rPr>
          <w:color w:val="auto"/>
          <w:sz w:val="28"/>
          <w:szCs w:val="28"/>
          <w:kern w:val="2"/>
          <w:lang w:val="uk-UA" w:bidi="hi-IN" w:eastAsia="zh-CN"/>
        </w:rPr>
        <w:t>»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numPr>
          <w:ilvl w:val="0"/>
          <w:numId w:val="1"/>
        </w:numPr>
        <w:tabs>
          <w:tab w:val="clear" w:pos="708" w:leader="none"/>
          <w:tab w:val="left" w:pos="1020" w:leader="none"/>
        </w:tabs>
        <w:ind w:firstLine="540" w:left="0" w:right="0"/>
        <w:jc w:val="both"/>
      </w:pPr>
      <w:r>
        <w:rPr>
          <w:sz w:val="28"/>
          <w:szCs w:val="28"/>
          <w:lang w:val="uk-UA"/>
        </w:rPr>
        <w:t>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widowControl w:val="1"/>
        <w:suppressAutoHyphens w:val="1"/>
        <w:spacing w:before="0" w:after="0" w:beforeAutospacing="0" w:afterAutospacing="0"/>
        <w:ind w:firstLine="567" w:left="0" w:right="0"/>
        <w:bidi w:val="0"/>
        <w:jc w:val="both"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r>
        <w:rPr>
          <w:color w:val="00000A"/>
          <w:sz w:val="28"/>
          <w:szCs w:val="28"/>
          <w:lang w:val="uk-UA" w:bidi="ar-SA" w:eastAsia="zh-CN"/>
        </w:rPr>
        <w:t xml:space="preserve">ПРИВАТНИМ ПІДПРИЄМСТВОМ </w:t>
      </w:r>
      <w:r>
        <w:rPr>
          <w:color w:val="auto"/>
          <w:sz w:val="28"/>
          <w:szCs w:val="28"/>
          <w:lang w:val="uk-UA" w:bidi="ar-SA" w:eastAsia="zh-CN"/>
        </w:rPr>
        <w:t>«</w:t>
      </w:r>
      <w:r>
        <w:rPr>
          <w:color w:val="00000A"/>
          <w:sz w:val="28"/>
          <w:szCs w:val="28"/>
          <w:kern w:val="2"/>
          <w:lang w:val="uk-UA" w:bidi="hi-IN" w:eastAsia="zh-CN"/>
        </w:rPr>
        <w:t>ТОРГОВИЙ АЛЬЯНС</w:t>
      </w:r>
      <w:r>
        <w:rPr>
          <w:color w:val="auto"/>
          <w:sz w:val="28"/>
          <w:szCs w:val="28"/>
          <w:kern w:val="2"/>
          <w:lang w:val="uk-UA" w:bidi="hi-IN" w:eastAsia="zh-CN"/>
        </w:rPr>
        <w:t>»</w:t>
      </w:r>
      <w:r>
        <w:rPr>
          <w:sz w:val="28"/>
          <w:szCs w:val="28"/>
          <w:lang w:val="uk-UA"/>
        </w:rPr>
        <w:t>.</w:t>
      </w:r>
    </w:p>
    <w:p>
      <w:pPr>
        <w:widowControl w:val="1"/>
        <w:suppressAutoHyphens w:val="1"/>
        <w:spacing w:before="0" w:after="0" w:beforeAutospacing="0" w:afterAutospacing="0"/>
        <w:ind w:firstLine="567" w:left="0" w:right="0"/>
        <w:bidi w:val="0"/>
        <w:jc w:val="both"/>
      </w:pPr>
      <w:r>
        <w:rPr>
          <w:sz w:val="28"/>
          <w:szCs w:val="28"/>
          <w:lang w:val="uk-UA"/>
        </w:rPr>
        <w:t xml:space="preserve"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</w:t>
      </w:r>
      <w:r>
        <w:rPr>
          <w:color w:val="auto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оцінку земель</w:t>
      </w:r>
      <w:r>
        <w:rPr>
          <w:color w:val="auto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numPr>
          <w:ilvl w:val="0"/>
          <w:numId w:val="1"/>
        </w:numPr>
        <w:tabs>
          <w:tab w:val="clear" w:pos="708" w:leader="none"/>
          <w:tab w:val="left" w:pos="1020" w:leader="none"/>
        </w:tabs>
        <w:ind w:firstLine="540" w:left="0" w:right="-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При недотриманні </w:t>
      </w:r>
      <w:r>
        <w:rPr>
          <w:color w:val="00000A"/>
          <w:sz w:val="28"/>
          <w:szCs w:val="28"/>
          <w:lang w:val="uk-UA" w:bidi="ar-SA" w:eastAsia="zh-CN"/>
        </w:rPr>
        <w:t xml:space="preserve">ПРИВАТНИМ ПІДПРИЄМСТВОМ </w:t>
      </w:r>
      <w:r>
        <w:rPr>
          <w:color w:val="auto"/>
          <w:sz w:val="28"/>
          <w:szCs w:val="28"/>
          <w:lang w:val="uk-UA" w:bidi="ar-SA" w:eastAsia="zh-CN"/>
        </w:rPr>
        <w:t>«</w:t>
      </w:r>
      <w:r>
        <w:rPr>
          <w:color w:val="00000A"/>
          <w:sz w:val="28"/>
          <w:szCs w:val="28"/>
          <w:kern w:val="2"/>
          <w:lang w:val="uk-UA" w:bidi="hi-IN" w:eastAsia="zh-CN"/>
        </w:rPr>
        <w:t>ТОРГОВИЙ АЛЬЯНС</w:t>
      </w:r>
      <w:r>
        <w:rPr>
          <w:color w:val="auto"/>
          <w:sz w:val="28"/>
          <w:szCs w:val="28"/>
          <w:kern w:val="2"/>
          <w:lang w:val="uk-UA" w:bidi="hi-IN" w:eastAsia="zh-CN"/>
        </w:rPr>
        <w:t>»</w:t>
      </w:r>
      <w:r>
        <w:rPr>
          <w:sz w:val="28"/>
          <w:szCs w:val="28"/>
          <w:lang w:val="uk-UA"/>
        </w:rPr>
        <w:t xml:space="preserve"> строку укладення договору про оплату авансового внеску дане рішення вважається таким, що втратило чинність. </w:t>
      </w:r>
    </w:p>
    <w:p>
      <w:pPr>
        <w:numPr>
          <w:ilvl w:val="0"/>
          <w:numId w:val="1"/>
        </w:numPr>
        <w:tabs>
          <w:tab w:val="clear" w:pos="708" w:leader="none"/>
          <w:tab w:val="left" w:pos="1020" w:leader="none"/>
        </w:tabs>
        <w:ind w:firstLine="540" w:left="0" w:right="-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Контроль за виконанням рішення покласти на постійну комісію міської ради з питань земельних відносин та земельного кадастру.</w:t>
      </w:r>
    </w:p>
    <w:p>
      <w:pPr>
        <w:ind w:firstLine="0" w:left="0" w:right="-5"/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  <w:lang w:val="uk-UA"/>
        </w:rPr>
      </w:pPr>
    </w:p>
    <w:p>
      <w:pPr>
        <w:tabs>
          <w:tab w:val="clear" w:pos="708" w:leader="none"/>
          <w:tab w:val="left" w:pos="7365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</w:t>
        <w:tab/>
        <w:t>Ігор ПОЛІЩУК</w:t>
      </w:r>
    </w:p>
    <w:p>
      <w:pPr>
        <w:tabs>
          <w:tab w:val="clear" w:pos="708" w:leader="none"/>
          <w:tab w:val="left" w:pos="7513" w:leader="none"/>
        </w:tabs>
        <w:rPr>
          <w:sz w:val="28"/>
          <w:szCs w:val="28"/>
        </w:rPr>
      </w:pPr>
    </w:p>
    <w:p>
      <w:pPr>
        <w:tabs>
          <w:tab w:val="clear" w:pos="708" w:leader="none"/>
          <w:tab w:val="left" w:pos="7513" w:leader="none"/>
        </w:tabs>
        <w:rPr>
          <w:sz w:val="28"/>
          <w:szCs w:val="28"/>
        </w:rPr>
      </w:pPr>
    </w:p>
    <w:p>
      <w:pPr>
        <w:tabs>
          <w:tab w:val="clear" w:pos="708" w:leader="none"/>
          <w:tab w:val="left" w:pos="7513" w:leader="none"/>
        </w:tabs>
        <w:ind w:firstLine="0" w:left="0" w:right="-365"/>
        <w:jc w:val="both"/>
        <w:rPr>
          <w:rFonts w:ascii="Times New Roman" w:hAnsi="Times New Roman"/>
          <w:color w:val="00000A"/>
          <w:sz w:val="24"/>
          <w:szCs w:val="24"/>
          <w:lang w:val="uk-UA" w:bidi="ar-SA" w:eastAsia="ru-RU"/>
        </w:rPr>
      </w:pPr>
      <w:r>
        <w:rPr>
          <w:color w:val="00000A"/>
          <w:sz w:val="24"/>
          <w:szCs w:val="24"/>
          <w:lang w:val="uk-UA" w:bidi="ar-SA" w:eastAsia="ru-RU"/>
        </w:rPr>
        <w:t>Козлюк</w:t>
      </w:r>
    </w:p>
    <w:sectPr>
      <w:type w:val="nextPage"/>
      <w:pgSz w:w="11906" w:h="16838" w:code="0"/>
      <w:pgMar w:left="1984" w:right="567" w:top="1134" w:bottom="1701" w:header="0" w:footer="0" w:gutter="0"/>
      <w:pgNumType w:chapSep="period"/>
    </w:sectPr>
  </w:body>
</w:document>
</file>

<file path=word/numbering.xml><?xml version="1.0" encoding="utf-8"?>
<w:numbering xmlns:w="http://schemas.openxmlformats.org/wordprocessingml/2006/main">
  <w:abstractNum w:abstractNumId="0">
    <w:nsid w:val="650C8345"/>
    <w:multiLevelType w:val="multilevel"/>
    <w:lvl w:ilvl="0">
      <w:start w:val="1"/>
      <w:numFmt w:val="decimal"/>
      <w:suff w:val="tab"/>
      <w:lvlText w:val="%1."/>
      <w:lvlJc w:val="left"/>
      <w:pPr>
        <w:ind w:hanging="360" w:left="720"/>
        <w:tabs>
          <w:tab w:val="num" w:pos="72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1">
      <w:start w:val="1"/>
      <w:numFmt w:val="decimal"/>
      <w:suff w:val="tab"/>
      <w:lvlText w:val="%2."/>
      <w:lvlJc w:val="left"/>
      <w:pPr>
        <w:ind w:hanging="360" w:left="1080"/>
        <w:tabs>
          <w:tab w:val="num" w:pos="108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2">
      <w:start w:val="1"/>
      <w:numFmt w:val="decimal"/>
      <w:suff w:val="tab"/>
      <w:lvlText w:val="%3."/>
      <w:lvlJc w:val="left"/>
      <w:pPr>
        <w:ind w:hanging="360" w:left="1440"/>
        <w:tabs>
          <w:tab w:val="num" w:pos="144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3">
      <w:start w:val="1"/>
      <w:numFmt w:val="decimal"/>
      <w:suff w:val="tab"/>
      <w:lvlText w:val="%4."/>
      <w:lvlJc w:val="left"/>
      <w:pPr>
        <w:ind w:hanging="360" w:left="1800"/>
        <w:tabs>
          <w:tab w:val="num" w:pos="180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4">
      <w:start w:val="1"/>
      <w:numFmt w:val="decimal"/>
      <w:suff w:val="tab"/>
      <w:lvlText w:val="%5."/>
      <w:lvlJc w:val="left"/>
      <w:pPr>
        <w:ind w:hanging="360" w:left="2160"/>
        <w:tabs>
          <w:tab w:val="num" w:pos="216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5">
      <w:start w:val="1"/>
      <w:numFmt w:val="decimal"/>
      <w:suff w:val="tab"/>
      <w:lvlText w:val="%6."/>
      <w:lvlJc w:val="left"/>
      <w:pPr>
        <w:ind w:hanging="360" w:left="2520"/>
        <w:tabs>
          <w:tab w:val="num" w:pos="252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6">
      <w:start w:val="1"/>
      <w:numFmt w:val="decimal"/>
      <w:suff w:val="tab"/>
      <w:lvlText w:val="%7."/>
      <w:lvlJc w:val="left"/>
      <w:pPr>
        <w:ind w:hanging="360" w:left="2880"/>
        <w:tabs>
          <w:tab w:val="num" w:pos="288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7">
      <w:start w:val="1"/>
      <w:numFmt w:val="decimal"/>
      <w:suff w:val="tab"/>
      <w:lvlText w:val="%8."/>
      <w:lvlJc w:val="left"/>
      <w:pPr>
        <w:ind w:hanging="360" w:left="3240"/>
        <w:tabs>
          <w:tab w:val="num" w:pos="324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8">
      <w:start w:val="1"/>
      <w:numFmt w:val="decimal"/>
      <w:suff w:val="tab"/>
      <w:lvlText w:val="%9."/>
      <w:lvlJc w:val="left"/>
      <w:pPr>
        <w:ind w:hanging="360" w:left="3600"/>
        <w:tabs>
          <w:tab w:val="num" w:pos="3600" w:leader="none"/>
        </w:tabs>
      </w:pPr>
      <w:rPr>
        <w:rFonts w:ascii="Times New Roman" w:hAnsi="Times New Roman"/>
        <w:b w:val="0"/>
        <w:bCs w:val="0"/>
        <w:sz w:val="28"/>
        <w:szCs w:val="28"/>
      </w:rPr>
    </w:lvl>
  </w:abstractNum>
  <w:abstractNum w:abstractNumId="1">
    <w:nsid w:val="2468DFD2"/>
    <w:multiLevelType w:val="multilevel"/>
    <w:lvl w:ilvl="0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1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2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3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4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5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6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7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8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1"/>
  <w:evenAndOddHeaders w:val="0"/>
  <w:compat>
    <w:compatSetting w:name="compatibilityMode" w:uri="http://schemas.microsoft.com/office/word" w:val="12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0"/>
        <w:szCs w:val="22"/>
        <w:lang w:val="uk-UA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1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>
      <w:widowControl w:val="1"/>
      <w:suppressAutoHyphens w:val="1"/>
      <w:spacing w:before="0" w:after="0" w:beforeAutospacing="0" w:afterAutospacing="0"/>
      <w:bidi w:val="0"/>
      <w:jc w:val="left"/>
    </w:pPr>
    <w:rPr>
      <w:rFonts w:ascii="Times New Roman" w:hAnsi="Times New Roman"/>
      <w:color w:val="00000A"/>
      <w:sz w:val="24"/>
      <w:szCs w:val="24"/>
      <w:lang w:val="uk-UA" w:bidi="ar-SA" w:eastAsia="ru-RU"/>
    </w:rPr>
  </w:style>
  <w:style w:type="paragraph" w:styleId="P1">
    <w:name w:val="Heading 1"/>
    <w:basedOn w:val="P0"/>
    <w:link w:val="C5"/>
    <w:qFormat/>
    <w:pPr>
      <w:keepNext w:val="1"/>
      <w:spacing w:before="240" w:after="60" w:beforeAutospacing="0" w:afterAutospacing="0"/>
      <w:outlineLvl w:val="0"/>
    </w:pPr>
    <w:rPr>
      <w:rFonts w:ascii="Arial" w:hAnsi="Arial"/>
      <w:b w:val="1"/>
      <w:bCs w:val="1"/>
      <w:sz w:val="32"/>
      <w:szCs w:val="32"/>
      <w:kern w:val="2"/>
    </w:rPr>
  </w:style>
  <w:style w:type="paragraph" w:styleId="P2">
    <w:name w:val="Heading 2"/>
    <w:basedOn w:val="P0"/>
    <w:link w:val="C6"/>
    <w:semiHidden/>
    <w:qFormat/>
    <w:pPr>
      <w:keepNext w:val="1"/>
      <w:spacing w:before="240" w:after="60" w:beforeAutospacing="0" w:afterAutospacing="0"/>
      <w:outlineLvl w:val="1"/>
    </w:pPr>
    <w:rPr>
      <w:rFonts w:ascii="Cambria" w:hAnsi="Cambria"/>
      <w:b w:val="1"/>
      <w:i w:val="1"/>
      <w:bCs w:val="1"/>
      <w:iCs w:val="1"/>
      <w:sz w:val="28"/>
      <w:szCs w:val="28"/>
    </w:rPr>
  </w:style>
  <w:style w:type="paragraph" w:styleId="P3">
    <w:name w:val="Заголовок"/>
    <w:basedOn w:val="P0"/>
    <w:next w:val="P4"/>
    <w:qFormat/>
    <w:pPr>
      <w:keepNext w:val="1"/>
      <w:spacing w:before="240" w:after="120" w:beforeAutospacing="0" w:afterAutospacing="0"/>
    </w:pPr>
    <w:rPr>
      <w:rFonts w:ascii="Liberation Sans" w:hAnsi="Liberation Sans"/>
      <w:sz w:val="28"/>
      <w:szCs w:val="28"/>
    </w:rPr>
  </w:style>
  <w:style w:type="paragraph" w:styleId="P4">
    <w:name w:val="Body Text"/>
    <w:basedOn w:val="P0"/>
    <w:pPr>
      <w:spacing w:lineRule="auto" w:line="276" w:before="0" w:after="140" w:beforeAutospacing="0" w:afterAutospacing="0"/>
    </w:pPr>
    <w:rPr/>
  </w:style>
  <w:style w:type="paragraph" w:styleId="P5">
    <w:name w:val="List"/>
    <w:basedOn w:val="P4"/>
    <w:pPr/>
    <w:rPr/>
  </w:style>
  <w:style w:type="paragraph" w:styleId="P6">
    <w:name w:val="Caption"/>
    <w:basedOn w:val="P0"/>
    <w:qFormat/>
    <w:pPr>
      <w:suppressLineNumbers w:val="1"/>
      <w:spacing w:before="120" w:after="120" w:beforeAutospacing="0" w:afterAutospacing="0"/>
    </w:pPr>
    <w:rPr>
      <w:i w:val="1"/>
      <w:iCs w:val="1"/>
    </w:rPr>
  </w:style>
  <w:style w:type="paragraph" w:styleId="P7">
    <w:name w:val="Покажчик"/>
    <w:basedOn w:val="P0"/>
    <w:qFormat/>
    <w:pPr>
      <w:suppressLineNumbers w:val="1"/>
    </w:pPr>
    <w:rPr/>
  </w:style>
  <w:style w:type="character" w:styleId="C0" w:default="1">
    <w:name w:val="Default Paragraph Font"/>
    <w:semiHidden/>
    <w:qFormat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1 Знак"/>
    <w:basedOn w:val="C0"/>
    <w:qFormat/>
    <w:rPr>
      <w:rFonts w:ascii="Arial" w:hAnsi="Arial"/>
      <w:b w:val="1"/>
      <w:bCs w:val="1"/>
      <w:sz w:val="32"/>
      <w:szCs w:val="32"/>
      <w:kern w:val="2"/>
      <w:lang w:eastAsia="ru-RU"/>
    </w:rPr>
  </w:style>
  <w:style w:type="character" w:styleId="C4">
    <w:name w:val="Заголовок 2 Знак"/>
    <w:basedOn w:val="C0"/>
    <w:semiHidden/>
    <w:qFormat/>
    <w:rPr>
      <w:rFonts w:ascii="Cambria" w:hAnsi="Cambria"/>
      <w:b w:val="1"/>
      <w:i w:val="1"/>
      <w:bCs w:val="1"/>
      <w:iCs w:val="1"/>
      <w:sz w:val="28"/>
      <w:szCs w:val="28"/>
      <w:lang w:eastAsia="ru-RU"/>
    </w:rPr>
  </w:style>
  <w:style w:type="character" w:styleId="C5">
    <w:name w:val="Заголовок 1 Знак1"/>
    <w:basedOn w:val="C0"/>
    <w:link w:val="P1"/>
    <w:qFormat/>
    <w:rPr>
      <w:rFonts w:ascii="Times New Roman" w:hAnsi="Times New Roman"/>
      <w:b w:val="1"/>
      <w:bCs w:val="1"/>
      <w:sz w:val="32"/>
      <w:szCs w:val="24"/>
      <w:lang w:eastAsia="ru-RU"/>
    </w:rPr>
  </w:style>
  <w:style w:type="character" w:styleId="C6">
    <w:name w:val="Заголовок 2 Знак1"/>
    <w:basedOn w:val="C0"/>
    <w:link w:val="P2"/>
    <w:qFormat/>
    <w:rPr>
      <w:rFonts w:ascii="Arial" w:hAnsi="Arial"/>
      <w:b w:val="1"/>
      <w:i w:val="1"/>
      <w:bCs w:val="1"/>
      <w:iCs w:val="1"/>
      <w:sz w:val="28"/>
      <w:szCs w:val="28"/>
      <w:lang w:eastAsia="ru-RU"/>
    </w:rPr>
  </w:style>
  <w:style w:type="character" w:styleId="C7">
    <w:name w:val="Символ нумерації"/>
    <w:qFormat/>
    <w:rPr>
      <w:rFonts w:ascii="Times New Roman" w:hAnsi="Times New Roman"/>
      <w:b w:val="0"/>
      <w:bCs w:val="0"/>
      <w:sz w:val="28"/>
      <w:szCs w:val="28"/>
    </w:rPr>
  </w:style>
  <w:style w:type="table" w:styleId="T0" w:default="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emf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docProps/app.xml><?xml version="1.0" encoding="utf-8"?>
<Properties xmlns="http://schemas.openxmlformats.org/officeDocument/2006/extended-properties">
  <Application>DevExpress Office File API/21.1.3.0</Application>
  <AppVersion>21.1</AppVersion>
  <Template>Normal.dotm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nkhmel</dc:creator>
  <dcterms:created xsi:type="dcterms:W3CDTF">2022-02-22T13:50:00Z</dcterms:created>
  <dc:language>uk-UA</dc:language>
  <cp:lastPrinted>2023-07-13T09:36:49Z</cp:lastPrinted>
  <dcterms:modified xsi:type="dcterms:W3CDTF">2023-07-20T12:14:44Z</dcterms:modified>
  <cp:revision>34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AppVersion">
    <vt:lpwstr>12.0000</vt:lpwstr>
  </property>
  <property fmtid="{D5CDD505-2E9C-101B-9397-08002B2CF9AE}" pid="3" name="DocSecurity">
    <vt:i4>0</vt:i4>
  </property>
</Properties>
</file>