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sz w:val="26"/>
          <w:szCs w:val="26"/>
        </w:rPr>
      </w:pPr>
      <w:r>
        <w:rPr>
          <w:rFonts w:ascii="Times New Roman" w:hAnsi="Times New Roman"/>
          <w:b/>
          <w:bCs/>
          <w:sz w:val="26"/>
          <w:szCs w:val="26"/>
        </w:rPr>
        <w:t>ІНФОРМАЦІЯ ПРО ВИКОНАННЯ ПРОГРАМИ</w:t>
      </w:r>
    </w:p>
    <w:p>
      <w:pPr>
        <w:pStyle w:val="Normal"/>
        <w:jc w:val="center"/>
        <w:rPr>
          <w:rFonts w:ascii="Times New Roman" w:hAnsi="Times New Roman"/>
          <w:sz w:val="26"/>
          <w:szCs w:val="26"/>
        </w:rPr>
      </w:pPr>
      <w:r>
        <w:rPr>
          <w:rFonts w:ascii="Times New Roman" w:hAnsi="Times New Roman"/>
          <w:b/>
          <w:bCs/>
          <w:sz w:val="26"/>
          <w:szCs w:val="26"/>
        </w:rPr>
        <w:t xml:space="preserve"> </w:t>
      </w:r>
      <w:r>
        <w:rPr>
          <w:rFonts w:ascii="Times New Roman" w:hAnsi="Times New Roman"/>
          <w:b/>
          <w:bCs/>
          <w:sz w:val="26"/>
          <w:szCs w:val="26"/>
        </w:rPr>
        <w:t xml:space="preserve">ЕКОНОМІЧНОГО ТА СОЦІАЛЬНОГО РОЗВИТКУ ЛУЦЬКОЇ МІСЬКОЇ ТЕРИТОРІАЛЬНОЇ ГРОМАДИ </w:t>
      </w:r>
      <w:r>
        <w:rPr>
          <w:rFonts w:cs="Times New Roman" w:ascii="Times New Roman" w:hAnsi="Times New Roman"/>
          <w:b/>
          <w:bCs/>
          <w:sz w:val="26"/>
          <w:szCs w:val="26"/>
        </w:rPr>
        <w:t>ЗА І ПІВРІЧЧЯ 2023 РОКУ</w:t>
      </w:r>
    </w:p>
    <w:p>
      <w:pPr>
        <w:pStyle w:val="Normal"/>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jc w:val="center"/>
        <w:rPr>
          <w:rFonts w:ascii="Times New Roman" w:hAnsi="Times New Roman"/>
          <w:sz w:val="26"/>
          <w:szCs w:val="26"/>
        </w:rPr>
      </w:pPr>
      <w:r>
        <w:rPr>
          <w:rFonts w:cs="Times New Roman" w:ascii="Times New Roman" w:hAnsi="Times New Roman"/>
          <w:b/>
          <w:bCs/>
          <w:sz w:val="26"/>
          <w:szCs w:val="26"/>
        </w:rPr>
        <w:t>1. </w:t>
      </w:r>
      <w:r>
        <w:rPr>
          <w:rFonts w:cs="Times New Roman" w:ascii="Times New Roman" w:hAnsi="Times New Roman"/>
          <w:b/>
          <w:bCs/>
          <w:caps/>
          <w:sz w:val="26"/>
          <w:szCs w:val="26"/>
        </w:rPr>
        <w:t>короткі підсумки</w:t>
      </w:r>
    </w:p>
    <w:p>
      <w:pPr>
        <w:pStyle w:val="Normal"/>
        <w:jc w:val="center"/>
        <w:rPr>
          <w:rFonts w:ascii="Times New Roman" w:hAnsi="Times New Roman"/>
          <w:sz w:val="26"/>
          <w:szCs w:val="26"/>
        </w:rPr>
      </w:pPr>
      <w:r>
        <w:rPr>
          <w:rFonts w:cs="Times New Roman" w:ascii="Times New Roman" w:hAnsi="Times New Roman"/>
          <w:b/>
          <w:bCs/>
          <w:caps/>
          <w:sz w:val="26"/>
          <w:szCs w:val="26"/>
        </w:rPr>
        <w:t xml:space="preserve">економічного та соціального розвитку </w:t>
      </w:r>
    </w:p>
    <w:p>
      <w:pPr>
        <w:pStyle w:val="Normal"/>
        <w:jc w:val="center"/>
        <w:rPr>
          <w:rFonts w:ascii="Times New Roman" w:hAnsi="Times New Roman"/>
          <w:sz w:val="26"/>
          <w:szCs w:val="26"/>
        </w:rPr>
      </w:pPr>
      <w:r>
        <w:rPr>
          <w:rFonts w:cs="Times New Roman" w:ascii="Times New Roman" w:hAnsi="Times New Roman"/>
          <w:b/>
          <w:bCs/>
          <w:caps/>
          <w:sz w:val="26"/>
          <w:szCs w:val="26"/>
        </w:rPr>
        <w:t xml:space="preserve">луцької міської територіальної громади </w:t>
      </w:r>
    </w:p>
    <w:p>
      <w:pPr>
        <w:pStyle w:val="Normal"/>
        <w:jc w:val="center"/>
        <w:rPr>
          <w:rFonts w:ascii="Times New Roman" w:hAnsi="Times New Roman"/>
          <w:sz w:val="26"/>
          <w:szCs w:val="26"/>
        </w:rPr>
      </w:pPr>
      <w:r>
        <w:rPr>
          <w:rFonts w:cs="Times New Roman" w:ascii="Times New Roman" w:hAnsi="Times New Roman"/>
          <w:b/>
          <w:bCs/>
          <w:sz w:val="26"/>
          <w:szCs w:val="26"/>
        </w:rPr>
        <w:t>ЗА І ПІВРІЧЧЯ 2023 РОКУ</w:t>
      </w:r>
    </w:p>
    <w:p>
      <w:pPr>
        <w:pStyle w:val="Normal"/>
        <w:ind w:firstLine="567"/>
        <w:jc w:val="both"/>
        <w:rPr>
          <w:rFonts w:ascii="Times New Roman" w:hAnsi="Times New Roman" w:cs="Times New Roman"/>
          <w:color w:val="00B050"/>
          <w:sz w:val="26"/>
          <w:szCs w:val="26"/>
        </w:rPr>
      </w:pPr>
      <w:r>
        <w:rPr>
          <w:rFonts w:cs="Times New Roman" w:ascii="Times New Roman" w:hAnsi="Times New Roman"/>
          <w:color w:val="00B050"/>
          <w:sz w:val="26"/>
          <w:szCs w:val="26"/>
        </w:rPr>
      </w:r>
    </w:p>
    <w:p>
      <w:pPr>
        <w:pStyle w:val="Normal"/>
        <w:shd w:val="clear" w:color="auto" w:fill="FFFFFF"/>
        <w:ind w:firstLine="567"/>
        <w:jc w:val="both"/>
        <w:rPr>
          <w:rFonts w:ascii="Times New Roman" w:hAnsi="Times New Roman"/>
          <w:sz w:val="26"/>
          <w:szCs w:val="26"/>
        </w:rPr>
      </w:pPr>
      <w:r>
        <w:rPr>
          <w:rFonts w:cs="Times New Roman" w:ascii="Times New Roman" w:hAnsi="Times New Roman"/>
          <w:sz w:val="26"/>
          <w:szCs w:val="26"/>
        </w:rPr>
        <w:t xml:space="preserve">Згідно рішення міської ради від 13.12.2022 № 38/9 «Про Програму економічного та соціального розвитку Луцької міської територіальної громади на 2023 рік» основні завдання Програми були спрямовані на забезпечення </w:t>
      </w:r>
      <w:r>
        <w:rPr>
          <w:rFonts w:cs="Times New Roman" w:ascii="Times New Roman" w:hAnsi="Times New Roman"/>
          <w:sz w:val="26"/>
          <w:szCs w:val="26"/>
          <w:shd w:fill="FFFFFF" w:val="clear"/>
        </w:rPr>
        <w:t>підтримки</w:t>
      </w:r>
      <w:r>
        <w:rPr>
          <w:rFonts w:cs="Times New Roman" w:ascii="Times New Roman" w:hAnsi="Times New Roman"/>
          <w:sz w:val="26"/>
          <w:szCs w:val="26"/>
        </w:rPr>
        <w:t xml:space="preserve"> життєдіяльності громади в особливих умовах воєнного стану. </w:t>
      </w:r>
    </w:p>
    <w:p>
      <w:pPr>
        <w:pStyle w:val="Normal"/>
        <w:shd w:val="clear" w:color="auto" w:fill="FFFFFF"/>
        <w:ind w:firstLine="567"/>
        <w:jc w:val="both"/>
        <w:rPr>
          <w:rFonts w:ascii="Times New Roman" w:hAnsi="Times New Roman"/>
          <w:sz w:val="26"/>
          <w:szCs w:val="26"/>
        </w:rPr>
      </w:pPr>
      <w:r>
        <w:rPr>
          <w:rFonts w:cs="Times New Roman" w:ascii="Times New Roman" w:hAnsi="Times New Roman"/>
          <w:sz w:val="26"/>
          <w:szCs w:val="26"/>
        </w:rPr>
        <w:t xml:space="preserve">Завдячуючи колосальній мужності Збройних Сил України та підрозділів територіальної оборони, географія бойових дій сьогодні розмежована на найбільш «гарячі місця» та тилові громади, у яких бізнес намагається працювати на повну потужність, жителі яких приймають постраждалих зі східних регіонів нашої держави, волонтери докладають максимум зусиль у підтримці усіх, хто потребує будь-якої допомоги. Керуючись задекларованими у Програмі завданнями та заходами, для роботи Луцької міської ради на початку 2023 року базовими стали: боротьба за економічний розвиток громади, робота над покращення місцевого бізнес клімату, розбудова інженерно-транспортної інфраструктури, реалізація соціальних проєктів та проєктів із енергоефективності, допомога Збройним Силам України, а також забезпечення захисту населення та стратегічно важливих об’єктів, </w:t>
      </w:r>
      <w:r>
        <w:rPr>
          <w:rFonts w:cs="Times New Roman" w:ascii="Times New Roman" w:hAnsi="Times New Roman"/>
          <w:bCs/>
          <w:sz w:val="26"/>
          <w:szCs w:val="26"/>
        </w:rPr>
        <w:t>підвищення рівня безпеки жителів громади.</w:t>
      </w:r>
    </w:p>
    <w:p>
      <w:pPr>
        <w:pStyle w:val="Normal"/>
        <w:shd w:val="clear" w:color="auto" w:fill="FFFFFF"/>
        <w:ind w:firstLine="567"/>
        <w:jc w:val="both"/>
        <w:rPr>
          <w:rFonts w:ascii="Times New Roman" w:hAnsi="Times New Roman"/>
          <w:sz w:val="26"/>
          <w:szCs w:val="26"/>
        </w:rPr>
      </w:pPr>
      <w:r>
        <w:rPr>
          <w:rFonts w:cs="Times New Roman" w:ascii="Times New Roman" w:hAnsi="Times New Roman"/>
          <w:bCs/>
          <w:sz w:val="26"/>
          <w:szCs w:val="26"/>
        </w:rPr>
        <w:t xml:space="preserve">Станом на 01.07.2023 у </w:t>
      </w:r>
      <w:r>
        <w:rPr>
          <w:rFonts w:cs="Times New Roman" w:ascii="Times New Roman" w:hAnsi="Times New Roman"/>
          <w:sz w:val="26"/>
          <w:szCs w:val="26"/>
        </w:rPr>
        <w:t>Луцькій міській територіальній громаді для оповіщення населення про загрозу або виникнення надзвичайних ситуацій забезпечено роботу 19 електросирен. Д</w:t>
      </w:r>
      <w:r>
        <w:rPr>
          <w:rFonts w:ascii="Times New Roman" w:hAnsi="Times New Roman"/>
          <w:color w:val="000000"/>
          <w:spacing w:val="4"/>
          <w:sz w:val="26"/>
          <w:szCs w:val="26"/>
          <w:shd w:fill="FFFFFF" w:val="clear"/>
        </w:rPr>
        <w:t>ля тривалого перебування людей у випадку надзвичайної ситуації функціонують</w:t>
      </w:r>
      <w:r>
        <w:rPr>
          <w:rFonts w:cs="Times New Roman" w:ascii="Times New Roman" w:hAnsi="Times New Roman"/>
          <w:sz w:val="26"/>
          <w:szCs w:val="26"/>
        </w:rPr>
        <w:t xml:space="preserve"> 724 найпростіших укриття та 101 захисна споруда різних форм власності.</w:t>
      </w:r>
    </w:p>
    <w:p>
      <w:pPr>
        <w:pStyle w:val="Normal"/>
        <w:shd w:val="clear" w:color="auto" w:fill="FFFFFF"/>
        <w:ind w:firstLine="567"/>
        <w:jc w:val="both"/>
        <w:rPr>
          <w:rFonts w:ascii="Times New Roman" w:hAnsi="Times New Roman"/>
          <w:sz w:val="26"/>
          <w:szCs w:val="26"/>
        </w:rPr>
      </w:pPr>
      <w:r>
        <w:rPr>
          <w:rFonts w:cs="Times New Roman" w:ascii="Times New Roman" w:hAnsi="Times New Roman"/>
          <w:b/>
          <w:bCs/>
          <w:sz w:val="26"/>
          <w:szCs w:val="26"/>
        </w:rPr>
        <w:t xml:space="preserve"> </w:t>
      </w:r>
      <w:r>
        <w:rPr>
          <w:rFonts w:cs="Times New Roman" w:ascii="Times New Roman" w:hAnsi="Times New Roman"/>
          <w:bCs/>
          <w:sz w:val="26"/>
          <w:szCs w:val="26"/>
        </w:rPr>
        <w:t>З метою підвищення рівня безпеки жителів громади</w:t>
      </w:r>
      <w:r>
        <w:rPr>
          <w:rFonts w:cs="Times New Roman" w:ascii="Times New Roman" w:hAnsi="Times New Roman"/>
          <w:sz w:val="26"/>
          <w:szCs w:val="26"/>
        </w:rPr>
        <w:t xml:space="preserve">, захисту стратегічно важливих об’єктів, комунального майна, посилення безпеки дорожнього руху, підвищення рівня розкриття правопорушень, в рамках Програми «Безпечне місто Луцьк» встановлені та функціонують камери зовнішнього відеоспостереження (394 шт. у м. Луцьку та 54 шт. у сільських населених пунктах громади). </w:t>
      </w:r>
    </w:p>
    <w:p>
      <w:pPr>
        <w:pStyle w:val="Normal"/>
        <w:shd w:val="clear" w:color="auto" w:fill="FFFFFF"/>
        <w:ind w:firstLine="567"/>
        <w:jc w:val="both"/>
        <w:rPr>
          <w:rFonts w:ascii="Times New Roman" w:hAnsi="Times New Roman"/>
          <w:sz w:val="26"/>
          <w:szCs w:val="26"/>
        </w:rPr>
      </w:pPr>
      <w:r>
        <w:rPr>
          <w:rFonts w:cs="Times New Roman" w:ascii="Times New Roman" w:hAnsi="Times New Roman"/>
          <w:sz w:val="26"/>
          <w:szCs w:val="26"/>
        </w:rPr>
        <w:t xml:space="preserve">Протягом звітного періоду продовжували працювати: Луцький центральний пункту допомоги Збройним силам України, підрозділам територіальної оборони, внутрішньо перемішеним особам та містам України, які потребують гуманітарної допомоги; </w:t>
      </w:r>
      <w:r>
        <w:rPr>
          <w:rFonts w:cs="Times New Roman" w:ascii="Times New Roman" w:hAnsi="Times New Roman"/>
          <w:spacing w:val="3"/>
          <w:sz w:val="26"/>
          <w:szCs w:val="26"/>
          <w:shd w:fill="FFFFFF" w:val="clear"/>
        </w:rPr>
        <w:t xml:space="preserve">Луцький центр підтримки евакуації та адаптації бізнесу; </w:t>
      </w:r>
      <w:r>
        <w:rPr>
          <w:rFonts w:cs="Times New Roman" w:ascii="Times New Roman" w:hAnsi="Times New Roman"/>
          <w:sz w:val="26"/>
          <w:szCs w:val="26"/>
        </w:rPr>
        <w:t>Центр взаємопідтримки внутрішньо переміщених осіб; Центр підтримки сімей військовополонених і військовослужбовців, які вважаються зниклими безвісти.</w:t>
      </w:r>
    </w:p>
    <w:p>
      <w:pPr>
        <w:pStyle w:val="Normal"/>
        <w:shd w:val="clear" w:color="auto" w:fill="FFFFFF"/>
        <w:ind w:firstLine="567"/>
        <w:jc w:val="both"/>
        <w:rPr>
          <w:rFonts w:ascii="Times New Roman" w:hAnsi="Times New Roman"/>
          <w:sz w:val="26"/>
          <w:szCs w:val="26"/>
        </w:rPr>
      </w:pPr>
      <w:r>
        <w:rPr>
          <w:rFonts w:cs="Times New Roman" w:ascii="Times New Roman" w:hAnsi="Times New Roman"/>
          <w:sz w:val="26"/>
          <w:szCs w:val="26"/>
        </w:rPr>
        <w:t xml:space="preserve">Підтримка військових формувань з бюджету громади здійснювалась відповідно до </w:t>
      </w:r>
      <w:r>
        <w:rPr>
          <w:rFonts w:cs="Times New Roman" w:ascii="Times New Roman" w:hAnsi="Times New Roman"/>
          <w:sz w:val="26"/>
          <w:szCs w:val="26"/>
          <w:shd w:fill="FFFFFF" w:val="clear"/>
        </w:rPr>
        <w:t>Програми покращення матеріально-технічного забезпечення військових частин, проведення заходів мобілізаційної підготовки на 2023 рік, Програми заходів територіальної оборони Луцької міської територіальної громади на 2022-2024 роки, Програми виконання доручень виборців та здійснення депутатських повноважень депутатами Луцької міської ради. На їх реалізацію у 2023 році передбачено 70,2 млн грн. На заходи із запобігання надзвичайних ситуацій відповідно до Програми розвитку цивільного захисту Луцької міської територіальної громади на 2021-2025 роки передбачено 39,6 млн грн.</w:t>
      </w:r>
    </w:p>
    <w:p>
      <w:pPr>
        <w:pStyle w:val="Normal"/>
        <w:ind w:firstLine="567"/>
        <w:jc w:val="both"/>
        <w:rPr>
          <w:rFonts w:ascii="Times New Roman" w:hAnsi="Times New Roman"/>
          <w:sz w:val="26"/>
          <w:szCs w:val="26"/>
        </w:rPr>
      </w:pPr>
      <w:r>
        <w:rPr>
          <w:rFonts w:cs="Times New Roman" w:ascii="Times New Roman" w:hAnsi="Times New Roman"/>
          <w:spacing w:val="-4"/>
          <w:kern w:val="0"/>
          <w:sz w:val="26"/>
          <w:szCs w:val="26"/>
          <w:highlight w:val="white"/>
        </w:rPr>
        <w:t xml:space="preserve">Протягом 2022 року та І півріччя 2023 </w:t>
      </w:r>
      <w:r>
        <w:rPr>
          <w:rFonts w:cs="Times New Roman" w:ascii="Times New Roman" w:hAnsi="Times New Roman"/>
          <w:spacing w:val="-4"/>
          <w:kern w:val="0"/>
          <w:sz w:val="26"/>
          <w:szCs w:val="26"/>
        </w:rPr>
        <w:t xml:space="preserve">року, за даними Головного управління ДФС України у Волинській області, у нашій громаді зареєструвались 58 суб’єктів господарювання (32 – юридичні особи та 26 – фізичних </w:t>
      </w:r>
      <w:r>
        <w:rPr>
          <w:rFonts w:cs="Times New Roman" w:ascii="Times New Roman" w:hAnsi="Times New Roman"/>
          <w:spacing w:val="-4"/>
          <w:kern w:val="0"/>
          <w:sz w:val="26"/>
          <w:szCs w:val="26"/>
          <w:highlight w:val="white"/>
        </w:rPr>
        <w:t>осіб-підприємців), які раніше були зареєстровані на територіях, де ведуться (велися) активні бойові дії.</w:t>
      </w:r>
      <w:r>
        <w:rPr>
          <w:rFonts w:cs="Times New Roman" w:ascii="Times New Roman" w:hAnsi="Times New Roman"/>
          <w:spacing w:val="-4"/>
          <w:kern w:val="0"/>
          <w:sz w:val="26"/>
          <w:szCs w:val="26"/>
        </w:rPr>
        <w:t xml:space="preserve"> Всього </w:t>
      </w:r>
      <w:r>
        <w:rPr>
          <w:rFonts w:cs="Times New Roman" w:ascii="Times New Roman" w:hAnsi="Times New Roman"/>
          <w:sz w:val="26"/>
          <w:szCs w:val="26"/>
        </w:rPr>
        <w:t xml:space="preserve">кількість суб’єктів господарювання Луцької МТГ станом на 01.07.2023 складала 29 345 осіб (13 673 – юридичних осіб та 15 672 – фізичних осіб-підприємців). Кількість новостворених суб’єктів господарювання: юридичних осіб 251, фізичних осіб-підприємців – 1 173. Припинили діяльність у </w:t>
      </w:r>
      <w:r>
        <w:rPr>
          <w:rFonts w:cs="Times New Roman" w:ascii="Times New Roman" w:hAnsi="Times New Roman"/>
          <w:sz w:val="26"/>
          <w:szCs w:val="26"/>
          <w:lang w:val="en-US"/>
        </w:rPr>
        <w:t>I</w:t>
      </w:r>
      <w:r>
        <w:rPr>
          <w:rFonts w:cs="Times New Roman" w:ascii="Times New Roman" w:hAnsi="Times New Roman"/>
          <w:sz w:val="26"/>
          <w:szCs w:val="26"/>
        </w:rPr>
        <w:t xml:space="preserve"> півріччі 74 юридичні особи та 563 фізичних особи-підприємця. </w:t>
      </w:r>
    </w:p>
    <w:p>
      <w:pPr>
        <w:pStyle w:val="Normal"/>
        <w:ind w:firstLine="567"/>
        <w:jc w:val="both"/>
        <w:rPr>
          <w:rFonts w:ascii="Times New Roman" w:hAnsi="Times New Roman"/>
          <w:sz w:val="26"/>
          <w:szCs w:val="26"/>
        </w:rPr>
      </w:pPr>
      <w:r>
        <w:rPr>
          <w:rFonts w:cs="Times New Roman" w:ascii="Times New Roman" w:hAnsi="Times New Roman"/>
          <w:sz w:val="26"/>
          <w:szCs w:val="26"/>
        </w:rPr>
        <w:t>З метою забезпечення безперебійної роботи та функціонування бізнесу, суб’єктам господарювання, в рамках роботи Фонду підтримки підприємництва, із бюджету громади у звітному періоді було відшкодовано 1 751,3 тис. грн. на придбання альтернативних джерел живлення (генераторів).</w:t>
      </w:r>
    </w:p>
    <w:p>
      <w:pPr>
        <w:pStyle w:val="Normal"/>
        <w:ind w:firstLine="567"/>
        <w:jc w:val="both"/>
        <w:rPr>
          <w:rFonts w:ascii="Times New Roman" w:hAnsi="Times New Roman"/>
          <w:sz w:val="26"/>
          <w:szCs w:val="26"/>
        </w:rPr>
      </w:pPr>
      <w:r>
        <w:rPr>
          <w:rFonts w:cs="Times New Roman" w:ascii="Times New Roman" w:hAnsi="Times New Roman"/>
          <w:sz w:val="26"/>
          <w:szCs w:val="26"/>
        </w:rPr>
        <w:t>Упродовж  січня-червня послугами служби зайнятості скористалося 3 734 незайнятих громадян. Завдяки реалізації активних програм зайнятості було працевлаштовано 1 156 осіб, з них – 675 безробітні; професійним навчанням та підвищенням кваліфікації охоплено 95 безробітних; безробітні громадяни також залучались до участі  у громадських та інших роботах тимчасового характеру.</w:t>
      </w:r>
    </w:p>
    <w:p>
      <w:pPr>
        <w:pStyle w:val="Normal"/>
        <w:ind w:firstLine="567"/>
        <w:jc w:val="both"/>
        <w:rPr>
          <w:rFonts w:ascii="Times New Roman" w:hAnsi="Times New Roman"/>
          <w:sz w:val="26"/>
          <w:szCs w:val="26"/>
        </w:rPr>
      </w:pPr>
      <w:r>
        <w:rPr>
          <w:rFonts w:ascii="Times New Roman" w:hAnsi="Times New Roman"/>
          <w:sz w:val="26"/>
          <w:szCs w:val="26"/>
        </w:rPr>
        <w:t>На виконання заходів цільових програм Луцької міської територіальної громади бюджетом громади на 2023 передбачено 1 411 598,6 тис. грн, що склало 45,1 % від потреби (3 127 991,9 тис. грн). Протягом звітного періоду профінансовано 456 615,5 тис. грн, що склало 12,5 % від передбачених (Додаток 1).</w:t>
      </w:r>
      <w:r>
        <w:br w:type="page"/>
      </w:r>
    </w:p>
    <w:p>
      <w:pPr>
        <w:pStyle w:val="Normal"/>
        <w:jc w:val="center"/>
        <w:rPr>
          <w:rFonts w:ascii="Times New Roman" w:hAnsi="Times New Roman"/>
          <w:sz w:val="26"/>
          <w:szCs w:val="26"/>
        </w:rPr>
      </w:pPr>
      <w:r>
        <w:rPr>
          <w:rFonts w:ascii="Times New Roman" w:hAnsi="Times New Roman"/>
          <w:b/>
          <w:bCs/>
          <w:sz w:val="26"/>
          <w:szCs w:val="26"/>
        </w:rPr>
        <w:t>2. </w:t>
      </w:r>
      <w:r>
        <w:rPr>
          <w:rFonts w:cs="Times New Roman" w:ascii="Times New Roman" w:hAnsi="Times New Roman"/>
          <w:b/>
          <w:bCs/>
          <w:sz w:val="26"/>
          <w:szCs w:val="26"/>
        </w:rPr>
        <w:t>РЕАЛІЗАЦІЯ ОСНОВНИХ ПРІОРИТЕТНИХ ЗАВДАНЬ</w:t>
      </w:r>
    </w:p>
    <w:p>
      <w:pPr>
        <w:pStyle w:val="Normal"/>
        <w:jc w:val="center"/>
        <w:rPr>
          <w:rFonts w:ascii="Times New Roman" w:hAnsi="Times New Roman"/>
          <w:sz w:val="26"/>
          <w:szCs w:val="26"/>
        </w:rPr>
      </w:pPr>
      <w:r>
        <w:rPr>
          <w:rFonts w:cs="Times New Roman" w:ascii="Times New Roman" w:hAnsi="Times New Roman"/>
          <w:b/>
          <w:bCs/>
          <w:sz w:val="26"/>
          <w:szCs w:val="26"/>
        </w:rPr>
        <w:t>ЕКОНОМІЧНОГО ТА СОЦІАЛЬНОГО РОЗВИТКУ ЛУЦЬКОЇ МІСЬКОЇ</w:t>
      </w:r>
    </w:p>
    <w:p>
      <w:pPr>
        <w:pStyle w:val="Normal"/>
        <w:jc w:val="center"/>
        <w:rPr>
          <w:rFonts w:ascii="Times New Roman" w:hAnsi="Times New Roman"/>
          <w:sz w:val="26"/>
          <w:szCs w:val="26"/>
        </w:rPr>
      </w:pPr>
      <w:r>
        <w:rPr>
          <w:rFonts w:cs="Times New Roman" w:ascii="Times New Roman" w:hAnsi="Times New Roman"/>
          <w:b/>
          <w:bCs/>
          <w:sz w:val="26"/>
          <w:szCs w:val="26"/>
        </w:rPr>
        <w:t xml:space="preserve">ТЕРИТОРІАЛЬНОЇ ГРОМАДИ У </w:t>
      </w:r>
      <w:r>
        <w:rPr>
          <w:rFonts w:ascii="Times New Roman" w:hAnsi="Times New Roman"/>
          <w:b/>
          <w:bCs/>
          <w:sz w:val="26"/>
          <w:szCs w:val="26"/>
        </w:rPr>
        <w:t>І ПІВРІЧЧІ 2023 РОКУ</w:t>
      </w:r>
    </w:p>
    <w:p>
      <w:pPr>
        <w:pStyle w:val="Normal"/>
        <w:ind w:firstLine="567"/>
        <w:jc w:val="both"/>
        <w:rPr>
          <w:rFonts w:ascii="Times New Roman" w:hAnsi="Times New Roman"/>
          <w:sz w:val="26"/>
          <w:szCs w:val="26"/>
        </w:rPr>
      </w:pPr>
      <w:r>
        <w:rPr>
          <w:rFonts w:ascii="Times New Roman" w:hAnsi="Times New Roman"/>
          <w:sz w:val="26"/>
          <w:szCs w:val="26"/>
        </w:rPr>
      </w:r>
    </w:p>
    <w:p>
      <w:pPr>
        <w:pStyle w:val="Normal"/>
        <w:ind w:firstLine="567"/>
        <w:jc w:val="both"/>
        <w:rPr>
          <w:rFonts w:ascii="Times New Roman" w:hAnsi="Times New Roman"/>
          <w:sz w:val="26"/>
          <w:szCs w:val="26"/>
        </w:rPr>
      </w:pPr>
      <w:r>
        <w:rPr>
          <w:rFonts w:cs="Times New Roman" w:ascii="Times New Roman" w:hAnsi="Times New Roman"/>
          <w:b/>
          <w:bCs/>
          <w:kern w:val="0"/>
          <w:sz w:val="26"/>
          <w:szCs w:val="26"/>
        </w:rPr>
        <w:t xml:space="preserve">1. Реалізація проєкту «Модернізація системи водопостачання та водовідведення м. Луцьк» в рамках проєкту «Програма розвитку муніципальної інфраструктури України»: </w:t>
      </w:r>
      <w:bookmarkStart w:id="0" w:name="__DdeLink__270_38956547401"/>
      <w:r>
        <w:rPr>
          <w:rFonts w:ascii="Times New Roman" w:hAnsi="Times New Roman"/>
          <w:b/>
          <w:bCs/>
          <w:kern w:val="0"/>
          <w:sz w:val="26"/>
          <w:szCs w:val="26"/>
        </w:rPr>
        <w:t>модернізація технологічної системи водопідготовки м. Луцька.</w:t>
      </w:r>
      <w:bookmarkEnd w:id="0"/>
      <w:r>
        <w:rPr>
          <w:rFonts w:cs="Times New Roman" w:ascii="Times New Roman" w:hAnsi="Times New Roman"/>
          <w:b/>
          <w:bCs/>
          <w:kern w:val="0"/>
          <w:sz w:val="26"/>
          <w:szCs w:val="26"/>
        </w:rPr>
        <w:t xml:space="preserve"> </w:t>
      </w:r>
    </w:p>
    <w:p>
      <w:pPr>
        <w:pStyle w:val="Normal"/>
        <w:ind w:firstLine="567"/>
        <w:jc w:val="both"/>
        <w:rPr>
          <w:rFonts w:ascii="Times New Roman" w:hAnsi="Times New Roman"/>
          <w:sz w:val="26"/>
          <w:szCs w:val="26"/>
        </w:rPr>
      </w:pPr>
      <w:r>
        <w:rPr>
          <w:rFonts w:ascii="Times New Roman" w:hAnsi="Times New Roman"/>
          <w:sz w:val="26"/>
          <w:szCs w:val="26"/>
        </w:rPr>
        <w:t>В рамках проєкту, загальною вартістю 13,9 млн євро, планується модернізація технологічної системи водопідготовки м. Луцька із заміною фільтрів сирої води, турбін аерації, реконструкція каналізаційних очисних споруд з добудовою блоку біоенергетичного перероблювання та утилізації відходів тощо.</w:t>
      </w:r>
    </w:p>
    <w:p>
      <w:pPr>
        <w:pStyle w:val="Normal"/>
        <w:ind w:firstLine="567"/>
        <w:jc w:val="both"/>
        <w:rPr>
          <w:rFonts w:ascii="Times New Roman" w:hAnsi="Times New Roman"/>
          <w:sz w:val="26"/>
          <w:szCs w:val="26"/>
        </w:rPr>
      </w:pPr>
      <w:r>
        <w:rPr>
          <w:rFonts w:ascii="Times New Roman" w:hAnsi="Times New Roman"/>
          <w:sz w:val="26"/>
          <w:szCs w:val="26"/>
        </w:rPr>
        <w:t>У звітному періоді підписано угоду про передачу коштів позики, узгоджено довгостроковий план інвестицій та проведено закупівлю спеціальних транспортних засобів для обслуговування систем водопостачання та водовідведення.</w:t>
      </w:r>
    </w:p>
    <w:p>
      <w:pPr>
        <w:pStyle w:val="Normal"/>
        <w:ind w:firstLine="567"/>
        <w:jc w:val="both"/>
        <w:rPr>
          <w:rFonts w:ascii="Times New Roman" w:hAnsi="Times New Roman"/>
          <w:sz w:val="26"/>
          <w:szCs w:val="26"/>
        </w:rPr>
      </w:pPr>
      <w:r>
        <w:rPr>
          <w:rFonts w:ascii="Times New Roman" w:hAnsi="Times New Roman"/>
          <w:sz w:val="26"/>
          <w:szCs w:val="26"/>
        </w:rPr>
      </w:r>
    </w:p>
    <w:p>
      <w:pPr>
        <w:pStyle w:val="Normal"/>
        <w:ind w:firstLine="567"/>
        <w:jc w:val="both"/>
        <w:rPr>
          <w:rFonts w:ascii="Times New Roman" w:hAnsi="Times New Roman"/>
          <w:sz w:val="26"/>
          <w:szCs w:val="26"/>
        </w:rPr>
      </w:pPr>
      <w:r>
        <w:rPr>
          <w:rFonts w:ascii="Times New Roman" w:hAnsi="Times New Roman"/>
          <w:b/>
          <w:bCs/>
          <w:sz w:val="26"/>
          <w:szCs w:val="26"/>
        </w:rPr>
        <w:t>2. Завершення реалізації спільного з Європейським банком реконструкції та розвитку «Проєкту реконструкції системи централізованого теплопостачання у м. Луцьк»: впровадження «Системи моніторингу та диспетчеризації (SCADA)» (лот 7).</w:t>
      </w:r>
    </w:p>
    <w:p>
      <w:pPr>
        <w:pStyle w:val="Normal"/>
        <w:widowControl w:val="false"/>
        <w:ind w:firstLine="567"/>
        <w:jc w:val="both"/>
        <w:rPr>
          <w:rFonts w:ascii="Times New Roman" w:hAnsi="Times New Roman"/>
          <w:sz w:val="26"/>
          <w:szCs w:val="26"/>
        </w:rPr>
      </w:pPr>
      <w:r>
        <w:rPr>
          <w:rFonts w:ascii="Times New Roman" w:hAnsi="Times New Roman"/>
          <w:sz w:val="26"/>
          <w:szCs w:val="26"/>
          <w:lang w:eastAsia="uk-UA"/>
        </w:rPr>
        <w:t>Підписано додаткову угоду з ЄБРР про додаткове грантове фінансування в сумі 400 тис. євро. Планується завершення усіх робіт за проєктом: освоєння додаткового гранту, в рамках якого буде встановлено 20 додаткових ІТП, реалізацію лоту № 7 «Система моніторингу та диспетчеризації (SCADA)» для 350 будівель вартістю 130 тис. євро. Оціночний звіт першого етапу тендеру за даним лотом направлено на погодження ЄБРР.</w:t>
      </w:r>
    </w:p>
    <w:p>
      <w:pPr>
        <w:pStyle w:val="Normal"/>
        <w:widowControl w:val="false"/>
        <w:ind w:firstLine="567"/>
        <w:jc w:val="both"/>
        <w:rPr>
          <w:rFonts w:ascii="Times New Roman" w:hAnsi="Times New Roman"/>
          <w:sz w:val="26"/>
          <w:szCs w:val="26"/>
        </w:rPr>
      </w:pPr>
      <w:r>
        <w:rPr>
          <w:rFonts w:ascii="Times New Roman" w:hAnsi="Times New Roman"/>
          <w:sz w:val="26"/>
          <w:szCs w:val="26"/>
          <w:lang w:eastAsia="uk-UA" w:bidi="ar-SA"/>
        </w:rPr>
        <w:t>Розмір інвестицій для запровадження системи моніторингу та контролю SCADA становить 0,8 млн євро. Джерело фінансування – кредит Фонд Чистих Технологій, грантові кошти фонду Е5Р. На цей час тендерний процес призупинено у зв’язку із дією воєнного стану.</w:t>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ind w:firstLine="567"/>
        <w:jc w:val="both"/>
        <w:rPr>
          <w:rFonts w:ascii="Times New Roman" w:hAnsi="Times New Roman"/>
          <w:sz w:val="26"/>
          <w:szCs w:val="26"/>
        </w:rPr>
      </w:pPr>
      <w:r>
        <w:rPr>
          <w:rFonts w:cs="Times New Roman" w:ascii="Times New Roman" w:hAnsi="Times New Roman"/>
          <w:b/>
          <w:bCs/>
          <w:sz w:val="26"/>
          <w:szCs w:val="26"/>
        </w:rPr>
        <w:t>3. П</w:t>
      </w:r>
      <w:r>
        <w:rPr>
          <w:rFonts w:cs="Times New Roman" w:ascii="Times New Roman" w:hAnsi="Times New Roman"/>
          <w:b/>
          <w:bCs/>
          <w:kern w:val="0"/>
          <w:sz w:val="26"/>
          <w:szCs w:val="26"/>
        </w:rPr>
        <w:t xml:space="preserve">ридбання 30-ти нових тролейбусів в рамках підпроєкту Луцької міської ради </w:t>
      </w:r>
      <w:r>
        <w:rPr>
          <w:rFonts w:ascii="Times New Roman" w:hAnsi="Times New Roman"/>
          <w:b/>
          <w:bCs/>
          <w:sz w:val="26"/>
          <w:szCs w:val="26"/>
        </w:rPr>
        <w:t>«Оновлення тролейбусного парку м. Луцька». Спільний з Європейським інвестиційним банком проєкт «Міський громадський транспорт України ІІ».</w:t>
      </w:r>
    </w:p>
    <w:p>
      <w:pPr>
        <w:pStyle w:val="Normal"/>
        <w:widowControl w:val="false"/>
        <w:ind w:firstLine="567"/>
        <w:jc w:val="both"/>
        <w:rPr>
          <w:rFonts w:ascii="Times New Roman" w:hAnsi="Times New Roman"/>
          <w:sz w:val="26"/>
          <w:szCs w:val="26"/>
        </w:rPr>
      </w:pPr>
      <w:r>
        <w:rPr>
          <w:rFonts w:ascii="Times New Roman" w:hAnsi="Times New Roman"/>
          <w:sz w:val="26"/>
          <w:szCs w:val="26"/>
        </w:rPr>
        <w:t>На засіданні Керівного комітету проєкту «Міський громадський транспорт України ІІ» ухвалено рішення про затвердження субпроєкту «Оновлення тролейбусного парку м. Луцька» з обсягом фінансування (кредит) від Європейського інвестиційного банку в сумі 6,33 млн євро та</w:t>
      </w:r>
      <w:r>
        <w:rPr>
          <w:rFonts w:ascii="Times New Roman" w:hAnsi="Times New Roman"/>
          <w:sz w:val="26"/>
          <w:szCs w:val="26"/>
          <w:lang w:eastAsia="uk-UA" w:bidi="ar-SA"/>
        </w:rPr>
        <w:t xml:space="preserve"> внеском від ЛМР у розмірі 1,27 млн євро в 2023-2024 роках.</w:t>
      </w:r>
      <w:r>
        <w:rPr>
          <w:rFonts w:ascii="Times New Roman" w:hAnsi="Times New Roman"/>
          <w:sz w:val="26"/>
          <w:szCs w:val="26"/>
        </w:rPr>
        <w:t xml:space="preserve">   Планується підписати угоду про передачу коштів позики, провести процедуру закупівлі, укласти контракт з постачальником та отримати перші поставки рухомого складу. Триває фінальний етап узгодже</w:t>
      </w:r>
      <w:r>
        <w:rPr>
          <w:rFonts w:cs="Times New Roman" w:ascii="Times New Roman" w:hAnsi="Times New Roman"/>
          <w:kern w:val="0"/>
          <w:sz w:val="26"/>
          <w:szCs w:val="26"/>
          <w:shd w:fill="FFFFFF" w:val="clear"/>
        </w:rPr>
        <w:t>ння тендерної документації.</w:t>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ind w:firstLine="567"/>
        <w:jc w:val="both"/>
        <w:rPr>
          <w:rFonts w:ascii="Times New Roman" w:hAnsi="Times New Roman"/>
          <w:sz w:val="26"/>
          <w:szCs w:val="26"/>
        </w:rPr>
      </w:pPr>
      <w:r>
        <w:rPr>
          <w:rFonts w:ascii="Times New Roman" w:hAnsi="Times New Roman"/>
          <w:b/>
          <w:bCs/>
          <w:sz w:val="26"/>
          <w:szCs w:val="26"/>
        </w:rPr>
        <w:t>4. </w:t>
      </w:r>
      <w:r>
        <w:rPr>
          <w:rFonts w:cs="Times New Roman" w:ascii="Times New Roman" w:hAnsi="Times New Roman"/>
          <w:b/>
          <w:bCs/>
          <w:kern w:val="0"/>
          <w:sz w:val="26"/>
          <w:szCs w:val="26"/>
          <w:shd w:fill="FFFFFF" w:val="clear"/>
        </w:rPr>
        <w:t>Реалізація грантового проєкту «Конденсаційна рекуперація тепла з димових газів – Луцьк 5 МВт» («Condensing Heat Recovery From Flue Gas – Lutsk 5 MW») у співпраці ДКП «Луцьктепло» з НЕФКО.</w:t>
      </w:r>
    </w:p>
    <w:p>
      <w:pPr>
        <w:pStyle w:val="Normal"/>
        <w:widowControl w:val="false"/>
        <w:ind w:firstLine="567"/>
        <w:jc w:val="both"/>
        <w:rPr>
          <w:rFonts w:ascii="Times New Roman" w:hAnsi="Times New Roman"/>
          <w:sz w:val="26"/>
          <w:szCs w:val="26"/>
        </w:rPr>
      </w:pPr>
      <w:r>
        <w:rPr>
          <w:rFonts w:cs="Times New Roman" w:ascii="Times New Roman" w:hAnsi="Times New Roman"/>
          <w:kern w:val="0"/>
          <w:sz w:val="26"/>
          <w:szCs w:val="26"/>
          <w:shd w:fill="FFFFFF" w:val="clear"/>
          <w:lang w:eastAsia="ru-RU"/>
        </w:rPr>
        <w:t>Попри підписану грантову у</w:t>
      </w:r>
      <w:r>
        <w:rPr>
          <w:rFonts w:ascii="Times New Roman" w:hAnsi="Times New Roman"/>
          <w:sz w:val="26"/>
          <w:szCs w:val="26"/>
          <w:lang w:eastAsia="ru-RU"/>
        </w:rPr>
        <w:t>году з NEFCO на суму 500 тис. євро, через дію воєнного стану, діяльність фінсько-українського трастового фонду, який адмініструється NEFCO згорнуто. Відповідно, реалізацію проєкту припи</w:t>
      </w:r>
      <w:r>
        <w:rPr>
          <w:rFonts w:cs="Times New Roman" w:ascii="Times New Roman" w:hAnsi="Times New Roman"/>
          <w:kern w:val="0"/>
          <w:sz w:val="26"/>
          <w:szCs w:val="26"/>
          <w:shd w:fill="FFFFFF" w:val="clear"/>
          <w:lang w:eastAsia="ru-RU"/>
        </w:rPr>
        <w:t>нено.</w:t>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ind w:firstLine="567"/>
        <w:jc w:val="both"/>
        <w:rPr>
          <w:rFonts w:ascii="Times New Roman" w:hAnsi="Times New Roman"/>
          <w:sz w:val="26"/>
          <w:szCs w:val="26"/>
        </w:rPr>
      </w:pPr>
      <w:r>
        <w:rPr>
          <w:rFonts w:ascii="Times New Roman" w:hAnsi="Times New Roman"/>
          <w:b/>
          <w:bCs/>
          <w:sz w:val="26"/>
          <w:szCs w:val="26"/>
        </w:rPr>
        <w:t>5. </w:t>
      </w:r>
      <w:r>
        <w:rPr>
          <w:rFonts w:cs="Times New Roman" w:ascii="Times New Roman" w:hAnsi="Times New Roman"/>
          <w:b/>
          <w:bCs/>
          <w:kern w:val="0"/>
          <w:sz w:val="26"/>
          <w:szCs w:val="26"/>
          <w:shd w:fill="FFFFFF" w:val="clear"/>
        </w:rPr>
        <w:t>П</w:t>
      </w:r>
      <w:r>
        <w:rPr>
          <w:rFonts w:cs="Times New Roman" w:ascii="Times New Roman" w:hAnsi="Times New Roman"/>
          <w:b/>
          <w:bCs/>
          <w:kern w:val="0"/>
          <w:sz w:val="26"/>
          <w:szCs w:val="26"/>
        </w:rPr>
        <w:t>родовження впровадження Проєкту енергетичної безпеки USAID, в рамках якого у співпраці з компанією TetraTech ES, Inс. розробляється схема теплопостачання міста Луцька.</w:t>
      </w:r>
    </w:p>
    <w:p>
      <w:pPr>
        <w:pStyle w:val="Normal"/>
        <w:widowControl w:val="false"/>
        <w:ind w:firstLine="567"/>
        <w:jc w:val="both"/>
        <w:rPr/>
      </w:pPr>
      <w:r>
        <w:rPr>
          <w:rFonts w:ascii="Times New Roman" w:hAnsi="Times New Roman"/>
          <w:sz w:val="26"/>
          <w:szCs w:val="26"/>
        </w:rPr>
        <w:t>1 червня 2023 року підписано оновлений Меморандум про взаєморозуміння в рамках «Проєкту енергетичної безпеки». В рамках проєкту, в якості міжнародної технічної допомоги отримано 111 електрогенераторів різної потужності для екстреного живлення об’єктів інфраструктури, закладів освіти, пунктів обігріву тощо. З метою оперативної ліквідації аварійних ситуацій на мережах теплопостачання отримано екскаватор-навантажувач та 7 847 м. п. труб різних діаметрів для потреб ДКП</w:t>
      </w:r>
      <w:r>
        <w:rPr>
          <w:rFonts w:ascii="Times New Roman" w:hAnsi="Times New Roman"/>
          <w:sz w:val="26"/>
          <w:szCs w:val="26"/>
          <w:lang w:val="en-US"/>
        </w:rPr>
        <w:t> </w:t>
      </w:r>
      <w:r>
        <w:rPr>
          <w:rFonts w:ascii="Times New Roman" w:hAnsi="Times New Roman"/>
          <w:sz w:val="26"/>
          <w:szCs w:val="26"/>
        </w:rPr>
        <w:t xml:space="preserve">«Луцьктепло», 200 тон солі для очищення води, забезпечення безперебійної роботи котельного обладнання, систем водопідготовки, для регенерації фільтрів, а також запірну арматуру – сталеві засувки різних діаметрів і типів для блокування окремих ділянок трубопроводів. Задля забезпечення </w:t>
      </w:r>
      <w:r>
        <w:rPr>
          <w:rStyle w:val="Style16"/>
          <w:rFonts w:ascii="Times New Roman" w:hAnsi="Times New Roman"/>
          <w:b w:val="false"/>
          <w:sz w:val="26"/>
          <w:szCs w:val="26"/>
        </w:rPr>
        <w:t xml:space="preserve">безперервного надання </w:t>
      </w:r>
      <w:r>
        <w:rPr>
          <w:rFonts w:ascii="Times New Roman" w:hAnsi="Times New Roman"/>
          <w:sz w:val="26"/>
          <w:szCs w:val="26"/>
        </w:rPr>
        <w:t xml:space="preserve">в медичних та навчальних закладах </w:t>
      </w:r>
      <w:r>
        <w:rPr>
          <w:rStyle w:val="Style16"/>
          <w:rFonts w:ascii="Times New Roman" w:hAnsi="Times New Roman"/>
          <w:b w:val="false"/>
          <w:sz w:val="26"/>
          <w:szCs w:val="26"/>
        </w:rPr>
        <w:t xml:space="preserve">послуг з теплопостачання </w:t>
      </w:r>
      <w:r>
        <w:rPr>
          <w:rFonts w:ascii="Times New Roman" w:hAnsi="Times New Roman"/>
          <w:sz w:val="26"/>
          <w:szCs w:val="26"/>
        </w:rPr>
        <w:t>протягом опалювального періоду (</w:t>
      </w:r>
      <w:r>
        <w:rPr>
          <w:rStyle w:val="Style16"/>
          <w:rFonts w:ascii="Times New Roman" w:hAnsi="Times New Roman"/>
          <w:b w:val="false"/>
          <w:sz w:val="26"/>
          <w:szCs w:val="26"/>
        </w:rPr>
        <w:t>у разі перебоїв з централізованим теплопостачанням) отримано дві твердопаливні котельні потужністю 1 300 кВт та три резервні котельні на 200 та 300 кВт. Також у рамках реалізації проєкту поставлено аварійно-відновлювальний автомобіль для ремонту тепломереж.</w:t>
      </w:r>
    </w:p>
    <w:p>
      <w:pPr>
        <w:pStyle w:val="Normal"/>
        <w:widowControl w:val="false"/>
        <w:ind w:firstLine="567"/>
        <w:jc w:val="both"/>
        <w:rPr>
          <w:rFonts w:ascii="Times New Roman" w:hAnsi="Times New Roman"/>
          <w:sz w:val="26"/>
          <w:szCs w:val="26"/>
        </w:rPr>
      </w:pPr>
      <w:r>
        <w:rPr>
          <w:rFonts w:ascii="Times New Roman" w:hAnsi="Times New Roman"/>
          <w:sz w:val="26"/>
          <w:szCs w:val="26"/>
        </w:rPr>
        <w:t>Відповідні поставки продовжуватимуться упродовж 2023 року.</w:t>
      </w:r>
    </w:p>
    <w:p>
      <w:pPr>
        <w:pStyle w:val="Normal"/>
        <w:widowControl w:val="false"/>
        <w:ind w:firstLine="567"/>
        <w:jc w:val="both"/>
        <w:rPr>
          <w:rFonts w:ascii="Times New Roman" w:hAnsi="Times New Roman"/>
          <w:sz w:val="26"/>
          <w:szCs w:val="26"/>
        </w:rPr>
      </w:pPr>
      <w:r>
        <w:rPr>
          <w:rFonts w:cs="Times New Roman" w:ascii="Times New Roman" w:hAnsi="Times New Roman"/>
          <w:kern w:val="0"/>
          <w:sz w:val="26"/>
          <w:szCs w:val="26"/>
        </w:rPr>
        <w:t>Міністерством розвитку громад, територій та інфраструктури України затверджено схему теплопостачання Луцької міської територіальної громади.</w:t>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ind w:firstLine="567"/>
        <w:jc w:val="both"/>
        <w:rPr>
          <w:rFonts w:ascii="Times New Roman" w:hAnsi="Times New Roman"/>
          <w:sz w:val="26"/>
          <w:szCs w:val="26"/>
        </w:rPr>
      </w:pPr>
      <w:r>
        <w:rPr>
          <w:rFonts w:ascii="Times New Roman" w:hAnsi="Times New Roman"/>
          <w:b/>
          <w:bCs/>
          <w:sz w:val="26"/>
          <w:szCs w:val="26"/>
        </w:rPr>
        <w:t xml:space="preserve">6. Продовження реалізації заходів комплексної програми «Безпечне місто Луцьк» з метою підвищенню оперативності надходження інформації про поточну ситуацію на вулицях міста, про ділянки з підвищеним криміногенним показником, своєчасного інформування керівництва Луцької міської ради та територіальних органів виконавчої влади, про відомості щодо загрози </w:t>
      </w:r>
      <w:bookmarkStart w:id="1" w:name="_GoBack1"/>
      <w:bookmarkEnd w:id="1"/>
      <w:r>
        <w:rPr>
          <w:rFonts w:ascii="Times New Roman" w:hAnsi="Times New Roman"/>
          <w:b/>
          <w:bCs/>
          <w:sz w:val="26"/>
          <w:szCs w:val="26"/>
        </w:rPr>
        <w:t>виникнення надзвичайних подій (ситуацій) тощо.</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Завершено будівництво об’єкту: «"Безпечне місто Луцьк" – Нове будівництво з встановлення камер відеоспостереження по проспекту Відродження. Коригування». Здійснено перепідключення електроживлення камер відеоспостереження у Заборольському та Жидичинському старостинських округах. Проведено роботи для виготовлення документації для проєкту: «Нове будівництво з встановлення камер відеоспостереження у місті Луцьку на проспектах Молоді та Соборності. Коригування». Здійснено відновлення вузлів доступу до камер відеоспостереження, які вийшли з ладу внаслідок негоди. Система відеоспостереження «Безпечне місто» активно використовувалась правоохоронними органами в умовах воєнного стану з метою пошуку підозрілих осіб, транспортних засобів тощо.</w:t>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ind w:firstLine="567"/>
        <w:jc w:val="both"/>
        <w:rPr>
          <w:rFonts w:ascii="Times New Roman" w:hAnsi="Times New Roman"/>
          <w:sz w:val="26"/>
          <w:szCs w:val="26"/>
        </w:rPr>
      </w:pPr>
      <w:r>
        <w:rPr>
          <w:rFonts w:ascii="Times New Roman" w:hAnsi="Times New Roman"/>
          <w:b/>
          <w:bCs/>
          <w:sz w:val="26"/>
          <w:szCs w:val="26"/>
        </w:rPr>
        <w:t>7. Реалізація проєктів спрямованих на підтримку розвитку підприємництва та агропромислового комплексу:</w:t>
      </w:r>
    </w:p>
    <w:p>
      <w:pPr>
        <w:pStyle w:val="Normal"/>
        <w:widowControl w:val="false"/>
        <w:ind w:firstLine="567"/>
        <w:jc w:val="both"/>
        <w:rPr>
          <w:rFonts w:ascii="Times New Roman" w:hAnsi="Times New Roman"/>
          <w:sz w:val="26"/>
          <w:szCs w:val="26"/>
        </w:rPr>
      </w:pPr>
      <w:r>
        <w:rPr>
          <w:rFonts w:ascii="Times New Roman" w:hAnsi="Times New Roman"/>
          <w:b/>
          <w:bCs/>
          <w:sz w:val="26"/>
          <w:szCs w:val="26"/>
        </w:rPr>
        <w:t>«Зроблено в Луцьку», який націлений на підтримку місцевих товаровиробників шляхом розміщення позначки «Зроблено в Луцьку», поряд з цінниками в закладах торгівлі Луцької міської територіальної громади;</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З метою популяризації товарів місцевих виробників продовжено реалізацію проєкту «Зроблено в Луцьку». Торговельні мережі міста Луцька розміщували в закладах торгівлі інформаційної позначки товарів місцевих виробників «Зроблено в Луцьку» поряд з цінниками, внаслідок чого спостерігався ріст продажів відповідної продукції.</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r>
    </w:p>
    <w:p>
      <w:pPr>
        <w:pStyle w:val="Normal"/>
        <w:ind w:firstLine="567"/>
        <w:jc w:val="both"/>
        <w:rPr>
          <w:rFonts w:ascii="Times New Roman" w:hAnsi="Times New Roman"/>
          <w:sz w:val="26"/>
          <w:szCs w:val="26"/>
        </w:rPr>
      </w:pPr>
      <w:r>
        <w:rPr>
          <w:rFonts w:ascii="Times New Roman" w:hAnsi="Times New Roman"/>
          <w:b/>
          <w:bCs/>
          <w:sz w:val="26"/>
          <w:szCs w:val="26"/>
        </w:rPr>
        <w:t>«Центр підтримки експорту» спрямованого на покращення ділової активності експортно-орієнтованих суб’єктів малого та середнього підприємництва;</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На офіційному сайті Луцької міської ради розміщено розділ: «Центр експорту» з підрозділами: «Бізнес. Експорт», «Оголошення. Статистика», «Виставково-ярмаркові заходи», «Школа експорту». Дана інформація розрахована для суб’єктів господарювання різних сфер діяльності. Також на сайті можна ознайомитися з різноманітними новинками ринку праці, з новинами зовнішньоекономічної діяльності, як досягти успіху на міжнародних виставках, секрети виходу на ринки ЄС та переглядати календар найближчих бізнес-подій тощо.</w:t>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ind w:firstLine="567"/>
        <w:jc w:val="both"/>
        <w:rPr>
          <w:rFonts w:ascii="Times New Roman" w:hAnsi="Times New Roman"/>
          <w:sz w:val="26"/>
          <w:szCs w:val="26"/>
        </w:rPr>
      </w:pPr>
      <w:r>
        <w:rPr>
          <w:rFonts w:ascii="Times New Roman" w:hAnsi="Times New Roman"/>
          <w:b/>
          <w:bCs/>
          <w:sz w:val="26"/>
          <w:szCs w:val="26"/>
        </w:rPr>
        <w:t>Реалізація проєкту «Екологічні продукти для громади» (створення торговельних майданчиків для реалізації продукції сільськогосподарського виробництва);</w:t>
      </w:r>
    </w:p>
    <w:p>
      <w:pPr>
        <w:pStyle w:val="Normal"/>
        <w:ind w:firstLine="567"/>
        <w:jc w:val="both"/>
        <w:rPr>
          <w:rFonts w:ascii="Times New Roman" w:hAnsi="Times New Roman"/>
          <w:sz w:val="26"/>
          <w:szCs w:val="26"/>
        </w:rPr>
      </w:pPr>
      <w:r>
        <w:rPr>
          <w:rFonts w:cs="Times New Roman" w:ascii="Times New Roman" w:hAnsi="Times New Roman"/>
          <w:sz w:val="26"/>
          <w:szCs w:val="26"/>
        </w:rPr>
        <w:t>В рамках реалізації проєкту «Екологічні продукти для громади» в місті на постійній основі функціонують торговельні майданчики для реалізації продукції сільськогосподарського виробництва: на вул. Глушець (навпроти гімназії № 4), на вул. Єршова (поблизу ТЦ «Глобус»).</w:t>
      </w:r>
    </w:p>
    <w:p>
      <w:pPr>
        <w:pStyle w:val="Normal"/>
        <w:ind w:firstLine="567"/>
        <w:jc w:val="both"/>
        <w:rPr>
          <w:rFonts w:ascii="Times New Roman" w:hAnsi="Times New Roman" w:cs="Times New Roman"/>
          <w:sz w:val="26"/>
          <w:szCs w:val="26"/>
        </w:rPr>
      </w:pPr>
      <w:r>
        <w:rPr>
          <w:rFonts w:cs="Times New Roman" w:ascii="Times New Roman" w:hAnsi="Times New Roman"/>
          <w:sz w:val="26"/>
          <w:szCs w:val="26"/>
        </w:rPr>
      </w:r>
    </w:p>
    <w:p>
      <w:pPr>
        <w:pStyle w:val="Normal"/>
        <w:ind w:firstLine="567"/>
        <w:jc w:val="both"/>
        <w:rPr>
          <w:rFonts w:ascii="Times New Roman" w:hAnsi="Times New Roman"/>
          <w:sz w:val="26"/>
          <w:szCs w:val="26"/>
        </w:rPr>
      </w:pPr>
      <w:r>
        <w:rPr>
          <w:rFonts w:ascii="Times New Roman" w:hAnsi="Times New Roman"/>
          <w:b/>
          <w:bCs/>
          <w:sz w:val="26"/>
          <w:szCs w:val="26"/>
        </w:rPr>
        <w:t>«Фонд підтримки підприємництва» (відновлення роботи Луцького міського фонду підтримки підприємництва).</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З бюджету громади на фонд підтримки підприємництва Луцької міської територіальної громади було виділено 7,3 млн грн.</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У зв’язку з масованими ракетними ударами російської федерації об’єктів енергетичної інфраструктури,</w:t>
      </w:r>
      <w:r>
        <w:rPr>
          <w:rFonts w:cs="Times New Roman" w:ascii="Times New Roman" w:hAnsi="Times New Roman"/>
          <w:sz w:val="26"/>
          <w:szCs w:val="26"/>
          <w:shd w:fill="FFFFFF" w:val="clear"/>
        </w:rPr>
        <w:t xml:space="preserve"> зокрема ТЕС, ТЕЦ і ГЕС, виникла необхідність в економії електроенергії та запровадженні графіків стабілізаційних вимкнень на усій території України.</w:t>
      </w:r>
      <w:r>
        <w:rPr>
          <w:rFonts w:cs="Times New Roman" w:ascii="Times New Roman" w:hAnsi="Times New Roman"/>
          <w:sz w:val="26"/>
          <w:szCs w:val="26"/>
        </w:rPr>
        <w:t xml:space="preserve"> З метою забезпечення безперебійної роботи та функціонування бізнесу, суб’єкти господарювання змушені були закуповувати та встановлювати альтернативні джерела живлення. Для підтримки суб’єктів господарювання нашої громади кошти із «Фонду підтримки підприємництва» було використано на часткове відшкодування  витрат на закупівлю альтернативних джерел живлення.</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Відповідно до рішень комісії з розподілу коштів фонду підтримки підприємництва Луцької міської територіальної громади було погоджено 47 заявок суб’єктів господарювання. На відшкодування альтернативних джерел живлення (генераторів) виділено з бюджету міста 1 751 350 грн.</w:t>
      </w:r>
    </w:p>
    <w:p>
      <w:pPr>
        <w:pStyle w:val="Normal"/>
        <w:ind w:firstLine="567"/>
        <w:jc w:val="both"/>
        <w:rPr>
          <w:rFonts w:ascii="Times New Roman" w:hAnsi="Times New Roman"/>
          <w:b/>
          <w:b/>
          <w:bCs/>
          <w:sz w:val="26"/>
          <w:szCs w:val="26"/>
        </w:rPr>
      </w:pPr>
      <w:r>
        <w:rPr>
          <w:rFonts w:ascii="Times New Roman" w:hAnsi="Times New Roman"/>
          <w:b/>
          <w:bCs/>
          <w:sz w:val="26"/>
          <w:szCs w:val="26"/>
        </w:rPr>
      </w:r>
    </w:p>
    <w:p>
      <w:pPr>
        <w:pStyle w:val="Normal"/>
        <w:ind w:firstLine="567"/>
        <w:jc w:val="both"/>
        <w:rPr>
          <w:rFonts w:ascii="Times New Roman" w:hAnsi="Times New Roman"/>
          <w:sz w:val="26"/>
          <w:szCs w:val="26"/>
        </w:rPr>
      </w:pPr>
      <w:r>
        <w:rPr>
          <w:rFonts w:ascii="Times New Roman" w:hAnsi="Times New Roman"/>
          <w:b/>
          <w:bCs/>
          <w:sz w:val="26"/>
          <w:szCs w:val="26"/>
        </w:rPr>
        <w:t>8. Продовження реалізації проєкту «Підприємливі діти: Луцьк-Люблін», який спрямований на отримання учнями молодшого шкільного віку базових знань про підприємництво та бізнес-середовище в громаді, області та за межами країни.</w:t>
      </w:r>
    </w:p>
    <w:p>
      <w:pPr>
        <w:pStyle w:val="Normal"/>
        <w:widowControl w:val="false"/>
        <w:ind w:firstLine="567"/>
        <w:jc w:val="both"/>
        <w:rPr>
          <w:rFonts w:ascii="Times New Roman" w:hAnsi="Times New Roman"/>
          <w:sz w:val="26"/>
          <w:szCs w:val="26"/>
        </w:rPr>
      </w:pPr>
      <w:r>
        <w:rPr>
          <w:rFonts w:cs="Times New Roman" w:ascii="Times New Roman" w:hAnsi="Times New Roman"/>
          <w:kern w:val="0"/>
          <w:sz w:val="26"/>
          <w:szCs w:val="26"/>
          <w:lang w:eastAsia="uk-UA" w:bidi="ar-SA"/>
        </w:rPr>
        <w:t>Уже вдруге у Луцьку, спільно з мерією міста Люблін, університетами імені Марі Кюрі-Склодовської, Волинським національним університетом імені Лесі Українки, ГО «Ефект дитини» та бізнес-партнерами реалізовано проєкт «Підприємливі діти: Луцьк-Люблін» (</w:t>
      </w:r>
      <w:r>
        <w:rPr>
          <w:rFonts w:cs="Times New Roman" w:ascii="Times New Roman" w:hAnsi="Times New Roman"/>
          <w:sz w:val="26"/>
          <w:szCs w:val="26"/>
        </w:rPr>
        <w:t>передбачав проведення комплексних навчально-тренувальних занять, майстер-класів та екскурсійних подорожей, що спрямовані на здобуття учнями та студентами умінь ведення підпр</w:t>
      </w:r>
      <w:r>
        <w:rPr>
          <w:rFonts w:ascii="Times New Roman" w:hAnsi="Times New Roman"/>
          <w:sz w:val="26"/>
          <w:szCs w:val="26"/>
        </w:rPr>
        <w:t>иємницької діяльності, демонстрацію на реальних прикладах чинних бізнес-візерунків міст Луцька та Любліна, процесів економічного розвитку конкретних підприємств тощо).</w:t>
      </w:r>
    </w:p>
    <w:p>
      <w:pPr>
        <w:pStyle w:val="Normal"/>
        <w:widowControl w:val="false"/>
        <w:ind w:firstLine="567"/>
        <w:jc w:val="both"/>
        <w:rPr>
          <w:rFonts w:ascii="Times New Roman" w:hAnsi="Times New Roman"/>
          <w:sz w:val="26"/>
          <w:szCs w:val="26"/>
        </w:rPr>
      </w:pPr>
      <w:r>
        <w:rPr>
          <w:rFonts w:ascii="Times New Roman" w:hAnsi="Times New Roman"/>
          <w:sz w:val="26"/>
          <w:szCs w:val="26"/>
        </w:rPr>
        <w:t xml:space="preserve">Вперше цього року учасниками проєкту стали вихованці ЗДО № 5 та № 10, а також учні КЗ «Луцька гімназія № 4 імені Модеста Левицького”», КЗ «Луцький навчально-виховний комплекс «Гімназія № 14» імені Василя Сухомлинського. Загалом участь у  проєкті взяли </w:t>
      </w:r>
      <w:r>
        <w:rPr>
          <w:rFonts w:ascii="Times New Roman" w:hAnsi="Times New Roman"/>
          <w:sz w:val="26"/>
          <w:szCs w:val="26"/>
          <w:lang w:eastAsia="uk-UA" w:bidi="ar-SA"/>
        </w:rPr>
        <w:t>60 дітей, 15 студентів та 8 бізнес партнерів: «Модерн-Експо», «Рута», «Едельвіка», «Тигрес», «Фелічіта», «Укрексімбанк», студія декору «With love», майстер гончарної справи Анатолій Філозоф.</w:t>
      </w:r>
    </w:p>
    <w:p>
      <w:pPr>
        <w:pStyle w:val="Normal"/>
        <w:ind w:firstLine="567"/>
        <w:jc w:val="both"/>
        <w:rPr>
          <w:rFonts w:ascii="Times New Roman" w:hAnsi="Times New Roman"/>
          <w:b/>
          <w:b/>
          <w:bCs/>
          <w:sz w:val="26"/>
          <w:szCs w:val="26"/>
        </w:rPr>
      </w:pPr>
      <w:r>
        <w:rPr>
          <w:rFonts w:ascii="Times New Roman" w:hAnsi="Times New Roman"/>
          <w:b/>
          <w:bCs/>
          <w:sz w:val="26"/>
          <w:szCs w:val="26"/>
        </w:rPr>
      </w:r>
    </w:p>
    <w:p>
      <w:pPr>
        <w:pStyle w:val="Normal"/>
        <w:ind w:firstLine="567"/>
        <w:jc w:val="both"/>
        <w:rPr>
          <w:rFonts w:ascii="Times New Roman" w:hAnsi="Times New Roman"/>
          <w:sz w:val="26"/>
          <w:szCs w:val="26"/>
        </w:rPr>
      </w:pPr>
      <w:r>
        <w:rPr>
          <w:rFonts w:ascii="Times New Roman" w:hAnsi="Times New Roman"/>
          <w:b/>
          <w:bCs/>
          <w:sz w:val="26"/>
          <w:szCs w:val="26"/>
        </w:rPr>
        <w:t>9. Здійснення поточного та капітального ремонтів об'єктів вулично-дорожньої мережі (проспект Волі, бульвар Дружби Народів, вул. Володимирська, вул. Дубнівська, вул. Карбишева та вул. Ковельська).</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 xml:space="preserve">Роботи з капітального ремонту виконано на 6 об’єктах: </w:t>
      </w:r>
      <w:r>
        <w:rPr>
          <w:rFonts w:cs="Times New Roman" w:ascii="Times New Roman" w:hAnsi="Times New Roman"/>
          <w:color w:val="000000"/>
          <w:sz w:val="26"/>
          <w:szCs w:val="26"/>
          <w:lang w:eastAsia="ru-RU"/>
        </w:rPr>
        <w:t xml:space="preserve">проїзд з вулиці Кравчука до будинків № 22, 24; проспект Соборності від вулиці Єршова до вулиці В’ячеслава Чорновола (непарна сторона); </w:t>
      </w:r>
      <w:r>
        <w:rPr>
          <w:rFonts w:cs="Times New Roman" w:ascii="Times New Roman" w:hAnsi="Times New Roman"/>
          <w:color w:val="000000"/>
          <w:sz w:val="26"/>
          <w:szCs w:val="26"/>
          <w:lang w:eastAsia="uk-UA"/>
        </w:rPr>
        <w:t>проїзд до будинків № 26, 26а з проспекту Відродження; проїзд до будинків № 28, 28а, 30 з проспекту Відродження та проїзду до будинку № 4 з вулиці Писаревського; проїзд до будинків № 16, 20 з вулиці Кравчука; проспект Волі від вулиці Шопена до Київського Майдану.</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Сума виконаних робіт разом з вартістю виготовлення проєктно-кошторисної документації та проведенням технічного нагляду склала 31 921,5 тис. грн. Площа відновлення твердого покриття – 33 268,0 м².</w:t>
      </w:r>
    </w:p>
    <w:p>
      <w:pPr>
        <w:pStyle w:val="Normal"/>
        <w:ind w:firstLine="567"/>
        <w:jc w:val="both"/>
        <w:rPr>
          <w:rFonts w:ascii="Times New Roman" w:hAnsi="Times New Roman"/>
          <w:sz w:val="26"/>
          <w:szCs w:val="26"/>
        </w:rPr>
      </w:pPr>
      <w:r>
        <w:rPr>
          <w:rFonts w:cs="Times New Roman" w:ascii="Times New Roman" w:hAnsi="Times New Roman"/>
          <w:sz w:val="26"/>
          <w:szCs w:val="26"/>
        </w:rPr>
        <w:t>Поточний ремонт у І півріччі здійснено на 109 об'єктах. Сума виконаних робіт становить 25 275,1 тис. грн (Додаток 2).</w:t>
      </w:r>
    </w:p>
    <w:p>
      <w:pPr>
        <w:pStyle w:val="Normal"/>
        <w:ind w:firstLine="567"/>
        <w:jc w:val="both"/>
        <w:rPr>
          <w:rFonts w:ascii="Times New Roman" w:hAnsi="Times New Roman"/>
          <w:b/>
          <w:b/>
          <w:bCs/>
          <w:sz w:val="26"/>
          <w:szCs w:val="26"/>
        </w:rPr>
      </w:pPr>
      <w:r>
        <w:rPr>
          <w:rFonts w:ascii="Times New Roman" w:hAnsi="Times New Roman"/>
          <w:b/>
          <w:bCs/>
          <w:sz w:val="26"/>
          <w:szCs w:val="26"/>
        </w:rPr>
      </w:r>
    </w:p>
    <w:p>
      <w:pPr>
        <w:pStyle w:val="Normal"/>
        <w:ind w:firstLine="567"/>
        <w:jc w:val="both"/>
        <w:rPr>
          <w:rFonts w:ascii="Times New Roman" w:hAnsi="Times New Roman"/>
          <w:sz w:val="26"/>
          <w:szCs w:val="26"/>
        </w:rPr>
      </w:pPr>
      <w:r>
        <w:rPr>
          <w:rFonts w:ascii="Times New Roman" w:hAnsi="Times New Roman"/>
          <w:b/>
          <w:bCs/>
          <w:sz w:val="26"/>
          <w:szCs w:val="26"/>
        </w:rPr>
        <w:t>10. </w:t>
      </w:r>
      <w:r>
        <w:rPr>
          <w:rFonts w:cs="Times New Roman" w:ascii="Times New Roman" w:hAnsi="Times New Roman"/>
          <w:b/>
          <w:bCs/>
          <w:sz w:val="26"/>
          <w:szCs w:val="26"/>
          <w:shd w:fill="FFFFFF" w:val="clear"/>
        </w:rPr>
        <w:t xml:space="preserve">Реалізація проєктів міжнародної технічної допомоги: </w:t>
      </w:r>
    </w:p>
    <w:p>
      <w:pPr>
        <w:pStyle w:val="Normal"/>
        <w:ind w:firstLine="567"/>
        <w:jc w:val="both"/>
        <w:rPr>
          <w:rFonts w:ascii="Times New Roman" w:hAnsi="Times New Roman"/>
          <w:sz w:val="26"/>
          <w:szCs w:val="26"/>
        </w:rPr>
      </w:pPr>
      <w:r>
        <w:rPr>
          <w:rFonts w:cs="Times New Roman" w:ascii="Times New Roman" w:hAnsi="Times New Roman"/>
          <w:b/>
          <w:bCs/>
          <w:sz w:val="26"/>
          <w:szCs w:val="26"/>
          <w:shd w:fill="FFFFFF" w:val="clear"/>
        </w:rPr>
        <w:t>«Нове життя старого міста: ревіталізація пам’яток історико-культурної спадщини Луцька та Любліна» (Програма транскордонного співробітництва Польща-Білорусь-Україна 2014-2020 Європейського інструменту сусідства). В</w:t>
      </w:r>
      <w:r>
        <w:rPr>
          <w:rFonts w:cs="Times New Roman" w:ascii="Times New Roman" w:hAnsi="Times New Roman"/>
          <w:b/>
          <w:bCs/>
          <w:sz w:val="26"/>
          <w:szCs w:val="26"/>
        </w:rPr>
        <w:t>ідкриття у цокольних приміщеннях башти Чорторийських та підвалах колишнього колегіуму єзуїтів інтерактивного музею-майстерні лицарства і середньовічних часів</w:t>
      </w:r>
    </w:p>
    <w:p>
      <w:pPr>
        <w:pStyle w:val="Normal"/>
        <w:ind w:firstLine="567"/>
        <w:jc w:val="both"/>
        <w:rPr>
          <w:rFonts w:ascii="Times New Roman" w:hAnsi="Times New Roman"/>
          <w:sz w:val="26"/>
          <w:szCs w:val="26"/>
        </w:rPr>
      </w:pPr>
      <w:r>
        <w:rPr>
          <w:rFonts w:ascii="Times New Roman" w:hAnsi="Times New Roman"/>
          <w:sz w:val="26"/>
          <w:szCs w:val="26"/>
          <w:lang w:bidi="ar-SA"/>
        </w:rPr>
        <w:t>Для облаштування музейного простору «Окольний замок» на базі пам’яток архітектури національного значення – підвалів монастиря єзуїтів та вежі Чорторийських було здійснено ряд заходів, зокрема: закуплено офісні меблі та меблі для конференційної зали, підготовлено, надруковано та встановлено стенди з інформацією про історико-культурну спадщину міста Луцька в музейному просторі, прокладено оптико-волоконну мережу та організовано доступ до мережі Інтернет, здійснено монтаж електромагістралей для забезпечення роботи світлового та звукового обладнання, налаштовано інтерактивні інсталяції, розміщені в підземеллях монастиря єзуїтів.</w:t>
      </w:r>
    </w:p>
    <w:p>
      <w:pPr>
        <w:pStyle w:val="Normal"/>
        <w:ind w:firstLine="567"/>
        <w:jc w:val="both"/>
        <w:rPr>
          <w:rFonts w:ascii="Times New Roman" w:hAnsi="Times New Roman"/>
          <w:sz w:val="26"/>
          <w:szCs w:val="26"/>
        </w:rPr>
      </w:pPr>
      <w:r>
        <w:rPr>
          <w:rFonts w:ascii="Times New Roman" w:hAnsi="Times New Roman"/>
          <w:sz w:val="26"/>
          <w:szCs w:val="26"/>
          <w:lang w:bidi="ar-SA"/>
        </w:rPr>
        <w:t>Проведено заходи до офіційного відкриття музейного простору «Окольний замок» (14 липня 2023 року).</w:t>
      </w:r>
    </w:p>
    <w:p>
      <w:pPr>
        <w:pStyle w:val="Normal"/>
        <w:ind w:firstLine="567"/>
        <w:jc w:val="both"/>
        <w:rPr>
          <w:rFonts w:ascii="Times New Roman" w:hAnsi="Times New Roman"/>
          <w:sz w:val="26"/>
          <w:szCs w:val="26"/>
        </w:rPr>
      </w:pPr>
      <w:r>
        <w:rPr>
          <w:rFonts w:ascii="Times New Roman" w:hAnsi="Times New Roman"/>
          <w:sz w:val="26"/>
          <w:szCs w:val="26"/>
        </w:rPr>
      </w:r>
    </w:p>
    <w:p>
      <w:pPr>
        <w:pStyle w:val="Normal"/>
        <w:ind w:firstLine="567"/>
        <w:jc w:val="both"/>
        <w:rPr>
          <w:rFonts w:ascii="Times New Roman" w:hAnsi="Times New Roman"/>
          <w:sz w:val="26"/>
          <w:szCs w:val="26"/>
        </w:rPr>
      </w:pPr>
      <w:r>
        <w:rPr>
          <w:rFonts w:cs="Times New Roman" w:ascii="Times New Roman" w:hAnsi="Times New Roman"/>
          <w:b/>
          <w:bCs/>
          <w:spacing w:val="-1"/>
          <w:sz w:val="26"/>
          <w:szCs w:val="26"/>
          <w:lang w:eastAsia="uk-UA"/>
        </w:rPr>
        <w:t>«</w:t>
      </w:r>
      <w:r>
        <w:rPr>
          <w:rFonts w:cs="Times New Roman" w:ascii="Times New Roman" w:hAnsi="Times New Roman"/>
          <w:b/>
          <w:bCs/>
          <w:spacing w:val="-4"/>
          <w:sz w:val="26"/>
          <w:szCs w:val="26"/>
          <w:lang w:eastAsia="uk-UA"/>
        </w:rPr>
        <w:t>Спільний пошук нових рішень у комунальному господарстві: поводження з органічними відходами у Луцькій міській територіальній громаді</w:t>
      </w:r>
      <w:r>
        <w:rPr>
          <w:rFonts w:cs="Times New Roman" w:ascii="Times New Roman" w:hAnsi="Times New Roman"/>
          <w:b/>
          <w:bCs/>
          <w:spacing w:val="-1"/>
          <w:sz w:val="26"/>
          <w:szCs w:val="26"/>
          <w:lang w:eastAsia="uk-UA"/>
        </w:rPr>
        <w:t>»</w:t>
      </w:r>
      <w:r>
        <w:rPr>
          <w:rFonts w:cs="Times New Roman" w:ascii="Times New Roman" w:hAnsi="Times New Roman"/>
          <w:b/>
          <w:bCs/>
          <w:sz w:val="26"/>
          <w:szCs w:val="26"/>
        </w:rPr>
        <w:t xml:space="preserve"> (Програма </w:t>
      </w:r>
      <w:r>
        <w:rPr>
          <w:rFonts w:cs="Times New Roman" w:ascii="Times New Roman" w:hAnsi="Times New Roman"/>
          <w:b/>
          <w:bCs/>
          <w:spacing w:val="-1"/>
          <w:sz w:val="26"/>
          <w:szCs w:val="26"/>
          <w:lang w:eastAsia="uk-UA"/>
        </w:rPr>
        <w:t>«Сталий розвиток громад через партнерські проєкти </w:t>
      </w:r>
      <w:r>
        <w:rPr>
          <w:rFonts w:cs="Times New Roman" w:ascii="Times New Roman" w:hAnsi="Times New Roman"/>
          <w:b/>
          <w:bCs/>
          <w:spacing w:val="-2"/>
          <w:sz w:val="26"/>
          <w:szCs w:val="26"/>
        </w:rPr>
        <w:t>– </w:t>
      </w:r>
      <w:r>
        <w:rPr>
          <w:rFonts w:cs="Times New Roman" w:ascii="Times New Roman" w:hAnsi="Times New Roman"/>
          <w:b/>
          <w:bCs/>
          <w:sz w:val="26"/>
          <w:szCs w:val="26"/>
        </w:rPr>
        <w:t>NAKOPA 2020</w:t>
      </w:r>
      <w:r>
        <w:rPr>
          <w:rFonts w:cs="Times New Roman" w:ascii="Times New Roman" w:hAnsi="Times New Roman"/>
          <w:b/>
          <w:bCs/>
          <w:spacing w:val="-1"/>
          <w:sz w:val="26"/>
          <w:szCs w:val="26"/>
          <w:lang w:eastAsia="uk-UA"/>
        </w:rPr>
        <w:t>»</w:t>
      </w:r>
      <w:r>
        <w:rPr>
          <w:rFonts w:cs="Times New Roman" w:ascii="Times New Roman" w:hAnsi="Times New Roman"/>
          <w:b/>
          <w:bCs/>
          <w:sz w:val="26"/>
          <w:szCs w:val="26"/>
        </w:rPr>
        <w:t xml:space="preserve"> за підтримки Федерального міністерства економічного співробітництва і розвитку ФРН). Основні заходи: закупівля та встановлення обладнання для очищення фільтрату на полігоні ТПВ у с. Брище;</w:t>
      </w:r>
    </w:p>
    <w:p>
      <w:pPr>
        <w:pStyle w:val="Normal"/>
        <w:widowControl w:val="false"/>
        <w:spacing w:before="0" w:after="0"/>
        <w:ind w:firstLine="567"/>
        <w:contextualSpacing/>
        <w:jc w:val="both"/>
        <w:rPr>
          <w:rFonts w:ascii="Times New Roman" w:hAnsi="Times New Roman"/>
          <w:sz w:val="26"/>
          <w:szCs w:val="26"/>
        </w:rPr>
      </w:pPr>
      <w:r>
        <w:rPr>
          <w:rFonts w:cs="Times New Roman" w:ascii="Times New Roman" w:hAnsi="Times New Roman"/>
          <w:bCs/>
          <w:kern w:val="0"/>
          <w:sz w:val="26"/>
          <w:szCs w:val="26"/>
          <w:lang w:bidi="ar-SA"/>
        </w:rPr>
        <w:t>Здійснено реєстрацію проєкту Секретаріатом Кабінету Міністрів України.</w:t>
      </w:r>
    </w:p>
    <w:p>
      <w:pPr>
        <w:pStyle w:val="Normal"/>
        <w:widowControl w:val="false"/>
        <w:spacing w:before="0" w:after="0"/>
        <w:ind w:firstLine="567"/>
        <w:contextualSpacing/>
        <w:jc w:val="both"/>
        <w:rPr>
          <w:rFonts w:ascii="Times New Roman" w:hAnsi="Times New Roman"/>
          <w:sz w:val="26"/>
          <w:szCs w:val="26"/>
        </w:rPr>
      </w:pPr>
      <w:r>
        <w:rPr>
          <w:rFonts w:cs="Times New Roman" w:ascii="Times New Roman" w:hAnsi="Times New Roman"/>
          <w:bCs/>
          <w:kern w:val="0"/>
          <w:sz w:val="26"/>
          <w:szCs w:val="26"/>
          <w:lang w:bidi="ar-SA"/>
        </w:rPr>
        <w:t>Закуплено</w:t>
      </w:r>
      <w:r>
        <w:rPr>
          <w:rFonts w:ascii="Times New Roman" w:hAnsi="Times New Roman"/>
          <w:sz w:val="26"/>
          <w:szCs w:val="26"/>
        </w:rPr>
        <w:t xml:space="preserve"> 20 компостер</w:t>
      </w:r>
      <w:r>
        <w:rPr>
          <w:rFonts w:cs="Times New Roman" w:ascii="Times New Roman" w:hAnsi="Times New Roman"/>
          <w:bCs/>
          <w:kern w:val="0"/>
          <w:sz w:val="26"/>
          <w:szCs w:val="26"/>
          <w:lang w:bidi="ar-SA"/>
        </w:rPr>
        <w:t>ів</w:t>
      </w:r>
      <w:r>
        <w:rPr>
          <w:rFonts w:ascii="Times New Roman" w:hAnsi="Times New Roman"/>
          <w:sz w:val="26"/>
          <w:szCs w:val="26"/>
        </w:rPr>
        <w:t xml:space="preserve"> для органічних відходів для шкіл Луцької міської територіальної громади.</w:t>
      </w:r>
    </w:p>
    <w:p>
      <w:pPr>
        <w:pStyle w:val="Normal"/>
        <w:widowControl w:val="false"/>
        <w:spacing w:before="0" w:after="0"/>
        <w:ind w:firstLine="567"/>
        <w:contextualSpacing/>
        <w:jc w:val="both"/>
        <w:rPr>
          <w:rFonts w:ascii="Times New Roman" w:hAnsi="Times New Roman"/>
          <w:sz w:val="26"/>
          <w:szCs w:val="26"/>
        </w:rPr>
      </w:pPr>
      <w:r>
        <w:rPr>
          <w:rFonts w:cs="Times New Roman" w:ascii="Times New Roman" w:hAnsi="Times New Roman"/>
          <w:bCs/>
          <w:kern w:val="0"/>
          <w:sz w:val="26"/>
          <w:szCs w:val="26"/>
          <w:lang w:bidi="ar-SA"/>
        </w:rPr>
        <w:t>Проведено інформаційну кампанію в соцмережах «</w:t>
      </w:r>
      <w:r>
        <w:rPr>
          <w:rFonts w:cs="Times New Roman" w:ascii="Times New Roman" w:hAnsi="Times New Roman"/>
          <w:bCs/>
          <w:kern w:val="0"/>
          <w:sz w:val="26"/>
          <w:szCs w:val="26"/>
          <w:lang w:val="en-US" w:bidi="ar-SA"/>
        </w:rPr>
        <w:t>Facebook</w:t>
      </w:r>
      <w:r>
        <w:rPr>
          <w:rFonts w:cs="Times New Roman" w:ascii="Times New Roman" w:hAnsi="Times New Roman"/>
          <w:bCs/>
          <w:kern w:val="0"/>
          <w:sz w:val="26"/>
          <w:szCs w:val="26"/>
          <w:lang w:bidi="ar-SA"/>
        </w:rPr>
        <w:t>» та «</w:t>
      </w:r>
      <w:r>
        <w:rPr>
          <w:rFonts w:cs="Times New Roman" w:ascii="Times New Roman" w:hAnsi="Times New Roman"/>
          <w:bCs/>
          <w:kern w:val="0"/>
          <w:sz w:val="26"/>
          <w:szCs w:val="26"/>
          <w:lang w:val="en-US" w:bidi="ar-SA"/>
        </w:rPr>
        <w:t>Instagram</w:t>
      </w:r>
      <w:r>
        <w:rPr>
          <w:rFonts w:cs="Times New Roman" w:ascii="Times New Roman" w:hAnsi="Times New Roman"/>
          <w:bCs/>
          <w:kern w:val="0"/>
          <w:sz w:val="26"/>
          <w:szCs w:val="26"/>
          <w:lang w:bidi="ar-SA"/>
        </w:rPr>
        <w:t>»: створено та поширено електронний постер про те, чим небезпечне спалювання сухої трави.</w:t>
      </w:r>
    </w:p>
    <w:p>
      <w:pPr>
        <w:pStyle w:val="Normal"/>
        <w:widowControl w:val="false"/>
        <w:spacing w:before="0" w:after="0"/>
        <w:ind w:firstLine="567"/>
        <w:contextualSpacing/>
        <w:jc w:val="both"/>
        <w:rPr>
          <w:rFonts w:ascii="Times New Roman" w:hAnsi="Times New Roman"/>
          <w:sz w:val="26"/>
          <w:szCs w:val="26"/>
        </w:rPr>
      </w:pPr>
      <w:r>
        <w:rPr>
          <w:rFonts w:cs="Times New Roman" w:ascii="Times New Roman" w:hAnsi="Times New Roman"/>
          <w:sz w:val="26"/>
          <w:szCs w:val="26"/>
        </w:rPr>
        <w:t xml:space="preserve">Проведено відкриті торги щодо </w:t>
      </w:r>
      <w:r>
        <w:rPr>
          <w:rFonts w:cs="Times New Roman" w:ascii="Times New Roman" w:hAnsi="Times New Roman"/>
          <w:bCs/>
          <w:kern w:val="0"/>
          <w:sz w:val="26"/>
          <w:szCs w:val="26"/>
          <w:lang w:bidi="ar-SA"/>
        </w:rPr>
        <w:t>поставки</w:t>
      </w:r>
      <w:r>
        <w:rPr>
          <w:rFonts w:cs="Times New Roman" w:ascii="Times New Roman" w:hAnsi="Times New Roman"/>
          <w:sz w:val="26"/>
          <w:szCs w:val="26"/>
        </w:rPr>
        <w:t xml:space="preserve"> обладнання для очистки фільтрату на полігоні твердих побутових відходів у селі Брище Луцької міської територіальної громади. Підписано договір з постачальником обладнання.</w:t>
      </w:r>
    </w:p>
    <w:p>
      <w:pPr>
        <w:pStyle w:val="Normal"/>
        <w:widowControl w:val="false"/>
        <w:spacing w:before="0" w:after="0"/>
        <w:ind w:firstLine="567"/>
        <w:contextualSpacing/>
        <w:jc w:val="both"/>
        <w:rPr>
          <w:rFonts w:ascii="Times New Roman" w:hAnsi="Times New Roman"/>
          <w:sz w:val="26"/>
          <w:szCs w:val="26"/>
        </w:rPr>
      </w:pPr>
      <w:r>
        <w:rPr>
          <w:rFonts w:ascii="Times New Roman" w:hAnsi="Times New Roman"/>
          <w:sz w:val="26"/>
          <w:szCs w:val="26"/>
        </w:rPr>
      </w:r>
    </w:p>
    <w:p>
      <w:pPr>
        <w:pStyle w:val="Normal"/>
        <w:ind w:firstLine="567"/>
        <w:jc w:val="both"/>
        <w:rPr>
          <w:rFonts w:ascii="Times New Roman" w:hAnsi="Times New Roman"/>
          <w:sz w:val="26"/>
          <w:szCs w:val="26"/>
        </w:rPr>
      </w:pPr>
      <w:r>
        <w:rPr>
          <w:rFonts w:cs="Times New Roman" w:ascii="Times New Roman" w:hAnsi="Times New Roman"/>
          <w:b/>
          <w:bCs/>
          <w:sz w:val="26"/>
          <w:szCs w:val="26"/>
        </w:rPr>
        <w:t>«Таємниці двох веж: просування середньовічних укріплень Луцька та Любліна за допомогою інноваційних технологій» (Програма транскордонного співробітництва Польща-Білорусь-Україна 2014-2020 Європейського інструменту сусідства). С</w:t>
      </w:r>
      <w:r>
        <w:rPr>
          <w:rFonts w:cs="Times New Roman" w:ascii="Times New Roman" w:hAnsi="Times New Roman"/>
          <w:b/>
          <w:bCs/>
          <w:sz w:val="26"/>
          <w:szCs w:val="26"/>
          <w:shd w:fill="FFFFFF" w:val="clear"/>
        </w:rPr>
        <w:t>творення туристичного мобільного додатку з елементами доповненої реальності та промоційного відео.</w:t>
      </w:r>
    </w:p>
    <w:p>
      <w:pPr>
        <w:pStyle w:val="Normal"/>
        <w:widowControl w:val="false"/>
        <w:spacing w:before="0" w:after="0"/>
        <w:ind w:firstLine="567"/>
        <w:contextualSpacing/>
        <w:jc w:val="both"/>
        <w:rPr>
          <w:rFonts w:ascii="Times New Roman" w:hAnsi="Times New Roman"/>
          <w:sz w:val="26"/>
          <w:szCs w:val="26"/>
        </w:rPr>
      </w:pPr>
      <w:r>
        <w:rPr>
          <w:rFonts w:cs="Times New Roman" w:ascii="Times New Roman" w:hAnsi="Times New Roman"/>
          <w:bCs/>
          <w:kern w:val="0"/>
          <w:sz w:val="26"/>
          <w:szCs w:val="26"/>
          <w:lang w:bidi="ar-SA"/>
        </w:rPr>
        <w:t>Для реалізації заходів проєкту укладено договори з підрядниками щодо:</w:t>
      </w:r>
    </w:p>
    <w:p>
      <w:pPr>
        <w:pStyle w:val="Normal"/>
        <w:widowControl w:val="false"/>
        <w:spacing w:before="0" w:after="0"/>
        <w:ind w:firstLine="567"/>
        <w:contextualSpacing/>
        <w:jc w:val="both"/>
        <w:rPr>
          <w:rFonts w:ascii="Times New Roman" w:hAnsi="Times New Roman"/>
          <w:sz w:val="26"/>
          <w:szCs w:val="26"/>
        </w:rPr>
      </w:pPr>
      <w:r>
        <w:rPr>
          <w:rFonts w:cs="Times New Roman" w:ascii="Times New Roman" w:hAnsi="Times New Roman"/>
          <w:bCs/>
          <w:kern w:val="0"/>
          <w:sz w:val="26"/>
          <w:szCs w:val="26"/>
          <w:lang w:bidi="ar-SA"/>
        </w:rPr>
        <w:t>виготовлення спільного промоційного відео (тизеру);</w:t>
      </w:r>
    </w:p>
    <w:p>
      <w:pPr>
        <w:pStyle w:val="Normal"/>
        <w:widowControl w:val="false"/>
        <w:spacing w:before="0" w:after="0"/>
        <w:ind w:firstLine="567"/>
        <w:contextualSpacing/>
        <w:jc w:val="both"/>
        <w:rPr>
          <w:rFonts w:ascii="Times New Roman" w:hAnsi="Times New Roman"/>
          <w:sz w:val="26"/>
          <w:szCs w:val="26"/>
        </w:rPr>
      </w:pPr>
      <w:r>
        <w:rPr>
          <w:rFonts w:cs="Times New Roman" w:ascii="Times New Roman" w:hAnsi="Times New Roman"/>
          <w:bCs/>
          <w:kern w:val="0"/>
          <w:sz w:val="26"/>
          <w:szCs w:val="26"/>
          <w:lang w:bidi="ar-SA"/>
        </w:rPr>
        <w:t>розробки мобільного додатку;</w:t>
      </w:r>
    </w:p>
    <w:p>
      <w:pPr>
        <w:pStyle w:val="Normal"/>
        <w:widowControl w:val="false"/>
        <w:spacing w:before="0" w:after="0"/>
        <w:ind w:firstLine="567"/>
        <w:contextualSpacing/>
        <w:jc w:val="both"/>
        <w:rPr>
          <w:rFonts w:ascii="Times New Roman" w:hAnsi="Times New Roman"/>
          <w:sz w:val="26"/>
          <w:szCs w:val="26"/>
        </w:rPr>
      </w:pPr>
      <w:r>
        <w:rPr>
          <w:rFonts w:cs="Times New Roman" w:ascii="Times New Roman" w:hAnsi="Times New Roman"/>
          <w:bCs/>
          <w:kern w:val="0"/>
          <w:sz w:val="26"/>
          <w:szCs w:val="26"/>
          <w:lang w:bidi="ar-SA"/>
        </w:rPr>
        <w:t>перекладу науково-популярних статей з польської мови на українську для електронного буклету;</w:t>
      </w:r>
    </w:p>
    <w:p>
      <w:pPr>
        <w:pStyle w:val="Normal"/>
        <w:widowControl w:val="false"/>
        <w:spacing w:before="0" w:after="0"/>
        <w:ind w:firstLine="567"/>
        <w:contextualSpacing/>
        <w:jc w:val="both"/>
        <w:rPr>
          <w:rFonts w:ascii="Times New Roman" w:hAnsi="Times New Roman"/>
          <w:sz w:val="26"/>
          <w:szCs w:val="26"/>
        </w:rPr>
      </w:pPr>
      <w:r>
        <w:rPr>
          <w:rFonts w:cs="Times New Roman" w:ascii="Times New Roman" w:hAnsi="Times New Roman"/>
          <w:bCs/>
          <w:kern w:val="0"/>
          <w:sz w:val="26"/>
          <w:szCs w:val="26"/>
          <w:lang w:bidi="ar-SA"/>
        </w:rPr>
        <w:t xml:space="preserve">11 травня 2023 року проведено онлайн </w:t>
      </w:r>
      <w:r>
        <w:rPr>
          <w:rFonts w:cs="Times New Roman" w:ascii="Times New Roman" w:hAnsi="Times New Roman"/>
          <w:kern w:val="0"/>
          <w:sz w:val="26"/>
          <w:szCs w:val="26"/>
          <w:lang w:bidi="ar-SA"/>
        </w:rPr>
        <w:t>польсько-український круглий стіл</w:t>
      </w:r>
      <w:r>
        <w:rPr>
          <w:rFonts w:cs="Times New Roman" w:ascii="Times New Roman" w:hAnsi="Times New Roman"/>
          <w:bCs/>
          <w:kern w:val="0"/>
          <w:sz w:val="26"/>
          <w:szCs w:val="26"/>
          <w:lang w:bidi="ar-SA"/>
        </w:rPr>
        <w:t xml:space="preserve"> «Життя у середньовічному та ранньомодерному Луцьку та Любліні», участь у якому взяли 8 експертів-істориків (4 польських та 4 українських), а також краєзнавці та дослідники минувшини Луцька. Інформація від експертів буде використана для створення електронного буклета під назвою «Повсякденне життя історичного Луцька та Любліна».</w:t>
      </w:r>
    </w:p>
    <w:p>
      <w:pPr>
        <w:pStyle w:val="Normal"/>
        <w:widowControl w:val="false"/>
        <w:tabs>
          <w:tab w:val="clear" w:pos="708"/>
          <w:tab w:val="left" w:pos="540" w:leader="none"/>
        </w:tabs>
        <w:spacing w:before="0" w:after="0"/>
        <w:ind w:firstLine="567"/>
        <w:contextualSpacing/>
        <w:jc w:val="both"/>
        <w:rPr>
          <w:rFonts w:ascii="Times New Roman" w:hAnsi="Times New Roman"/>
          <w:sz w:val="26"/>
          <w:szCs w:val="26"/>
        </w:rPr>
      </w:pPr>
      <w:r>
        <w:rPr>
          <w:rFonts w:cs="Times New Roman" w:ascii="Times New Roman" w:hAnsi="Times New Roman"/>
          <w:bCs/>
          <w:kern w:val="0"/>
          <w:sz w:val="26"/>
          <w:szCs w:val="26"/>
          <w:shd w:fill="FFFFFF" w:val="clear"/>
          <w:lang w:bidi="ar-SA"/>
        </w:rPr>
        <w:t>Оголошено тендер на закупівлю послуг аудиту для перевірки витрат проєкту. Тендер не відбувся. Ведуться перемовини щодо укладання прямого договору з аудитором, який відповідатиме вимогам донора.</w:t>
      </w:r>
    </w:p>
    <w:p>
      <w:pPr>
        <w:pStyle w:val="Normal"/>
        <w:widowControl w:val="false"/>
        <w:tabs>
          <w:tab w:val="clear" w:pos="708"/>
          <w:tab w:val="left" w:pos="540" w:leader="none"/>
        </w:tabs>
        <w:spacing w:before="0" w:after="0"/>
        <w:ind w:firstLine="567"/>
        <w:contextualSpacing/>
        <w:jc w:val="both"/>
        <w:rPr>
          <w:rFonts w:ascii="Times New Roman" w:hAnsi="Times New Roman"/>
          <w:sz w:val="26"/>
          <w:szCs w:val="26"/>
        </w:rPr>
      </w:pPr>
      <w:r>
        <w:rPr>
          <w:rFonts w:ascii="Times New Roman" w:hAnsi="Times New Roman"/>
          <w:sz w:val="26"/>
          <w:szCs w:val="26"/>
        </w:rPr>
      </w:r>
    </w:p>
    <w:p>
      <w:pPr>
        <w:pStyle w:val="Normal"/>
        <w:ind w:firstLine="567"/>
        <w:jc w:val="both"/>
        <w:rPr>
          <w:rFonts w:ascii="Times New Roman" w:hAnsi="Times New Roman"/>
          <w:sz w:val="26"/>
          <w:szCs w:val="26"/>
        </w:rPr>
      </w:pPr>
      <w:r>
        <w:rPr>
          <w:rFonts w:cs="Times New Roman" w:ascii="Times New Roman" w:hAnsi="Times New Roman"/>
          <w:b/>
          <w:bCs/>
          <w:sz w:val="26"/>
          <w:szCs w:val="26"/>
        </w:rPr>
        <w:t>«Стала протидія Covid-19 у Луцьку через новітні технології та поінформованість населення» (Програма «Пакет солідарності громад для подолання пандемії коронавірусу» за підтримки Федерального міністерства економічного співробітництва і розвитку ФРН). Закупівля апарату ШВЛ, інформаційна кампанія щодо постковідної терапії у соцмережах, закупівля вітамінного імуностимулюючого чаю для хворих на Covid-19.</w:t>
      </w:r>
    </w:p>
    <w:p>
      <w:pPr>
        <w:sectPr>
          <w:type w:val="nextPage"/>
          <w:pgSz w:w="11906" w:h="16838"/>
          <w:pgMar w:left="1418" w:right="566" w:gutter="0" w:header="0" w:top="709" w:footer="0" w:bottom="851"/>
          <w:pgNumType w:fmt="decimal"/>
          <w:formProt w:val="false"/>
          <w:textDirection w:val="lrTb"/>
          <w:docGrid w:type="default" w:linePitch="360" w:charSpace="0"/>
        </w:sectPr>
        <w:pStyle w:val="Normal"/>
        <w:widowControl w:val="false"/>
        <w:spacing w:before="0" w:after="0"/>
        <w:ind w:firstLine="680"/>
        <w:contextualSpacing/>
        <w:jc w:val="both"/>
        <w:rPr>
          <w:rFonts w:ascii="Times New Roman" w:hAnsi="Times New Roman"/>
          <w:sz w:val="26"/>
          <w:szCs w:val="26"/>
        </w:rPr>
      </w:pPr>
      <w:r>
        <w:rPr>
          <w:rFonts w:cs="Times New Roman" w:ascii="Times New Roman" w:hAnsi="Times New Roman"/>
          <w:bCs/>
          <w:kern w:val="0"/>
          <w:sz w:val="26"/>
          <w:szCs w:val="26"/>
          <w:lang w:bidi="ar-SA"/>
        </w:rPr>
        <w:t xml:space="preserve">Закуплено апарат ШВЛ, комплект капнографії </w:t>
      </w:r>
      <w:r>
        <w:rPr>
          <w:rFonts w:cs="Times New Roman" w:ascii="Times New Roman" w:hAnsi="Times New Roman"/>
          <w:bCs/>
          <w:kern w:val="0"/>
          <w:sz w:val="26"/>
          <w:szCs w:val="26"/>
          <w:lang w:val="en-US" w:bidi="ar-SA"/>
        </w:rPr>
        <w:t>CO</w:t>
      </w:r>
      <w:r>
        <w:rPr>
          <w:rFonts w:cs="Times New Roman" w:ascii="Times New Roman" w:hAnsi="Times New Roman"/>
          <w:bCs/>
          <w:kern w:val="0"/>
          <w:sz w:val="26"/>
          <w:szCs w:val="26"/>
          <w:lang w:bidi="ar-SA"/>
        </w:rPr>
        <w:t>2, назальні канюлі (90</w:t>
      </w:r>
      <w:r>
        <w:rPr>
          <w:rFonts w:cs="Times New Roman" w:ascii="Times New Roman" w:hAnsi="Times New Roman"/>
          <w:bCs/>
          <w:kern w:val="0"/>
          <w:sz w:val="26"/>
          <w:szCs w:val="26"/>
          <w:lang w:val="en-US" w:bidi="ar-SA"/>
        </w:rPr>
        <w:t> </w:t>
      </w:r>
      <w:r>
        <w:rPr>
          <w:rFonts w:cs="Times New Roman" w:ascii="Times New Roman" w:hAnsi="Times New Roman"/>
          <w:bCs/>
          <w:kern w:val="0"/>
          <w:sz w:val="26"/>
          <w:szCs w:val="26"/>
          <w:lang w:bidi="ar-SA"/>
        </w:rPr>
        <w:t>шт.), монітор пацієнта, пульсоксиметри (4 шт.), імуностимулюючі вітамінні чаї з інформаційними наліпками (1 000 шт.). Розроблено і надруковано інформаційні листівки (1 000 шт.) та постери (100 шт.).</w:t>
      </w:r>
      <w:r>
        <w:rPr>
          <w:rFonts w:ascii="Times New Roman" w:hAnsi="Times New Roman"/>
          <w:sz w:val="26"/>
          <w:szCs w:val="26"/>
        </w:rPr>
        <w:t xml:space="preserve"> </w:t>
      </w:r>
      <w:r>
        <w:rPr>
          <w:rFonts w:cs="Times New Roman" w:ascii="Times New Roman" w:hAnsi="Times New Roman"/>
          <w:bCs/>
          <w:kern w:val="0"/>
          <w:sz w:val="26"/>
          <w:szCs w:val="26"/>
          <w:lang w:bidi="ar-SA"/>
        </w:rPr>
        <w:t>Підготовлено фінансову та описову звітність, проведено аудит  проєкту</w:t>
      </w:r>
      <w:r>
        <w:rPr>
          <w:rFonts w:eastAsia="SimSun" w:cs="Times New Roman" w:ascii="Times New Roman" w:hAnsi="Times New Roman"/>
          <w:bCs/>
          <w:kern w:val="0"/>
          <w:sz w:val="26"/>
          <w:szCs w:val="26"/>
          <w:lang w:bidi="ar-SA"/>
        </w:rPr>
        <w:t>.</w:t>
      </w:r>
    </w:p>
    <w:p>
      <w:pPr>
        <w:pStyle w:val="Normal"/>
        <w:spacing w:lineRule="auto" w:line="360"/>
        <w:jc w:val="center"/>
        <w:rPr>
          <w:rFonts w:ascii="Times New Roman" w:hAnsi="Times New Roman"/>
          <w:sz w:val="26"/>
          <w:szCs w:val="26"/>
        </w:rPr>
      </w:pPr>
      <w:r>
        <w:rPr>
          <w:rFonts w:cs="Times New Roman" w:ascii="Times New Roman" w:hAnsi="Times New Roman"/>
          <w:b/>
          <w:bCs/>
          <w:sz w:val="26"/>
          <w:szCs w:val="26"/>
        </w:rPr>
        <w:t>3. 1. ПОКРАЩЕННЯ УМОВ ДЛЯ РОЗВИТКУ ЕКОНОМІКИ,</w:t>
      </w:r>
    </w:p>
    <w:p>
      <w:pPr>
        <w:pStyle w:val="Normal"/>
        <w:spacing w:lineRule="auto" w:line="360"/>
        <w:jc w:val="center"/>
        <w:rPr>
          <w:rFonts w:ascii="Times New Roman" w:hAnsi="Times New Roman"/>
          <w:sz w:val="26"/>
          <w:szCs w:val="26"/>
        </w:rPr>
      </w:pPr>
      <w:r>
        <w:rPr>
          <w:rFonts w:cs="Times New Roman" w:ascii="Times New Roman" w:hAnsi="Times New Roman"/>
          <w:b/>
          <w:bCs/>
          <w:sz w:val="26"/>
          <w:szCs w:val="26"/>
        </w:rPr>
        <w:t>ФІНАНСОВІ ТА МАТЕРІАЛЬНІ РЕСУРСИ</w:t>
      </w:r>
    </w:p>
    <w:p>
      <w:pPr>
        <w:pStyle w:val="Normal"/>
        <w:jc w:val="center"/>
        <w:rPr>
          <w:rFonts w:ascii="Times New Roman" w:hAnsi="Times New Roman"/>
          <w:sz w:val="26"/>
          <w:szCs w:val="26"/>
        </w:rPr>
      </w:pPr>
      <w:r>
        <w:rPr>
          <w:rFonts w:cs="Times New Roman" w:ascii="Times New Roman" w:hAnsi="Times New Roman"/>
          <w:b/>
          <w:bCs/>
          <w:sz w:val="26"/>
          <w:szCs w:val="26"/>
        </w:rPr>
        <w:t>3.1.1. Бюджетна політика</w:t>
      </w:r>
    </w:p>
    <w:p>
      <w:pPr>
        <w:pStyle w:val="Normal"/>
        <w:rPr>
          <w:rFonts w:ascii="Times New Roman" w:hAnsi="Times New Roman" w:cs="Times New Roman"/>
          <w:b/>
          <w:b/>
          <w:bCs/>
          <w:sz w:val="26"/>
          <w:szCs w:val="26"/>
        </w:rPr>
      </w:pPr>
      <w:r>
        <w:rPr>
          <w:rFonts w:cs="Times New Roman" w:ascii="Times New Roman" w:hAnsi="Times New Roman"/>
          <w:b/>
          <w:bCs/>
          <w:sz w:val="26"/>
          <w:szCs w:val="26"/>
        </w:rPr>
      </w:r>
    </w:p>
    <w:tbl>
      <w:tblPr>
        <w:tblW w:w="15360" w:type="dxa"/>
        <w:jc w:val="left"/>
        <w:tblInd w:w="189" w:type="dxa"/>
        <w:tblLayout w:type="fixed"/>
        <w:tblCellMar>
          <w:top w:w="0" w:type="dxa"/>
          <w:left w:w="108" w:type="dxa"/>
          <w:bottom w:w="0" w:type="dxa"/>
          <w:right w:w="108" w:type="dxa"/>
        </w:tblCellMar>
        <w:tblLook w:firstRow="0" w:noVBand="0" w:lastRow="0" w:firstColumn="0" w:lastColumn="0" w:noHBand="0" w:val="0000"/>
      </w:tblPr>
      <w:tblGrid>
        <w:gridCol w:w="626"/>
        <w:gridCol w:w="3854"/>
        <w:gridCol w:w="10880"/>
      </w:tblGrid>
      <w:tr>
        <w:trPr>
          <w:trHeight w:val="615"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bCs/>
                <w:sz w:val="26"/>
                <w:szCs w:val="26"/>
              </w:rPr>
              <w:t xml:space="preserve">№ </w:t>
            </w:r>
            <w:r>
              <w:rPr>
                <w:rFonts w:cs="Times New Roman" w:ascii="Times New Roman" w:hAnsi="Times New Roman"/>
                <w:bCs/>
                <w:sz w:val="26"/>
                <w:szCs w:val="26"/>
              </w:rPr>
              <w:t>з/п</w:t>
            </w:r>
          </w:p>
        </w:tc>
        <w:tc>
          <w:tcPr>
            <w:tcW w:w="3854"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Назва заходів</w:t>
            </w:r>
          </w:p>
        </w:tc>
        <w:tc>
          <w:tcPr>
            <w:tcW w:w="1088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Стан виконання заходів</w:t>
            </w:r>
          </w:p>
        </w:tc>
      </w:tr>
      <w:tr>
        <w:trPr>
          <w:trHeight w:val="615"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w:t>
            </w:r>
          </w:p>
        </w:tc>
        <w:tc>
          <w:tcPr>
            <w:tcW w:w="3854"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Формування збалансованого бюджету міської територіальної громади у відповідності до чинного законодавства.</w:t>
            </w:r>
          </w:p>
        </w:tc>
        <w:tc>
          <w:tcPr>
            <w:tcW w:w="1088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lang w:eastAsia="uk-UA"/>
              </w:rPr>
              <w:t>В грудні 2022 року забезпечено формування та прийняття збалансованого бюджету громади з урахуванням у повному обсязі потреби в коштах для соціальних виплат та розрахунків за енергоносії, дотримання жорсткої фінансової дисципліни при використанні бюджетних коштів.</w:t>
            </w:r>
          </w:p>
        </w:tc>
      </w:tr>
      <w:tr>
        <w:trPr>
          <w:trHeight w:val="615"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2.</w:t>
            </w:r>
          </w:p>
        </w:tc>
        <w:tc>
          <w:tcPr>
            <w:tcW w:w="3854" w:type="dxa"/>
            <w:tcBorders>
              <w:top w:val="single" w:sz="4" w:space="0" w:color="000000"/>
              <w:left w:val="single" w:sz="4" w:space="0" w:color="000000"/>
              <w:bottom w:val="single" w:sz="4" w:space="0" w:color="000000"/>
            </w:tcBorders>
          </w:tcPr>
          <w:p>
            <w:pPr>
              <w:pStyle w:val="Standard"/>
              <w:widowControl w:val="false"/>
              <w:ind w:firstLine="27"/>
              <w:jc w:val="both"/>
              <w:rPr>
                <w:rFonts w:ascii="Times New Roman" w:hAnsi="Times New Roman"/>
                <w:color w:val="auto"/>
                <w:sz w:val="26"/>
                <w:szCs w:val="26"/>
              </w:rPr>
            </w:pPr>
            <w:r>
              <w:rPr>
                <w:rFonts w:cs="Times New Roman" w:ascii="Times New Roman" w:hAnsi="Times New Roman"/>
                <w:color w:val="auto"/>
                <w:sz w:val="26"/>
                <w:szCs w:val="26"/>
              </w:rPr>
              <w:t>Реалізація заходів з підтримки фінансової стабільності бюджету громади, зокрема, в умовах воєнного стану.</w:t>
            </w:r>
          </w:p>
        </w:tc>
        <w:tc>
          <w:tcPr>
            <w:tcW w:w="1088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Для забезпечення безперебійного функціонування установ і закладів бюджетної сфери, комунальних підприємств та задоволення життєво необхідних потреб мешканців територіальної громади у період воєнного стану, виконання і формування бюджету здійснюється з урахуванням особливостей, визначених постановою Кабінету Міністрів України від 11 березня 2022 року № 252 «Деякі питання формування та виконання місцевих бюджетів у період воєнного стану».</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Всього, у І півріччі до загального фонду бюджету громади надійшло 1 712,5 млн грн доходів, що становить</w:t>
            </w:r>
            <w:r>
              <w:rPr>
                <w:rFonts w:ascii="Times New Roman" w:hAnsi="Times New Roman"/>
                <w:sz w:val="26"/>
                <w:szCs w:val="26"/>
              </w:rPr>
              <w:t xml:space="preserve"> 106,2 %</w:t>
            </w:r>
            <w:r>
              <w:rPr>
                <w:rFonts w:cs="Times New Roman" w:ascii="Times New Roman" w:hAnsi="Times New Roman"/>
                <w:sz w:val="26"/>
                <w:szCs w:val="26"/>
              </w:rPr>
              <w:t xml:space="preserve"> запланованого. В т. ч. доходи без врахування трансфертів склали 1 377,1 млн грн (108,0 %), трансфертів надійшло 335,4 млн грн (99,4 %). Податок на доходи фізичних осіб в обсязі доходів загального фонду склав 929,4 млн грн або 67,5 %, що становить </w:t>
            </w:r>
            <w:r>
              <w:rPr>
                <w:rFonts w:cs="Times New Roman" w:ascii="Times New Roman" w:hAnsi="Times New Roman"/>
                <w:color w:val="000000"/>
                <w:sz w:val="26"/>
                <w:szCs w:val="26"/>
                <w:shd w:fill="auto" w:val="clear"/>
              </w:rPr>
              <w:t>111,7 % від уточнених призначень.</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До спеціального фонду бюджету надійшло 130,1 млн грн, що становить 297,6 % планових показників (за рахунок власних надходжень бюджетних установ), у тому числі до бюджету розвитку – 13,3 млн грн. Від продажу землі надійшло 12,9 млн грн, від відчуження комунального майна – 0,3 млн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Бюджет громади по видатках загального фонду профінансовано на 82,4 %, в т. ч. по видатках загального фонду (без субвенцій) – на 78,3 %: при плані 1 367,7 млн грн профінансовано 1 070,7 млн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У І півріччі 2023 року за рахунок трансфертів профінансовано 326,7 млн грн, з них на освіту спрямовано 326,0 млн грн трансфертів, на видатки соціального захисту – 0,7 млн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Із загального фонду (без субвенцій) на фінансування установ соціально-культурної сфери спрямовано 638,1 млн грн, з яких: на заклади освіти – 504,7 млн грн, на заклади медицини – 40,1 млн грн, на соціальний захист – 36,8 млн грн, культури – 31,3 млн грн, фізичної культури та спорту – 25,2 млн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Видатки у сфері житлово-комунального господарства профінансовані в сумі 107,2 млн грн, окрім того, на поточний ремонт та утримання доріг – 36,6 млн грн, на оплату послуг електротранспорту – 31,6 млн грн, відшкодування відсотків ОСББ – 7,0 млн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Реверсної дотації державному бюджету перераховано на суму 66,8 млн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Капітальні видатки бюджету розвитку склали 144,9 млн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Всього видатки спеціального фонду бюджету громади за І півріччя 2023 року профінансовано на суму 253,0 млн грн.</w:t>
            </w:r>
          </w:p>
        </w:tc>
      </w:tr>
      <w:tr>
        <w:trPr>
          <w:trHeight w:val="615"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3.</w:t>
            </w:r>
          </w:p>
        </w:tc>
        <w:tc>
          <w:tcPr>
            <w:tcW w:w="3854" w:type="dxa"/>
            <w:tcBorders>
              <w:top w:val="single" w:sz="4" w:space="0" w:color="000000"/>
              <w:left w:val="single" w:sz="4" w:space="0" w:color="000000"/>
              <w:bottom w:val="single" w:sz="4" w:space="0" w:color="000000"/>
            </w:tcBorders>
          </w:tcPr>
          <w:p>
            <w:pPr>
              <w:pStyle w:val="Standard"/>
              <w:widowControl w:val="false"/>
              <w:ind w:firstLine="27"/>
              <w:jc w:val="both"/>
              <w:rPr>
                <w:rFonts w:ascii="Times New Roman" w:hAnsi="Times New Roman"/>
                <w:color w:val="auto"/>
                <w:sz w:val="26"/>
                <w:szCs w:val="26"/>
              </w:rPr>
            </w:pPr>
            <w:r>
              <w:rPr>
                <w:rFonts w:cs="Times New Roman" w:ascii="Times New Roman" w:hAnsi="Times New Roman"/>
                <w:color w:val="auto"/>
                <w:sz w:val="26"/>
                <w:szCs w:val="26"/>
              </w:rPr>
              <w:t>Реалізація заходів щодо наповнення бюджету Луцької міської територіальної громади достатніми фінансовими ресурсами із врахуванням показників економічного та соціального розвитку та наявної бази оподаткування, розробка заходів щодо додаткових надходжень до бюджету громади.</w:t>
            </w:r>
          </w:p>
        </w:tc>
        <w:tc>
          <w:tcPr>
            <w:tcW w:w="1088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shd w:fill="FFFFFF" w:val="clear"/>
              </w:rPr>
              <w:t>З метою організації роботи щодо забезпечення виконання дохідної частини бюджету громади, збільшення надходжень, пошуку додаткових джерел для наповнення бюджету, налагоджена співпраця між виконавчим комітетом Луцької міської ради та ГУ ДПС у Волинській області в частині мобілізації податків і зборів. Так, департаментом фінансів, бюджету та аудиту Луцької міської ради проводиться робота по інформуванню платників податків про стан їх розрахунків з бюджетом громади зі сплати земельного податку та податку на нерухоме майно, відмінне від земельної ділянки.</w:t>
            </w:r>
          </w:p>
        </w:tc>
      </w:tr>
      <w:tr>
        <w:trPr>
          <w:trHeight w:val="615"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4.</w:t>
            </w:r>
          </w:p>
        </w:tc>
        <w:tc>
          <w:tcPr>
            <w:tcW w:w="3854"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Пріоритетність здійснення видатків: на безпеку і оборону, на здійснення заходів правового режиму воєнного стану, соціальні видатки і захищені статті бюджету.</w:t>
            </w:r>
          </w:p>
        </w:tc>
        <w:tc>
          <w:tcPr>
            <w:tcW w:w="1088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Постановою Кабінету Міністрів України від 9 червня 2021 № 590 затверджено Порядок виконання повноважень Державною казначейською службою в особливому режимі в умовах воєнного стану, який визначає механізм виконання в особливому режимі повноважень Казначейством та органами Казначейства, пов’язаних із здійсненням казначейського обслуговування бюджетних коштів та коштів інших клієнтів в умовах воєнного стану в Україні або в окремих її місцевостях.</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Зокрема, відповідно до п. 19 Порядку передбачено черговість здійснення платежів Казначейством та органами Казначейства за дорученнями клієнтів з урахуванням ресурсної забезпеченості єдиного казначейського рахунку за видатками загального фонду та спеціального фонду бюджету. Першочергово забезпечуються видатки на національну безпеку і оборону та на здійснення заходів правового режиму воєнного стану.</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 xml:space="preserve">Підтримка військових формувань з бюджету здійснювалась відповідно до </w:t>
            </w:r>
            <w:r>
              <w:rPr>
                <w:rFonts w:cs="Times New Roman" w:ascii="Times New Roman" w:hAnsi="Times New Roman"/>
                <w:color w:val="000000"/>
                <w:sz w:val="26"/>
                <w:szCs w:val="26"/>
                <w:shd w:fill="FFFFFF" w:val="clear"/>
              </w:rPr>
              <w:t xml:space="preserve">Програми покращення матеріально-технічного забезпечення військових частин, проведення заходів мобілізаційної підготовки на 2023 рік, Програми заходів територіальної оборони Луцької міської територіальної громади на 2022-2024 роки, Програми виконання доручень виборців та здійснення депутатських повноважень депутатами Луцької міської ради. На їх реалізацію у 2023 році передбачено </w:t>
            </w:r>
            <w:r>
              <w:rPr>
                <w:rFonts w:ascii="Times New Roman" w:hAnsi="Times New Roman"/>
                <w:sz w:val="26"/>
                <w:szCs w:val="26"/>
              </w:rPr>
              <w:t>70,2 млн грн</w:t>
            </w:r>
            <w:r>
              <w:rPr>
                <w:rFonts w:cs="Times New Roman" w:ascii="Times New Roman" w:hAnsi="Times New Roman"/>
                <w:color w:val="000000"/>
                <w:sz w:val="26"/>
                <w:szCs w:val="26"/>
                <w:shd w:fill="FFFFFF" w:val="clear"/>
              </w:rPr>
              <w:t xml:space="preserve">. На заходи з запобігання надзвичайних ситуацій відповідно до Програми розвитку цивільного захисту Луцької міської територіальної громади на 2021-2025 роки передбачено </w:t>
            </w:r>
            <w:r>
              <w:rPr>
                <w:rFonts w:ascii="Times New Roman" w:hAnsi="Times New Roman"/>
                <w:sz w:val="26"/>
                <w:szCs w:val="26"/>
              </w:rPr>
              <w:t>39,6 млн гр</w:t>
            </w:r>
            <w:r>
              <w:rPr>
                <w:rFonts w:cs="Times New Roman" w:ascii="Times New Roman" w:hAnsi="Times New Roman"/>
                <w:color w:val="000000"/>
                <w:sz w:val="26"/>
                <w:szCs w:val="26"/>
                <w:shd w:fill="FFFFFF" w:val="clear"/>
              </w:rPr>
              <w:t>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Друга черга – видатки на оплату праці працівників бюджетних установ, соціальне забезпечення та інші захищені видатки.</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Заробітну плату працівникам бюджетної сфери було профінансовано в повному обсязі та відповідно до встановлених чинним законодавством умов оплати праці та розміру мінімальної заробітної плати. Заборгованість бюджету за захищеними статтями відсутня.</w:t>
            </w:r>
          </w:p>
        </w:tc>
      </w:tr>
      <w:tr>
        <w:trPr>
          <w:trHeight w:val="615"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5.</w:t>
            </w:r>
          </w:p>
        </w:tc>
        <w:tc>
          <w:tcPr>
            <w:tcW w:w="3854"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Проведення системної роботи щодо покращення платіжної дисципліни, поліпшення адміністрування податків, розширення податкової бази, виявлення та усунення негативних чинників, що несприятливо впливають на рівень надходжень податків, зборів і обов’язкових платежів до бюджету громади.</w:t>
            </w:r>
          </w:p>
        </w:tc>
        <w:tc>
          <w:tcPr>
            <w:tcW w:w="1088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shd w:fill="FFFFFF" w:val="clear"/>
              </w:rPr>
              <w:t xml:space="preserve">Комісією з питань своєчасності сплати податків, внесення інших обов’язкових платежів, ліквідації заборгованості з виплати заробітної плати, детінізації заробітної плати проводились співбесіди з керівниками підприємств на яких </w:t>
            </w:r>
            <w:r>
              <w:rPr>
                <w:rFonts w:cs="Times New Roman" w:ascii="Times New Roman" w:hAnsi="Times New Roman"/>
                <w:sz w:val="26"/>
                <w:szCs w:val="26"/>
              </w:rPr>
              <w:t>утворилася заборгованість із виплати заробітної плати</w:t>
            </w:r>
            <w:r>
              <w:rPr>
                <w:rFonts w:cs="Times New Roman" w:ascii="Times New Roman" w:hAnsi="Times New Roman"/>
                <w:sz w:val="26"/>
                <w:szCs w:val="26"/>
                <w:shd w:fill="FFFFFF" w:val="clear"/>
              </w:rPr>
              <w:t xml:space="preserve"> </w:t>
            </w:r>
            <w:r>
              <w:rPr>
                <w:rFonts w:cs="Times New Roman" w:ascii="Times New Roman" w:hAnsi="Times New Roman"/>
                <w:sz w:val="26"/>
                <w:szCs w:val="26"/>
              </w:rPr>
              <w:t>(</w:t>
            </w:r>
            <w:r>
              <w:rPr>
                <w:rFonts w:cs="Times New Roman" w:ascii="Times New Roman" w:hAnsi="Times New Roman"/>
                <w:sz w:val="26"/>
                <w:szCs w:val="26"/>
                <w:shd w:fill="FFFFFF" w:val="clear"/>
              </w:rPr>
              <w:t>ДП «Волинський облавтодор», ТОВ  «Континіум», ВДДС інституту картоплярства НААН України, ТОВ «Луцьккомунмаш», ВОО Українського товариства сліпих, ТОВ «Група компаній Технопром»).</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shd w:fill="FFFFFF" w:val="clear"/>
              </w:rPr>
              <w:t>Проводиться</w:t>
            </w:r>
            <w:r>
              <w:rPr>
                <w:rFonts w:cs="Times New Roman" w:ascii="Times New Roman" w:hAnsi="Times New Roman"/>
                <w:color w:val="000000"/>
                <w:sz w:val="26"/>
                <w:szCs w:val="26"/>
                <w:shd w:fill="FFFFFF" w:val="clear"/>
              </w:rPr>
              <w:t xml:space="preserve"> контроль </w:t>
            </w:r>
            <w:r>
              <w:rPr>
                <w:rFonts w:cs="Times New Roman" w:ascii="Times New Roman" w:hAnsi="Times New Roman"/>
                <w:sz w:val="26"/>
                <w:szCs w:val="26"/>
                <w:shd w:fill="FFFFFF" w:val="clear"/>
              </w:rPr>
              <w:t>суб’єктів господарювання, які здійснюють підприємницьку діяльність з питань легалізації найманих працівників, сплати податків, виплати заробітної плати.</w:t>
            </w:r>
          </w:p>
        </w:tc>
      </w:tr>
      <w:tr>
        <w:trPr>
          <w:trHeight w:val="615"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6.</w:t>
            </w:r>
          </w:p>
        </w:tc>
        <w:tc>
          <w:tcPr>
            <w:tcW w:w="3854"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Реалізація інформаційних технологій та автоматизація процесів у сфері управління фінансами в інформаційно-аналітичній системі «LOGICA».</w:t>
            </w:r>
          </w:p>
        </w:tc>
        <w:tc>
          <w:tcPr>
            <w:tcW w:w="10880" w:type="dxa"/>
            <w:tcBorders>
              <w:top w:val="single" w:sz="4" w:space="0" w:color="000000"/>
              <w:left w:val="single" w:sz="4" w:space="0" w:color="000000"/>
              <w:bottom w:val="single" w:sz="4" w:space="0" w:color="000000"/>
              <w:right w:val="single" w:sz="4" w:space="0" w:color="000000"/>
            </w:tcBorders>
            <w:vAlign w:val="center"/>
          </w:tcPr>
          <w:p>
            <w:pPr>
              <w:pStyle w:val="18"/>
              <w:widowControl w:val="false"/>
              <w:ind w:firstLine="567"/>
              <w:jc w:val="both"/>
              <w:rPr>
                <w:rFonts w:ascii="Times New Roman" w:hAnsi="Times New Roman"/>
                <w:sz w:val="26"/>
                <w:szCs w:val="26"/>
              </w:rPr>
            </w:pPr>
            <w:r>
              <w:rPr>
                <w:rFonts w:cs="Times New Roman" w:ascii="Times New Roman" w:hAnsi="Times New Roman"/>
                <w:sz w:val="26"/>
                <w:szCs w:val="26"/>
                <w:lang w:val="uk-UA"/>
              </w:rPr>
              <w:t>Електронний обмін інформацією між Міністерством фінансів України та учасниками бюджетного процесу на місцевому рівні налагоджено відповідно до наказу Міністерства</w:t>
            </w:r>
            <w:r>
              <w:rPr>
                <w:rFonts w:cs="Times New Roman" w:ascii="Times New Roman" w:hAnsi="Times New Roman"/>
                <w:sz w:val="26"/>
                <w:szCs w:val="26"/>
                <w:lang w:val="uk-UA" w:eastAsia="uk-UA"/>
              </w:rPr>
              <w:t xml:space="preserve"> фінансів України від 30.08.2021 № 488 «Про затвердження Порядку обміну інформацією між Міністерством фінансів України та учасниками бюджетного процесу на місцевому рівні», який регламентує процес відповідного інформаційного обміну (показники та терміни їх надання) через відкритий програмний інтерфейс (API) інформаційно-аналітичної системи </w:t>
            </w:r>
            <w:r>
              <w:rPr>
                <w:rFonts w:cs="Times New Roman" w:ascii="Times New Roman" w:hAnsi="Times New Roman"/>
                <w:sz w:val="26"/>
                <w:szCs w:val="26"/>
                <w:lang w:val="uk-UA"/>
              </w:rPr>
              <w:t>«</w:t>
            </w:r>
            <w:r>
              <w:rPr>
                <w:rFonts w:cs="Times New Roman" w:ascii="Times New Roman" w:hAnsi="Times New Roman"/>
                <w:sz w:val="26"/>
                <w:szCs w:val="26"/>
                <w:lang w:val="en-US"/>
              </w:rPr>
              <w:t>LOGIKA</w:t>
            </w:r>
            <w:r>
              <w:rPr>
                <w:rFonts w:cs="Times New Roman" w:ascii="Times New Roman" w:hAnsi="Times New Roman"/>
                <w:sz w:val="26"/>
                <w:szCs w:val="26"/>
                <w:lang w:val="uk-UA"/>
              </w:rPr>
              <w:t>»</w:t>
            </w:r>
            <w:r>
              <w:rPr>
                <w:rFonts w:cs="Times New Roman" w:ascii="Times New Roman" w:hAnsi="Times New Roman"/>
                <w:sz w:val="26"/>
                <w:szCs w:val="26"/>
                <w:lang w:val="uk-UA" w:eastAsia="uk-UA"/>
              </w:rPr>
              <w:t>.</w:t>
            </w:r>
          </w:p>
        </w:tc>
      </w:tr>
    </w:tbl>
    <w:p>
      <w:pPr>
        <w:pStyle w:val="Normal"/>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jc w:val="center"/>
        <w:rPr>
          <w:rFonts w:ascii="Times New Roman" w:hAnsi="Times New Roman"/>
          <w:sz w:val="26"/>
          <w:szCs w:val="26"/>
        </w:rPr>
      </w:pPr>
      <w:r>
        <w:rPr>
          <w:rFonts w:cs="Times New Roman" w:ascii="Times New Roman" w:hAnsi="Times New Roman"/>
          <w:b/>
          <w:bCs/>
          <w:sz w:val="26"/>
          <w:szCs w:val="26"/>
        </w:rPr>
        <w:t>3.1.2. Управління майном та земельними ресурсами комунальної власності</w:t>
      </w:r>
    </w:p>
    <w:p>
      <w:pPr>
        <w:pStyle w:val="Normal"/>
        <w:rPr>
          <w:rFonts w:ascii="Times New Roman" w:hAnsi="Times New Roman" w:cs="Times New Roman"/>
          <w:b/>
          <w:b/>
          <w:bCs/>
          <w:sz w:val="26"/>
          <w:szCs w:val="26"/>
        </w:rPr>
      </w:pPr>
      <w:r>
        <w:rPr>
          <w:rFonts w:cs="Times New Roman" w:ascii="Times New Roman" w:hAnsi="Times New Roman"/>
          <w:b/>
          <w:bCs/>
          <w:sz w:val="26"/>
          <w:szCs w:val="26"/>
        </w:rPr>
      </w:r>
    </w:p>
    <w:tbl>
      <w:tblPr>
        <w:tblW w:w="15451" w:type="dxa"/>
        <w:jc w:val="left"/>
        <w:tblInd w:w="109" w:type="dxa"/>
        <w:tblLayout w:type="fixed"/>
        <w:tblCellMar>
          <w:top w:w="0" w:type="dxa"/>
          <w:left w:w="108" w:type="dxa"/>
          <w:bottom w:w="0" w:type="dxa"/>
          <w:right w:w="108" w:type="dxa"/>
        </w:tblCellMar>
        <w:tblLook w:firstRow="0" w:noVBand="0" w:lastRow="0" w:firstColumn="0" w:lastColumn="0" w:noHBand="0" w:val="0000"/>
      </w:tblPr>
      <w:tblGrid>
        <w:gridCol w:w="709"/>
        <w:gridCol w:w="3858"/>
        <w:gridCol w:w="10884"/>
      </w:tblGrid>
      <w:tr>
        <w:trPr>
          <w:trHeight w:val="615" w:hRule="atLeast"/>
        </w:trPr>
        <w:tc>
          <w:tcPr>
            <w:tcW w:w="709"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bCs/>
                <w:sz w:val="26"/>
                <w:szCs w:val="26"/>
              </w:rPr>
              <w:t xml:space="preserve">№ </w:t>
            </w:r>
            <w:r>
              <w:rPr>
                <w:rFonts w:cs="Times New Roman" w:ascii="Times New Roman" w:hAnsi="Times New Roman"/>
                <w:bCs/>
                <w:sz w:val="26"/>
                <w:szCs w:val="26"/>
              </w:rPr>
              <w:t>з/п</w:t>
            </w:r>
          </w:p>
        </w:tc>
        <w:tc>
          <w:tcPr>
            <w:tcW w:w="3858"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Назва заходів</w:t>
            </w:r>
          </w:p>
        </w:tc>
        <w:tc>
          <w:tcPr>
            <w:tcW w:w="1088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Стан виконання заходів</w:t>
            </w:r>
          </w:p>
        </w:tc>
      </w:tr>
      <w:tr>
        <w:trPr>
          <w:trHeight w:val="615" w:hRule="atLeast"/>
        </w:trPr>
        <w:tc>
          <w:tcPr>
            <w:tcW w:w="709"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t>1.</w:t>
            </w:r>
          </w:p>
        </w:tc>
        <w:tc>
          <w:tcPr>
            <w:tcW w:w="3858"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s="Times New Roman"/>
                <w:color w:val="auto"/>
                <w:sz w:val="26"/>
                <w:szCs w:val="26"/>
              </w:rPr>
            </w:pPr>
            <w:r>
              <w:rPr>
                <w:rFonts w:cs="Times New Roman" w:ascii="Times New Roman" w:hAnsi="Times New Roman"/>
                <w:color w:val="auto"/>
                <w:sz w:val="26"/>
                <w:szCs w:val="26"/>
              </w:rPr>
              <w:t>Надходження коштів до бюджету міської територіальної громади від оренди нежитлових приміщень – 5,0 млн грн;</w:t>
            </w:r>
          </w:p>
          <w:p>
            <w:pPr>
              <w:pStyle w:val="Standard"/>
              <w:widowControl w:val="false"/>
              <w:jc w:val="both"/>
              <w:rPr>
                <w:rFonts w:ascii="Times New Roman" w:hAnsi="Times New Roman"/>
                <w:sz w:val="26"/>
                <w:szCs w:val="26"/>
              </w:rPr>
            </w:pPr>
            <w:r>
              <w:rPr>
                <w:rFonts w:ascii="Times New Roman" w:hAnsi="Times New Roman"/>
                <w:sz w:val="26"/>
                <w:szCs w:val="26"/>
              </w:rPr>
            </w:r>
          </w:p>
          <w:p>
            <w:pPr>
              <w:pStyle w:val="Standard"/>
              <w:widowControl w:val="false"/>
              <w:rPr>
                <w:rFonts w:ascii="Times New Roman" w:hAnsi="Times New Roman" w:cs="Times New Roman"/>
                <w:color w:val="auto"/>
                <w:sz w:val="26"/>
                <w:szCs w:val="26"/>
              </w:rPr>
            </w:pPr>
            <w:r>
              <w:rPr>
                <w:rFonts w:cs="Times New Roman" w:ascii="Times New Roman" w:hAnsi="Times New Roman"/>
                <w:color w:val="auto"/>
                <w:sz w:val="26"/>
                <w:szCs w:val="26"/>
              </w:rPr>
              <w:t>від відчуження об’єктів міської комунальної власності – 3,0 млн грн (проспект Волі, 27-а, вул. Червоного Хреста, 16 та вул. Ціолковського, 17-а);</w:t>
            </w:r>
          </w:p>
          <w:p>
            <w:pPr>
              <w:pStyle w:val="Standard"/>
              <w:widowControl w:val="false"/>
              <w:jc w:val="both"/>
              <w:rPr>
                <w:rFonts w:ascii="Times New Roman" w:hAnsi="Times New Roman" w:cs="Times New Roman"/>
                <w:color w:val="auto"/>
                <w:sz w:val="26"/>
                <w:szCs w:val="26"/>
              </w:rPr>
            </w:pPr>
            <w:r>
              <w:rPr>
                <w:rFonts w:cs="Times New Roman" w:ascii="Times New Roman" w:hAnsi="Times New Roman"/>
                <w:color w:val="auto"/>
                <w:sz w:val="26"/>
                <w:szCs w:val="26"/>
              </w:rPr>
            </w:r>
          </w:p>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від плати за користування окремими елементами благоустрою комунальної власності – 5,0 млн грн.</w:t>
            </w:r>
          </w:p>
        </w:tc>
        <w:tc>
          <w:tcPr>
            <w:tcW w:w="10884"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Від здачі в оренду нерухомого майна до бюджету міської територіальної громади надійшло 2 851,6 тис.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Від відчуження об’єктів комунальної власності за І півріччя до бюджету міської територіальної громади надійшло 349,4 тис.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Від сплати по договорах на право тимчасового користування окремими елементами благоустрою комунальної власності за звітний період надійшло до бюджету Луцької міської територіальної громади 4 126,6 тис. грн.</w:t>
            </w:r>
          </w:p>
        </w:tc>
      </w:tr>
      <w:tr>
        <w:trPr>
          <w:trHeight w:val="453" w:hRule="atLeast"/>
        </w:trPr>
        <w:tc>
          <w:tcPr>
            <w:tcW w:w="709"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2.</w:t>
            </w:r>
          </w:p>
        </w:tc>
        <w:tc>
          <w:tcPr>
            <w:tcW w:w="3858"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Проведення конкурсів щодо відбору незалежних експертів-оцінювачів нежитлових приміщень комунальної власності.</w:t>
            </w:r>
          </w:p>
        </w:tc>
        <w:tc>
          <w:tcPr>
            <w:tcW w:w="10884"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Проведено конкурс по відбору експертів-оцінювачів нежитлового приміщення комунальної власності на вул. Мрії, 17-а.</w:t>
            </w:r>
          </w:p>
        </w:tc>
      </w:tr>
      <w:tr>
        <w:trPr>
          <w:trHeight w:val="453" w:hRule="atLeast"/>
        </w:trPr>
        <w:tc>
          <w:tcPr>
            <w:tcW w:w="709"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3.</w:t>
            </w:r>
          </w:p>
        </w:tc>
        <w:tc>
          <w:tcPr>
            <w:tcW w:w="3858"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Проведення конкурсів на оформлення права на користування окремими елементами благоустрою комунальної власності для розміщення тимчасових споруд з метою провадження підприємницької діяльності на території громади.</w:t>
            </w:r>
          </w:p>
        </w:tc>
        <w:tc>
          <w:tcPr>
            <w:tcW w:w="10884"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Проведено 3 конкурси на оформлення права на користування окремими елементами благоустрою комунальної власності для розміщення тимчасових споруд з метою провадження підприємницької діяльності.</w:t>
            </w:r>
          </w:p>
        </w:tc>
      </w:tr>
      <w:tr>
        <w:trPr>
          <w:trHeight w:val="453" w:hRule="atLeast"/>
        </w:trPr>
        <w:tc>
          <w:tcPr>
            <w:tcW w:w="709"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4.</w:t>
            </w:r>
          </w:p>
        </w:tc>
        <w:tc>
          <w:tcPr>
            <w:tcW w:w="3858"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sz w:val="26"/>
                <w:szCs w:val="26"/>
              </w:rPr>
            </w:pPr>
            <w:r>
              <w:rPr>
                <w:rFonts w:cs="Times New Roman" w:ascii="Times New Roman" w:hAnsi="Times New Roman"/>
                <w:color w:val="auto"/>
                <w:sz w:val="26"/>
                <w:szCs w:val="26"/>
              </w:rPr>
              <w:t>Здійснення постійного контролю за використанням матеріальних ресурсів підприємств, установ, організацій та закладів комунальної власності Луцької міської територіальної громади.</w:t>
            </w:r>
          </w:p>
        </w:tc>
        <w:tc>
          <w:tcPr>
            <w:tcW w:w="10884"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Підготовлено 11 рішень міської ради про надання комунальним підприємствам дозволу на списання основних засобів та надано 18 погоджень на списання майна комунальних підприємств і установ.</w:t>
            </w:r>
          </w:p>
        </w:tc>
      </w:tr>
    </w:tbl>
    <w:p>
      <w:pPr>
        <w:pStyle w:val="Normal"/>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spacing w:lineRule="auto" w:line="360"/>
        <w:jc w:val="center"/>
        <w:rPr>
          <w:rFonts w:ascii="Times New Roman" w:hAnsi="Times New Roman"/>
          <w:sz w:val="26"/>
          <w:szCs w:val="26"/>
        </w:rPr>
      </w:pPr>
      <w:r>
        <w:rPr>
          <w:rFonts w:cs="Times New Roman" w:ascii="Times New Roman" w:hAnsi="Times New Roman"/>
          <w:b/>
          <w:bCs/>
          <w:sz w:val="26"/>
          <w:szCs w:val="26"/>
        </w:rPr>
        <w:t>3.1.3. Підприємництво та регуляторна діяльність</w:t>
      </w:r>
    </w:p>
    <w:tbl>
      <w:tblPr>
        <w:tblW w:w="15390" w:type="dxa"/>
        <w:jc w:val="left"/>
        <w:tblInd w:w="158" w:type="dxa"/>
        <w:tblLayout w:type="fixed"/>
        <w:tblCellMar>
          <w:top w:w="0" w:type="dxa"/>
          <w:left w:w="108" w:type="dxa"/>
          <w:bottom w:w="0" w:type="dxa"/>
          <w:right w:w="108" w:type="dxa"/>
        </w:tblCellMar>
        <w:tblLook w:firstRow="0" w:noVBand="0" w:lastRow="0" w:firstColumn="0" w:lastColumn="0" w:noHBand="0" w:val="0000"/>
      </w:tblPr>
      <w:tblGrid>
        <w:gridCol w:w="626"/>
        <w:gridCol w:w="3854"/>
        <w:gridCol w:w="10910"/>
      </w:tblGrid>
      <w:tr>
        <w:trPr>
          <w:trHeight w:val="615"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bCs/>
                <w:sz w:val="26"/>
                <w:szCs w:val="26"/>
              </w:rPr>
              <w:t xml:space="preserve">№ </w:t>
            </w:r>
            <w:r>
              <w:rPr>
                <w:rFonts w:cs="Times New Roman" w:ascii="Times New Roman" w:hAnsi="Times New Roman"/>
                <w:bCs/>
                <w:sz w:val="26"/>
                <w:szCs w:val="26"/>
              </w:rPr>
              <w:t>з/п</w:t>
            </w:r>
          </w:p>
        </w:tc>
        <w:tc>
          <w:tcPr>
            <w:tcW w:w="3854"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Назва заходів</w:t>
            </w:r>
          </w:p>
        </w:tc>
        <w:tc>
          <w:tcPr>
            <w:tcW w:w="1091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Стан виконання заходів</w:t>
            </w:r>
          </w:p>
        </w:tc>
      </w:tr>
      <w:tr>
        <w:trPr>
          <w:trHeight w:val="615"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t>1.</w:t>
            </w:r>
          </w:p>
        </w:tc>
        <w:tc>
          <w:tcPr>
            <w:tcW w:w="3854" w:type="dxa"/>
            <w:tcBorders>
              <w:top w:val="single" w:sz="4" w:space="0" w:color="000000"/>
              <w:left w:val="single" w:sz="4" w:space="0" w:color="000000"/>
              <w:bottom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Реалізація проєктів:</w:t>
            </w:r>
          </w:p>
          <w:p>
            <w:pPr>
              <w:pStyle w:val="Normal"/>
              <w:widowControl w:val="false"/>
              <w:jc w:val="both"/>
              <w:rPr>
                <w:rFonts w:ascii="Times New Roman" w:hAnsi="Times New Roman"/>
                <w:sz w:val="26"/>
                <w:szCs w:val="26"/>
              </w:rPr>
            </w:pPr>
            <w:r>
              <w:rPr>
                <w:rFonts w:ascii="Times New Roman" w:hAnsi="Times New Roman"/>
                <w:sz w:val="26"/>
                <w:szCs w:val="26"/>
              </w:rPr>
              <w:t>«Громадський контроль», який передбачає залучення громадськості до контролю за законністю та безпечністю ведення підприємницької діяльності на території громади.</w:t>
            </w:r>
          </w:p>
          <w:p>
            <w:pPr>
              <w:pStyle w:val="Normal"/>
              <w:widowControl w:val="false"/>
              <w:jc w:val="both"/>
              <w:rPr>
                <w:rFonts w:ascii="Times New Roman" w:hAnsi="Times New Roman"/>
                <w:sz w:val="26"/>
                <w:szCs w:val="26"/>
              </w:rPr>
            </w:pPr>
            <w:r>
              <w:rPr>
                <w:rFonts w:ascii="Times New Roman" w:hAnsi="Times New Roman"/>
                <w:sz w:val="26"/>
                <w:szCs w:val="26"/>
              </w:rPr>
            </w:r>
          </w:p>
          <w:p>
            <w:pPr>
              <w:pStyle w:val="Normal"/>
              <w:widowControl w:val="false"/>
              <w:jc w:val="both"/>
              <w:rPr>
                <w:rFonts w:ascii="Times New Roman" w:hAnsi="Times New Roman"/>
                <w:sz w:val="26"/>
                <w:szCs w:val="26"/>
              </w:rPr>
            </w:pPr>
            <w:r>
              <w:rPr>
                <w:rFonts w:ascii="Times New Roman" w:hAnsi="Times New Roman"/>
                <w:sz w:val="26"/>
                <w:szCs w:val="26"/>
              </w:rPr>
              <w:t>«Прогулянка Скансеном» спрямованого на розвиток підприємницької діяльності на базі зеленого туризму на території Луцької міської територіальної громади та заохочення жителів і суб’єктів підприємництва до участі у створенні привабливого та прибуткового туристичного маршруту тощо.</w:t>
            </w:r>
          </w:p>
          <w:p>
            <w:pPr>
              <w:pStyle w:val="Normal"/>
              <w:widowControl w:val="false"/>
              <w:jc w:val="both"/>
              <w:rPr>
                <w:rFonts w:ascii="Times New Roman" w:hAnsi="Times New Roman"/>
                <w:sz w:val="26"/>
                <w:szCs w:val="26"/>
              </w:rPr>
            </w:pPr>
            <w:r>
              <w:rPr>
                <w:rFonts w:ascii="Times New Roman" w:hAnsi="Times New Roman"/>
                <w:sz w:val="26"/>
                <w:szCs w:val="26"/>
              </w:rPr>
              <w:t>«Зроблено в Луцьку», який націлений на підтримку місцевих товаровиробників шляхом розміщення позначки «Зроблено в Луцьку», поряд з цінниками в закладах торгівлі Луцької міської територіальної громади.</w:t>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jc w:val="both"/>
              <w:rPr>
                <w:rFonts w:ascii="Times New Roman" w:hAnsi="Times New Roman"/>
                <w:sz w:val="26"/>
                <w:szCs w:val="26"/>
              </w:rPr>
            </w:pPr>
            <w:r>
              <w:rPr>
                <w:rFonts w:ascii="Times New Roman" w:hAnsi="Times New Roman"/>
                <w:sz w:val="26"/>
                <w:szCs w:val="26"/>
              </w:rPr>
              <w:t>«Центр підтримки експорту» спрямованого на покращення ділової активності експортно-орієнтованих суб’єктів малого та середнього підприємництва.</w:t>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jc w:val="both"/>
              <w:rPr>
                <w:rFonts w:ascii="Times New Roman" w:hAnsi="Times New Roman"/>
                <w:sz w:val="26"/>
                <w:szCs w:val="26"/>
              </w:rPr>
            </w:pPr>
            <w:r>
              <w:rPr>
                <w:rFonts w:ascii="Times New Roman" w:hAnsi="Times New Roman"/>
                <w:sz w:val="26"/>
                <w:szCs w:val="26"/>
              </w:rPr>
              <w:t>«Інформаційний пункт підприємця», який передбачає надання безкоштовних інформаційних та консультаційних послуг бізнесу.</w:t>
            </w:r>
          </w:p>
          <w:p>
            <w:pPr>
              <w:pStyle w:val="Normal"/>
              <w:widowControl w:val="false"/>
              <w:jc w:val="both"/>
              <w:rPr>
                <w:rFonts w:ascii="Times New Roman" w:hAnsi="Times New Roman"/>
                <w:sz w:val="26"/>
                <w:szCs w:val="26"/>
              </w:rPr>
            </w:pPr>
            <w:r>
              <w:rPr>
                <w:rFonts w:ascii="Times New Roman" w:hAnsi="Times New Roman"/>
                <w:sz w:val="26"/>
                <w:szCs w:val="26"/>
              </w:rPr>
            </w:r>
          </w:p>
          <w:p>
            <w:pPr>
              <w:pStyle w:val="Normal"/>
              <w:widowControl w:val="false"/>
              <w:jc w:val="both"/>
              <w:rPr>
                <w:rFonts w:ascii="Times New Roman" w:hAnsi="Times New Roman"/>
                <w:sz w:val="26"/>
                <w:szCs w:val="26"/>
              </w:rPr>
            </w:pPr>
            <w:r>
              <w:rPr>
                <w:rFonts w:ascii="Times New Roman" w:hAnsi="Times New Roman"/>
                <w:sz w:val="26"/>
                <w:szCs w:val="26"/>
              </w:rPr>
              <w:t>«Фонд підтримки підприємництва» (відновлення роботи Луцького міського фонду підтримки підприємництва).</w:t>
            </w:r>
          </w:p>
        </w:tc>
        <w:tc>
          <w:tcPr>
            <w:tcW w:w="1091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Проєкт у першому півріччі 2023 року не реалізовувався.</w:t>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t>Проєкт у першому півріччі 2023 року не реалізовувався.</w:t>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cs="Times New Roman"/>
                <w:bCs/>
                <w:sz w:val="26"/>
                <w:szCs w:val="26"/>
              </w:rPr>
            </w:pPr>
            <w:r>
              <w:rPr>
                <w:rFonts w:cs="Times New Roman" w:ascii="Times New Roman" w:hAnsi="Times New Roman"/>
                <w:bCs/>
                <w:sz w:val="26"/>
                <w:szCs w:val="26"/>
              </w:rPr>
              <w:t>З метою популяризації товарів місцевих виробників продовжено реалізацію проєкту «Зроблено в Луцьку». Торговельні мережі міста Луцька розміщували в закладах торгівлі інформаційної позначки товарів місцевих виробників «Зроблено в Луцьку» поряд з цінниками, внаслідок чого спостерігався ріст продажів відповідної продукції.</w:t>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cs="Times New Roman"/>
                <w:bCs/>
                <w:sz w:val="26"/>
                <w:szCs w:val="26"/>
              </w:rPr>
            </w:pPr>
            <w:r>
              <w:rPr>
                <w:rFonts w:cs="Times New Roman" w:ascii="Times New Roman" w:hAnsi="Times New Roman"/>
                <w:bCs/>
                <w:sz w:val="26"/>
                <w:szCs w:val="26"/>
              </w:rPr>
            </w:r>
          </w:p>
          <w:p>
            <w:pPr>
              <w:pStyle w:val="Normal"/>
              <w:widowControl w:val="false"/>
              <w:ind w:firstLine="567"/>
              <w:jc w:val="both"/>
              <w:rPr>
                <w:rFonts w:ascii="Times New Roman" w:hAnsi="Times New Roman" w:cs="Times New Roman"/>
                <w:bCs/>
                <w:sz w:val="26"/>
                <w:szCs w:val="26"/>
              </w:rPr>
            </w:pPr>
            <w:r>
              <w:rPr>
                <w:rFonts w:cs="Times New Roman" w:ascii="Times New Roman" w:hAnsi="Times New Roman"/>
                <w:bCs/>
                <w:sz w:val="26"/>
                <w:szCs w:val="26"/>
              </w:rPr>
            </w:r>
          </w:p>
          <w:p>
            <w:pPr>
              <w:pStyle w:val="Normal"/>
              <w:widowControl w:val="false"/>
              <w:ind w:firstLine="567"/>
              <w:jc w:val="both"/>
              <w:rPr>
                <w:rFonts w:ascii="Times New Roman" w:hAnsi="Times New Roman"/>
                <w:sz w:val="26"/>
                <w:szCs w:val="26"/>
              </w:rPr>
            </w:pPr>
            <w:r>
              <w:rPr>
                <w:rFonts w:cs="Times New Roman" w:ascii="Times New Roman" w:hAnsi="Times New Roman"/>
                <w:bCs/>
                <w:sz w:val="26"/>
                <w:szCs w:val="26"/>
              </w:rPr>
              <w:t>На офіційному сайті Луцької міської ради розміщено розділ: «Центр експорту» з підрозділами: «Бізнес. Експорт», «Оголошення. Статистика», «Виставково-ярмаркові заходи», «Школа експорту». Дана інформація розрахована для суб’єктів господарювання різних сфер діяльності. Також на сайті можна ознайомитися з різноманітними новинками ринку праці, з новинами зовнішньоекономічної діяльності, як досягти успіху на міжнародних виставках, секрети виходу на ринки ЄС та переглядати календар найближчих бізнес-подій тощо.</w:t>
            </w:r>
          </w:p>
          <w:p>
            <w:pPr>
              <w:pStyle w:val="Normal"/>
              <w:widowControl w:val="false"/>
              <w:ind w:firstLine="567"/>
              <w:jc w:val="both"/>
              <w:rPr>
                <w:rFonts w:ascii="Times New Roman" w:hAnsi="Times New Roman" w:cs="Times New Roman"/>
                <w:bCs/>
                <w:sz w:val="26"/>
                <w:szCs w:val="26"/>
              </w:rPr>
            </w:pPr>
            <w:r>
              <w:rPr>
                <w:rFonts w:cs="Times New Roman" w:ascii="Times New Roman" w:hAnsi="Times New Roman"/>
                <w:bCs/>
                <w:sz w:val="26"/>
                <w:szCs w:val="26"/>
              </w:rPr>
            </w:r>
          </w:p>
          <w:p>
            <w:pPr>
              <w:pStyle w:val="Normal"/>
              <w:widowControl w:val="false"/>
              <w:ind w:firstLine="567"/>
              <w:jc w:val="both"/>
              <w:rPr>
                <w:rFonts w:ascii="Times New Roman" w:hAnsi="Times New Roman" w:cs="Times New Roman"/>
                <w:bCs/>
                <w:sz w:val="26"/>
                <w:szCs w:val="26"/>
              </w:rPr>
            </w:pPr>
            <w:r>
              <w:rPr>
                <w:rFonts w:cs="Times New Roman" w:ascii="Times New Roman" w:hAnsi="Times New Roman"/>
                <w:bCs/>
                <w:sz w:val="26"/>
                <w:szCs w:val="26"/>
              </w:rPr>
            </w:r>
          </w:p>
          <w:p>
            <w:pPr>
              <w:pStyle w:val="Normal"/>
              <w:widowControl w:val="false"/>
              <w:ind w:firstLine="611"/>
              <w:jc w:val="both"/>
              <w:rPr>
                <w:rFonts w:ascii="Times New Roman" w:hAnsi="Times New Roman"/>
                <w:sz w:val="26"/>
                <w:szCs w:val="26"/>
              </w:rPr>
            </w:pPr>
            <w:r>
              <w:rPr>
                <w:rFonts w:ascii="Times New Roman" w:hAnsi="Times New Roman"/>
                <w:sz w:val="26"/>
                <w:szCs w:val="26"/>
              </w:rPr>
              <w:t>У звітному періоді консультації підприємцям надавались працівниками департаменту економічної політики та департаменту ЦНАП. Інформаційний пункт підприємця заплановано відкрити на базі кінотеатру Батьківщина після його реконструкції.</w:t>
            </w:r>
          </w:p>
          <w:p>
            <w:pPr>
              <w:pStyle w:val="Normal"/>
              <w:widowControl w:val="false"/>
              <w:ind w:firstLine="567"/>
              <w:jc w:val="both"/>
              <w:rPr>
                <w:rFonts w:ascii="Times New Roman" w:hAnsi="Times New Roman"/>
                <w:color w:val="00B050"/>
                <w:sz w:val="26"/>
                <w:szCs w:val="26"/>
              </w:rPr>
            </w:pPr>
            <w:r>
              <w:rPr>
                <w:rFonts w:ascii="Times New Roman" w:hAnsi="Times New Roman"/>
                <w:color w:val="00B050"/>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eastAsia="SimSun" w:cs="Times New Roman"/>
                <w:sz w:val="26"/>
                <w:szCs w:val="26"/>
              </w:rPr>
            </w:pPr>
            <w:r>
              <w:rPr>
                <w:rFonts w:eastAsia="SimSun" w:cs="Times New Roman" w:ascii="Times New Roman" w:hAnsi="Times New Roman"/>
                <w:sz w:val="26"/>
                <w:szCs w:val="26"/>
              </w:rPr>
            </w:r>
          </w:p>
          <w:p>
            <w:pPr>
              <w:pStyle w:val="Normal"/>
              <w:widowControl w:val="false"/>
              <w:ind w:firstLine="567"/>
              <w:jc w:val="both"/>
              <w:rPr>
                <w:rFonts w:ascii="Times New Roman" w:hAnsi="Times New Roman" w:eastAsia="SimSun" w:cs="Times New Roman"/>
                <w:sz w:val="26"/>
                <w:szCs w:val="26"/>
              </w:rPr>
            </w:pPr>
            <w:r>
              <w:rPr>
                <w:rFonts w:eastAsia="SimSun" w:cs="Times New Roman" w:ascii="Times New Roman" w:hAnsi="Times New Roman"/>
                <w:sz w:val="26"/>
                <w:szCs w:val="26"/>
              </w:rPr>
            </w:r>
          </w:p>
          <w:p>
            <w:pPr>
              <w:pStyle w:val="Normal"/>
              <w:widowControl w:val="false"/>
              <w:ind w:firstLine="567"/>
              <w:jc w:val="both"/>
              <w:rPr/>
            </w:pPr>
            <w:r>
              <w:rPr>
                <w:rFonts w:eastAsia="SimSun" w:cs="Times New Roman" w:ascii="Times New Roman" w:hAnsi="Times New Roman"/>
                <w:sz w:val="26"/>
                <w:szCs w:val="26"/>
              </w:rPr>
              <w:t>В рамках</w:t>
            </w:r>
            <w:r>
              <w:rPr>
                <w:rFonts w:cs="Times New Roman" w:ascii="Times New Roman" w:hAnsi="Times New Roman"/>
                <w:sz w:val="26"/>
                <w:szCs w:val="26"/>
              </w:rPr>
              <w:t xml:space="preserve"> «Програми підтримки малого і середнього підприємництва Луцької міської територіальної громади на 2022 - 2026 роки»</w:t>
            </w:r>
            <w:r>
              <w:rPr>
                <w:rFonts w:cs="Times New Roman" w:ascii="Times New Roman" w:hAnsi="Times New Roman"/>
                <w:iCs/>
                <w:sz w:val="26"/>
                <w:szCs w:val="26"/>
              </w:rPr>
              <w:t xml:space="preserve"> </w:t>
            </w:r>
            <w:r>
              <w:rPr>
                <w:rFonts w:cs="Times New Roman" w:ascii="Times New Roman" w:hAnsi="Times New Roman"/>
                <w:sz w:val="26"/>
                <w:szCs w:val="26"/>
              </w:rPr>
              <w:t>створено</w:t>
            </w:r>
            <w:r>
              <w:rPr>
                <w:rStyle w:val="Style16"/>
                <w:rFonts w:ascii="Times New Roman" w:hAnsi="Times New Roman"/>
                <w:iCs/>
                <w:sz w:val="26"/>
                <w:szCs w:val="26"/>
              </w:rPr>
              <w:t xml:space="preserve"> </w:t>
            </w:r>
            <w:r>
              <w:rPr>
                <w:rStyle w:val="Style16"/>
                <w:rFonts w:ascii="Times New Roman" w:hAnsi="Times New Roman"/>
                <w:b w:val="false"/>
                <w:iCs/>
                <w:sz w:val="26"/>
                <w:szCs w:val="26"/>
              </w:rPr>
              <w:t>ф</w:t>
            </w:r>
            <w:r>
              <w:rPr>
                <w:rFonts w:cs="Times New Roman" w:ascii="Times New Roman" w:hAnsi="Times New Roman"/>
                <w:sz w:val="26"/>
                <w:szCs w:val="26"/>
              </w:rPr>
              <w:t>онд підтримки підприємництва Луцької міської територіальної громади (рішення міської ради від 21.12.2022 № 39/38), метою якого є створення сприятливих умов для ведення бізнесу та підприємницької діяльності в умовах воєнного стану. З бюджету громади на фонд підтримки підприємництва Луцької міської територіальної громади було виділено 7,3 млн грн.</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У зв’язку з масованими ракетними ударами російської федерації об’єктів енергетичної інфраструктури,</w:t>
            </w:r>
            <w:r>
              <w:rPr>
                <w:rFonts w:cs="Times New Roman" w:ascii="Times New Roman" w:hAnsi="Times New Roman"/>
                <w:sz w:val="26"/>
                <w:szCs w:val="26"/>
                <w:shd w:fill="FFFFFF" w:val="clear"/>
              </w:rPr>
              <w:t xml:space="preserve"> зокрема ТЕС, ТЕЦ і ГЕС, виникла необхідність в економії електроенергії та запровадженні графіків стабілізаційних вимкнень на усій території України.</w:t>
            </w:r>
            <w:r>
              <w:rPr>
                <w:rFonts w:cs="Times New Roman" w:ascii="Times New Roman" w:hAnsi="Times New Roman"/>
                <w:sz w:val="26"/>
                <w:szCs w:val="26"/>
              </w:rPr>
              <w:t xml:space="preserve"> З метою забезпечення безперебійної роботи та функціонування бізнесу, суб’єкти господарювання змушені були закуповувати та встановлювати альтернативні джерела живлення. Для підтримки суб’єктів господарювання нашої громади кошти із «Фонду підтримки підприємництва» було використано на часткове відшкодування  витрат на закупівлю альтернативних джерел живлення.</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Відповідно до рішень комісії з розподілу коштів фонду підтримки підприємництва Луцької міської територіальної громади було погоджено 47 заявок суб’єктів господарювання (всього було подано 57 заявок). На відшкодування альтернативних джерел живлення (генераторів) виділено з бюджету громади 1 751 350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Суб’єкти господарювання, які отримали відшкодування за закупівлю альтернативних джерел живлення, розмістили інформаційне оголошення, про те, що вони є учасниками проєкту «Фонд підтримки підприємництва», а їх приміщення можуть бути використані як тимчасовий пункт перебування громадян у разі тривалого відключення електроенергії в період дії воєнного стану.</w:t>
            </w:r>
          </w:p>
        </w:tc>
      </w:tr>
      <w:tr>
        <w:trPr>
          <w:trHeight w:val="1009"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2.</w:t>
            </w:r>
          </w:p>
        </w:tc>
        <w:tc>
          <w:tcPr>
            <w:tcW w:w="3854" w:type="dxa"/>
            <w:tcBorders>
              <w:top w:val="single" w:sz="4" w:space="0" w:color="000000"/>
              <w:left w:val="single" w:sz="4" w:space="0" w:color="000000"/>
              <w:bottom w:val="single" w:sz="4" w:space="0" w:color="000000"/>
            </w:tcBorders>
          </w:tcPr>
          <w:p>
            <w:pPr>
              <w:pStyle w:val="Normal"/>
              <w:widowControl w:val="false"/>
              <w:ind w:firstLine="5"/>
              <w:jc w:val="both"/>
              <w:rPr>
                <w:rFonts w:ascii="Times New Roman" w:hAnsi="Times New Roman"/>
                <w:sz w:val="26"/>
                <w:szCs w:val="26"/>
              </w:rPr>
            </w:pPr>
            <w:r>
              <w:rPr>
                <w:rFonts w:ascii="Times New Roman" w:hAnsi="Times New Roman"/>
                <w:sz w:val="26"/>
                <w:szCs w:val="26"/>
              </w:rPr>
              <w:t>Продовження реалізації проєкту «Підприємливі діти: Луцьк-Люблін», який спрямований на отримання учнями молодшого шкільного віку базових знань про підприємництво та бізнес-середовище в громаді, області та за межами країни, а також залучення до співпраці успішних підприємств, креативних менеджерів, фінансових установ, вищих навчальних закладів та загальноосвітніх шкіл Луцької міської територіальної громади та м. Люблін (Республіка Польща).</w:t>
            </w:r>
          </w:p>
        </w:tc>
        <w:tc>
          <w:tcPr>
            <w:tcW w:w="1091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kern w:val="0"/>
                <w:sz w:val="26"/>
                <w:szCs w:val="26"/>
                <w:lang w:eastAsia="uk-UA" w:bidi="ar-SA"/>
              </w:rPr>
              <w:t>Уже вдруге у Луцьку, спільно з мерією міста Люблін, університетами імені Марі Кюрі-Склодовської, Волинським національним університетом імені Лесі Українки, ГО «Ефект дитини» та бізнес-партнерами реалізовано проєкт «Підприємливі діти: Луцьк-Люблін» (</w:t>
            </w:r>
            <w:r>
              <w:rPr>
                <w:rFonts w:cs="Times New Roman" w:ascii="Times New Roman" w:hAnsi="Times New Roman"/>
                <w:sz w:val="26"/>
                <w:szCs w:val="26"/>
              </w:rPr>
              <w:t>передбачав проведення комплексних навчально-тренувальних занять, майстер-класів та екскурсійних подорожей, що спрямовані на здобуття учнями та студентами умінь ведення підпр</w:t>
            </w:r>
            <w:r>
              <w:rPr>
                <w:rFonts w:ascii="Times New Roman" w:hAnsi="Times New Roman"/>
                <w:sz w:val="26"/>
                <w:szCs w:val="26"/>
              </w:rPr>
              <w:t>иємницької діяльності, демонстрацію на реальних прикладах чинних бізнес-візерунків міст Луцька та Любліна, процесів економічного розвитку конкретних підприємств тощо).</w:t>
            </w:r>
          </w:p>
          <w:p>
            <w:pPr>
              <w:pStyle w:val="Normal"/>
              <w:widowControl w:val="false"/>
              <w:ind w:firstLine="567"/>
              <w:jc w:val="both"/>
              <w:rPr>
                <w:rFonts w:ascii="Times New Roman" w:hAnsi="Times New Roman"/>
                <w:sz w:val="26"/>
                <w:szCs w:val="26"/>
              </w:rPr>
            </w:pPr>
            <w:r>
              <w:rPr>
                <w:rFonts w:ascii="Times New Roman" w:hAnsi="Times New Roman"/>
                <w:sz w:val="26"/>
                <w:szCs w:val="26"/>
              </w:rPr>
              <w:t xml:space="preserve">Вперше цього року учасниками проєкту стали вихованці ЗДО № 5 та № 10, а також учні КЗ «Луцька гімназія № 4 імені Модеста Левицького”», КЗ «Луцький навчально-виховний комплекс «Гімназія № 14» імені Василя Сухомлинського. Загалом участь у  проєкті взяли </w:t>
            </w:r>
            <w:r>
              <w:rPr>
                <w:rFonts w:ascii="Times New Roman" w:hAnsi="Times New Roman"/>
                <w:sz w:val="26"/>
                <w:szCs w:val="26"/>
                <w:lang w:eastAsia="uk-UA" w:bidi="ar-SA"/>
              </w:rPr>
              <w:t>60 дітей, 15 студентів та 8 бізнес партнерів: «Модерн-Експо», «Рута», «Едельвіка», «Тигрес», «Фелічіта», «Укрексімбанк», студія декору «With love», майстер гончарної справи Анатолій Філозоф.</w:t>
            </w:r>
          </w:p>
          <w:p>
            <w:pPr>
              <w:pStyle w:val="Normal"/>
              <w:widowControl w:val="false"/>
              <w:shd w:val="clear" w:color="auto" w:fill="FFFFFF"/>
              <w:ind w:firstLine="567"/>
              <w:jc w:val="both"/>
              <w:textAlignment w:val="auto"/>
              <w:rPr>
                <w:rFonts w:ascii="Times New Roman" w:hAnsi="Times New Roman"/>
                <w:sz w:val="26"/>
                <w:szCs w:val="26"/>
              </w:rPr>
            </w:pPr>
            <w:r>
              <w:rPr>
                <w:rFonts w:ascii="Times New Roman" w:hAnsi="Times New Roman"/>
                <w:sz w:val="26"/>
                <w:szCs w:val="26"/>
              </w:rPr>
              <w:t>Діти здійснювали візити на підприєм</w:t>
            </w:r>
            <w:r>
              <w:rPr>
                <w:rFonts w:cs="Times New Roman" w:ascii="Times New Roman" w:hAnsi="Times New Roman"/>
                <w:sz w:val="26"/>
                <w:szCs w:val="26"/>
                <w:shd w:fill="FFFFFF" w:val="clear"/>
              </w:rPr>
              <w:t xml:space="preserve">ства, брали участь в майстер-класах, навчилися складати бізнес-плани, створювати власні фірми, організовувати ярмарки-продаж солодощів, заробляти власні кошти тощо. </w:t>
            </w:r>
            <w:r>
              <w:rPr>
                <w:rFonts w:cs="Times New Roman" w:ascii="Times New Roman" w:hAnsi="Times New Roman"/>
                <w:kern w:val="0"/>
                <w:sz w:val="26"/>
                <w:szCs w:val="26"/>
                <w:lang w:eastAsia="uk-UA" w:bidi="ar-SA"/>
              </w:rPr>
              <w:t>Традиційно проєкт заверши</w:t>
            </w:r>
            <w:r>
              <w:rPr>
                <w:rFonts w:cs="Times New Roman" w:ascii="Times New Roman" w:hAnsi="Times New Roman"/>
                <w:color w:val="auto"/>
                <w:kern w:val="0"/>
                <w:sz w:val="26"/>
                <w:szCs w:val="26"/>
                <w:lang w:eastAsia="uk-UA" w:bidi="ar-SA"/>
              </w:rPr>
              <w:t xml:space="preserve">вся </w:t>
            </w:r>
            <w:r>
              <w:rPr>
                <w:rFonts w:cs="Times New Roman" w:ascii="Times New Roman" w:hAnsi="Times New Roman"/>
                <w:color w:val="auto"/>
                <w:kern w:val="0"/>
                <w:sz w:val="26"/>
                <w:szCs w:val="26"/>
                <w:lang w:eastAsia="uk-UA" w:bidi="ar-SA"/>
              </w:rPr>
              <w:t>урочистим фінальним заходом,</w:t>
            </w:r>
            <w:r>
              <w:rPr>
                <w:rFonts w:cs="Times New Roman" w:ascii="Times New Roman" w:hAnsi="Times New Roman"/>
                <w:kern w:val="0"/>
                <w:sz w:val="26"/>
                <w:szCs w:val="26"/>
                <w:lang w:eastAsia="uk-UA" w:bidi="ar-SA"/>
              </w:rPr>
              <w:t xml:space="preserve"> де учасники презентували макет бізнесового Луцька в майбутньому. Учасники проєкту уважно вивчили тему: «Корпоративної соціальної відповідальності бізнесу»» та на власному досвіді показали приклад, придбавши на зароблені кошти планшет для Збройних Сил України.</w:t>
            </w:r>
          </w:p>
        </w:tc>
      </w:tr>
      <w:tr>
        <w:trPr>
          <w:trHeight w:val="453"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3.</w:t>
            </w:r>
          </w:p>
        </w:tc>
        <w:tc>
          <w:tcPr>
            <w:tcW w:w="3854" w:type="dxa"/>
            <w:tcBorders>
              <w:top w:val="single" w:sz="4" w:space="0" w:color="000000"/>
              <w:left w:val="single" w:sz="4" w:space="0" w:color="000000"/>
              <w:bottom w:val="single" w:sz="4" w:space="0" w:color="000000"/>
            </w:tcBorders>
          </w:tcPr>
          <w:p>
            <w:pPr>
              <w:pStyle w:val="Normal"/>
              <w:widowControl w:val="false"/>
              <w:ind w:firstLine="5"/>
              <w:jc w:val="both"/>
              <w:rPr>
                <w:rFonts w:ascii="Times New Roman" w:hAnsi="Times New Roman"/>
                <w:sz w:val="26"/>
                <w:szCs w:val="26"/>
              </w:rPr>
            </w:pPr>
            <w:r>
              <w:rPr>
                <w:rFonts w:ascii="Times New Roman" w:hAnsi="Times New Roman"/>
                <w:sz w:val="26"/>
                <w:szCs w:val="26"/>
              </w:rPr>
              <w:t>Розміщення вуличних пунктів короткострокової торгівлі.</w:t>
            </w:r>
          </w:p>
        </w:tc>
        <w:tc>
          <w:tcPr>
            <w:tcW w:w="1091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bCs/>
                <w:sz w:val="26"/>
                <w:szCs w:val="26"/>
              </w:rPr>
              <w:t xml:space="preserve">На території Луцької міської територіальної громади у звітному періоді розміщувалось 179 тимчасових пунктів одноразової торгівлі (надання послуг) (відповідно до погоджень розміщення тимчасових споруд), що забезпечило надходження коштів до бюджету у </w:t>
            </w:r>
            <w:r>
              <w:rPr>
                <w:rFonts w:cs="Times New Roman" w:ascii="Times New Roman" w:hAnsi="Times New Roman"/>
                <w:sz w:val="26"/>
                <w:szCs w:val="26"/>
              </w:rPr>
              <w:t>сумі</w:t>
            </w:r>
            <w:r>
              <w:rPr>
                <w:rFonts w:cs="Times New Roman" w:ascii="Times New Roman" w:hAnsi="Times New Roman"/>
                <w:bCs/>
                <w:sz w:val="26"/>
                <w:szCs w:val="26"/>
              </w:rPr>
              <w:t xml:space="preserve"> 776,4 тис. грн.</w:t>
            </w:r>
          </w:p>
          <w:p>
            <w:pPr>
              <w:pStyle w:val="Normal"/>
              <w:widowControl w:val="false"/>
              <w:ind w:firstLine="567"/>
              <w:jc w:val="both"/>
              <w:rPr>
                <w:rFonts w:ascii="Times New Roman" w:hAnsi="Times New Roman"/>
                <w:sz w:val="26"/>
                <w:szCs w:val="26"/>
              </w:rPr>
            </w:pPr>
            <w:r>
              <w:rPr>
                <w:rFonts w:ascii="Times New Roman" w:hAnsi="Times New Roman"/>
                <w:sz w:val="26"/>
                <w:szCs w:val="26"/>
              </w:rPr>
              <w:t>Здійснювалася торгівля такими товарами: солодкою ватою, попкорном, кавою, солодощами, квітами, дитячими іграшками, декоративні вироби до Великодня тощо, а також надавалися послуги з прокату електросамокатів, дитячих автомобілів, розміщувалися літні майданчики біля кафе, надавалися послуги дозвілля (атракціони, батути), функціонувала виставка динозаврів.</w:t>
            </w:r>
          </w:p>
        </w:tc>
      </w:tr>
      <w:tr>
        <w:trPr>
          <w:trHeight w:val="453"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4.</w:t>
            </w:r>
          </w:p>
        </w:tc>
        <w:tc>
          <w:tcPr>
            <w:tcW w:w="3854" w:type="dxa"/>
            <w:tcBorders>
              <w:top w:val="single" w:sz="4" w:space="0" w:color="000000"/>
              <w:left w:val="single" w:sz="4" w:space="0" w:color="000000"/>
              <w:bottom w:val="single" w:sz="4" w:space="0" w:color="000000"/>
            </w:tcBorders>
          </w:tcPr>
          <w:p>
            <w:pPr>
              <w:pStyle w:val="Normal"/>
              <w:widowControl w:val="false"/>
              <w:ind w:firstLine="5"/>
              <w:jc w:val="both"/>
              <w:rPr>
                <w:rFonts w:ascii="Times New Roman" w:hAnsi="Times New Roman"/>
                <w:sz w:val="26"/>
                <w:szCs w:val="26"/>
              </w:rPr>
            </w:pPr>
            <w:r>
              <w:rPr>
                <w:rFonts w:ascii="Times New Roman" w:hAnsi="Times New Roman"/>
                <w:sz w:val="26"/>
                <w:szCs w:val="26"/>
              </w:rPr>
              <w:t>Погодження режимів роботи суб’єктам господарювання на території Луцької міської територіальної громади.</w:t>
            </w:r>
          </w:p>
        </w:tc>
        <w:tc>
          <w:tcPr>
            <w:tcW w:w="1091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Відповідно до рішення міської ради від 31.08.2022 № 34/55 «Про Правила додержання тиші в громадських місцях на території Луцької міської територіальної громади», надавалися погодження щодо встановлення режимів роботи об’єктів (закладів). За звітний період, відповідно до рішень виконавчого комітету міської ради, понад 80 закладам погоджено цілодобові та в межах цілодобових режимів роботи з забороною продажу алкогольних напоїв після 22:00 (для продовольчих магазинів) та забороною на винос з 22:00 до 5:00 пива (крім безалкогольних) алкогольних, слабоалкогольних напоїв, вин столових (для барів, ресторанів) за умови дотримання обмежувальних протиепідемічних заходів, а також комендантської години на період воєнного стану.</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Також, 13 об’єктам (закладам) торгівлі, ресторанного господарства, сфери надання послуг погоджено денні режими роботи (з 8:00 до 22:00).</w:t>
            </w:r>
          </w:p>
        </w:tc>
      </w:tr>
      <w:tr>
        <w:trPr>
          <w:trHeight w:val="453"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5.</w:t>
            </w:r>
          </w:p>
        </w:tc>
        <w:tc>
          <w:tcPr>
            <w:tcW w:w="3854" w:type="dxa"/>
            <w:tcBorders>
              <w:top w:val="single" w:sz="4" w:space="0" w:color="000000"/>
              <w:left w:val="single" w:sz="4" w:space="0" w:color="000000"/>
              <w:bottom w:val="single" w:sz="4" w:space="0" w:color="000000"/>
            </w:tcBorders>
          </w:tcPr>
          <w:p>
            <w:pPr>
              <w:pStyle w:val="Normal"/>
              <w:widowControl w:val="false"/>
              <w:ind w:firstLine="5"/>
              <w:rPr>
                <w:rFonts w:ascii="Times New Roman" w:hAnsi="Times New Roman"/>
                <w:sz w:val="26"/>
                <w:szCs w:val="26"/>
              </w:rPr>
            </w:pPr>
            <w:r>
              <w:rPr>
                <w:rFonts w:ascii="Times New Roman" w:hAnsi="Times New Roman"/>
                <w:sz w:val="26"/>
                <w:szCs w:val="26"/>
              </w:rPr>
              <w:t>Інформаційне забезпечення підприємницької діяльності (використання новітніх інтернет-платформ).</w:t>
            </w:r>
          </w:p>
        </w:tc>
        <w:tc>
          <w:tcPr>
            <w:tcW w:w="1091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pPr>
            <w:r>
              <w:rPr>
                <w:rFonts w:cs="Times New Roman" w:ascii="Times New Roman" w:hAnsi="Times New Roman"/>
                <w:bCs/>
                <w:sz w:val="26"/>
                <w:szCs w:val="26"/>
              </w:rPr>
              <w:t>Протягом звітного періоду суб’єкти господарювання могли скористатись сервісами системи державних закупівель Prozorro (</w:t>
            </w:r>
            <w:hyperlink r:id="rId2">
              <w:r>
                <w:rPr>
                  <w:rFonts w:cs="Times New Roman" w:ascii="Times New Roman" w:hAnsi="Times New Roman"/>
                  <w:sz w:val="26"/>
                  <w:szCs w:val="26"/>
                </w:rPr>
                <w:t>www.smarttender.biz</w:t>
              </w:r>
            </w:hyperlink>
            <w:r>
              <w:rPr>
                <w:rFonts w:cs="Times New Roman" w:ascii="Times New Roman" w:hAnsi="Times New Roman"/>
                <w:bCs/>
                <w:sz w:val="26"/>
                <w:szCs w:val="26"/>
              </w:rPr>
              <w:t>), національної онлайн-платформи «Дія. Бізнес» Міністерства цифрової трансформації України, безплатного інфо-сервісу «StartBusinessChallenge» щодо відкриття власної справи (</w:t>
            </w:r>
            <w:hyperlink r:id="rId3">
              <w:r>
                <w:rPr>
                  <w:rFonts w:cs="Times New Roman" w:ascii="Times New Roman" w:hAnsi="Times New Roman"/>
                  <w:sz w:val="26"/>
                  <w:szCs w:val="26"/>
                </w:rPr>
                <w:t>StartBusinessChallenge: покрокові інтерактивні інструкції як відкрити бізнес у Луцьку (regulation.gov.ua</w:t>
              </w:r>
            </w:hyperlink>
            <w:r>
              <w:rPr>
                <w:rFonts w:cs="Times New Roman" w:ascii="Times New Roman" w:hAnsi="Times New Roman"/>
                <w:bCs/>
                <w:sz w:val="26"/>
                <w:szCs w:val="26"/>
              </w:rPr>
              <w:t>), порталу для підприємців, заснованого Мінекономіки спільно з Офісом розвитку малого та середнього підприємництва (SMEDO) (</w:t>
            </w:r>
            <w:hyperlink r:id="rId4">
              <w:r>
                <w:rPr>
                  <w:rFonts w:cs="Times New Roman" w:ascii="Times New Roman" w:hAnsi="Times New Roman"/>
                  <w:sz w:val="26"/>
                  <w:szCs w:val="26"/>
                </w:rPr>
                <w:t>http://sme.gov.ua/covid19/</w:t>
              </w:r>
            </w:hyperlink>
            <w:r>
              <w:rPr>
                <w:rFonts w:cs="Times New Roman" w:ascii="Times New Roman" w:hAnsi="Times New Roman"/>
                <w:bCs/>
                <w:sz w:val="26"/>
                <w:szCs w:val="26"/>
              </w:rPr>
              <w:t>), національної платформи МСБ (</w:t>
            </w:r>
            <w:hyperlink r:id="rId5">
              <w:r>
                <w:rPr>
                  <w:rFonts w:cs="Times New Roman" w:ascii="Times New Roman" w:hAnsi="Times New Roman"/>
                  <w:sz w:val="26"/>
                  <w:szCs w:val="26"/>
                </w:rPr>
                <w:t>https://platforma-msb.org</w:t>
              </w:r>
            </w:hyperlink>
            <w:r>
              <w:rPr>
                <w:rFonts w:cs="Times New Roman" w:ascii="Times New Roman" w:hAnsi="Times New Roman"/>
                <w:bCs/>
                <w:sz w:val="26"/>
                <w:szCs w:val="26"/>
              </w:rPr>
              <w:t>), платформи фахових консультацій MEREZHA (</w:t>
            </w:r>
            <w:hyperlink r:id="rId6">
              <w:r>
                <w:rPr>
                  <w:rFonts w:cs="Times New Roman" w:ascii="Times New Roman" w:hAnsi="Times New Roman"/>
                  <w:sz w:val="26"/>
                  <w:szCs w:val="26"/>
                </w:rPr>
                <w:t>https://www.merezha.ua/</w:t>
              </w:r>
            </w:hyperlink>
            <w:r>
              <w:rPr>
                <w:rFonts w:cs="Times New Roman" w:ascii="Times New Roman" w:hAnsi="Times New Roman"/>
                <w:bCs/>
                <w:sz w:val="26"/>
                <w:szCs w:val="26"/>
              </w:rPr>
              <w:t>), комунікативної платформи з технічного регулювання в Україні (</w:t>
            </w:r>
            <w:hyperlink r:id="rId7">
              <w:r>
                <w:rPr>
                  <w:rFonts w:cs="Times New Roman" w:ascii="Times New Roman" w:hAnsi="Times New Roman"/>
                  <w:sz w:val="26"/>
                  <w:szCs w:val="26"/>
                </w:rPr>
                <w:t>https://techreg.in.ua/</w:t>
              </w:r>
            </w:hyperlink>
            <w:r>
              <w:rPr>
                <w:rFonts w:cs="Times New Roman" w:ascii="Times New Roman" w:hAnsi="Times New Roman"/>
                <w:bCs/>
                <w:sz w:val="26"/>
                <w:szCs w:val="26"/>
              </w:rPr>
              <w:t>), сайту державної програми «Доступні кредити 5-7-9» (5-7-9 gov.ua), сайту навчальної підтримки в межах програми «5-7-9» (</w:t>
            </w:r>
            <w:hyperlink r:id="rId8">
              <w:r>
                <w:rPr>
                  <w:rFonts w:cs="Times New Roman" w:ascii="Times New Roman" w:hAnsi="Times New Roman"/>
                  <w:sz w:val="26"/>
                  <w:szCs w:val="26"/>
                </w:rPr>
                <w:t>https://sme.gov.ua/579start/</w:t>
              </w:r>
            </w:hyperlink>
            <w:r>
              <w:rPr>
                <w:rFonts w:cs="Times New Roman" w:ascii="Times New Roman" w:hAnsi="Times New Roman"/>
                <w:bCs/>
                <w:sz w:val="26"/>
                <w:szCs w:val="26"/>
              </w:rPr>
              <w:t>), сайту «Бізнес. Експорт» (export.gov.ua), інспекційного порталу (inspections.gov.ua), Ради бізнес-омбудсмена (</w:t>
            </w:r>
            <w:hyperlink r:id="rId9">
              <w:r>
                <w:rPr>
                  <w:rFonts w:cs="Times New Roman" w:ascii="Times New Roman" w:hAnsi="Times New Roman"/>
                  <w:bCs/>
                  <w:sz w:val="26"/>
                  <w:szCs w:val="26"/>
                </w:rPr>
                <w:t>https://boi.org.ua/</w:t>
              </w:r>
            </w:hyperlink>
            <w:r>
              <w:rPr>
                <w:rFonts w:cs="Times New Roman" w:ascii="Times New Roman" w:hAnsi="Times New Roman"/>
                <w:bCs/>
                <w:sz w:val="26"/>
                <w:szCs w:val="26"/>
              </w:rPr>
              <w:t>).</w:t>
            </w:r>
          </w:p>
          <w:p>
            <w:pPr>
              <w:pStyle w:val="Normal"/>
              <w:widowControl w:val="false"/>
              <w:ind w:firstLine="567"/>
              <w:jc w:val="both"/>
              <w:rPr/>
            </w:pPr>
            <w:r>
              <w:rPr>
                <w:rFonts w:cs="Times New Roman" w:ascii="Times New Roman" w:hAnsi="Times New Roman"/>
                <w:bCs/>
                <w:sz w:val="26"/>
                <w:szCs w:val="26"/>
              </w:rPr>
              <w:t>Актуальності відкритих платформ у сприянні реалізації продукції (робіт, послуг) набули соціальні платформи підтримки виробників сільськогосподарської продукції «Відкритий ринок» (</w:t>
            </w:r>
            <w:hyperlink r:id="rId10">
              <w:r>
                <w:rPr>
                  <w:rFonts w:cs="Times New Roman" w:ascii="Times New Roman" w:hAnsi="Times New Roman"/>
                  <w:sz w:val="26"/>
                  <w:szCs w:val="26"/>
                </w:rPr>
                <w:t>https://rynok.in.ua/</w:t>
              </w:r>
            </w:hyperlink>
            <w:r>
              <w:rPr>
                <w:rFonts w:cs="Times New Roman" w:ascii="Times New Roman" w:hAnsi="Times New Roman"/>
                <w:bCs/>
                <w:sz w:val="26"/>
                <w:szCs w:val="26"/>
              </w:rPr>
              <w:t>), комерційні платформи, групи продажу в соціальних мережах.</w:t>
            </w:r>
          </w:p>
        </w:tc>
      </w:tr>
      <w:tr>
        <w:trPr>
          <w:trHeight w:val="453"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6.</w:t>
            </w:r>
          </w:p>
        </w:tc>
        <w:tc>
          <w:tcPr>
            <w:tcW w:w="3854" w:type="dxa"/>
            <w:tcBorders>
              <w:top w:val="single" w:sz="4" w:space="0" w:color="000000"/>
              <w:left w:val="single" w:sz="4" w:space="0" w:color="000000"/>
              <w:bottom w:val="single" w:sz="4" w:space="0" w:color="000000"/>
            </w:tcBorders>
          </w:tcPr>
          <w:p>
            <w:pPr>
              <w:pStyle w:val="Normal"/>
              <w:widowControl w:val="false"/>
              <w:tabs>
                <w:tab w:val="clear" w:pos="708"/>
                <w:tab w:val="left" w:pos="855" w:leader="none"/>
              </w:tabs>
              <w:jc w:val="both"/>
              <w:rPr>
                <w:rFonts w:ascii="Times New Roman" w:hAnsi="Times New Roman"/>
                <w:sz w:val="26"/>
                <w:szCs w:val="26"/>
              </w:rPr>
            </w:pPr>
            <w:r>
              <w:rPr>
                <w:rFonts w:ascii="Times New Roman" w:hAnsi="Times New Roman"/>
                <w:sz w:val="26"/>
                <w:szCs w:val="26"/>
              </w:rPr>
              <w:t>Організація та проведення освітніх заходів спрямованих на підвищення фахового рівня, знань та навичок, необхідних для здійснення підприємницької діяльності.</w:t>
            </w:r>
          </w:p>
        </w:tc>
        <w:tc>
          <w:tcPr>
            <w:tcW w:w="1091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У звітному періоді проведено 20 заходів з професійної орієнтації учнівської молоді для 769 учнів шкіл громади. Учням надавалися поради щодо правильного вибору професій, їх класифікацій, основних передумов успішної кар’єри та здійснення підприємницької діяльності (проводилися тести для визначення схильності до того чи іншого виду діяльності). Школярів інформували про актуальність професій, вимоги до претендентів у вакансії, знайомство з електронними сервісами служби зайнятості для самовизначення та відкриття власної справи. Впродовж першого півріччя 2023 року проведено 4 таких заходів для 93 школярів.</w:t>
            </w:r>
          </w:p>
        </w:tc>
      </w:tr>
      <w:tr>
        <w:trPr>
          <w:trHeight w:val="453"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7.</w:t>
            </w:r>
          </w:p>
        </w:tc>
        <w:tc>
          <w:tcPr>
            <w:tcW w:w="3854"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sz w:val="26"/>
                <w:szCs w:val="26"/>
              </w:rPr>
            </w:pPr>
            <w:r>
              <w:rPr>
                <w:rFonts w:ascii="Times New Roman" w:hAnsi="Times New Roman"/>
                <w:sz w:val="26"/>
                <w:szCs w:val="26"/>
              </w:rPr>
              <w:t>Дотримання порядку здійснення регуляторної політики виконавчими органами міської ради та комунальними підприємствами відповідно до чинного законодавства.</w:t>
            </w:r>
          </w:p>
        </w:tc>
        <w:tc>
          <w:tcPr>
            <w:tcW w:w="1091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З метою забезпечення виконання Закону України «Про засади державної регуляторної політики у сфері господарської діяльності» (далі – Закон)</w:t>
            </w:r>
            <w:r>
              <w:rPr>
                <w:rFonts w:cs="Times New Roman" w:ascii="Times New Roman" w:hAnsi="Times New Roman"/>
                <w:b/>
                <w:i/>
                <w:sz w:val="26"/>
                <w:szCs w:val="26"/>
              </w:rPr>
              <w:t xml:space="preserve"> </w:t>
            </w:r>
            <w:r>
              <w:rPr>
                <w:rFonts w:cs="Times New Roman" w:ascii="Times New Roman" w:hAnsi="Times New Roman"/>
                <w:sz w:val="26"/>
                <w:szCs w:val="26"/>
              </w:rPr>
              <w:t>протягом І півріччя 2023 року в Луцькій міській раді:</w:t>
            </w:r>
          </w:p>
          <w:p>
            <w:pPr>
              <w:pStyle w:val="Normal"/>
              <w:widowControl w:val="false"/>
              <w:tabs>
                <w:tab w:val="clear" w:pos="708"/>
                <w:tab w:val="left" w:pos="6660" w:leader="none"/>
              </w:tabs>
              <w:ind w:firstLine="567"/>
              <w:jc w:val="both"/>
              <w:rPr>
                <w:rFonts w:ascii="Times New Roman" w:hAnsi="Times New Roman" w:cs="Times New Roman"/>
                <w:sz w:val="26"/>
                <w:szCs w:val="26"/>
              </w:rPr>
            </w:pPr>
            <w:r>
              <w:rPr>
                <w:rFonts w:cs="Times New Roman" w:ascii="Times New Roman" w:hAnsi="Times New Roman"/>
                <w:sz w:val="26"/>
                <w:szCs w:val="26"/>
              </w:rPr>
              <w:t>проведено 3 засідання постійної комісії з питань реалізації державної регуляторної політики у виконавчих органах міської ради та складено відповідні протоколи (узгоджено звіт про здійснення державної регуляторної політики виконавчими органами міської ради у 2022 році та розглянуто 2 проєкти рішень міської ради, її виконавчого комітету на відповідність Закону);</w:t>
            </w:r>
          </w:p>
          <w:p>
            <w:pPr>
              <w:pStyle w:val="Normal"/>
              <w:widowControl w:val="false"/>
              <w:tabs>
                <w:tab w:val="clear" w:pos="708"/>
                <w:tab w:val="left" w:pos="6660" w:leader="none"/>
              </w:tabs>
              <w:ind w:firstLine="567"/>
              <w:jc w:val="both"/>
              <w:rPr>
                <w:rFonts w:ascii="Times New Roman" w:hAnsi="Times New Roman" w:cs="Times New Roman"/>
                <w:sz w:val="26"/>
                <w:szCs w:val="26"/>
              </w:rPr>
            </w:pPr>
            <w:r>
              <w:rPr>
                <w:rFonts w:cs="Times New Roman" w:ascii="Times New Roman" w:hAnsi="Times New Roman"/>
                <w:sz w:val="26"/>
                <w:szCs w:val="26"/>
              </w:rPr>
              <w:t>враховуючи ініціативи виконавчих органів міської ради та комунальних підприємств, внесено зміни в основні плани діяльності з підготовки проєктів регуляторних актів на 2023 рік;</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на засіданні міської ради заслухано та прийнято звіт про здійснення державної регуляторної політики виконавчими органами Луцької міської ради у 2022 році;</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прийнято 2 регуляторних акти, які пройшли повну регуляторну процедуру (</w:t>
            </w:r>
            <w:r>
              <w:rPr>
                <w:rFonts w:cs="Times New Roman" w:ascii="Times New Roman" w:hAnsi="Times New Roman"/>
                <w:sz w:val="26"/>
                <w:szCs w:val="26"/>
                <w:shd w:fill="FFFFFF" w:val="clear"/>
              </w:rPr>
              <w:t xml:space="preserve">рішення міської ради від </w:t>
            </w:r>
            <w:r>
              <w:rPr>
                <w:rFonts w:cs="Times New Roman" w:ascii="Times New Roman" w:hAnsi="Times New Roman"/>
                <w:sz w:val="26"/>
                <w:szCs w:val="26"/>
              </w:rPr>
              <w:t xml:space="preserve">22.02.2023 № 41/96 «Про тимчасове користування окремими елементами благоустрою комунальної власності для розміщення тимчасових споруд з метою провадження підприємницької діяльності на території Луцької міської територіальної громади» та </w:t>
            </w:r>
            <w:r>
              <w:rPr>
                <w:rFonts w:cs="Times New Roman" w:ascii="Times New Roman" w:hAnsi="Times New Roman"/>
                <w:sz w:val="26"/>
                <w:szCs w:val="26"/>
                <w:shd w:fill="FFFFFF" w:val="clear"/>
              </w:rPr>
              <w:t xml:space="preserve">рішення виконавчого комітету міської ради від </w:t>
            </w:r>
            <w:r>
              <w:rPr>
                <w:rFonts w:ascii="Times New Roman" w:hAnsi="Times New Roman"/>
                <w:sz w:val="26"/>
                <w:szCs w:val="26"/>
              </w:rPr>
              <w:t>12.04.2023 № 232-1</w:t>
            </w:r>
            <w:r>
              <w:rPr>
                <w:rFonts w:cs="Times New Roman" w:ascii="Times New Roman" w:hAnsi="Times New Roman"/>
                <w:sz w:val="26"/>
                <w:szCs w:val="26"/>
                <w:shd w:fill="FFFFFF" w:val="clear"/>
              </w:rPr>
              <w:t xml:space="preserve"> </w:t>
            </w:r>
            <w:r>
              <w:rPr>
                <w:rFonts w:cs="Times New Roman" w:ascii="Times New Roman" w:hAnsi="Times New Roman"/>
                <w:sz w:val="26"/>
                <w:szCs w:val="26"/>
              </w:rPr>
              <w:t>«Про Правила розміщення та функціонування тимчасових споруд для провадження підприємницької діяльності на території Луцької міської територіальної громади»);</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розробниками регуляторних актів підготовлено 15 звітів про здійснення заходів щодо базового, повторного та періодичного відстеження результативності дії прийнятих регуляторних актів;</w:t>
            </w:r>
          </w:p>
          <w:p>
            <w:pPr>
              <w:pStyle w:val="Normal"/>
              <w:widowControl w:val="false"/>
              <w:tabs>
                <w:tab w:val="clear" w:pos="708"/>
                <w:tab w:val="left" w:pos="6660" w:leader="none"/>
              </w:tabs>
              <w:ind w:firstLine="567"/>
              <w:jc w:val="both"/>
              <w:rPr>
                <w:rFonts w:ascii="Times New Roman" w:hAnsi="Times New Roman" w:cs="Times New Roman"/>
                <w:sz w:val="26"/>
                <w:szCs w:val="26"/>
              </w:rPr>
            </w:pPr>
            <w:r>
              <w:rPr>
                <w:rFonts w:cs="Times New Roman" w:ascii="Times New Roman" w:hAnsi="Times New Roman"/>
                <w:sz w:val="26"/>
                <w:szCs w:val="26"/>
              </w:rPr>
              <w:t>з метою забезпечення дотримання прозорості виконання Закону на офіційному сайті міської ради в розділах «Регуляторна політика», «Прозорість влади – Відкриті дані» розміщено всю необхідну підготовлену в процесі регуляторної діяльності інформацію та документацію.</w:t>
            </w:r>
          </w:p>
          <w:p>
            <w:pPr>
              <w:pStyle w:val="Normal"/>
              <w:widowControl w:val="false"/>
              <w:ind w:firstLine="567"/>
              <w:jc w:val="both"/>
              <w:rPr>
                <w:rFonts w:ascii="Times New Roman" w:hAnsi="Times New Roman"/>
                <w:sz w:val="26"/>
                <w:szCs w:val="26"/>
              </w:rPr>
            </w:pPr>
            <w:r>
              <w:rPr>
                <w:rFonts w:cs="Times New Roman" w:ascii="Times New Roman" w:hAnsi="Times New Roman"/>
                <w:spacing w:val="1"/>
                <w:sz w:val="26"/>
                <w:szCs w:val="26"/>
              </w:rPr>
              <w:t xml:space="preserve">Водночас Луцька міська рада за допомогою платформи електронної демократії «Е-DEM-консультації з громадськістю» вивчає думку мешканців громади щодо прийняття нормативно-правових актів шляхом розміщення проєктів рішень міської ради та її виконавчого комітету </w:t>
            </w:r>
            <w:r>
              <w:rPr>
                <w:rFonts w:cs="Times New Roman" w:ascii="Times New Roman" w:hAnsi="Times New Roman"/>
                <w:sz w:val="26"/>
                <w:szCs w:val="26"/>
              </w:rPr>
              <w:t>для обговорення та врахування/відхилення пропозицій від громадськості.</w:t>
            </w:r>
          </w:p>
        </w:tc>
      </w:tr>
      <w:tr>
        <w:trPr>
          <w:trHeight w:val="453"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8.</w:t>
            </w:r>
          </w:p>
        </w:tc>
        <w:tc>
          <w:tcPr>
            <w:tcW w:w="3854"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sz w:val="26"/>
                <w:szCs w:val="26"/>
              </w:rPr>
            </w:pPr>
            <w:r>
              <w:rPr>
                <w:rFonts w:ascii="Times New Roman" w:hAnsi="Times New Roman"/>
                <w:sz w:val="26"/>
                <w:szCs w:val="26"/>
              </w:rPr>
              <w:t>Підтримка суб’єктів господарювання та залучення їх до здійснення торговельного обслуговування під час загальноміських заходів, тематичних ярмарків та фестивалів, що відповідатимуть економічним потребам громади та її мешканцям.</w:t>
            </w:r>
          </w:p>
        </w:tc>
        <w:tc>
          <w:tcPr>
            <w:tcW w:w="109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0" w:leader="none"/>
              </w:tabs>
              <w:ind w:firstLine="567"/>
              <w:jc w:val="both"/>
              <w:rPr>
                <w:rFonts w:ascii="Times New Roman" w:hAnsi="Times New Roman"/>
                <w:sz w:val="26"/>
                <w:szCs w:val="26"/>
              </w:rPr>
            </w:pPr>
            <w:r>
              <w:rPr>
                <w:rFonts w:cs="Times New Roman" w:ascii="Times New Roman" w:hAnsi="Times New Roman"/>
                <w:sz w:val="26"/>
                <w:szCs w:val="26"/>
              </w:rPr>
              <w:t>З нагоди Міжнародного дня захисту дітей, 02 червня 2023 року, в парку  Героїв Майдану та Не</w:t>
            </w:r>
            <w:r>
              <w:rPr>
                <w:rFonts w:ascii="Times New Roman" w:hAnsi="Times New Roman"/>
                <w:sz w:val="26"/>
                <w:szCs w:val="26"/>
              </w:rPr>
              <w:t xml:space="preserve">бесного Легіону відбувалася святкова програма «Україна. Воля. Діти». </w:t>
            </w:r>
            <w:r>
              <w:rPr>
                <w:rFonts w:ascii="Times New Roman" w:hAnsi="Times New Roman"/>
                <w:sz w:val="26"/>
                <w:szCs w:val="26"/>
                <w:lang w:eastAsia="ar-SA" w:bidi="ar-SA"/>
              </w:rPr>
              <w:t>ТОВ «Три ведмеді», компанія «Рудь», фірма «Ласка» безоплатно забезпечили учасників заходу</w:t>
            </w:r>
            <w:r>
              <w:rPr>
                <w:rFonts w:ascii="Times New Roman" w:hAnsi="Times New Roman"/>
                <w:sz w:val="26"/>
                <w:szCs w:val="26"/>
              </w:rPr>
              <w:t xml:space="preserve"> морозивом (понад 1 000 порцій).</w:t>
            </w:r>
          </w:p>
        </w:tc>
      </w:tr>
      <w:tr>
        <w:trPr>
          <w:trHeight w:val="453"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9.</w:t>
            </w:r>
          </w:p>
        </w:tc>
        <w:tc>
          <w:tcPr>
            <w:tcW w:w="3854"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sz w:val="26"/>
                <w:szCs w:val="26"/>
              </w:rPr>
            </w:pPr>
            <w:r>
              <w:rPr>
                <w:rFonts w:ascii="Times New Roman" w:hAnsi="Times New Roman"/>
                <w:sz w:val="26"/>
                <w:szCs w:val="26"/>
              </w:rPr>
              <w:t>Надання комплексної підтримки релокованому бізнесу, сприяння його інтеграції у громаду.</w:t>
            </w:r>
          </w:p>
        </w:tc>
        <w:tc>
          <w:tcPr>
            <w:tcW w:w="1091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До</w:t>
            </w:r>
            <w:r>
              <w:rPr>
                <w:rFonts w:cs="Times New Roman" w:ascii="Times New Roman" w:hAnsi="Times New Roman"/>
                <w:spacing w:val="-4"/>
                <w:sz w:val="26"/>
                <w:szCs w:val="26"/>
              </w:rPr>
              <w:t xml:space="preserve"> </w:t>
            </w:r>
            <w:r>
              <w:rPr>
                <w:rFonts w:cs="Times New Roman" w:ascii="Times New Roman" w:hAnsi="Times New Roman"/>
                <w:spacing w:val="-2"/>
                <w:sz w:val="26"/>
                <w:szCs w:val="26"/>
              </w:rPr>
              <w:t xml:space="preserve">Луцького центру підтримки евакуації та адаптації бізнесу, основним завданням якого є створення </w:t>
            </w:r>
            <w:r>
              <w:rPr>
                <w:rFonts w:cs="Times New Roman" w:ascii="Times New Roman" w:hAnsi="Times New Roman"/>
                <w:spacing w:val="-4"/>
                <w:sz w:val="26"/>
                <w:szCs w:val="26"/>
              </w:rPr>
              <w:t>комфортних умов для ведення господарської діяльності евакуйованих підприємств різних форм власності на територію нашої громади, звертались суб’єкти господарювання</w:t>
            </w:r>
            <w:r>
              <w:rPr>
                <w:rFonts w:ascii="Times New Roman" w:hAnsi="Times New Roman"/>
                <w:sz w:val="26"/>
                <w:szCs w:val="26"/>
              </w:rPr>
              <w:t xml:space="preserve"> з м. Харкова, м. Києва та м. Маріуполя щодо розміщення свого бізнесу в м. Луцьку. Крім цього ряд консультацій було проведено із іншими суб’єктами господарювання.</w:t>
            </w:r>
          </w:p>
          <w:p>
            <w:pPr>
              <w:pStyle w:val="Normal"/>
              <w:widowControl w:val="false"/>
              <w:ind w:firstLine="567"/>
              <w:jc w:val="both"/>
              <w:rPr>
                <w:rFonts w:ascii="Times New Roman" w:hAnsi="Times New Roman"/>
                <w:color w:val="FF0000"/>
                <w:sz w:val="26"/>
                <w:szCs w:val="26"/>
              </w:rPr>
            </w:pPr>
            <w:r>
              <w:rPr>
                <w:rFonts w:ascii="Times New Roman" w:hAnsi="Times New Roman"/>
                <w:color w:val="FF0000"/>
                <w:sz w:val="26"/>
                <w:szCs w:val="26"/>
              </w:rPr>
            </w:r>
          </w:p>
        </w:tc>
      </w:tr>
      <w:tr>
        <w:trPr>
          <w:trHeight w:val="453"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10.</w:t>
            </w:r>
          </w:p>
        </w:tc>
        <w:tc>
          <w:tcPr>
            <w:tcW w:w="3854"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sz w:val="26"/>
                <w:szCs w:val="26"/>
              </w:rPr>
            </w:pPr>
            <w:r>
              <w:rPr>
                <w:rFonts w:ascii="Times New Roman" w:hAnsi="Times New Roman"/>
                <w:sz w:val="26"/>
                <w:szCs w:val="26"/>
              </w:rPr>
              <w:t>Взаємодія виконавчих органів Луцької міської ради з органами державного нагляду за дотриманням законодавства у сфері захисту прав споживачів, норм санітарного законодавства щодо додержання тиші тощо.</w:t>
            </w:r>
          </w:p>
        </w:tc>
        <w:tc>
          <w:tcPr>
            <w:tcW w:w="1091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За звітний період на адресу Головного управління у сфері дотримання вимог санітарного законодавства, дотримання законодавства про захист прав споживачів, надійшло 30 звернень громадян стосовно порушень їхніх прав, зокрема щодо надмірних рівнів шуму від здійснення господарської діяльності суб’єктів господарювання, щодо забруднення атмосферного повітря та неприємних запахів, порушень антитютюнового законодавства, неналежної якості непродовольчих товарів, порушення термінів проведення гарантійного ремонту технічно складних побутових товарів тощо.</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Фахівцями Головного управління здійснено 5 позапланових заходів державного нагляду, зокрема: 3 позапланових заходи державного нагляду (контролю) за дотриманням вимог санітарного законодавства (перевищення допустимих рівнів звуку). За підсумками здійсненої роботи суб’єкту господарювання надано припис про усунення причин і умов, що сприяють вчиненню порушень санітарного законодавства, а також 2 позапланових заходи державного нагляду (контролю) на предмет дотримання законодавства про заходи щодо попередження та зменшення вживання тютюнових виробів і їх шкідливого впливу на здоров’я населення. За результатами перевірки суб’єкта господарювання притягнуто до відповідальності, згідно зі статтею 20 Закону України «Про заходи щодо попередження та зменшення вживання тютюнових виробів і їх шкідливого впливу на здоров’я населення», на суму 31,0 тис. грн.</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За результатами розгляду скарг та звернень щодо прав споживачів, мешканцям територіальної громади міста було повернуто кошти в сумі 12,1 тис. грн.</w:t>
            </w:r>
          </w:p>
        </w:tc>
      </w:tr>
    </w:tbl>
    <w:p>
      <w:pPr>
        <w:pStyle w:val="Normal"/>
        <w:rPr>
          <w:rFonts w:ascii="Times New Roman" w:hAnsi="Times New Roman" w:cs="Times New Roman"/>
          <w:b/>
          <w:b/>
          <w:bCs/>
          <w:color w:val="auto"/>
          <w:sz w:val="26"/>
          <w:szCs w:val="26"/>
        </w:rPr>
      </w:pPr>
      <w:r>
        <w:rPr>
          <w:rFonts w:cs="Times New Roman" w:ascii="Times New Roman" w:hAnsi="Times New Roman"/>
          <w:b/>
          <w:bCs/>
          <w:color w:val="auto"/>
          <w:sz w:val="26"/>
          <w:szCs w:val="26"/>
        </w:rPr>
      </w:r>
    </w:p>
    <w:p>
      <w:pPr>
        <w:pStyle w:val="Standard"/>
        <w:ind w:firstLine="567"/>
        <w:jc w:val="center"/>
        <w:rPr>
          <w:rFonts w:ascii="Times New Roman" w:hAnsi="Times New Roman"/>
          <w:sz w:val="26"/>
          <w:szCs w:val="26"/>
        </w:rPr>
      </w:pPr>
      <w:r>
        <w:rPr>
          <w:rFonts w:cs="Times New Roman" w:ascii="Times New Roman" w:hAnsi="Times New Roman"/>
          <w:b/>
          <w:bCs/>
          <w:color w:val="auto"/>
          <w:sz w:val="26"/>
          <w:szCs w:val="26"/>
        </w:rPr>
        <w:t>3.1.4. Розвиток агропромислового комплексу</w:t>
      </w:r>
    </w:p>
    <w:p>
      <w:pPr>
        <w:pStyle w:val="Standard"/>
        <w:ind w:firstLine="567"/>
        <w:jc w:val="center"/>
        <w:rPr>
          <w:rFonts w:ascii="Times New Roman" w:hAnsi="Times New Roman" w:cs="Times New Roman"/>
          <w:b/>
          <w:b/>
          <w:bCs/>
          <w:color w:val="auto"/>
          <w:sz w:val="26"/>
          <w:szCs w:val="26"/>
        </w:rPr>
      </w:pPr>
      <w:r>
        <w:rPr>
          <w:rFonts w:cs="Times New Roman" w:ascii="Times New Roman" w:hAnsi="Times New Roman"/>
          <w:b/>
          <w:bCs/>
          <w:color w:val="auto"/>
          <w:sz w:val="26"/>
          <w:szCs w:val="26"/>
        </w:rPr>
      </w:r>
    </w:p>
    <w:tbl>
      <w:tblPr>
        <w:tblW w:w="15420" w:type="dxa"/>
        <w:jc w:val="left"/>
        <w:tblInd w:w="128" w:type="dxa"/>
        <w:tblLayout w:type="fixed"/>
        <w:tblCellMar>
          <w:top w:w="0" w:type="dxa"/>
          <w:left w:w="108" w:type="dxa"/>
          <w:bottom w:w="0" w:type="dxa"/>
          <w:right w:w="108" w:type="dxa"/>
        </w:tblCellMar>
        <w:tblLook w:firstRow="1" w:noVBand="0" w:lastRow="0" w:firstColumn="1" w:lastColumn="0" w:noHBand="0" w:val="00a0"/>
      </w:tblPr>
      <w:tblGrid>
        <w:gridCol w:w="672"/>
        <w:gridCol w:w="3821"/>
        <w:gridCol w:w="10927"/>
      </w:tblGrid>
      <w:tr>
        <w:trPr/>
        <w:tc>
          <w:tcPr>
            <w:tcW w:w="67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bCs/>
                <w:sz w:val="26"/>
                <w:szCs w:val="26"/>
              </w:rPr>
              <w:t xml:space="preserve">№ </w:t>
            </w:r>
            <w:r>
              <w:rPr>
                <w:rFonts w:cs="Times New Roman" w:ascii="Times New Roman" w:hAnsi="Times New Roman"/>
                <w:bCs/>
                <w:sz w:val="26"/>
                <w:szCs w:val="26"/>
              </w:rPr>
              <w:t>з/п</w:t>
            </w:r>
          </w:p>
        </w:tc>
        <w:tc>
          <w:tcPr>
            <w:tcW w:w="382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Назва заходів</w:t>
            </w:r>
          </w:p>
        </w:tc>
        <w:tc>
          <w:tcPr>
            <w:tcW w:w="1092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Стан виконання заходів</w:t>
            </w:r>
          </w:p>
        </w:tc>
      </w:tr>
      <w:tr>
        <w:trPr/>
        <w:tc>
          <w:tcPr>
            <w:tcW w:w="672" w:type="dxa"/>
            <w:tcBorders>
              <w:top w:val="single" w:sz="4" w:space="0" w:color="000000"/>
              <w:left w:val="single" w:sz="4" w:space="0" w:color="000000"/>
              <w:bottom w:val="single" w:sz="4" w:space="0" w:color="000000"/>
              <w:right w:val="single" w:sz="4" w:space="0" w:color="000000"/>
            </w:tcBorders>
          </w:tcPr>
          <w:p>
            <w:pPr>
              <w:pStyle w:val="Standard"/>
              <w:widowControl w:val="false"/>
              <w:jc w:val="center"/>
              <w:rPr>
                <w:rFonts w:ascii="Times New Roman" w:hAnsi="Times New Roman"/>
                <w:color w:val="auto"/>
                <w:sz w:val="26"/>
                <w:szCs w:val="26"/>
              </w:rPr>
            </w:pPr>
            <w:r>
              <w:rPr>
                <w:rFonts w:ascii="Times New Roman" w:hAnsi="Times New Roman"/>
                <w:color w:val="auto"/>
                <w:sz w:val="26"/>
                <w:szCs w:val="26"/>
              </w:rPr>
              <w:t>1.</w:t>
            </w:r>
          </w:p>
        </w:tc>
        <w:tc>
          <w:tcPr>
            <w:tcW w:w="3821" w:type="dxa"/>
            <w:tcBorders>
              <w:top w:val="single" w:sz="4" w:space="0" w:color="000000"/>
              <w:left w:val="single" w:sz="4" w:space="0" w:color="000000"/>
              <w:bottom w:val="single" w:sz="4" w:space="0" w:color="000000"/>
              <w:right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lang w:eastAsia="ru-RU"/>
              </w:rPr>
              <w:t>Інформування суб’єктів господарювання агропромислового комплексу про норми та порядки використання коштів відповідних бюджетних програм.</w:t>
            </w:r>
          </w:p>
        </w:tc>
        <w:tc>
          <w:tcPr>
            <w:tcW w:w="1092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6954" w:leader="none"/>
              </w:tabs>
              <w:ind w:firstLine="567"/>
              <w:jc w:val="both"/>
              <w:rPr>
                <w:rFonts w:ascii="Times New Roman" w:hAnsi="Times New Roman"/>
                <w:sz w:val="26"/>
                <w:szCs w:val="26"/>
              </w:rPr>
            </w:pPr>
            <w:r>
              <w:rPr>
                <w:rFonts w:cs="Times New Roman" w:ascii="Times New Roman" w:hAnsi="Times New Roman"/>
                <w:iCs/>
                <w:sz w:val="26"/>
                <w:szCs w:val="26"/>
                <w:shd w:fill="FFFFFF" w:val="clear"/>
                <w:lang w:eastAsia="en-US"/>
              </w:rPr>
              <w:t>В розділах офіційного сайту міської ради (сторінка «Про місто»/«Агропромисловий комплекс міської територіальної громади»):</w:t>
            </w:r>
          </w:p>
          <w:p>
            <w:pPr>
              <w:pStyle w:val="Normal"/>
              <w:widowControl w:val="false"/>
              <w:tabs>
                <w:tab w:val="clear" w:pos="708"/>
                <w:tab w:val="left" w:pos="6954" w:leader="none"/>
              </w:tabs>
              <w:ind w:firstLine="567"/>
              <w:jc w:val="both"/>
              <w:rPr>
                <w:rFonts w:ascii="Times New Roman" w:hAnsi="Times New Roman"/>
                <w:sz w:val="26"/>
                <w:szCs w:val="26"/>
              </w:rPr>
            </w:pPr>
            <w:r>
              <w:rPr>
                <w:rFonts w:cs="Times New Roman" w:ascii="Times New Roman" w:hAnsi="Times New Roman"/>
                <w:iCs/>
                <w:sz w:val="26"/>
                <w:szCs w:val="26"/>
                <w:shd w:fill="FFFFFF" w:val="clear"/>
                <w:lang w:eastAsia="en-US"/>
              </w:rPr>
              <w:t xml:space="preserve">1. «Фінансова підтримка із бюджету громади» розміщені, розроблені </w:t>
            </w:r>
            <w:r>
              <w:rPr>
                <w:rFonts w:cs="Times New Roman" w:ascii="Times New Roman" w:hAnsi="Times New Roman"/>
                <w:sz w:val="26"/>
                <w:szCs w:val="26"/>
              </w:rPr>
              <w:t xml:space="preserve">відповідно до </w:t>
            </w:r>
            <w:r>
              <w:rPr>
                <w:rFonts w:cs="Times New Roman" w:ascii="Times New Roman" w:hAnsi="Times New Roman"/>
                <w:iCs/>
                <w:sz w:val="26"/>
                <w:szCs w:val="26"/>
                <w:shd w:fill="FFFFFF" w:val="clear"/>
                <w:lang w:eastAsia="en-US"/>
              </w:rPr>
              <w:t xml:space="preserve">Програми розвитку агропромислового комплексу Луцької міської територіальної громади на 2021-2025 роки (рішення міської ради від 26.08.2021 № 17/65), порядки використання коштів бюджету громади щодо </w:t>
            </w:r>
            <w:r>
              <w:rPr>
                <w:rFonts w:cs="Times New Roman" w:ascii="Times New Roman" w:hAnsi="Times New Roman"/>
                <w:sz w:val="26"/>
                <w:szCs w:val="26"/>
              </w:rPr>
              <w:t>фінансової підтримки у 2023 році</w:t>
            </w:r>
            <w:r>
              <w:rPr>
                <w:rFonts w:cs="Times New Roman" w:ascii="Times New Roman" w:hAnsi="Times New Roman"/>
                <w:iCs/>
                <w:sz w:val="26"/>
                <w:szCs w:val="26"/>
                <w:shd w:fill="FFFFFF" w:val="clear"/>
                <w:lang w:eastAsia="en-US"/>
              </w:rPr>
              <w:t>:</w:t>
            </w:r>
          </w:p>
          <w:p>
            <w:pPr>
              <w:pStyle w:val="Normal"/>
              <w:widowControl w:val="false"/>
              <w:tabs>
                <w:tab w:val="clear" w:pos="708"/>
                <w:tab w:val="left" w:pos="900" w:leader="none"/>
              </w:tabs>
              <w:ind w:firstLine="567"/>
              <w:jc w:val="both"/>
              <w:rPr>
                <w:rFonts w:ascii="Times New Roman" w:hAnsi="Times New Roman"/>
                <w:sz w:val="26"/>
                <w:szCs w:val="26"/>
              </w:rPr>
            </w:pPr>
            <w:r>
              <w:rPr>
                <w:rFonts w:cs="Times New Roman" w:ascii="Times New Roman" w:hAnsi="Times New Roman"/>
                <w:sz w:val="26"/>
                <w:szCs w:val="26"/>
              </w:rPr>
              <w:t>особистих селянських господарств (далі – ОСГ), які утримують три і більше корів;</w:t>
            </w:r>
          </w:p>
          <w:p>
            <w:pPr>
              <w:pStyle w:val="Normal"/>
              <w:widowControl w:val="false"/>
              <w:tabs>
                <w:tab w:val="clear" w:pos="708"/>
                <w:tab w:val="left" w:pos="900" w:leader="none"/>
              </w:tabs>
              <w:ind w:firstLine="567"/>
              <w:jc w:val="both"/>
              <w:rPr>
                <w:rFonts w:ascii="Times New Roman" w:hAnsi="Times New Roman" w:cs="Times New Roman"/>
                <w:sz w:val="26"/>
                <w:szCs w:val="26"/>
              </w:rPr>
            </w:pPr>
            <w:r>
              <w:rPr>
                <w:rFonts w:cs="Times New Roman" w:ascii="Times New Roman" w:hAnsi="Times New Roman"/>
                <w:sz w:val="26"/>
                <w:szCs w:val="26"/>
              </w:rPr>
              <w:t>ОСГ, які утримують телиць та нетелей;</w:t>
            </w:r>
          </w:p>
          <w:p>
            <w:pPr>
              <w:pStyle w:val="Normal"/>
              <w:widowControl w:val="false"/>
              <w:tabs>
                <w:tab w:val="clear" w:pos="708"/>
                <w:tab w:val="left" w:pos="900" w:leader="none"/>
              </w:tabs>
              <w:ind w:firstLine="567"/>
              <w:jc w:val="both"/>
              <w:rPr>
                <w:rFonts w:ascii="Times New Roman" w:hAnsi="Times New Roman"/>
                <w:sz w:val="26"/>
                <w:szCs w:val="26"/>
              </w:rPr>
            </w:pPr>
            <w:r>
              <w:rPr>
                <w:rFonts w:cs="Times New Roman" w:ascii="Times New Roman" w:hAnsi="Times New Roman"/>
                <w:sz w:val="26"/>
                <w:szCs w:val="26"/>
              </w:rPr>
              <w:t>ОСГ</w:t>
            </w:r>
            <w:r>
              <w:rPr>
                <w:rFonts w:cs="Times New Roman" w:ascii="Times New Roman" w:hAnsi="Times New Roman"/>
                <w:kern w:val="0"/>
                <w:sz w:val="26"/>
                <w:szCs w:val="26"/>
                <w:lang w:eastAsia="en-US" w:bidi="ar-SA"/>
              </w:rPr>
              <w:t xml:space="preserve"> на часткове здешевлення вартості штучного осіменіння;</w:t>
            </w:r>
          </w:p>
          <w:p>
            <w:pPr>
              <w:pStyle w:val="Normal"/>
              <w:widowControl w:val="false"/>
              <w:tabs>
                <w:tab w:val="clear" w:pos="708"/>
                <w:tab w:val="left" w:pos="900" w:leader="none"/>
              </w:tabs>
              <w:ind w:firstLine="567"/>
              <w:jc w:val="both"/>
              <w:rPr>
                <w:rFonts w:ascii="Times New Roman" w:hAnsi="Times New Roman"/>
                <w:sz w:val="26"/>
                <w:szCs w:val="26"/>
              </w:rPr>
            </w:pPr>
            <w:r>
              <w:rPr>
                <w:rFonts w:cs="Times New Roman" w:ascii="Times New Roman" w:hAnsi="Times New Roman"/>
                <w:bCs/>
                <w:sz w:val="26"/>
                <w:szCs w:val="26"/>
                <w:lang w:eastAsia="uk-UA"/>
              </w:rPr>
              <w:t>шляхом надання часткової компенсації вартості установок індивідуального доїння та/або холодильного обладнання для</w:t>
            </w:r>
            <w:r>
              <w:rPr>
                <w:rFonts w:cs="Times New Roman" w:ascii="Times New Roman" w:hAnsi="Times New Roman"/>
                <w:b/>
                <w:bCs/>
                <w:sz w:val="26"/>
                <w:szCs w:val="26"/>
                <w:lang w:eastAsia="uk-UA"/>
              </w:rPr>
              <w:t xml:space="preserve"> </w:t>
            </w:r>
            <w:r>
              <w:rPr>
                <w:rFonts w:cs="Times New Roman" w:ascii="Times New Roman" w:hAnsi="Times New Roman"/>
                <w:bCs/>
                <w:sz w:val="26"/>
                <w:szCs w:val="26"/>
                <w:lang w:eastAsia="uk-UA"/>
              </w:rPr>
              <w:t>ОСГ</w:t>
            </w:r>
            <w:r>
              <w:rPr>
                <w:rFonts w:cs="Times New Roman" w:ascii="Times New Roman" w:hAnsi="Times New Roman"/>
                <w:sz w:val="26"/>
                <w:szCs w:val="26"/>
              </w:rPr>
              <w:t xml:space="preserve"> та сімейних фермерських господарств (далі – СФГ);</w:t>
            </w:r>
          </w:p>
          <w:p>
            <w:pPr>
              <w:pStyle w:val="Normal"/>
              <w:widowControl w:val="false"/>
              <w:tabs>
                <w:tab w:val="clear" w:pos="708"/>
                <w:tab w:val="left" w:pos="900" w:leader="none"/>
              </w:tabs>
              <w:ind w:firstLine="567"/>
              <w:jc w:val="both"/>
              <w:rPr>
                <w:rFonts w:ascii="Times New Roman" w:hAnsi="Times New Roman"/>
                <w:sz w:val="26"/>
                <w:szCs w:val="26"/>
              </w:rPr>
            </w:pPr>
            <w:r>
              <w:rPr>
                <w:rFonts w:cs="Times New Roman" w:ascii="Times New Roman" w:hAnsi="Times New Roman"/>
                <w:bCs/>
                <w:sz w:val="26"/>
                <w:szCs w:val="26"/>
                <w:lang w:eastAsia="uk-UA"/>
              </w:rPr>
              <w:t xml:space="preserve">шляхом надання часткової компенсації вартості </w:t>
            </w:r>
            <w:r>
              <w:rPr>
                <w:rFonts w:cs="Times New Roman" w:ascii="Times New Roman" w:hAnsi="Times New Roman"/>
                <w:sz w:val="26"/>
                <w:szCs w:val="26"/>
              </w:rPr>
              <w:t>висіяного сертифікованого насіння та посадкового матеріалу для СФГ без створення юридичної особи.</w:t>
            </w:r>
          </w:p>
          <w:p>
            <w:pPr>
              <w:pStyle w:val="Normal"/>
              <w:widowControl w:val="false"/>
              <w:tabs>
                <w:tab w:val="clear" w:pos="708"/>
                <w:tab w:val="left" w:pos="900" w:leader="none"/>
              </w:tabs>
              <w:ind w:firstLine="567"/>
              <w:jc w:val="both"/>
              <w:rPr>
                <w:rFonts w:ascii="Times New Roman" w:hAnsi="Times New Roman" w:cs="Times New Roman"/>
                <w:sz w:val="26"/>
                <w:szCs w:val="26"/>
              </w:rPr>
            </w:pPr>
            <w:r>
              <w:rPr>
                <w:rFonts w:cs="Times New Roman" w:ascii="Times New Roman" w:hAnsi="Times New Roman"/>
                <w:sz w:val="26"/>
                <w:szCs w:val="26"/>
              </w:rPr>
              <w:t>А також в цих розділах розміщені оголошення про початок прийому документів в 2023 році від аграріїв громади.</w:t>
            </w:r>
          </w:p>
          <w:p>
            <w:pPr>
              <w:pStyle w:val="Normal"/>
              <w:widowControl w:val="false"/>
              <w:tabs>
                <w:tab w:val="clear" w:pos="708"/>
                <w:tab w:val="left" w:pos="6954" w:leader="none"/>
              </w:tabs>
              <w:ind w:firstLine="567"/>
              <w:jc w:val="both"/>
              <w:rPr>
                <w:rFonts w:ascii="Times New Roman" w:hAnsi="Times New Roman"/>
                <w:sz w:val="26"/>
                <w:szCs w:val="26"/>
              </w:rPr>
            </w:pPr>
            <w:r>
              <w:rPr>
                <w:rFonts w:cs="Times New Roman" w:ascii="Times New Roman" w:hAnsi="Times New Roman"/>
                <w:iCs/>
                <w:sz w:val="26"/>
                <w:szCs w:val="26"/>
                <w:shd w:fill="FFFFFF" w:val="clear"/>
                <w:lang w:eastAsia="en-US"/>
              </w:rPr>
              <w:t xml:space="preserve">2. «Фінансова підтримка з обласного бюджету» розміщені оголошення про прийом документів від с/г виробників відповідно до </w:t>
            </w:r>
            <w:r>
              <w:rPr>
                <w:rFonts w:cs="Segoe UI Historic" w:ascii="Times New Roman" w:hAnsi="Times New Roman"/>
                <w:kern w:val="0"/>
                <w:sz w:val="26"/>
                <w:szCs w:val="26"/>
                <w:lang w:eastAsia="uk-UA" w:bidi="ar-SA"/>
              </w:rPr>
              <w:t xml:space="preserve">порядків використання коштів субвенції з обласного бюджету місцевим бюджетам для надання дотації за вирощування молодняка великої рогатої </w:t>
            </w:r>
            <w:r>
              <w:rPr>
                <w:rFonts w:cs="Times New Roman" w:ascii="Times New Roman" w:hAnsi="Times New Roman"/>
                <w:kern w:val="0"/>
                <w:sz w:val="26"/>
                <w:szCs w:val="26"/>
                <w:lang w:eastAsia="uk-UA" w:bidi="ar-SA"/>
              </w:rPr>
              <w:t>худоби та</w:t>
            </w:r>
            <w:r>
              <w:rPr>
                <w:rFonts w:cs="Segoe UI Historic" w:ascii="Times New Roman" w:hAnsi="Times New Roman"/>
                <w:kern w:val="0"/>
                <w:sz w:val="26"/>
                <w:szCs w:val="26"/>
                <w:lang w:eastAsia="uk-UA" w:bidi="ar-SA"/>
              </w:rPr>
              <w:t xml:space="preserve"> для здешевлення вартості висіяного сертифікованого насіння, </w:t>
            </w:r>
            <w:r>
              <w:rPr>
                <w:rFonts w:cs="Times New Roman" w:ascii="Times New Roman" w:hAnsi="Times New Roman"/>
                <w:kern w:val="0"/>
                <w:sz w:val="26"/>
                <w:szCs w:val="26"/>
                <w:lang w:eastAsia="uk-UA" w:bidi="ar-SA"/>
              </w:rPr>
              <w:t>а також порядку</w:t>
            </w:r>
            <w:r>
              <w:rPr>
                <w:rFonts w:cs="Segoe UI Historic" w:ascii="Times New Roman" w:hAnsi="Times New Roman"/>
                <w:kern w:val="0"/>
                <w:sz w:val="26"/>
                <w:szCs w:val="26"/>
                <w:lang w:eastAsia="uk-UA" w:bidi="ar-SA"/>
              </w:rPr>
              <w:t xml:space="preserve"> надання фінансової підтримки на зворотній основі через реалізацію бізнес-планів </w:t>
            </w:r>
            <w:r>
              <w:rPr>
                <w:rFonts w:cs="Times New Roman" w:ascii="Times New Roman" w:hAnsi="Times New Roman"/>
                <w:kern w:val="0"/>
                <w:sz w:val="26"/>
                <w:szCs w:val="26"/>
                <w:lang w:eastAsia="uk-UA" w:bidi="ar-SA"/>
              </w:rPr>
              <w:t>відповідно до</w:t>
            </w:r>
            <w:r>
              <w:rPr>
                <w:rFonts w:cs="Times New Roman" w:ascii="Times New Roman" w:hAnsi="Times New Roman"/>
                <w:sz w:val="26"/>
                <w:szCs w:val="26"/>
              </w:rPr>
              <w:t xml:space="preserve"> Комплексної програми розвитку агропромислового комплексу Волинської області на 2023-2026 роки (рішення обласної ради від 03.11.2022 № 19/3 зі змінами).</w:t>
            </w:r>
          </w:p>
          <w:p>
            <w:pPr>
              <w:pStyle w:val="Normal"/>
              <w:widowControl w:val="false"/>
              <w:tabs>
                <w:tab w:val="clear" w:pos="708"/>
                <w:tab w:val="left" w:pos="900" w:leader="none"/>
              </w:tabs>
              <w:ind w:firstLine="567"/>
              <w:jc w:val="both"/>
              <w:rPr>
                <w:rFonts w:ascii="Times New Roman" w:hAnsi="Times New Roman" w:cs="Times New Roman"/>
                <w:iCs/>
                <w:sz w:val="26"/>
                <w:szCs w:val="26"/>
                <w:lang w:eastAsia="en-US"/>
              </w:rPr>
            </w:pPr>
            <w:r>
              <w:rPr>
                <w:rFonts w:cs="Times New Roman" w:ascii="Times New Roman" w:hAnsi="Times New Roman"/>
                <w:iCs/>
                <w:sz w:val="26"/>
                <w:szCs w:val="26"/>
                <w:shd w:fill="FFFFFF" w:val="clear"/>
                <w:lang w:eastAsia="en-US"/>
              </w:rPr>
              <w:t>3. «Фінансова підтримка із державного бюджету» розміщена інформація про надання мікрогрантів на розвиток теплиць, садівництва та виноградарства, переробних підприємств, відкриття власної справи.</w:t>
            </w:r>
          </w:p>
        </w:tc>
      </w:tr>
      <w:tr>
        <w:trPr/>
        <w:tc>
          <w:tcPr>
            <w:tcW w:w="672" w:type="dxa"/>
            <w:tcBorders>
              <w:top w:val="single" w:sz="4" w:space="0" w:color="000000"/>
              <w:left w:val="single" w:sz="4" w:space="0" w:color="000000"/>
              <w:bottom w:val="single" w:sz="4" w:space="0" w:color="000000"/>
              <w:right w:val="single" w:sz="4" w:space="0" w:color="000000"/>
            </w:tcBorders>
          </w:tcPr>
          <w:p>
            <w:pPr>
              <w:pStyle w:val="Standard"/>
              <w:widowControl w:val="false"/>
              <w:jc w:val="center"/>
              <w:rPr>
                <w:rFonts w:ascii="Times New Roman" w:hAnsi="Times New Roman"/>
                <w:color w:val="auto"/>
                <w:sz w:val="26"/>
                <w:szCs w:val="26"/>
              </w:rPr>
            </w:pPr>
            <w:r>
              <w:rPr>
                <w:rFonts w:ascii="Times New Roman" w:hAnsi="Times New Roman"/>
                <w:color w:val="auto"/>
                <w:sz w:val="26"/>
                <w:szCs w:val="26"/>
              </w:rPr>
              <w:t>2.</w:t>
            </w:r>
          </w:p>
        </w:tc>
        <w:tc>
          <w:tcPr>
            <w:tcW w:w="3821"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26"/>
                <w:szCs w:val="26"/>
              </w:rPr>
            </w:pPr>
            <w:r>
              <w:rPr>
                <w:rFonts w:ascii="Times New Roman" w:hAnsi="Times New Roman"/>
                <w:sz w:val="26"/>
                <w:szCs w:val="26"/>
              </w:rPr>
              <w:t>Реалізація проєкту «Екологічні продукти для громади» (створення торговельних майданчиків для реалізації продукції сільськогосподарського виробництва).</w:t>
            </w:r>
          </w:p>
        </w:tc>
        <w:tc>
          <w:tcPr>
            <w:tcW w:w="1092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bCs/>
                <w:sz w:val="26"/>
                <w:szCs w:val="26"/>
              </w:rPr>
              <w:t>В рамках реалізації проєкту «Екологічні продукти для громади» в місті на постійній основі функціонують торговельні майданчики для реалізації продукції сільськогосподарського виробництва: на вул. Глушець (навпроти гімназії № 4), на вул. Єршова (поблизу ТЦ «Глобус»).</w:t>
            </w:r>
          </w:p>
        </w:tc>
      </w:tr>
      <w:tr>
        <w:trPr/>
        <w:tc>
          <w:tcPr>
            <w:tcW w:w="672" w:type="dxa"/>
            <w:tcBorders>
              <w:top w:val="single" w:sz="4" w:space="0" w:color="000000"/>
              <w:left w:val="single" w:sz="4" w:space="0" w:color="000000"/>
              <w:bottom w:val="single" w:sz="4" w:space="0" w:color="000000"/>
              <w:right w:val="single" w:sz="4" w:space="0" w:color="000000"/>
            </w:tcBorders>
          </w:tcPr>
          <w:p>
            <w:pPr>
              <w:pStyle w:val="Standard"/>
              <w:widowControl w:val="false"/>
              <w:jc w:val="center"/>
              <w:rPr>
                <w:rFonts w:ascii="Times New Roman" w:hAnsi="Times New Roman"/>
                <w:color w:val="auto"/>
                <w:sz w:val="26"/>
                <w:szCs w:val="26"/>
              </w:rPr>
            </w:pPr>
            <w:r>
              <w:rPr>
                <w:rFonts w:ascii="Times New Roman" w:hAnsi="Times New Roman"/>
                <w:color w:val="auto"/>
                <w:sz w:val="26"/>
                <w:szCs w:val="26"/>
              </w:rPr>
              <w:t>3.</w:t>
            </w:r>
          </w:p>
        </w:tc>
        <w:tc>
          <w:tcPr>
            <w:tcW w:w="3821" w:type="dxa"/>
            <w:tcBorders>
              <w:top w:val="single" w:sz="4" w:space="0" w:color="000000"/>
              <w:left w:val="single" w:sz="4" w:space="0" w:color="000000"/>
              <w:bottom w:val="single" w:sz="4" w:space="0" w:color="000000"/>
              <w:right w:val="single" w:sz="4" w:space="0" w:color="000000"/>
            </w:tcBorders>
          </w:tcPr>
          <w:p>
            <w:pPr>
              <w:pStyle w:val="Normal"/>
              <w:widowControl w:val="false"/>
              <w:ind w:firstLine="42"/>
              <w:jc w:val="both"/>
              <w:rPr>
                <w:rFonts w:ascii="Times New Roman" w:hAnsi="Times New Roman"/>
                <w:sz w:val="26"/>
                <w:szCs w:val="26"/>
              </w:rPr>
            </w:pPr>
            <w:r>
              <w:rPr>
                <w:rFonts w:ascii="Times New Roman" w:hAnsi="Times New Roman"/>
                <w:sz w:val="26"/>
                <w:szCs w:val="26"/>
              </w:rPr>
              <w:t xml:space="preserve">Стимулювання фермерів та інших виробників сільськогосподарської продукції до реєстрації у </w:t>
            </w:r>
            <w:r>
              <w:rPr>
                <w:rFonts w:cs="Times New Roman" w:ascii="Times New Roman" w:hAnsi="Times New Roman"/>
                <w:sz w:val="26"/>
                <w:szCs w:val="26"/>
                <w:shd w:fill="FFFFFF" w:val="clear"/>
              </w:rPr>
              <w:t xml:space="preserve">Державному аграрному реєстрі з метою отримання державної допомоги та участі у </w:t>
            </w:r>
            <w:r>
              <w:rPr>
                <w:rFonts w:cs="Times New Roman" w:ascii="Times New Roman" w:hAnsi="Times New Roman"/>
                <w:bCs/>
                <w:sz w:val="26"/>
                <w:szCs w:val="26"/>
                <w:lang w:eastAsia="ru-RU"/>
              </w:rPr>
              <w:t>інноваційно-інвестиційних проєктах та програмах</w:t>
            </w:r>
            <w:r>
              <w:rPr>
                <w:rFonts w:cs="Times New Roman" w:ascii="Times New Roman" w:hAnsi="Times New Roman"/>
                <w:sz w:val="26"/>
                <w:szCs w:val="26"/>
                <w:shd w:fill="FFFFFF" w:val="clear"/>
              </w:rPr>
              <w:t xml:space="preserve"> Європейського Союзу спрямованих на підтримку суб’єктів господарювання агропромислового комплексу.</w:t>
            </w:r>
          </w:p>
        </w:tc>
        <w:tc>
          <w:tcPr>
            <w:tcW w:w="1092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 метою ефективного та прозорого розподілу усіх видів підтримки для українських аграріїв, як за кошти державного бюджету, так і у вигляді пільгових кредитів, міжнародних грантів або технічної допомоги, за підтримки Європейського Союзу та Світового банку в Україні впроваджено автоматизовану електронну систему – Державний аграрний реєстр (ДАР), який з’єднаний з Єдиним державним реєстром юридичних осіб та фізичних осіб-підприємців, Державним земельним кадастром, Державним реєстром речових прав, а також із Єдиним державним реєстром тварин. В електронному кабінеті аграрія у ДАР міститься актуальна інформація про нові можливості та доступні програми підтримки, заявки на участь у яких подаються онлайн через кабінет системи.</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У зв’язку із зазначеним вище, з метою стимулювання фермерів та інших виробників сільськогосподарської продукції до реєстрації у Державному аграрному реєстрі, за сприяння управління агропромислового розвитку Волинської обласної державної адміністрації, в березні та квітні міською радою організовано та проведено наради для старост та спеціалістів старостинських округів громади, а також для представників сільськогосподарських підприємств, фермерів та власників особистих селянських господарств (які утримують від 3 до 100 корів або обробляють від 1 до 120 га землі сільськогосподарського призначення) щодо питань реєстрації в ДАР.</w:t>
            </w:r>
          </w:p>
          <w:p>
            <w:pPr>
              <w:pStyle w:val="Normal"/>
              <w:widowControl w:val="false"/>
              <w:ind w:firstLine="484"/>
              <w:jc w:val="both"/>
              <w:rPr>
                <w:rFonts w:ascii="Times New Roman" w:hAnsi="Times New Roman"/>
                <w:sz w:val="26"/>
                <w:szCs w:val="26"/>
              </w:rPr>
            </w:pPr>
            <w:r>
              <w:rPr>
                <w:rFonts w:cs="Times New Roman" w:ascii="Times New Roman" w:hAnsi="Times New Roman"/>
                <w:sz w:val="26"/>
                <w:szCs w:val="26"/>
              </w:rPr>
              <w:t>Протягом I півріччя старости, за сприянням департаменту економічної політики здійснювали консультування та реєстрацію в ДАР с/г виробників за місцем їх проживання та/або здійснення діяльності, які виявляли бажання провести таку реєстрацію.</w:t>
            </w:r>
          </w:p>
        </w:tc>
      </w:tr>
      <w:tr>
        <w:trPr/>
        <w:tc>
          <w:tcPr>
            <w:tcW w:w="672" w:type="dxa"/>
            <w:tcBorders>
              <w:top w:val="single" w:sz="4" w:space="0" w:color="000000"/>
              <w:left w:val="single" w:sz="4" w:space="0" w:color="000000"/>
              <w:bottom w:val="single" w:sz="4" w:space="0" w:color="000000"/>
              <w:right w:val="single" w:sz="4" w:space="0" w:color="000000"/>
            </w:tcBorders>
          </w:tcPr>
          <w:p>
            <w:pPr>
              <w:pStyle w:val="Standard"/>
              <w:widowControl w:val="false"/>
              <w:jc w:val="center"/>
              <w:rPr>
                <w:rFonts w:ascii="Times New Roman" w:hAnsi="Times New Roman"/>
                <w:color w:val="auto"/>
                <w:sz w:val="26"/>
                <w:szCs w:val="26"/>
              </w:rPr>
            </w:pPr>
            <w:r>
              <w:rPr>
                <w:rFonts w:ascii="Times New Roman" w:hAnsi="Times New Roman"/>
                <w:color w:val="auto"/>
                <w:sz w:val="26"/>
                <w:szCs w:val="26"/>
              </w:rPr>
              <w:t>4.</w:t>
            </w:r>
          </w:p>
        </w:tc>
        <w:tc>
          <w:tcPr>
            <w:tcW w:w="3821"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26"/>
                <w:szCs w:val="26"/>
              </w:rPr>
            </w:pPr>
            <w:r>
              <w:rPr>
                <w:rFonts w:cs="Times New Roman" w:ascii="Times New Roman" w:hAnsi="Times New Roman"/>
                <w:sz w:val="26"/>
                <w:szCs w:val="26"/>
                <w:lang w:eastAsia="ru-RU"/>
              </w:rPr>
              <w:t xml:space="preserve">Встановлення спеціалізованих яток для торгівлі </w:t>
            </w:r>
            <w:r>
              <w:rPr>
                <w:rFonts w:ascii="Times New Roman" w:hAnsi="Times New Roman"/>
                <w:sz w:val="26"/>
                <w:szCs w:val="26"/>
              </w:rPr>
              <w:t>сільськогосподарською продукцією у різних мікрорайонах міста, з метою зменшення стихійної торгівлі.</w:t>
            </w:r>
          </w:p>
        </w:tc>
        <w:tc>
          <w:tcPr>
            <w:tcW w:w="1092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shd w:fill="FFFFFF" w:val="clear"/>
              </w:rPr>
              <w:t xml:space="preserve">З початку введення воєнного стану, у зв’язку зі збільшенням рівня безробіття та втратою доходів населення, почастішали випадки стихійної торгівлі на вулицях міста у місцях найбільшого скупчення людей, що порушувало правила благоустрою міста та норми санітарного законодавства. </w:t>
            </w:r>
            <w:r>
              <w:rPr>
                <w:rFonts w:cs="Times New Roman" w:ascii="Times New Roman" w:hAnsi="Times New Roman"/>
                <w:bCs/>
                <w:sz w:val="26"/>
                <w:szCs w:val="26"/>
              </w:rPr>
              <w:t xml:space="preserve">З </w:t>
            </w:r>
            <w:r>
              <w:rPr>
                <w:rFonts w:cs="Times New Roman" w:ascii="Times New Roman" w:hAnsi="Times New Roman"/>
                <w:sz w:val="26"/>
                <w:szCs w:val="26"/>
              </w:rPr>
              <w:t xml:space="preserve">метою уникнення стихійної торгівлі  у звітному періоді було </w:t>
            </w:r>
            <w:r>
              <w:rPr>
                <w:rFonts w:cs="Times New Roman" w:ascii="Times New Roman" w:hAnsi="Times New Roman"/>
                <w:spacing w:val="4"/>
                <w:sz w:val="26"/>
                <w:szCs w:val="26"/>
              </w:rPr>
              <w:t>встановлено 8 торговельних яток у 2 локаціях міста (</w:t>
            </w:r>
            <w:r>
              <w:rPr>
                <w:rFonts w:cs="Times New Roman" w:ascii="Times New Roman" w:hAnsi="Times New Roman"/>
                <w:sz w:val="26"/>
                <w:szCs w:val="26"/>
              </w:rPr>
              <w:t>вул. Конякіна (неподалік супермаркету «Салют»), вул. Володимирська (поблизу житлових будинків № 99-103</w:t>
            </w:r>
            <w:r>
              <w:rPr>
                <w:rFonts w:cs="Times New Roman" w:ascii="Times New Roman" w:hAnsi="Times New Roman"/>
                <w:sz w:val="26"/>
                <w:szCs w:val="26"/>
                <w:shd w:fill="FFFFFF" w:val="clear"/>
              </w:rPr>
              <w:t>).</w:t>
            </w:r>
            <w:r>
              <w:rPr>
                <w:rFonts w:cs="Times New Roman" w:ascii="Times New Roman" w:hAnsi="Times New Roman"/>
                <w:spacing w:val="4"/>
                <w:sz w:val="26"/>
                <w:szCs w:val="26"/>
              </w:rPr>
              <w:t xml:space="preserve"> </w:t>
            </w:r>
            <w:r>
              <w:rPr>
                <w:rFonts w:cs="Times New Roman" w:ascii="Times New Roman" w:hAnsi="Times New Roman"/>
                <w:sz w:val="26"/>
                <w:szCs w:val="26"/>
              </w:rPr>
              <w:t xml:space="preserve">Їх призначення – здійснення торгівлі с/г продукції. Всього у м. Луцьку встановлено </w:t>
            </w:r>
            <w:r>
              <w:rPr>
                <w:rFonts w:cs="Times New Roman" w:ascii="Times New Roman" w:hAnsi="Times New Roman"/>
                <w:spacing w:val="4"/>
                <w:kern w:val="0"/>
                <w:sz w:val="26"/>
                <w:szCs w:val="26"/>
                <w:lang w:eastAsia="uk-UA" w:bidi="ar-SA"/>
              </w:rPr>
              <w:t>26</w:t>
            </w:r>
            <w:r>
              <w:rPr>
                <w:rFonts w:cs="Times New Roman" w:ascii="Times New Roman" w:hAnsi="Times New Roman"/>
                <w:color w:val="FF0000"/>
                <w:spacing w:val="4"/>
                <w:kern w:val="0"/>
                <w:sz w:val="26"/>
                <w:szCs w:val="26"/>
                <w:lang w:eastAsia="uk-UA" w:bidi="ar-SA"/>
              </w:rPr>
              <w:t xml:space="preserve"> </w:t>
            </w:r>
            <w:r>
              <w:rPr>
                <w:rFonts w:cs="Times New Roman" w:ascii="Times New Roman" w:hAnsi="Times New Roman"/>
                <w:spacing w:val="4"/>
                <w:kern w:val="0"/>
                <w:sz w:val="26"/>
                <w:szCs w:val="26"/>
                <w:lang w:eastAsia="uk-UA" w:bidi="ar-SA"/>
              </w:rPr>
              <w:t>торговельних яток на семи локаціях.</w:t>
            </w:r>
          </w:p>
        </w:tc>
      </w:tr>
      <w:tr>
        <w:trPr/>
        <w:tc>
          <w:tcPr>
            <w:tcW w:w="672" w:type="dxa"/>
            <w:tcBorders>
              <w:top w:val="single" w:sz="4" w:space="0" w:color="000000"/>
              <w:left w:val="single" w:sz="4" w:space="0" w:color="000000"/>
              <w:bottom w:val="single" w:sz="4" w:space="0" w:color="000000"/>
              <w:right w:val="single" w:sz="4" w:space="0" w:color="000000"/>
            </w:tcBorders>
          </w:tcPr>
          <w:p>
            <w:pPr>
              <w:pStyle w:val="Standard"/>
              <w:widowControl w:val="false"/>
              <w:jc w:val="center"/>
              <w:rPr>
                <w:rFonts w:ascii="Times New Roman" w:hAnsi="Times New Roman"/>
                <w:color w:val="auto"/>
                <w:sz w:val="26"/>
                <w:szCs w:val="26"/>
              </w:rPr>
            </w:pPr>
            <w:r>
              <w:rPr>
                <w:rFonts w:ascii="Times New Roman" w:hAnsi="Times New Roman"/>
                <w:color w:val="auto"/>
                <w:sz w:val="26"/>
                <w:szCs w:val="26"/>
              </w:rPr>
              <w:t>5.</w:t>
            </w:r>
          </w:p>
        </w:tc>
        <w:tc>
          <w:tcPr>
            <w:tcW w:w="3821"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26"/>
                <w:szCs w:val="26"/>
              </w:rPr>
            </w:pPr>
            <w:r>
              <w:rPr>
                <w:rFonts w:ascii="Times New Roman" w:hAnsi="Times New Roman"/>
                <w:sz w:val="26"/>
                <w:szCs w:val="26"/>
              </w:rPr>
              <w:t xml:space="preserve">Реалізація заходів Програми </w:t>
            </w:r>
            <w:r>
              <w:rPr>
                <w:rFonts w:cs="Times New Roman" w:ascii="Times New Roman" w:hAnsi="Times New Roman"/>
                <w:sz w:val="26"/>
                <w:szCs w:val="26"/>
              </w:rPr>
              <w:t>розвитку агропромислового комплексу Луцької міської територіальної громади, зокрема щодо:</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фінансової підтримки власників особистих селянських господарств, які утримують корів;</w:t>
            </w:r>
          </w:p>
          <w:p>
            <w:pPr>
              <w:pStyle w:val="Normal"/>
              <w:widowControl w:val="false"/>
              <w:ind w:firstLine="567"/>
              <w:jc w:val="both"/>
              <w:rPr>
                <w:rFonts w:ascii="Times New Roman" w:hAnsi="Times New Roman"/>
                <w:sz w:val="26"/>
                <w:szCs w:val="26"/>
              </w:rPr>
            </w:pPr>
            <w:r>
              <w:rPr>
                <w:rFonts w:cs="Times New Roman" w:ascii="Times New Roman" w:hAnsi="Times New Roman"/>
                <w:kern w:val="0"/>
                <w:sz w:val="26"/>
                <w:szCs w:val="26"/>
                <w:lang w:eastAsia="en-US" w:bidi="ar-SA"/>
              </w:rPr>
              <w:t>часткового здешевлення вартості штучного осіменіння, вартості доїльного та холодильного обладнання, вартості придбаної сільськогосподарської техніки та навісного обладнання, вартості висіяного сертифікованого насіння тощо.</w:t>
            </w:r>
          </w:p>
        </w:tc>
        <w:tc>
          <w:tcPr>
            <w:tcW w:w="1092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shd w:fill="FFFFFF" w:val="clear"/>
              </w:rPr>
              <w:t xml:space="preserve">З метою стимулювання </w:t>
            </w:r>
            <w:r>
              <w:rPr>
                <w:rFonts w:cs="Times New Roman" w:ascii="Times New Roman" w:hAnsi="Times New Roman"/>
                <w:sz w:val="26"/>
                <w:szCs w:val="26"/>
              </w:rPr>
              <w:t xml:space="preserve">розвитку агропромислового комплексу міської </w:t>
            </w:r>
            <w:r>
              <w:rPr>
                <w:rFonts w:cs="Times New Roman" w:ascii="Times New Roman" w:hAnsi="Times New Roman"/>
                <w:sz w:val="26"/>
                <w:szCs w:val="26"/>
                <w:shd w:fill="FFFFFF" w:val="clear"/>
              </w:rPr>
              <w:t xml:space="preserve">громади, створення сприятливих умов для провадження господарської діяльності </w:t>
            </w:r>
            <w:r>
              <w:rPr>
                <w:rFonts w:cs="Times New Roman" w:ascii="Times New Roman" w:hAnsi="Times New Roman"/>
                <w:sz w:val="26"/>
                <w:szCs w:val="26"/>
              </w:rPr>
              <w:t>сільськогосподарських підприємств, фермерів та особистих селянських господарств</w:t>
            </w:r>
            <w:r>
              <w:rPr>
                <w:rFonts w:cs="Times New Roman" w:ascii="Times New Roman" w:hAnsi="Times New Roman"/>
                <w:sz w:val="26"/>
                <w:szCs w:val="26"/>
                <w:shd w:fill="FFFFFF" w:val="clear"/>
              </w:rPr>
              <w:t xml:space="preserve"> відповідно до </w:t>
            </w:r>
            <w:r>
              <w:rPr>
                <w:rFonts w:ascii="Times New Roman" w:hAnsi="Times New Roman"/>
                <w:sz w:val="26"/>
                <w:szCs w:val="26"/>
              </w:rPr>
              <w:t xml:space="preserve">Програми </w:t>
            </w:r>
            <w:r>
              <w:rPr>
                <w:rFonts w:cs="Times New Roman" w:ascii="Times New Roman" w:hAnsi="Times New Roman"/>
                <w:sz w:val="26"/>
                <w:szCs w:val="26"/>
              </w:rPr>
              <w:t>розвитку агропромислового комплексу Луцької міської територіальної громади на 2021-2025 роки</w:t>
            </w:r>
            <w:r>
              <w:rPr>
                <w:rFonts w:cs="Times New Roman" w:ascii="Times New Roman" w:hAnsi="Times New Roman"/>
                <w:sz w:val="26"/>
                <w:szCs w:val="26"/>
                <w:shd w:fill="FFFFFF" w:val="clear"/>
              </w:rPr>
              <w:t xml:space="preserve"> із бюджету громади на 2023 рік заплановано фінансову підтримку:</w:t>
            </w:r>
          </w:p>
          <w:p>
            <w:pPr>
              <w:pStyle w:val="Normal"/>
              <w:widowControl w:val="false"/>
              <w:tabs>
                <w:tab w:val="clear" w:pos="708"/>
                <w:tab w:val="left" w:pos="900" w:leader="none"/>
              </w:tabs>
              <w:ind w:firstLine="567"/>
              <w:jc w:val="both"/>
              <w:rPr>
                <w:rFonts w:ascii="Times New Roman" w:hAnsi="Times New Roman"/>
                <w:sz w:val="26"/>
                <w:szCs w:val="26"/>
              </w:rPr>
            </w:pPr>
            <w:r>
              <w:rPr>
                <w:rFonts w:cs="Times New Roman" w:ascii="Times New Roman" w:hAnsi="Times New Roman"/>
                <w:sz w:val="26"/>
                <w:szCs w:val="26"/>
              </w:rPr>
              <w:t xml:space="preserve">ОСГ, які утримують три і більше корів, </w:t>
            </w:r>
            <w:r>
              <w:rPr>
                <w:rFonts w:cs="Times New Roman" w:ascii="Times New Roman" w:hAnsi="Times New Roman"/>
                <w:bCs/>
                <w:sz w:val="26"/>
                <w:szCs w:val="26"/>
                <w:lang w:eastAsia="uk-UA"/>
              </w:rPr>
              <w:t>в розмірі 200,0 гривень на одну наявну корову один раз на рік;</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ОСГ</w:t>
            </w:r>
            <w:r>
              <w:rPr>
                <w:rFonts w:cs="Times New Roman" w:ascii="Times New Roman" w:hAnsi="Times New Roman"/>
                <w:bCs/>
                <w:sz w:val="26"/>
                <w:szCs w:val="26"/>
                <w:lang w:eastAsia="uk-UA"/>
              </w:rPr>
              <w:t xml:space="preserve"> за утримання </w:t>
            </w:r>
            <w:r>
              <w:rPr>
                <w:rFonts w:cs="Times New Roman" w:ascii="Times New Roman" w:hAnsi="Times New Roman"/>
                <w:sz w:val="26"/>
                <w:szCs w:val="26"/>
              </w:rPr>
              <w:t>телиць та нетелей, які народилися в результаті штучного осіменіння, вирощені та утримувались в господарстві до 2-річного віку,</w:t>
            </w:r>
            <w:r>
              <w:rPr>
                <w:rFonts w:cs="Times New Roman" w:ascii="Times New Roman" w:hAnsi="Times New Roman"/>
                <w:kern w:val="0"/>
                <w:sz w:val="26"/>
                <w:szCs w:val="26"/>
                <w:lang w:eastAsia="ru-RU" w:bidi="ar-SA"/>
              </w:rPr>
              <w:t xml:space="preserve"> </w:t>
            </w:r>
            <w:r>
              <w:rPr>
                <w:rFonts w:cs="Times New Roman" w:ascii="Times New Roman" w:hAnsi="Times New Roman"/>
                <w:sz w:val="26"/>
                <w:szCs w:val="26"/>
              </w:rPr>
              <w:t>в розмірі 1 000,0 грн;</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ОСГ</w:t>
            </w:r>
            <w:r>
              <w:rPr>
                <w:rFonts w:cs="Times New Roman" w:ascii="Times New Roman" w:hAnsi="Times New Roman"/>
                <w:bCs/>
                <w:sz w:val="26"/>
                <w:szCs w:val="26"/>
                <w:lang w:eastAsia="uk-UA"/>
              </w:rPr>
              <w:t xml:space="preserve"> на здешевлення вартості наданих послуг із штучного осіменіння корів і телиць </w:t>
            </w:r>
            <w:r>
              <w:rPr>
                <w:rFonts w:cs="Times New Roman" w:ascii="Times New Roman" w:hAnsi="Times New Roman"/>
                <w:sz w:val="26"/>
                <w:szCs w:val="26"/>
              </w:rPr>
              <w:t>в розмірі 200,0 грн за одне осіменіння;</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 xml:space="preserve">ОСГ та сімейним фермерським господарствам (далі – СФГ), які утримують дві і більше голів корів або кіз, </w:t>
            </w:r>
            <w:r>
              <w:rPr>
                <w:rFonts w:cs="Times New Roman" w:ascii="Times New Roman" w:hAnsi="Times New Roman"/>
                <w:bCs/>
                <w:sz w:val="26"/>
                <w:szCs w:val="26"/>
                <w:lang w:eastAsia="uk-UA"/>
              </w:rPr>
              <w:t>для надання часткової компенсації вартості установок індивідуального доїння та/або холодильного обладнання</w:t>
            </w:r>
            <w:r>
              <w:rPr>
                <w:rFonts w:cs="Times New Roman" w:ascii="Times New Roman" w:hAnsi="Times New Roman"/>
                <w:sz w:val="26"/>
                <w:szCs w:val="26"/>
              </w:rPr>
              <w:t xml:space="preserve"> в розмірі до 70 % вартості придбаного обладнання, але не більше 7 000,0 грн для установок індивідуального доїння та 10 000,0 грн для холодильного обладнання;</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СФГ, які створені без статусу юридичної особи, для надання</w:t>
            </w:r>
            <w:r>
              <w:rPr>
                <w:rFonts w:cs="Times New Roman" w:ascii="Times New Roman" w:hAnsi="Times New Roman"/>
                <w:bCs/>
                <w:sz w:val="26"/>
                <w:szCs w:val="26"/>
                <w:lang w:eastAsia="uk-UA"/>
              </w:rPr>
              <w:t xml:space="preserve"> часткової компенсації вартості </w:t>
            </w:r>
            <w:r>
              <w:rPr>
                <w:rFonts w:cs="Times New Roman" w:ascii="Times New Roman" w:hAnsi="Times New Roman"/>
                <w:sz w:val="26"/>
                <w:szCs w:val="26"/>
              </w:rPr>
              <w:t>висіяного сертифікованого насіння та посадкового матеріалу у розмірі до 80 % вартості насіння (посадкового матеріалу).</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shd w:fill="FFFFFF" w:val="clear"/>
              </w:rPr>
              <w:t xml:space="preserve">Відповідно до зазначеного вище </w:t>
            </w:r>
            <w:r>
              <w:rPr>
                <w:rFonts w:cs="Times New Roman" w:ascii="Times New Roman" w:hAnsi="Times New Roman"/>
                <w:bCs/>
                <w:sz w:val="26"/>
                <w:szCs w:val="26"/>
                <w:lang w:eastAsia="uk-UA"/>
              </w:rPr>
              <w:t>старостами старостинських округів розпочато прийом заяв та документів для проведення відповідних виплат у 2023 році.</w:t>
            </w:r>
          </w:p>
        </w:tc>
      </w:tr>
      <w:tr>
        <w:trPr/>
        <w:tc>
          <w:tcPr>
            <w:tcW w:w="672" w:type="dxa"/>
            <w:tcBorders>
              <w:top w:val="single" w:sz="4" w:space="0" w:color="000000"/>
              <w:left w:val="single" w:sz="4" w:space="0" w:color="000000"/>
              <w:bottom w:val="single" w:sz="4" w:space="0" w:color="000000"/>
              <w:right w:val="single" w:sz="4" w:space="0" w:color="000000"/>
            </w:tcBorders>
          </w:tcPr>
          <w:p>
            <w:pPr>
              <w:pStyle w:val="Standard"/>
              <w:widowControl w:val="false"/>
              <w:jc w:val="center"/>
              <w:rPr>
                <w:rFonts w:ascii="Times New Roman" w:hAnsi="Times New Roman"/>
                <w:color w:val="auto"/>
                <w:sz w:val="26"/>
                <w:szCs w:val="26"/>
              </w:rPr>
            </w:pPr>
            <w:r>
              <w:rPr>
                <w:rFonts w:ascii="Times New Roman" w:hAnsi="Times New Roman"/>
                <w:color w:val="auto"/>
                <w:sz w:val="26"/>
                <w:szCs w:val="26"/>
              </w:rPr>
              <w:t>6.</w:t>
            </w:r>
          </w:p>
        </w:tc>
        <w:tc>
          <w:tcPr>
            <w:tcW w:w="3821"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26"/>
                <w:szCs w:val="26"/>
              </w:rPr>
            </w:pPr>
            <w:r>
              <w:rPr>
                <w:rFonts w:cs="Times New Roman" w:ascii="Times New Roman" w:hAnsi="Times New Roman"/>
                <w:kern w:val="0"/>
                <w:sz w:val="26"/>
                <w:szCs w:val="26"/>
                <w:lang w:eastAsia="en-US" w:bidi="ar-SA"/>
              </w:rPr>
              <w:t>Пошук та налагодження ефективної співпраці із міжнародними організаціями, що надають консультаційну та фінансову підтримку аграріям. Налагодження експортно-імпортних зав’язків.</w:t>
            </w:r>
          </w:p>
        </w:tc>
        <w:tc>
          <w:tcPr>
            <w:tcW w:w="1092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 метою зміцнення та розвитку жіночого фермерства в умовах повномасштабної війни, яку росія розв’язала проти України, міжнародна сільськогосподарська науково-дослідницька компанія Corteva Agriscience реалізує освітньо-грантову програму для жінок-фермерок TalentA-2023. Завдяки цій програмі учасниці отримають доступ до інформації, яка допоможе їм забезпечити життєздатність власного бізнесу із урахуванням практик сталого розвитку, а також можливість виграти грант для зростання власного бізнесу. Грантовий фонд у 2023 році складає понад 1,0 млн грн. В рамках проєкту своїм досвідом з учасницями ділитимуться відомі експерти із викладацької та бізнес-спільноти, а також фахівці компанії Corteva Agriscience, які володіють сучасними знаннями, накопиченими за довгу історію роботи в понад 140 країнах світу.</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shd w:fill="FFFFFF" w:val="clear"/>
              </w:rPr>
              <w:t>Крім того, Всеукраїнська Асоціація органів місцевого самоврядування «Асоціація об’єднаних територіальних громад» у партнерстві з громадською організацією «Національна асоціація сільськогосподарських дорадчих служб України» організували для ветеранів та ветеранок війни, які мають намір створити фермерське господарство, безоплатний навчальний курс «Основи сімейного фермерства і кооперації для ветеранів та ветеранок» в рамках реалізації проєкту «Школа сімейного фермерства для ветеранів і ветеранок війни», що став можливим завдяки Програмі реінтеграції ветеранів, яку реалізує IREX за підтримки Державного департаменту США.</w:t>
            </w:r>
          </w:p>
        </w:tc>
      </w:tr>
      <w:tr>
        <w:trPr/>
        <w:tc>
          <w:tcPr>
            <w:tcW w:w="672" w:type="dxa"/>
            <w:tcBorders>
              <w:top w:val="single" w:sz="4" w:space="0" w:color="000000"/>
              <w:left w:val="single" w:sz="4" w:space="0" w:color="000000"/>
              <w:bottom w:val="single" w:sz="4" w:space="0" w:color="000000"/>
              <w:right w:val="single" w:sz="4" w:space="0" w:color="000000"/>
            </w:tcBorders>
          </w:tcPr>
          <w:p>
            <w:pPr>
              <w:pStyle w:val="Standard"/>
              <w:widowControl w:val="false"/>
              <w:jc w:val="center"/>
              <w:rPr>
                <w:rFonts w:ascii="Times New Roman" w:hAnsi="Times New Roman"/>
                <w:color w:val="auto"/>
                <w:sz w:val="26"/>
                <w:szCs w:val="26"/>
              </w:rPr>
            </w:pPr>
            <w:r>
              <w:rPr>
                <w:rFonts w:ascii="Times New Roman" w:hAnsi="Times New Roman"/>
                <w:color w:val="auto"/>
                <w:sz w:val="26"/>
                <w:szCs w:val="26"/>
              </w:rPr>
              <w:t>7.</w:t>
            </w:r>
          </w:p>
        </w:tc>
        <w:tc>
          <w:tcPr>
            <w:tcW w:w="3821"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26"/>
                <w:szCs w:val="26"/>
              </w:rPr>
            </w:pPr>
            <w:r>
              <w:rPr>
                <w:rFonts w:cs="Times New Roman" w:ascii="Times New Roman" w:hAnsi="Times New Roman"/>
                <w:kern w:val="0"/>
                <w:sz w:val="26"/>
                <w:szCs w:val="26"/>
                <w:lang w:eastAsia="en-US" w:bidi="ar-SA"/>
              </w:rPr>
              <w:t>Збереження спеціалізації аграрних підприємств та їх виробничих потужностей в особливих умовах воєнного стану.</w:t>
            </w:r>
          </w:p>
        </w:tc>
        <w:tc>
          <w:tcPr>
            <w:tcW w:w="10927" w:type="dxa"/>
            <w:tcBorders>
              <w:top w:val="single" w:sz="4" w:space="0" w:color="000000"/>
              <w:left w:val="single" w:sz="4" w:space="0" w:color="000000"/>
              <w:bottom w:val="single" w:sz="4" w:space="0" w:color="000000"/>
              <w:right w:val="single" w:sz="4" w:space="0" w:color="000000"/>
            </w:tcBorders>
          </w:tcPr>
          <w:p>
            <w:pPr>
              <w:pStyle w:val="Normal"/>
              <w:widowControl w:val="false"/>
              <w:shd w:val="clear" w:color="auto" w:fill="FFFFFF"/>
              <w:ind w:firstLine="567"/>
              <w:jc w:val="both"/>
              <w:textAlignment w:val="auto"/>
              <w:rPr>
                <w:rFonts w:ascii="Times New Roman" w:hAnsi="Times New Roman"/>
                <w:sz w:val="26"/>
                <w:szCs w:val="26"/>
              </w:rPr>
            </w:pPr>
            <w:r>
              <w:rPr>
                <w:rFonts w:cs="Times New Roman" w:ascii="Times New Roman" w:hAnsi="Times New Roman"/>
                <w:kern w:val="0"/>
                <w:sz w:val="26"/>
                <w:szCs w:val="26"/>
                <w:lang w:eastAsia="uk-UA" w:bidi="ar-SA"/>
              </w:rPr>
              <w:t>Незважаючи на особливі умови воєнного стану, аграрії Луцької МТГ продовжують працювати, зберігаючи свої потужності та усвідомлюючи своє основне завдання</w:t>
            </w:r>
            <w:r>
              <w:rPr>
                <w:rFonts w:cs="Times New Roman" w:ascii="Times New Roman" w:hAnsi="Times New Roman"/>
                <w:sz w:val="26"/>
                <w:szCs w:val="26"/>
              </w:rPr>
              <w:t xml:space="preserve"> в умовах сьогодення – забезпечення продуктами харчування населення, розвиток аграрної галузі, </w:t>
            </w:r>
            <w:r>
              <w:rPr>
                <w:rFonts w:cs="Times New Roman" w:ascii="Times New Roman" w:hAnsi="Times New Roman"/>
                <w:sz w:val="26"/>
                <w:szCs w:val="26"/>
                <w:shd w:fill="FFFFFF" w:val="clear"/>
              </w:rPr>
              <w:t>створення продукції з високою доданою вартістю, масштабування виробництв, впровадження інновацій, вихід на нові ринки.</w:t>
            </w:r>
          </w:p>
          <w:p>
            <w:pPr>
              <w:pStyle w:val="Normal"/>
              <w:widowControl w:val="false"/>
              <w:shd w:val="clear" w:color="auto" w:fill="FFFFFF"/>
              <w:ind w:firstLine="567"/>
              <w:jc w:val="both"/>
              <w:textAlignment w:val="auto"/>
              <w:rPr>
                <w:rFonts w:ascii="Times New Roman" w:hAnsi="Times New Roman"/>
                <w:sz w:val="26"/>
                <w:szCs w:val="26"/>
              </w:rPr>
            </w:pPr>
            <w:r>
              <w:rPr>
                <w:rFonts w:cs="Times New Roman" w:ascii="Times New Roman" w:hAnsi="Times New Roman"/>
                <w:kern w:val="0"/>
                <w:sz w:val="26"/>
                <w:szCs w:val="26"/>
                <w:lang w:eastAsia="uk-UA" w:bidi="ar-SA"/>
              </w:rPr>
              <w:t>Одним із прикладів нарощування виробництва є те, що групою компаній ТМ «Вілія» на території громади побудовано</w:t>
            </w:r>
            <w:r>
              <w:rPr>
                <w:rFonts w:cs="Times New Roman" w:ascii="Times New Roman" w:hAnsi="Times New Roman"/>
                <w:sz w:val="26"/>
                <w:szCs w:val="26"/>
                <w:shd w:fill="FFFFFF" w:val="clear"/>
              </w:rPr>
              <w:t xml:space="preserve"> новий борошномельний комплекс. </w:t>
            </w:r>
            <w:r>
              <w:rPr>
                <w:rFonts w:cs="Times New Roman" w:ascii="Times New Roman" w:hAnsi="Times New Roman"/>
                <w:kern w:val="0"/>
                <w:sz w:val="26"/>
                <w:szCs w:val="26"/>
                <w:lang w:eastAsia="uk-UA" w:bidi="ar-SA"/>
              </w:rPr>
              <w:t xml:space="preserve">Потужність млина тут становить 120 тон переробки зерна на добу. Таких комплексів в Україні є два, а діючий лише один. На сьогодні тривають пусконалагоджувальні роботи. Запустити виробництво борошна на новому млині заплановано на </w:t>
            </w:r>
            <w:r>
              <w:rPr>
                <w:rFonts w:cs="Times New Roman" w:ascii="Times New Roman" w:hAnsi="Times New Roman"/>
                <w:kern w:val="0"/>
                <w:sz w:val="26"/>
                <w:szCs w:val="26"/>
                <w:lang w:val="en-US" w:eastAsia="uk-UA" w:bidi="ar-SA"/>
              </w:rPr>
              <w:t>II</w:t>
            </w:r>
            <w:r>
              <w:rPr>
                <w:rFonts w:cs="Times New Roman" w:ascii="Times New Roman" w:hAnsi="Times New Roman"/>
                <w:kern w:val="0"/>
                <w:sz w:val="26"/>
                <w:szCs w:val="26"/>
                <w:lang w:val="ru-RU" w:eastAsia="uk-UA" w:bidi="ar-SA"/>
              </w:rPr>
              <w:t xml:space="preserve"> півріччя 2023 року</w:t>
            </w:r>
            <w:r>
              <w:rPr>
                <w:rFonts w:cs="Times New Roman" w:ascii="Times New Roman" w:hAnsi="Times New Roman"/>
                <w:kern w:val="0"/>
                <w:sz w:val="26"/>
                <w:szCs w:val="26"/>
                <w:lang w:eastAsia="uk-UA" w:bidi="ar-SA"/>
              </w:rPr>
              <w:t>. З відкриттям цього об’єкту буде створено нові робочі місця, виробничі потужності, а також дано новий поштовх до розвитку аграрної сфери не лише в нашій громаді, але й в Україні вцілому.</w:t>
            </w:r>
          </w:p>
          <w:p>
            <w:pPr>
              <w:pStyle w:val="Normal"/>
              <w:widowControl w:val="false"/>
              <w:shd w:val="clear" w:color="auto" w:fill="FFFFFF"/>
              <w:ind w:firstLine="567"/>
              <w:jc w:val="both"/>
              <w:textAlignment w:val="auto"/>
              <w:rPr>
                <w:rFonts w:ascii="Times New Roman" w:hAnsi="Times New Roman" w:cs="Times New Roman"/>
                <w:kern w:val="0"/>
                <w:sz w:val="26"/>
                <w:szCs w:val="26"/>
                <w:lang w:eastAsia="uk-UA" w:bidi="ar-SA"/>
              </w:rPr>
            </w:pPr>
            <w:r>
              <w:rPr>
                <w:rFonts w:cs="Times New Roman" w:ascii="Times New Roman" w:hAnsi="Times New Roman"/>
                <w:kern w:val="0"/>
                <w:sz w:val="26"/>
                <w:szCs w:val="26"/>
                <w:lang w:eastAsia="uk-UA" w:bidi="ar-SA"/>
              </w:rPr>
              <w:t>З метою збереження аграрної галузі з ініціативи Всеукраїнської асоціації громад в березні 2023 року відбувся вебінар на YouTube каналі ПроLAND на тему «Проблемні питання бронювання працівників аграрної сфери», до якого долучилися аграрії нашої громади.</w:t>
            </w:r>
          </w:p>
        </w:tc>
      </w:tr>
      <w:tr>
        <w:trPr/>
        <w:tc>
          <w:tcPr>
            <w:tcW w:w="672" w:type="dxa"/>
            <w:tcBorders>
              <w:top w:val="single" w:sz="4" w:space="0" w:color="000000"/>
              <w:left w:val="single" w:sz="4" w:space="0" w:color="000000"/>
              <w:bottom w:val="single" w:sz="4" w:space="0" w:color="000000"/>
              <w:right w:val="single" w:sz="4" w:space="0" w:color="000000"/>
            </w:tcBorders>
          </w:tcPr>
          <w:p>
            <w:pPr>
              <w:pStyle w:val="Standard"/>
              <w:widowControl w:val="false"/>
              <w:jc w:val="center"/>
              <w:rPr>
                <w:rFonts w:ascii="Times New Roman" w:hAnsi="Times New Roman"/>
                <w:color w:val="auto"/>
                <w:sz w:val="26"/>
                <w:szCs w:val="26"/>
              </w:rPr>
            </w:pPr>
            <w:r>
              <w:rPr>
                <w:rFonts w:ascii="Times New Roman" w:hAnsi="Times New Roman"/>
                <w:color w:val="auto"/>
                <w:sz w:val="26"/>
                <w:szCs w:val="26"/>
              </w:rPr>
              <w:t>8.</w:t>
            </w:r>
          </w:p>
        </w:tc>
        <w:tc>
          <w:tcPr>
            <w:tcW w:w="3821"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26"/>
                <w:szCs w:val="26"/>
              </w:rPr>
            </w:pPr>
            <w:r>
              <w:rPr>
                <w:rFonts w:cs="Times New Roman" w:ascii="Times New Roman" w:hAnsi="Times New Roman"/>
                <w:kern w:val="0"/>
                <w:sz w:val="26"/>
                <w:szCs w:val="26"/>
                <w:lang w:eastAsia="en-US" w:bidi="ar-SA"/>
              </w:rPr>
              <w:t>Залучення агровиробників міської громади до участі у семінарах, конференція, круглих столах щодо впровадження органічного виробництва, популяризації виробництва та реалізації органічної продукції.</w:t>
            </w:r>
          </w:p>
        </w:tc>
        <w:tc>
          <w:tcPr>
            <w:tcW w:w="1092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kern w:val="0"/>
                <w:sz w:val="26"/>
                <w:szCs w:val="26"/>
                <w:lang w:eastAsia="uk-UA" w:bidi="ar-SA"/>
              </w:rPr>
              <w:t xml:space="preserve">У зв’язку з настанням польових робіт, з метою уникнення конфліктних ситуацій між сільськогосподарськими виробниками та пасічниками щодо застосування пестицидів, а також усунення негативного впливу на галузь бджільництва від застосування пестицидів та агрохімікатів, </w:t>
            </w:r>
            <w:r>
              <w:rPr>
                <w:rFonts w:cs="Times New Roman" w:ascii="Times New Roman" w:hAnsi="Times New Roman"/>
                <w:sz w:val="26"/>
                <w:szCs w:val="26"/>
              </w:rPr>
              <w:t>на початку березня 2023 відбувся Всеукраїнський форум на тему «Заходи профілактики отруєння бджіл. Алгоритм дій при отруєнні бджіл засобами захисту рослин», ініційований Мінагрополітики, участь в якому, з поміж інших, приймали аграрії Луцької громади.</w:t>
            </w:r>
          </w:p>
          <w:p>
            <w:pPr>
              <w:pStyle w:val="Standard"/>
              <w:widowControl w:val="false"/>
              <w:ind w:firstLine="567"/>
              <w:jc w:val="both"/>
              <w:rPr>
                <w:rFonts w:ascii="Times New Roman" w:hAnsi="Times New Roman"/>
                <w:sz w:val="26"/>
                <w:szCs w:val="26"/>
              </w:rPr>
            </w:pPr>
            <w:r>
              <w:rPr>
                <w:rFonts w:cs="Times New Roman" w:ascii="Times New Roman" w:hAnsi="Times New Roman"/>
                <w:sz w:val="26"/>
                <w:szCs w:val="26"/>
                <w:shd w:fill="FFFFFF" w:val="clear"/>
              </w:rPr>
              <w:t>В травні 2023 року відбувся вебінар на тему «Біологізація землеробства. Сучасні виклики та можливості» для представників сільгоспвиробників у сферах рослинництва і тваринництва Волині, який був організований Волинським регіональним центром підвищення кваліфікації.</w:t>
            </w:r>
          </w:p>
        </w:tc>
      </w:tr>
      <w:tr>
        <w:trPr/>
        <w:tc>
          <w:tcPr>
            <w:tcW w:w="672" w:type="dxa"/>
            <w:tcBorders>
              <w:top w:val="single" w:sz="4" w:space="0" w:color="000000"/>
              <w:left w:val="single" w:sz="4" w:space="0" w:color="000000"/>
              <w:bottom w:val="single" w:sz="4" w:space="0" w:color="000000"/>
              <w:right w:val="single" w:sz="4" w:space="0" w:color="000000"/>
            </w:tcBorders>
          </w:tcPr>
          <w:p>
            <w:pPr>
              <w:pStyle w:val="Standard"/>
              <w:widowControl w:val="false"/>
              <w:jc w:val="center"/>
              <w:rPr>
                <w:rFonts w:ascii="Times New Roman" w:hAnsi="Times New Roman"/>
                <w:color w:val="auto"/>
                <w:sz w:val="26"/>
                <w:szCs w:val="26"/>
              </w:rPr>
            </w:pPr>
            <w:r>
              <w:rPr>
                <w:rFonts w:ascii="Times New Roman" w:hAnsi="Times New Roman"/>
                <w:color w:val="auto"/>
                <w:sz w:val="26"/>
                <w:szCs w:val="26"/>
              </w:rPr>
              <w:t>9.</w:t>
            </w:r>
          </w:p>
        </w:tc>
        <w:tc>
          <w:tcPr>
            <w:tcW w:w="3821"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26"/>
                <w:szCs w:val="26"/>
              </w:rPr>
            </w:pPr>
            <w:r>
              <w:rPr>
                <w:rFonts w:ascii="Times New Roman" w:hAnsi="Times New Roman"/>
                <w:sz w:val="26"/>
                <w:szCs w:val="26"/>
              </w:rPr>
              <w:t>Організація виставково-ярмаркової діяльності у сфері агропромислового розвитку</w:t>
            </w:r>
            <w:r>
              <w:rPr>
                <w:rFonts w:cs="Times New Roman" w:ascii="Times New Roman" w:hAnsi="Times New Roman"/>
                <w:sz w:val="26"/>
                <w:szCs w:val="26"/>
                <w:shd w:fill="FFFFFF" w:val="clear"/>
              </w:rPr>
              <w:t>.</w:t>
            </w:r>
          </w:p>
        </w:tc>
        <w:tc>
          <w:tcPr>
            <w:tcW w:w="10927" w:type="dxa"/>
            <w:tcBorders>
              <w:top w:val="single" w:sz="4" w:space="0" w:color="000000"/>
              <w:left w:val="single" w:sz="4" w:space="0" w:color="000000"/>
              <w:bottom w:val="single" w:sz="4" w:space="0" w:color="000000"/>
              <w:right w:val="single" w:sz="4" w:space="0" w:color="000000"/>
            </w:tcBorders>
          </w:tcPr>
          <w:p>
            <w:pPr>
              <w:pStyle w:val="Standard"/>
              <w:widowControl w:val="false"/>
              <w:ind w:firstLine="567"/>
              <w:jc w:val="both"/>
              <w:rPr>
                <w:rFonts w:ascii="Times New Roman" w:hAnsi="Times New Roman"/>
                <w:sz w:val="26"/>
                <w:szCs w:val="26"/>
              </w:rPr>
            </w:pPr>
            <w:r>
              <w:rPr>
                <w:rFonts w:cs="Times New Roman" w:ascii="Times New Roman" w:hAnsi="Times New Roman"/>
                <w:color w:val="auto"/>
                <w:sz w:val="26"/>
                <w:szCs w:val="26"/>
              </w:rPr>
              <w:t>За сприянням Асоціації фермерів та приватних землевласників Волинської області, з метою проведення ярмаркових заходів в місті, максимального зближення сільськогосподарських товаровиробників з кінцевим споживачем, створення сприятливих умов для реалізації фермерськими та особистими селянськими господарствами продукції власного виробництв, забезпечення населення міста широким асортиментом плодоовочевої продукції без посередницьких структур за помірними цінами, у відповідні дні тижня функціонують ярмарки для реалізації продукції сільськогосподарського виробництва: на вулиці Глушець (навпроти гімназії № 4), на вулиці Єршова (поблизу ТЦ «Глобус») та на вулиці Володимирській (поблизу житлових будинків № 99 - 103).</w:t>
            </w:r>
          </w:p>
        </w:tc>
      </w:tr>
    </w:tbl>
    <w:p>
      <w:pPr>
        <w:pStyle w:val="Standard"/>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spacing w:lineRule="auto" w:line="360"/>
        <w:jc w:val="center"/>
        <w:rPr>
          <w:rFonts w:ascii="Times New Roman" w:hAnsi="Times New Roman"/>
          <w:sz w:val="26"/>
          <w:szCs w:val="26"/>
        </w:rPr>
      </w:pPr>
      <w:r>
        <w:rPr>
          <w:rFonts w:cs="Times New Roman" w:ascii="Times New Roman" w:hAnsi="Times New Roman"/>
          <w:b/>
          <w:bCs/>
          <w:sz w:val="26"/>
          <w:szCs w:val="26"/>
        </w:rPr>
        <w:t>3.1.5. Розвиток туризму</w:t>
      </w:r>
    </w:p>
    <w:tbl>
      <w:tblPr>
        <w:tblW w:w="15420" w:type="dxa"/>
        <w:jc w:val="left"/>
        <w:tblInd w:w="128" w:type="dxa"/>
        <w:tblLayout w:type="fixed"/>
        <w:tblCellMar>
          <w:top w:w="0" w:type="dxa"/>
          <w:left w:w="108" w:type="dxa"/>
          <w:bottom w:w="0" w:type="dxa"/>
          <w:right w:w="108" w:type="dxa"/>
        </w:tblCellMar>
        <w:tblLook w:firstRow="0" w:noVBand="0" w:lastRow="0" w:firstColumn="0" w:lastColumn="0" w:noHBand="0" w:val="0000"/>
      </w:tblPr>
      <w:tblGrid>
        <w:gridCol w:w="627"/>
        <w:gridCol w:w="3880"/>
        <w:gridCol w:w="10913"/>
      </w:tblGrid>
      <w:tr>
        <w:trPr>
          <w:trHeight w:val="801"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bCs/>
                <w:sz w:val="26"/>
                <w:szCs w:val="26"/>
              </w:rPr>
              <w:t xml:space="preserve">№ </w:t>
            </w:r>
            <w:r>
              <w:rPr>
                <w:rFonts w:cs="Times New Roman" w:ascii="Times New Roman" w:hAnsi="Times New Roman"/>
                <w:bCs/>
                <w:sz w:val="26"/>
                <w:szCs w:val="26"/>
              </w:rPr>
              <w:t>з/п</w:t>
            </w:r>
          </w:p>
        </w:tc>
        <w:tc>
          <w:tcPr>
            <w:tcW w:w="3880"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Назва заходів</w:t>
            </w:r>
          </w:p>
        </w:tc>
        <w:tc>
          <w:tcPr>
            <w:tcW w:w="1091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Стан виконання заходів</w:t>
            </w:r>
          </w:p>
        </w:tc>
      </w:tr>
      <w:tr>
        <w:trPr>
          <w:trHeight w:val="615"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t>1.</w:t>
            </w:r>
          </w:p>
        </w:tc>
        <w:tc>
          <w:tcPr>
            <w:tcW w:w="3880"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Дизайн та виготовлення промоційної поліграфічної та сувенірної продукції, створення фото та відеоконтенту для промоції міста.</w:t>
            </w:r>
          </w:p>
        </w:tc>
        <w:tc>
          <w:tcPr>
            <w:tcW w:w="10913"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highlight w:val="white"/>
              </w:rPr>
              <w:t xml:space="preserve">Презентовано  новий промоційний ролик міста. </w:t>
            </w:r>
            <w:r>
              <w:rPr>
                <w:rFonts w:cs="Times New Roman" w:ascii="Times New Roman" w:hAnsi="Times New Roman"/>
                <w:sz w:val="26"/>
                <w:szCs w:val="26"/>
              </w:rPr>
              <w:t xml:space="preserve">Розроблено дизайн листівок з Луцькими дверима, а також розроблено дизайн і візуалізацію айдентики </w:t>
            </w:r>
            <w:r>
              <w:rPr>
                <w:rFonts w:cs="Times New Roman" w:ascii="Times New Roman" w:hAnsi="Times New Roman"/>
                <w:sz w:val="26"/>
                <w:szCs w:val="26"/>
                <w:highlight w:val="white"/>
              </w:rPr>
              <w:t>з нагоди відкриття музейного простору «Окольний замок»</w:t>
            </w:r>
            <w:r>
              <w:rPr>
                <w:rFonts w:cs="Times New Roman" w:ascii="Times New Roman" w:hAnsi="Times New Roman"/>
                <w:sz w:val="26"/>
                <w:szCs w:val="26"/>
              </w:rPr>
              <w:t xml:space="preserve">: для лед-екранів, сувенірної продукції, поліграфії, інтернет-мереж тощо. Розроблено і виготовлено інформаційний буклет </w:t>
            </w:r>
            <w:r>
              <w:rPr>
                <w:rFonts w:cs="Times New Roman" w:ascii="Times New Roman" w:hAnsi="Times New Roman"/>
                <w:sz w:val="26"/>
                <w:szCs w:val="26"/>
                <w:highlight w:val="white"/>
              </w:rPr>
              <w:t>музейного простору «Окольний замок»</w:t>
            </w:r>
            <w:r>
              <w:rPr>
                <w:rFonts w:cs="Times New Roman" w:ascii="Times New Roman" w:hAnsi="Times New Roman"/>
                <w:sz w:val="26"/>
                <w:szCs w:val="26"/>
              </w:rPr>
              <w:t xml:space="preserve"> (2 000 </w:t>
            </w:r>
            <w:r>
              <w:rPr>
                <w:rFonts w:cs="Times New Roman" w:ascii="Times New Roman" w:hAnsi="Times New Roman"/>
                <w:sz w:val="26"/>
                <w:szCs w:val="26"/>
                <w:highlight w:val="white"/>
              </w:rPr>
              <w:t>шт. англійською та українською мовами).</w:t>
            </w:r>
          </w:p>
        </w:tc>
      </w:tr>
      <w:tr>
        <w:trPr>
          <w:trHeight w:val="589"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2.</w:t>
            </w:r>
          </w:p>
        </w:tc>
        <w:tc>
          <w:tcPr>
            <w:tcW w:w="3880"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Відкриття туристичного сезону.</w:t>
            </w:r>
          </w:p>
        </w:tc>
        <w:tc>
          <w:tcPr>
            <w:tcW w:w="10913"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highlight w:val="white"/>
              </w:rPr>
              <w:t xml:space="preserve">Заходи не проводились у </w:t>
            </w:r>
            <w:bookmarkStart w:id="2" w:name="__DdeLink__964_3161373091"/>
            <w:bookmarkEnd w:id="2"/>
            <w:r>
              <w:rPr>
                <w:rFonts w:cs="Times New Roman" w:ascii="Times New Roman" w:hAnsi="Times New Roman"/>
                <w:sz w:val="26"/>
                <w:szCs w:val="26"/>
                <w:highlight w:val="white"/>
              </w:rPr>
              <w:t>зв'язку із дією воєнного стану.</w:t>
            </w:r>
          </w:p>
        </w:tc>
      </w:tr>
      <w:tr>
        <w:trPr>
          <w:trHeight w:val="453"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3.</w:t>
            </w:r>
          </w:p>
        </w:tc>
        <w:tc>
          <w:tcPr>
            <w:tcW w:w="3880" w:type="dxa"/>
            <w:tcBorders>
              <w:top w:val="single" w:sz="4" w:space="0" w:color="000000"/>
              <w:left w:val="single" w:sz="4" w:space="0" w:color="000000"/>
              <w:bottom w:val="single" w:sz="4" w:space="0" w:color="000000"/>
            </w:tcBorders>
          </w:tcPr>
          <w:p>
            <w:pPr>
              <w:pStyle w:val="Normal"/>
              <w:widowControl w:val="false"/>
              <w:tabs>
                <w:tab w:val="clear" w:pos="708"/>
                <w:tab w:val="left" w:pos="855" w:leader="none"/>
              </w:tabs>
              <w:jc w:val="both"/>
              <w:rPr>
                <w:rFonts w:ascii="Times New Roman" w:hAnsi="Times New Roman" w:cs="Times New Roman"/>
                <w:sz w:val="26"/>
                <w:szCs w:val="26"/>
              </w:rPr>
            </w:pPr>
            <w:r>
              <w:rPr>
                <w:rFonts w:cs="Times New Roman" w:ascii="Times New Roman" w:hAnsi="Times New Roman"/>
                <w:sz w:val="26"/>
                <w:szCs w:val="26"/>
              </w:rPr>
              <w:t>Проведення в Луцьку літературної резиденції за участю популярних авторів.</w:t>
            </w:r>
          </w:p>
        </w:tc>
        <w:tc>
          <w:tcPr>
            <w:tcW w:w="10913"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В рамках Луцької літературної резиденції:</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проведено офіційне відкриття Міжнародного поетичного проєкту тривимірної презентації поетичних текстів Галини Яструбецької «Полігон. Територія слова»;</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відбувся поетичний вечір Ольги Ольхової «Луцько попри…»;</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у Волинському національному університеті імені Лесі Українки організовано лекцію польської письменниці, літературної критикині, президентки Спілки письменників Польщі, професорки Анни Насіловської «Пьотр Равіч та його роман «Кров неба».</w:t>
            </w:r>
          </w:p>
        </w:tc>
      </w:tr>
      <w:tr>
        <w:trPr>
          <w:trHeight w:val="453"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4.</w:t>
            </w:r>
          </w:p>
        </w:tc>
        <w:tc>
          <w:tcPr>
            <w:tcW w:w="3880"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Організація прес-турів, презентацій для вітчизняних і закордонних журналістів та блогерів.</w:t>
            </w:r>
          </w:p>
        </w:tc>
        <w:tc>
          <w:tcPr>
            <w:tcW w:w="10913"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highlight w:val="white"/>
              </w:rPr>
              <w:t xml:space="preserve">В рамках проведення престурів з нагоди відкриття музейного простору «Окольний замок» впродовж червня місто відвідали відомі українські тревел-блогери Максим Узол і Ольга Манько (їхній відеоканал «Камон»), інстаблогер Vera Pasko, представники інформаційного агентства Укрінформ, </w:t>
            </w:r>
            <w:r>
              <w:rPr>
                <w:rFonts w:cs="Times New Roman" w:ascii="Times New Roman" w:hAnsi="Times New Roman"/>
                <w:sz w:val="26"/>
                <w:szCs w:val="26"/>
              </w:rPr>
              <w:t xml:space="preserve">туристичного інтернет журналу </w:t>
            </w:r>
            <w:r>
              <w:rPr>
                <w:rFonts w:cs="Times New Roman" w:ascii="Times New Roman" w:hAnsi="Times New Roman"/>
                <w:sz w:val="26"/>
                <w:szCs w:val="26"/>
                <w:highlight w:val="white"/>
              </w:rPr>
              <w:t>«</w:t>
            </w:r>
            <w:r>
              <w:rPr>
                <w:rFonts w:cs="Times New Roman" w:ascii="Times New Roman" w:hAnsi="Times New Roman"/>
                <w:sz w:val="26"/>
                <w:szCs w:val="26"/>
              </w:rPr>
              <w:t>Робінзон</w:t>
            </w:r>
            <w:r>
              <w:rPr>
                <w:rFonts w:cs="Times New Roman" w:ascii="Times New Roman" w:hAnsi="Times New Roman"/>
                <w:sz w:val="26"/>
                <w:szCs w:val="26"/>
                <w:highlight w:val="white"/>
              </w:rPr>
              <w:t xml:space="preserve">» </w:t>
            </w:r>
            <w:r>
              <w:rPr>
                <w:rFonts w:cs="Times New Roman" w:ascii="Times New Roman" w:hAnsi="Times New Roman"/>
                <w:sz w:val="26"/>
                <w:szCs w:val="26"/>
              </w:rPr>
              <w:t>та туристичного прес-клубу з м.</w:t>
            </w:r>
            <w:r>
              <w:rPr>
                <w:rFonts w:cs="Times New Roman" w:ascii="Times New Roman" w:hAnsi="Times New Roman"/>
                <w:sz w:val="26"/>
                <w:szCs w:val="26"/>
                <w:lang w:val="en-US"/>
              </w:rPr>
              <w:t> </w:t>
            </w:r>
            <w:r>
              <w:rPr>
                <w:rFonts w:cs="Times New Roman" w:ascii="Times New Roman" w:hAnsi="Times New Roman"/>
                <w:sz w:val="26"/>
                <w:szCs w:val="26"/>
              </w:rPr>
              <w:t>Київ. Дл</w:t>
            </w:r>
            <w:r>
              <w:rPr>
                <w:rFonts w:cs="Times New Roman" w:ascii="Times New Roman" w:hAnsi="Times New Roman"/>
                <w:sz w:val="26"/>
                <w:szCs w:val="26"/>
                <w:highlight w:val="white"/>
              </w:rPr>
              <w:t>я них було проведено екскурсії містом, підземеллями, музеями.</w:t>
            </w:r>
          </w:p>
        </w:tc>
      </w:tr>
      <w:tr>
        <w:trPr>
          <w:trHeight w:val="453"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5.</w:t>
            </w:r>
          </w:p>
        </w:tc>
        <w:tc>
          <w:tcPr>
            <w:tcW w:w="3880"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Продовження реалізації та розвитку проєкту «Луцький кликун».</w:t>
            </w:r>
          </w:p>
        </w:tc>
        <w:tc>
          <w:tcPr>
            <w:tcW w:w="10913"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highlight w:val="white"/>
              </w:rPr>
              <w:t>Оплата праці Луцького кликуна за здійснення ритуалу сумління з В’їзної вежі замку.</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Розпочато роботу по розробці концепції нових скульптур у співпраці з місцевими підприємствами.</w:t>
            </w:r>
          </w:p>
        </w:tc>
      </w:tr>
      <w:tr>
        <w:trPr>
          <w:trHeight w:val="453"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6.</w:t>
            </w:r>
          </w:p>
        </w:tc>
        <w:tc>
          <w:tcPr>
            <w:tcW w:w="3880"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sz w:val="26"/>
                <w:szCs w:val="26"/>
              </w:rPr>
            </w:pPr>
            <w:r>
              <w:rPr>
                <w:rFonts w:cs="Times New Roman" w:ascii="Times New Roman" w:hAnsi="Times New Roman"/>
                <w:color w:val="auto"/>
                <w:sz w:val="26"/>
                <w:szCs w:val="26"/>
              </w:rPr>
              <w:t>Презентація туристичного потенціалу Луцької міської територіальної громади на міжнародних та національних туристичних виставках, форумах, конференціях, круглих столах, семінарах тощо.</w:t>
            </w:r>
          </w:p>
        </w:tc>
        <w:tc>
          <w:tcPr>
            <w:tcW w:w="10913"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highlight w:val="white"/>
              </w:rPr>
            </w:pPr>
            <w:r>
              <w:rPr>
                <w:rFonts w:cs="Times New Roman" w:ascii="Times New Roman" w:hAnsi="Times New Roman"/>
                <w:sz w:val="26"/>
                <w:szCs w:val="26"/>
                <w:highlight w:val="white"/>
              </w:rPr>
              <w:t>У зв'язку із дією воєнного стану проведення туристичних виставок було обмежено.</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highlight w:val="white"/>
              </w:rPr>
              <w:t>Працівники управління туризму та промоції міста прийняли онлайн участь у        міжнародному туристичному форумі, у конференції «Нові сфери спадщини: Рани пам'яті» та у міжнародному форумі з безпеки культурної спадщини «Битва за Україну».</w:t>
            </w:r>
          </w:p>
        </w:tc>
      </w:tr>
      <w:tr>
        <w:trPr>
          <w:trHeight w:val="453"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7.</w:t>
            </w:r>
          </w:p>
        </w:tc>
        <w:tc>
          <w:tcPr>
            <w:tcW w:w="3880"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Відзначення Дня туризму (організація інтелектуальних ігор для навчальних закладів міста, залучення до проведення екскурсій та інших заходів представників туристичного активу тощо).</w:t>
            </w:r>
          </w:p>
        </w:tc>
        <w:tc>
          <w:tcPr>
            <w:tcW w:w="10913"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Заходи із відзначення Дня туризму заплановано на ІІ півріччя.</w:t>
            </w:r>
          </w:p>
        </w:tc>
      </w:tr>
      <w:tr>
        <w:trPr>
          <w:trHeight w:val="453"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8.</w:t>
            </w:r>
          </w:p>
        </w:tc>
        <w:tc>
          <w:tcPr>
            <w:tcW w:w="3880"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sz w:val="26"/>
                <w:szCs w:val="26"/>
              </w:rPr>
            </w:pPr>
            <w:r>
              <w:rPr>
                <w:rFonts w:cs="Times New Roman" w:ascii="Times New Roman" w:hAnsi="Times New Roman"/>
                <w:color w:val="auto"/>
                <w:sz w:val="26"/>
                <w:szCs w:val="26"/>
              </w:rPr>
              <w:t>Вдосконалення системи туристичного ознакування, сканування пам’яток архітектури.</w:t>
            </w:r>
          </w:p>
        </w:tc>
        <w:tc>
          <w:tcPr>
            <w:tcW w:w="10913"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highlight w:val="white"/>
              </w:rPr>
              <w:t xml:space="preserve">В рамках проєкту </w:t>
            </w:r>
            <w:r>
              <w:rPr>
                <w:rFonts w:cs="Times New Roman" w:ascii="Times New Roman" w:hAnsi="Times New Roman"/>
                <w:sz w:val="26"/>
                <w:szCs w:val="26"/>
              </w:rPr>
              <w:t xml:space="preserve"> #SaveUkrainianHeritage за фінансової підтримки фонду Aliph Foundation проведено лазерне 3D сканування та фотограмметричну зйомку памʼяток архітектури нашого міста (Луцький замок, Кафедральний собор Святої Трійці, Єзуїтський колегіуму (з підземеллям) з вежею Чорторийських та муром Окольного замку, Кафедральний костел святих апостолів Петра і Павла з підземеллям).</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Також у звітному півріччі тривала робота з компанією Moreinfo щодо оновлення та удосконалення системи туристичного ознакування.</w:t>
            </w:r>
          </w:p>
        </w:tc>
      </w:tr>
      <w:tr>
        <w:trPr>
          <w:trHeight w:val="453"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9.</w:t>
            </w:r>
          </w:p>
        </w:tc>
        <w:tc>
          <w:tcPr>
            <w:tcW w:w="3880"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Підготовка, перепідготовка та підвищення кваліфікації екскурсоводів і гідів-перекладачів, затвердження єдиних правил ведення екскурсійної діяльності.</w:t>
            </w:r>
          </w:p>
        </w:tc>
        <w:tc>
          <w:tcPr>
            <w:tcW w:w="10913"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Проведено ряд спеціальних тренінгів для гідів міста щодо особливостей проведення екскурсій та роботи з військовими– «Те, що невидиме. Психологічні наслідки війни. Особливості спілкування. Допомога</w:t>
            </w:r>
            <w:r>
              <w:rPr>
                <w:rFonts w:cs="Times New Roman" w:ascii="Times New Roman" w:hAnsi="Times New Roman"/>
                <w:sz w:val="26"/>
                <w:szCs w:val="26"/>
                <w:highlight w:val="white"/>
              </w:rPr>
              <w:t>»</w:t>
            </w:r>
            <w:r>
              <w:rPr>
                <w:rFonts w:cs="Times New Roman" w:ascii="Times New Roman" w:hAnsi="Times New Roman"/>
                <w:sz w:val="26"/>
                <w:szCs w:val="26"/>
              </w:rPr>
              <w:t>.</w:t>
            </w:r>
          </w:p>
        </w:tc>
      </w:tr>
      <w:tr>
        <w:trPr>
          <w:trHeight w:val="453"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10.</w:t>
            </w:r>
          </w:p>
        </w:tc>
        <w:tc>
          <w:tcPr>
            <w:tcW w:w="3880"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sz w:val="26"/>
                <w:szCs w:val="26"/>
              </w:rPr>
            </w:pPr>
            <w:r>
              <w:rPr>
                <w:rFonts w:cs="Times New Roman" w:ascii="Times New Roman" w:hAnsi="Times New Roman"/>
                <w:color w:val="auto"/>
                <w:sz w:val="26"/>
                <w:szCs w:val="26"/>
              </w:rPr>
              <w:t>Реалізація проєктів з Адміністрацією державного історико-культурного заповідника у м. Луцьку, музеями, навчальними закладами міста тощо.</w:t>
            </w:r>
          </w:p>
        </w:tc>
        <w:tc>
          <w:tcPr>
            <w:tcW w:w="10913"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highlight w:val="white"/>
              </w:rPr>
              <w:t>У співпраці з Bолинським фaховим коледжем культури і миcтецтв імені І.Ф. Стравінського проведено</w:t>
            </w:r>
            <w:r>
              <w:rPr>
                <w:rFonts w:cs="Times New Roman" w:ascii="Times New Roman" w:hAnsi="Times New Roman"/>
                <w:sz w:val="26"/>
                <w:szCs w:val="26"/>
              </w:rPr>
              <w:t xml:space="preserve"> виставку образотворчого мистецтва «Філософія Луцька #тут_Луцько</w:t>
            </w:r>
            <w:r>
              <w:rPr>
                <w:rFonts w:cs="Times New Roman" w:ascii="Times New Roman" w:hAnsi="Times New Roman"/>
                <w:sz w:val="26"/>
                <w:szCs w:val="26"/>
                <w:highlight w:val="white"/>
              </w:rPr>
              <w:t>»</w:t>
            </w:r>
            <w:r>
              <w:rPr>
                <w:rFonts w:cs="Times New Roman" w:ascii="Times New Roman" w:hAnsi="Times New Roman"/>
                <w:sz w:val="26"/>
                <w:szCs w:val="26"/>
              </w:rPr>
              <w:t>.</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У співпраці з представниками Малої академії наук та Луцького національного технічного університету забезпечено реалізацію у Луцьку міжнародного проєкту «КВЕСТИ: ВІДКРИВАЄМО СКАРБИ УКРАЇНИ» (</w:t>
            </w:r>
            <w:r>
              <w:rPr>
                <w:rFonts w:cs="Times New Roman" w:ascii="Times New Roman" w:hAnsi="Times New Roman"/>
                <w:sz w:val="26"/>
                <w:szCs w:val="26"/>
                <w:highlight w:val="white"/>
              </w:rPr>
              <w:t>розробка нового квест-маршруту для міста</w:t>
            </w:r>
            <w:r>
              <w:rPr>
                <w:rFonts w:cs="Times New Roman" w:ascii="Times New Roman" w:hAnsi="Times New Roman"/>
                <w:sz w:val="26"/>
                <w:szCs w:val="26"/>
              </w:rPr>
              <w:t>).</w:t>
            </w:r>
          </w:p>
        </w:tc>
      </w:tr>
      <w:tr>
        <w:trPr>
          <w:trHeight w:val="453" w:hRule="atLeast"/>
        </w:trPr>
        <w:tc>
          <w:tcPr>
            <w:tcW w:w="627"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11.</w:t>
            </w:r>
          </w:p>
        </w:tc>
        <w:tc>
          <w:tcPr>
            <w:tcW w:w="3880" w:type="dxa"/>
            <w:tcBorders>
              <w:left w:val="single" w:sz="4" w:space="0" w:color="000000"/>
              <w:bottom w:val="single" w:sz="4" w:space="0" w:color="000000"/>
            </w:tcBorders>
          </w:tcPr>
          <w:p>
            <w:pPr>
              <w:pStyle w:val="Standard"/>
              <w:widowControl w:val="false"/>
              <w:ind w:firstLine="5"/>
              <w:jc w:val="both"/>
              <w:rPr>
                <w:rFonts w:ascii="Times New Roman" w:hAnsi="Times New Roman" w:cs="Times New Roman"/>
                <w:color w:val="auto"/>
                <w:sz w:val="26"/>
                <w:szCs w:val="26"/>
              </w:rPr>
            </w:pPr>
            <w:r>
              <w:rPr>
                <w:rFonts w:cs="Times New Roman" w:ascii="Times New Roman" w:hAnsi="Times New Roman"/>
                <w:color w:val="auto"/>
                <w:sz w:val="26"/>
                <w:szCs w:val="26"/>
              </w:rPr>
              <w:t>Підготовка грантових проєктів, що сприятимуть підвищенню туристичної привабливості Луцької міської територіальної громади.</w:t>
            </w:r>
          </w:p>
        </w:tc>
        <w:tc>
          <w:tcPr>
            <w:tcW w:w="10913"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highlight w:val="white"/>
              </w:rPr>
              <w:t xml:space="preserve">В рамках співпраці з польською ініціативою Dom Odbudowy Ukrainy, </w:t>
            </w:r>
            <w:r>
              <w:rPr>
                <w:rFonts w:cs="Times New Roman" w:ascii="Times New Roman" w:hAnsi="Times New Roman"/>
                <w:sz w:val="26"/>
                <w:szCs w:val="26"/>
              </w:rPr>
              <w:t>три відділи Волинського краєзнавчого музею (Музей волинської ікони, Художній музей і Музей історії Луцького братства) отримали генератори для забезпечення безперебійного функціонування.</w:t>
            </w:r>
          </w:p>
        </w:tc>
      </w:tr>
      <w:tr>
        <w:trPr>
          <w:trHeight w:val="453" w:hRule="atLeast"/>
        </w:trPr>
        <w:tc>
          <w:tcPr>
            <w:tcW w:w="627"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12.</w:t>
            </w:r>
          </w:p>
        </w:tc>
        <w:tc>
          <w:tcPr>
            <w:tcW w:w="3880" w:type="dxa"/>
            <w:tcBorders>
              <w:left w:val="single" w:sz="4" w:space="0" w:color="000000"/>
              <w:bottom w:val="single" w:sz="4" w:space="0" w:color="000000"/>
            </w:tcBorders>
          </w:tcPr>
          <w:p>
            <w:pPr>
              <w:pStyle w:val="Style23"/>
              <w:widowControl w:val="false"/>
              <w:spacing w:lineRule="auto" w:line="240" w:before="0" w:after="0"/>
              <w:ind w:firstLine="5"/>
              <w:jc w:val="both"/>
              <w:rPr/>
            </w:pPr>
            <w:r>
              <w:rPr>
                <w:rStyle w:val="Style16"/>
                <w:rFonts w:ascii="Times New Roman" w:hAnsi="Times New Roman"/>
                <w:b w:val="false"/>
                <w:sz w:val="26"/>
                <w:szCs w:val="26"/>
                <w:shd w:fill="FFFFFF" w:val="clear"/>
              </w:rPr>
              <w:t>Всебічна промоція, проведення прест</w:t>
            </w:r>
            <w:r>
              <w:rPr>
                <w:rStyle w:val="Style16"/>
                <w:rFonts w:ascii="Times New Roman" w:hAnsi="Times New Roman"/>
                <w:b w:val="false"/>
                <w:sz w:val="26"/>
                <w:szCs w:val="26"/>
              </w:rPr>
              <w:t>урів і фамтурів новими об’єктами туристичного інтересу </w:t>
            </w:r>
            <w:r>
              <w:rPr>
                <w:rFonts w:ascii="Times New Roman" w:hAnsi="Times New Roman"/>
                <w:sz w:val="26"/>
                <w:szCs w:val="26"/>
              </w:rPr>
              <w:t>– </w:t>
            </w:r>
            <w:r>
              <w:rPr>
                <w:rStyle w:val="Style16"/>
                <w:rFonts w:ascii="Times New Roman" w:hAnsi="Times New Roman"/>
                <w:b w:val="false"/>
                <w:sz w:val="26"/>
                <w:szCs w:val="26"/>
              </w:rPr>
              <w:t xml:space="preserve">підземеллями під Колегіумом </w:t>
            </w:r>
            <w:r>
              <w:rPr>
                <w:rStyle w:val="Style16"/>
                <w:rFonts w:ascii="Times New Roman" w:hAnsi="Times New Roman"/>
                <w:b w:val="false"/>
                <w:sz w:val="26"/>
                <w:szCs w:val="26"/>
                <w:shd w:fill="FFFFFF" w:val="clear"/>
              </w:rPr>
              <w:t>єзуїтів та баштою князів Чорторийських.</w:t>
            </w:r>
          </w:p>
        </w:tc>
        <w:tc>
          <w:tcPr>
            <w:tcW w:w="10913"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highlight w:val="white"/>
              </w:rPr>
              <w:t>За участі фахівців компанії «Ідейл</w:t>
            </w:r>
            <w:bookmarkStart w:id="3" w:name="__DdeLink__219_3744509711"/>
            <w:r>
              <w:rPr>
                <w:rFonts w:cs="Times New Roman" w:ascii="Times New Roman" w:hAnsi="Times New Roman"/>
                <w:sz w:val="26"/>
                <w:szCs w:val="26"/>
                <w:highlight w:val="white"/>
              </w:rPr>
              <w:t xml:space="preserve">» </w:t>
            </w:r>
            <w:bookmarkEnd w:id="3"/>
            <w:r>
              <w:rPr>
                <w:rFonts w:cs="Times New Roman" w:ascii="Times New Roman" w:hAnsi="Times New Roman"/>
                <w:sz w:val="26"/>
                <w:szCs w:val="26"/>
                <w:highlight w:val="white"/>
              </w:rPr>
              <w:t>велась активна робота з промоції нового об’єкту туристичного інтересу - музейного простору «Окольний замок»  в соціальних мережах Facebook та Instagram.</w:t>
            </w:r>
            <w:r>
              <w:rPr>
                <w:rFonts w:cs="Times New Roman" w:ascii="Times New Roman" w:hAnsi="Times New Roman"/>
                <w:sz w:val="26"/>
                <w:szCs w:val="26"/>
              </w:rPr>
              <w:t xml:space="preserve"> Також, з нагоди </w:t>
            </w:r>
            <w:r>
              <w:rPr>
                <w:rFonts w:cs="Times New Roman" w:ascii="Times New Roman" w:hAnsi="Times New Roman"/>
                <w:sz w:val="26"/>
                <w:szCs w:val="26"/>
                <w:highlight w:val="white"/>
              </w:rPr>
              <w:t>відкриття музейного простору «Окольний замок» проведено престур та фамтур.</w:t>
            </w:r>
          </w:p>
        </w:tc>
      </w:tr>
    </w:tbl>
    <w:p>
      <w:pPr>
        <w:pStyle w:val="Normal"/>
        <w:rPr>
          <w:rFonts w:ascii="Times New Roman" w:hAnsi="Times New Roman" w:cs="Times New Roman"/>
          <w:b/>
          <w:b/>
          <w:bCs/>
          <w:kern w:val="0"/>
          <w:sz w:val="26"/>
          <w:szCs w:val="26"/>
        </w:rPr>
      </w:pPr>
      <w:r>
        <w:rPr>
          <w:rFonts w:cs="Times New Roman" w:ascii="Times New Roman" w:hAnsi="Times New Roman"/>
          <w:b/>
          <w:bCs/>
          <w:kern w:val="0"/>
          <w:sz w:val="26"/>
          <w:szCs w:val="26"/>
        </w:rPr>
      </w:r>
    </w:p>
    <w:p>
      <w:pPr>
        <w:pStyle w:val="Normal"/>
        <w:widowControl w:val="false"/>
        <w:jc w:val="center"/>
        <w:rPr>
          <w:rFonts w:ascii="Times New Roman" w:hAnsi="Times New Roman"/>
          <w:sz w:val="26"/>
          <w:szCs w:val="26"/>
        </w:rPr>
      </w:pPr>
      <w:r>
        <w:rPr>
          <w:rFonts w:cs="Times New Roman" w:ascii="Times New Roman" w:hAnsi="Times New Roman"/>
          <w:b/>
          <w:bCs/>
          <w:kern w:val="0"/>
          <w:sz w:val="26"/>
          <w:szCs w:val="26"/>
        </w:rPr>
        <w:t>3.1.6. Інвестиційна діяльність</w:t>
      </w:r>
    </w:p>
    <w:p>
      <w:pPr>
        <w:pStyle w:val="Normal"/>
        <w:widowControl w:val="false"/>
        <w:jc w:val="center"/>
        <w:rPr>
          <w:rFonts w:ascii="Times New Roman" w:hAnsi="Times New Roman"/>
          <w:sz w:val="26"/>
          <w:szCs w:val="26"/>
        </w:rPr>
      </w:pPr>
      <w:r>
        <w:rPr>
          <w:rFonts w:ascii="Times New Roman" w:hAnsi="Times New Roman"/>
          <w:sz w:val="26"/>
          <w:szCs w:val="26"/>
        </w:rPr>
      </w:r>
    </w:p>
    <w:tbl>
      <w:tblPr>
        <w:tblW w:w="15450" w:type="dxa"/>
        <w:jc w:val="left"/>
        <w:tblInd w:w="98" w:type="dxa"/>
        <w:tblLayout w:type="fixed"/>
        <w:tblCellMar>
          <w:top w:w="0" w:type="dxa"/>
          <w:left w:w="108" w:type="dxa"/>
          <w:bottom w:w="0" w:type="dxa"/>
          <w:right w:w="108" w:type="dxa"/>
        </w:tblCellMar>
        <w:tblLook w:firstRow="0" w:noVBand="0" w:lastRow="0" w:firstColumn="0" w:lastColumn="0" w:noHBand="0" w:val="0000"/>
      </w:tblPr>
      <w:tblGrid>
        <w:gridCol w:w="675"/>
        <w:gridCol w:w="3745"/>
        <w:gridCol w:w="11030"/>
      </w:tblGrid>
      <w:tr>
        <w:trPr>
          <w:trHeight w:val="615" w:hRule="atLeast"/>
        </w:trPr>
        <w:tc>
          <w:tcPr>
            <w:tcW w:w="67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bCs/>
                <w:sz w:val="26"/>
                <w:szCs w:val="26"/>
              </w:rPr>
              <w:t xml:space="preserve">№ </w:t>
            </w:r>
            <w:r>
              <w:rPr>
                <w:rFonts w:cs="Times New Roman" w:ascii="Times New Roman" w:hAnsi="Times New Roman"/>
                <w:bCs/>
                <w:sz w:val="26"/>
                <w:szCs w:val="26"/>
              </w:rPr>
              <w:t>з/п</w:t>
            </w:r>
          </w:p>
        </w:tc>
        <w:tc>
          <w:tcPr>
            <w:tcW w:w="374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Назва заходів</w:t>
            </w:r>
          </w:p>
        </w:tc>
        <w:tc>
          <w:tcPr>
            <w:tcW w:w="1103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Стан виконання заходів</w:t>
            </w:r>
          </w:p>
        </w:tc>
      </w:tr>
      <w:tr>
        <w:trPr>
          <w:trHeight w:val="615" w:hRule="atLeast"/>
        </w:trPr>
        <w:tc>
          <w:tcPr>
            <w:tcW w:w="67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t>1.</w:t>
            </w:r>
          </w:p>
        </w:tc>
        <w:tc>
          <w:tcPr>
            <w:tcW w:w="3745" w:type="dxa"/>
            <w:tcBorders>
              <w:top w:val="single" w:sz="4" w:space="0" w:color="000000"/>
              <w:left w:val="single" w:sz="4" w:space="0" w:color="000000"/>
              <w:bottom w:val="single" w:sz="4" w:space="0" w:color="000000"/>
            </w:tcBorders>
          </w:tcPr>
          <w:p>
            <w:pPr>
              <w:pStyle w:val="Normal"/>
              <w:widowControl w:val="false"/>
              <w:shd w:val="clear" w:color="auto" w:fill="FFFFFF"/>
              <w:jc w:val="both"/>
              <w:rPr>
                <w:rFonts w:ascii="Times New Roman" w:hAnsi="Times New Roman"/>
                <w:sz w:val="26"/>
                <w:szCs w:val="26"/>
              </w:rPr>
            </w:pPr>
            <w:r>
              <w:rPr>
                <w:rFonts w:cs="Times New Roman" w:ascii="Times New Roman" w:hAnsi="Times New Roman"/>
                <w:bCs/>
                <w:kern w:val="0"/>
                <w:sz w:val="26"/>
                <w:szCs w:val="26"/>
              </w:rPr>
              <w:t>Завершення реалізації, спільного з Європейським банком реконструкції та розвитку «Проєкту реконструкції системи централізованого теплопостачання у м. Луцьк»: впровадження «Системи моніторингу та диспетчеризації (SCADA)» (лот 7).</w:t>
            </w:r>
          </w:p>
        </w:tc>
        <w:tc>
          <w:tcPr>
            <w:tcW w:w="1103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lang w:eastAsia="uk-UA"/>
              </w:rPr>
              <w:t>Підписано додаткову угоду з ЄБРР про додаткове грантове фінансування в сумі 400 тис. євро. Планується завершення усіх робіт за проєктом: освоєння додаткового гранту, в рамках якого буде встановлено 20 додаткових ІТП, реалізацію лоту № 7 «Система моніторингу</w:t>
            </w:r>
            <w:r>
              <w:rPr>
                <w:rFonts w:ascii="Times New Roman" w:hAnsi="Times New Roman"/>
                <w:sz w:val="26"/>
                <w:szCs w:val="26"/>
                <w:highlight w:val="yellow"/>
                <w:lang w:eastAsia="uk-UA"/>
              </w:rPr>
              <w:t xml:space="preserve"> </w:t>
            </w:r>
            <w:r>
              <w:rPr>
                <w:rFonts w:ascii="Times New Roman" w:hAnsi="Times New Roman"/>
                <w:sz w:val="26"/>
                <w:szCs w:val="26"/>
                <w:lang w:eastAsia="uk-UA"/>
              </w:rPr>
              <w:t xml:space="preserve"> та диспетчеризації (SCADA)» для 350 будівель вартістю 130 тис. євро. Оціночний звіт першого етапу тендеру за даним лотом направлено на погодження ЄБРР.</w:t>
            </w:r>
          </w:p>
          <w:p>
            <w:pPr>
              <w:pStyle w:val="Normal"/>
              <w:widowControl w:val="false"/>
              <w:ind w:firstLine="567"/>
              <w:jc w:val="both"/>
              <w:rPr>
                <w:rFonts w:ascii="Times New Roman" w:hAnsi="Times New Roman"/>
                <w:sz w:val="26"/>
                <w:szCs w:val="26"/>
              </w:rPr>
            </w:pPr>
            <w:r>
              <w:rPr>
                <w:rFonts w:ascii="Times New Roman" w:hAnsi="Times New Roman"/>
                <w:sz w:val="26"/>
                <w:szCs w:val="26"/>
                <w:lang w:eastAsia="uk-UA" w:bidi="ar-SA"/>
              </w:rPr>
              <w:t>Розмір інвестицій для запровадження системи моніторингу та контролю SCADA становить 0,8 млн євро. Джерело фінансування – кредит Фонд Чистих Технологій, грантові кошти фонду Е5Р. На цей час тендерний процес призупинено у зв’язку із дією воєнного стану.</w:t>
            </w:r>
          </w:p>
        </w:tc>
      </w:tr>
      <w:tr>
        <w:trPr>
          <w:trHeight w:val="615" w:hRule="atLeast"/>
        </w:trPr>
        <w:tc>
          <w:tcPr>
            <w:tcW w:w="67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t>2.</w:t>
            </w:r>
          </w:p>
        </w:tc>
        <w:tc>
          <w:tcPr>
            <w:tcW w:w="3745"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sz w:val="26"/>
                <w:szCs w:val="26"/>
              </w:rPr>
            </w:pPr>
            <w:r>
              <w:rPr>
                <w:rFonts w:cs="Times New Roman" w:ascii="Times New Roman" w:hAnsi="Times New Roman"/>
                <w:bCs/>
                <w:sz w:val="26"/>
                <w:szCs w:val="26"/>
              </w:rPr>
              <w:t>Завершення реалізації</w:t>
            </w:r>
            <w:r>
              <w:rPr>
                <w:rFonts w:cs="Times New Roman" w:ascii="Times New Roman" w:hAnsi="Times New Roman"/>
                <w:sz w:val="26"/>
                <w:szCs w:val="26"/>
              </w:rPr>
              <w:t xml:space="preserve"> проєкту «Оновлення інфраструктури електротранспорту міста Луцька Волинської області» в рамках проєкту «Міський громадський транспорт України I» (післягарантійна прийомка тролейбусів).</w:t>
            </w:r>
          </w:p>
          <w:p>
            <w:pPr>
              <w:pStyle w:val="Normal"/>
              <w:widowControl w:val="false"/>
              <w:jc w:val="both"/>
              <w:rPr>
                <w:rFonts w:ascii="Times New Roman" w:hAnsi="Times New Roman" w:cs="Times New Roman"/>
                <w:sz w:val="26"/>
                <w:szCs w:val="26"/>
              </w:rPr>
            </w:pPr>
            <w:r>
              <w:rPr>
                <w:rFonts w:cs="Times New Roman" w:ascii="Times New Roman" w:hAnsi="Times New Roman"/>
                <w:sz w:val="26"/>
                <w:szCs w:val="26"/>
              </w:rPr>
            </w:r>
          </w:p>
        </w:tc>
        <w:tc>
          <w:tcPr>
            <w:tcW w:w="1103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Постачальник повністю виконав контракт: поставлено 29 нових тролейбусів, запасні частини й обладнання для ремонту й обслуговування рухомого складу. На даний момент здійснюються оплати за післягарантійну прийомку тролейбусів.</w:t>
            </w:r>
          </w:p>
          <w:p>
            <w:pPr>
              <w:pStyle w:val="Normal"/>
              <w:widowControl w:val="false"/>
              <w:ind w:firstLine="567"/>
              <w:jc w:val="both"/>
              <w:rPr>
                <w:rFonts w:ascii="Times New Roman" w:hAnsi="Times New Roman"/>
                <w:sz w:val="26"/>
                <w:szCs w:val="26"/>
              </w:rPr>
            </w:pPr>
            <w:r>
              <w:rPr>
                <w:rFonts w:ascii="Times New Roman" w:hAnsi="Times New Roman"/>
                <w:sz w:val="26"/>
                <w:szCs w:val="26"/>
              </w:rPr>
              <w:t>Триває узгодження можливості фінансування на будівництво відрізка контактної мережі на вул. Окружній та вул. Станіславського за рахунок грантових коштів Європейського інвестиційного банку (155,0 тис. євро).</w:t>
            </w:r>
          </w:p>
        </w:tc>
      </w:tr>
      <w:tr>
        <w:trPr>
          <w:trHeight w:val="276" w:hRule="atLeast"/>
        </w:trPr>
        <w:tc>
          <w:tcPr>
            <w:tcW w:w="67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3.</w:t>
            </w:r>
          </w:p>
        </w:tc>
        <w:tc>
          <w:tcPr>
            <w:tcW w:w="3745" w:type="dxa"/>
            <w:tcBorders>
              <w:top w:val="single" w:sz="4" w:space="0" w:color="000000"/>
              <w:left w:val="single" w:sz="4" w:space="0" w:color="000000"/>
              <w:bottom w:val="single" w:sz="4" w:space="0" w:color="000000"/>
            </w:tcBorders>
          </w:tcPr>
          <w:p>
            <w:pPr>
              <w:pStyle w:val="Normal"/>
              <w:widowControl w:val="false"/>
              <w:jc w:val="both"/>
              <w:rPr/>
            </w:pPr>
            <w:r>
              <w:rPr>
                <w:rFonts w:cs="Times New Roman" w:ascii="Times New Roman" w:hAnsi="Times New Roman"/>
                <w:sz w:val="26"/>
                <w:szCs w:val="26"/>
              </w:rPr>
              <w:t>П</w:t>
            </w:r>
            <w:r>
              <w:rPr>
                <w:rFonts w:cs="Times New Roman" w:ascii="Times New Roman" w:hAnsi="Times New Roman"/>
                <w:kern w:val="0"/>
                <w:sz w:val="26"/>
                <w:szCs w:val="26"/>
              </w:rPr>
              <w:t xml:space="preserve">ридбання 30-ти нових тролейбусів в рамках підпроєкту Луцької міської ради «Оновлення тролейбусного парку м. Луцька». Спільний з Європейським інвестиційним банком </w:t>
            </w:r>
            <w:r>
              <w:rPr>
                <w:rFonts w:cs="Times New Roman" w:ascii="Times New Roman" w:hAnsi="Times New Roman"/>
                <w:kern w:val="0"/>
                <w:sz w:val="26"/>
                <w:szCs w:val="26"/>
                <w:shd w:fill="FFFFFF" w:val="clear"/>
              </w:rPr>
              <w:t>проєкт «Міський громадський транспорт України ІІ»</w:t>
            </w:r>
            <w:r>
              <w:rPr>
                <w:rFonts w:cs="Times New Roman" w:ascii="Times New Roman" w:hAnsi="Times New Roman"/>
                <w:kern w:val="0"/>
                <w:sz w:val="26"/>
                <w:szCs w:val="26"/>
              </w:rPr>
              <w:t xml:space="preserve"> передбачає придбання рухомого складу (</w:t>
            </w:r>
            <w:r>
              <w:rPr>
                <w:rFonts w:cs="Times New Roman" w:ascii="Times New Roman" w:hAnsi="Times New Roman"/>
                <w:sz w:val="26"/>
                <w:szCs w:val="26"/>
              </w:rPr>
              <w:t xml:space="preserve">низькопідлогові односекційні тролейбуси довжиною 12 м, з яких </w:t>
            </w:r>
            <w:r>
              <w:rPr>
                <w:rFonts w:cs="Times New Roman" w:ascii="Times New Roman" w:hAnsi="Times New Roman"/>
                <w:kern w:val="0"/>
                <w:sz w:val="26"/>
                <w:szCs w:val="26"/>
              </w:rPr>
              <w:t xml:space="preserve">6 одиниць комплектуватимуться </w:t>
            </w:r>
            <w:r>
              <w:rPr>
                <w:rFonts w:cs="Times New Roman" w:ascii="Times New Roman" w:hAnsi="Times New Roman"/>
                <w:kern w:val="0"/>
                <w:sz w:val="26"/>
                <w:szCs w:val="26"/>
                <w:shd w:fill="FFFFFF" w:val="clear"/>
              </w:rPr>
              <w:t>електроустановками автономного ходу</w:t>
            </w:r>
            <w:r>
              <w:rPr>
                <w:rFonts w:cs="Times New Roman" w:ascii="Times New Roman" w:hAnsi="Times New Roman"/>
                <w:kern w:val="0"/>
                <w:sz w:val="26"/>
                <w:szCs w:val="26"/>
              </w:rPr>
              <w:t>), запасних частин до них та технологічного об</w:t>
            </w:r>
            <w:r>
              <w:rPr>
                <w:rFonts w:ascii="Times New Roman" w:hAnsi="Times New Roman"/>
                <w:sz w:val="26"/>
                <w:szCs w:val="26"/>
              </w:rPr>
              <w:t>ладнання. Загальна вартість проєкту становить 6,85 млн євро, кредит </w:t>
            </w:r>
            <w:r>
              <w:rPr>
                <w:rStyle w:val="Style16"/>
                <w:rFonts w:ascii="Times New Roman" w:hAnsi="Times New Roman"/>
                <w:sz w:val="26"/>
                <w:szCs w:val="26"/>
              </w:rPr>
              <w:t>‒ </w:t>
            </w:r>
            <w:r>
              <w:rPr>
                <w:rFonts w:ascii="Times New Roman" w:hAnsi="Times New Roman"/>
                <w:sz w:val="26"/>
                <w:szCs w:val="26"/>
              </w:rPr>
              <w:t>5,35 млн євро.</w:t>
            </w:r>
          </w:p>
        </w:tc>
        <w:tc>
          <w:tcPr>
            <w:tcW w:w="1103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На засіданні Керівного комітету проєкту «Міський громадський транспорт України ІІ»  ухвалено рішення про затвердження субпроєкту «Оновлення тролейбусного парку м. Луцька» з обсягом фінансування від Європейського інвестиційного банку в сумі 6,33 млн євро. Планується підписати угоду про передачу коштів позики, провести тендерну процедуру, визначити переможця тендеру та укласти контракт з постачальником та отримати перші поставки рухомого складу. Триває фінальний етап узгодження тендерної документації.</w:t>
            </w:r>
          </w:p>
          <w:p>
            <w:pPr>
              <w:pStyle w:val="Normal"/>
              <w:widowControl w:val="false"/>
              <w:ind w:firstLine="567"/>
              <w:jc w:val="both"/>
              <w:rPr>
                <w:rFonts w:ascii="Times New Roman" w:hAnsi="Times New Roman"/>
                <w:sz w:val="26"/>
                <w:szCs w:val="26"/>
              </w:rPr>
            </w:pPr>
            <w:r>
              <w:rPr>
                <w:rFonts w:ascii="Times New Roman" w:hAnsi="Times New Roman"/>
                <w:sz w:val="26"/>
                <w:szCs w:val="26"/>
              </w:rPr>
              <w:t>Термін реалізації проєкту: 2023-2024 роки.</w:t>
            </w:r>
          </w:p>
          <w:p>
            <w:pPr>
              <w:pStyle w:val="Normal"/>
              <w:widowControl w:val="false"/>
              <w:ind w:firstLine="567"/>
              <w:jc w:val="both"/>
              <w:rPr>
                <w:rFonts w:ascii="Times New Roman" w:hAnsi="Times New Roman"/>
                <w:sz w:val="26"/>
                <w:szCs w:val="26"/>
              </w:rPr>
            </w:pPr>
            <w:r>
              <w:rPr>
                <w:rFonts w:ascii="Times New Roman" w:hAnsi="Times New Roman"/>
                <w:sz w:val="26"/>
                <w:szCs w:val="26"/>
              </w:rPr>
              <w:t>Термін кредиту: 20 років.</w:t>
            </w:r>
          </w:p>
          <w:p>
            <w:pPr>
              <w:pStyle w:val="Normal"/>
              <w:widowControl w:val="false"/>
              <w:ind w:firstLine="567"/>
              <w:jc w:val="both"/>
              <w:rPr>
                <w:rFonts w:ascii="Times New Roman" w:hAnsi="Times New Roman"/>
                <w:sz w:val="26"/>
                <w:szCs w:val="26"/>
              </w:rPr>
            </w:pPr>
            <w:r>
              <w:rPr>
                <w:rFonts w:ascii="Times New Roman" w:hAnsi="Times New Roman"/>
                <w:sz w:val="26"/>
                <w:szCs w:val="26"/>
              </w:rPr>
              <w:t>Період відтермінування погашення основної суми боргу</w:t>
            </w:r>
            <w:r>
              <w:rPr>
                <w:rFonts w:ascii="Times New Roman" w:hAnsi="Times New Roman"/>
                <w:sz w:val="26"/>
                <w:szCs w:val="26"/>
                <w:lang w:eastAsia="uk-UA" w:bidi="ar-SA"/>
              </w:rPr>
              <w:t> – 5 років.</w:t>
            </w:r>
          </w:p>
          <w:p>
            <w:pPr>
              <w:pStyle w:val="Normal"/>
              <w:widowControl w:val="false"/>
              <w:ind w:firstLine="567"/>
              <w:jc w:val="both"/>
              <w:rPr>
                <w:rFonts w:ascii="Times New Roman" w:hAnsi="Times New Roman"/>
                <w:sz w:val="26"/>
                <w:szCs w:val="26"/>
              </w:rPr>
            </w:pPr>
            <w:r>
              <w:rPr>
                <w:rFonts w:ascii="Times New Roman" w:hAnsi="Times New Roman"/>
                <w:sz w:val="26"/>
                <w:szCs w:val="26"/>
                <w:lang w:eastAsia="uk-UA" w:bidi="ar-SA"/>
              </w:rPr>
              <w:t>Прогнозована % ставка: 2 % річних.</w:t>
            </w:r>
          </w:p>
        </w:tc>
      </w:tr>
      <w:tr>
        <w:trPr>
          <w:trHeight w:val="288" w:hRule="atLeast"/>
        </w:trPr>
        <w:tc>
          <w:tcPr>
            <w:tcW w:w="67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4.</w:t>
            </w:r>
          </w:p>
        </w:tc>
        <w:tc>
          <w:tcPr>
            <w:tcW w:w="3745"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sz w:val="26"/>
                <w:szCs w:val="26"/>
              </w:rPr>
            </w:pPr>
            <w:r>
              <w:rPr>
                <w:rFonts w:cs="Times New Roman" w:ascii="Times New Roman" w:hAnsi="Times New Roman"/>
                <w:sz w:val="26"/>
                <w:szCs w:val="26"/>
              </w:rPr>
              <w:t xml:space="preserve">Оптимізація контактної мережі шляхом будівництва відрізку тролейбусної лінії, яка з’єднає мікрорайон підшипникового заводу з вул. Львівською, модернізація поворотних стрілок, встановлення додаткового обладнання тощо, в рамках грантової угоди з </w:t>
            </w:r>
            <w:r>
              <w:rPr>
                <w:rFonts w:cs="Times New Roman" w:ascii="Times New Roman" w:hAnsi="Times New Roman"/>
                <w:kern w:val="0"/>
                <w:sz w:val="26"/>
                <w:szCs w:val="26"/>
              </w:rPr>
              <w:t>Європейським інвестиційним банком на 155 тис. євро.</w:t>
            </w:r>
          </w:p>
        </w:tc>
        <w:tc>
          <w:tcPr>
            <w:tcW w:w="1103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Підписано Грантову угоду з Європейським інвестиційним банком щодо фінансування у розмірі 155 тис. євро для будівництва частини тролейбусної лінії, модернізації поворотних стрілок тощо. На сьогодні триває робота над підготовкою тендерної документації.</w:t>
            </w:r>
          </w:p>
        </w:tc>
      </w:tr>
      <w:tr>
        <w:trPr>
          <w:trHeight w:val="453" w:hRule="atLeast"/>
        </w:trPr>
        <w:tc>
          <w:tcPr>
            <w:tcW w:w="67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5.</w:t>
            </w:r>
          </w:p>
        </w:tc>
        <w:tc>
          <w:tcPr>
            <w:tcW w:w="3745" w:type="dxa"/>
            <w:tcBorders>
              <w:top w:val="single" w:sz="4" w:space="0" w:color="000000"/>
              <w:left w:val="single" w:sz="4" w:space="0" w:color="000000"/>
              <w:bottom w:val="single" w:sz="4" w:space="0" w:color="000000"/>
            </w:tcBorders>
          </w:tcPr>
          <w:p>
            <w:pPr>
              <w:pStyle w:val="Normal"/>
              <w:widowControl w:val="false"/>
              <w:tabs>
                <w:tab w:val="clear" w:pos="708"/>
                <w:tab w:val="left" w:pos="855" w:leader="none"/>
              </w:tabs>
              <w:jc w:val="both"/>
              <w:rPr>
                <w:rFonts w:ascii="Times New Roman" w:hAnsi="Times New Roman"/>
                <w:sz w:val="26"/>
                <w:szCs w:val="26"/>
              </w:rPr>
            </w:pPr>
            <w:r>
              <w:rPr>
                <w:rFonts w:cs="Times New Roman" w:ascii="Times New Roman" w:hAnsi="Times New Roman"/>
                <w:bCs/>
                <w:kern w:val="0"/>
                <w:sz w:val="26"/>
                <w:szCs w:val="26"/>
              </w:rPr>
              <w:t xml:space="preserve">Реалізація проєкту «Модернізація системи водопостачання та водовідведення м. Луцьк» в рамках проєкту «Програма розвитку муніципальної інфраструктури України»: </w:t>
            </w:r>
            <w:bookmarkStart w:id="4" w:name="__DdeLink__270_3895654740"/>
            <w:r>
              <w:rPr>
                <w:rFonts w:ascii="Times New Roman" w:hAnsi="Times New Roman"/>
                <w:kern w:val="0"/>
                <w:sz w:val="26"/>
                <w:szCs w:val="26"/>
              </w:rPr>
              <w:t>модернізація технологічної системи водопідготовки м. Луцька із заміною фільтрів сирої води, турбін аерації, пуском проміжних насосів тощо, р</w:t>
            </w:r>
            <w:r>
              <w:rPr>
                <w:rFonts w:ascii="Times New Roman" w:hAnsi="Times New Roman"/>
                <w:iCs/>
                <w:kern w:val="0"/>
                <w:sz w:val="26"/>
                <w:szCs w:val="26"/>
              </w:rPr>
              <w:t>еконструкція каналізаційних очисних споруд з добудовою блоку біоенергетичної переробки та утилізації відходів, очищення стічних вод, з</w:t>
            </w:r>
            <w:r>
              <w:rPr>
                <w:rFonts w:ascii="Times New Roman" w:hAnsi="Times New Roman"/>
                <w:bCs/>
                <w:kern w:val="0"/>
                <w:sz w:val="26"/>
                <w:szCs w:val="26"/>
              </w:rPr>
              <w:t>аміна зношеної техніки на нову.</w:t>
            </w:r>
            <w:bookmarkEnd w:id="4"/>
          </w:p>
        </w:tc>
        <w:tc>
          <w:tcPr>
            <w:tcW w:w="1103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В рамках проєкту, загальною вартістю 13,9 млн євро, планується модернізація технологічної системи водопідготовки м. Луцька із заміною фільтрів сирої води, турбін аерації, пуском проміжних помп тощо, реконструкція каналізаційних очисних споруд з добудовою блоку біоенергетичного перероблювання та утилізації відходів, очищення стічних вод, а також заміна зношеної техніки на нову.</w:t>
            </w:r>
          </w:p>
          <w:p>
            <w:pPr>
              <w:pStyle w:val="Normal"/>
              <w:widowControl w:val="false"/>
              <w:ind w:firstLine="567"/>
              <w:jc w:val="both"/>
              <w:rPr>
                <w:rFonts w:ascii="Times New Roman" w:hAnsi="Times New Roman"/>
                <w:sz w:val="26"/>
                <w:szCs w:val="26"/>
              </w:rPr>
            </w:pPr>
            <w:r>
              <w:rPr>
                <w:rFonts w:ascii="Times New Roman" w:hAnsi="Times New Roman"/>
                <w:sz w:val="26"/>
                <w:szCs w:val="26"/>
              </w:rPr>
              <w:t>У звітному періоді підписано угоду про передачу коштів позики, узгоджено довгостроковий план інвестицій та проведено тендер на закупівлю спеціальних транспортних засобів для обслуговування систем водопостачання та водовідведення.</w:t>
            </w:r>
          </w:p>
        </w:tc>
      </w:tr>
      <w:tr>
        <w:trPr>
          <w:trHeight w:val="453" w:hRule="atLeast"/>
        </w:trPr>
        <w:tc>
          <w:tcPr>
            <w:tcW w:w="67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6.</w:t>
            </w:r>
          </w:p>
        </w:tc>
        <w:tc>
          <w:tcPr>
            <w:tcW w:w="3745"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sz w:val="26"/>
                <w:szCs w:val="26"/>
              </w:rPr>
            </w:pPr>
            <w:r>
              <w:rPr>
                <w:rFonts w:cs="Times New Roman" w:ascii="Times New Roman" w:hAnsi="Times New Roman"/>
                <w:kern w:val="0"/>
                <w:sz w:val="26"/>
                <w:szCs w:val="26"/>
                <w:shd w:fill="FFFFFF" w:val="clear"/>
              </w:rPr>
              <w:t>Реалізація грантового проєкту «Конденсаційна рекуперація тепла з димових газів – Луцьк 5 МВт» («Condensing Heat Recovery From Flue Gas – Lutsk 5 MW») у співпраці ДКП «Луцьктепло» з НЕФКО.</w:t>
            </w:r>
          </w:p>
        </w:tc>
        <w:tc>
          <w:tcPr>
            <w:tcW w:w="1103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lang w:eastAsia="ru-RU"/>
              </w:rPr>
              <w:t>Попри підписану грантову угоду з NEFCO на суму 500 тис. євро, через дію воєнного стану, діяльність фінсько-українського трастового фонду, який адмініструється NEFCO згорнуто. Відповідно, реалізацію проєкту припинено.</w:t>
            </w:r>
          </w:p>
        </w:tc>
      </w:tr>
      <w:tr>
        <w:trPr>
          <w:trHeight w:val="453" w:hRule="atLeast"/>
        </w:trPr>
        <w:tc>
          <w:tcPr>
            <w:tcW w:w="67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7.</w:t>
            </w:r>
          </w:p>
        </w:tc>
        <w:tc>
          <w:tcPr>
            <w:tcW w:w="3745"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sz w:val="26"/>
                <w:szCs w:val="26"/>
              </w:rPr>
            </w:pPr>
            <w:r>
              <w:rPr>
                <w:rFonts w:cs="Times New Roman" w:ascii="Times New Roman" w:hAnsi="Times New Roman"/>
                <w:kern w:val="0"/>
                <w:sz w:val="26"/>
                <w:szCs w:val="26"/>
                <w:shd w:fill="FFFFFF" w:val="clear"/>
              </w:rPr>
              <w:t>П</w:t>
            </w:r>
            <w:r>
              <w:rPr>
                <w:rFonts w:cs="Times New Roman" w:ascii="Times New Roman" w:hAnsi="Times New Roman"/>
                <w:kern w:val="0"/>
                <w:sz w:val="26"/>
                <w:szCs w:val="26"/>
              </w:rPr>
              <w:t xml:space="preserve">родовження впровадження Проєкту енергетичної безпеки USAID, в рамках якого у співпраці з компанією TetraTech ES, Inс. розробляється схема теплопостачання міста Луцька. Громада також отримує допомогу в сфері енергозабезпечення: генератори та іншу комунальну техніку, призначену для ліквідації наслідків можливих аварій в умовах воєнного стану, </w:t>
            </w:r>
            <w:r>
              <w:rPr>
                <w:rFonts w:cs="Times New Roman" w:ascii="Times New Roman" w:hAnsi="Times New Roman"/>
                <w:sz w:val="26"/>
                <w:szCs w:val="26"/>
              </w:rPr>
              <w:t>спричинених збройною агресією</w:t>
            </w:r>
            <w:r>
              <w:rPr>
                <w:rFonts w:cs="Times New Roman" w:ascii="Times New Roman" w:hAnsi="Times New Roman"/>
                <w:kern w:val="0"/>
                <w:sz w:val="26"/>
                <w:szCs w:val="26"/>
              </w:rPr>
              <w:t>. Проєкт фінансується Агентством США з міжнародного розвитку (USAID).</w:t>
            </w:r>
          </w:p>
        </w:tc>
        <w:tc>
          <w:tcPr>
            <w:tcW w:w="1103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pPr>
            <w:r>
              <w:rPr>
                <w:rFonts w:ascii="Times New Roman" w:hAnsi="Times New Roman"/>
                <w:sz w:val="26"/>
                <w:szCs w:val="26"/>
              </w:rPr>
              <w:t>1 червня 2023 року підписано оновлений Меморандум про взаєморозуміння в рамках «Проєкту енергетичної безпеки». В рамках проєкту, в якості міжнародної технічної допомоги отримано 111 електрогенераторів різної потужності для екстреного живлення об’єктів інфраструктури, закладів освіти, пунктів обігріву тощо. З метою оперативної ліквідації аварійних ситуацій на мережах теплопостачання отримано екскаватор-навантажувач та 7 847 м. п. труб різних діаметрів для потреб ДКП</w:t>
            </w:r>
            <w:r>
              <w:rPr>
                <w:rFonts w:ascii="Times New Roman" w:hAnsi="Times New Roman"/>
                <w:sz w:val="26"/>
                <w:szCs w:val="26"/>
                <w:lang w:val="en-US"/>
              </w:rPr>
              <w:t> </w:t>
            </w:r>
            <w:r>
              <w:rPr>
                <w:rFonts w:ascii="Times New Roman" w:hAnsi="Times New Roman"/>
                <w:sz w:val="26"/>
                <w:szCs w:val="26"/>
              </w:rPr>
              <w:t xml:space="preserve">«Луцьктепло», 200 тон солі для очищення води, забезпечення безперебійної роботи котельного обладнання, систем водопідготовки, для регенерації фільтрів, а також запірну арматуру – сталеві засувки різних діаметрів і типів для блокування окремих ділянок трубопроводів. Задля забезпечення </w:t>
            </w:r>
            <w:r>
              <w:rPr>
                <w:rStyle w:val="Style16"/>
                <w:rFonts w:ascii="Times New Roman" w:hAnsi="Times New Roman"/>
                <w:b w:val="false"/>
                <w:sz w:val="26"/>
                <w:szCs w:val="26"/>
              </w:rPr>
              <w:t xml:space="preserve">безперервного надання </w:t>
            </w:r>
            <w:r>
              <w:rPr>
                <w:rFonts w:ascii="Times New Roman" w:hAnsi="Times New Roman"/>
                <w:sz w:val="26"/>
                <w:szCs w:val="26"/>
              </w:rPr>
              <w:t xml:space="preserve">в медичних та навчальних закладах </w:t>
            </w:r>
            <w:r>
              <w:rPr>
                <w:rStyle w:val="Style16"/>
                <w:rFonts w:ascii="Times New Roman" w:hAnsi="Times New Roman"/>
                <w:b w:val="false"/>
                <w:sz w:val="26"/>
                <w:szCs w:val="26"/>
              </w:rPr>
              <w:t xml:space="preserve">послуг з теплопостачання </w:t>
            </w:r>
            <w:r>
              <w:rPr>
                <w:rFonts w:ascii="Times New Roman" w:hAnsi="Times New Roman"/>
                <w:sz w:val="26"/>
                <w:szCs w:val="26"/>
              </w:rPr>
              <w:t>протягом опалювального періоду (</w:t>
            </w:r>
            <w:r>
              <w:rPr>
                <w:rStyle w:val="Style16"/>
                <w:rFonts w:ascii="Times New Roman" w:hAnsi="Times New Roman"/>
                <w:b w:val="false"/>
                <w:sz w:val="26"/>
                <w:szCs w:val="26"/>
              </w:rPr>
              <w:t>у разі перебоїв з централізованим теплопостачанням) отримано дві твердопаливні котельні потужністю 1 300 кВт та три резервні котельні на 200 та 300 кВт. Також у рамках реалізації проєкту поставлено аварійно-відновлювальний автомобіль для ремонту тепломереж.</w:t>
            </w:r>
          </w:p>
          <w:p>
            <w:pPr>
              <w:pStyle w:val="Normal"/>
              <w:widowControl w:val="false"/>
              <w:ind w:firstLine="567"/>
              <w:jc w:val="both"/>
              <w:rPr>
                <w:rFonts w:ascii="Times New Roman" w:hAnsi="Times New Roman"/>
                <w:sz w:val="26"/>
                <w:szCs w:val="26"/>
              </w:rPr>
            </w:pPr>
            <w:r>
              <w:rPr>
                <w:rFonts w:ascii="Times New Roman" w:hAnsi="Times New Roman"/>
                <w:sz w:val="26"/>
                <w:szCs w:val="26"/>
              </w:rPr>
              <w:t>Відповідні поставки продовжуватимуться упродовж 2023 року.</w:t>
            </w:r>
          </w:p>
          <w:p>
            <w:pPr>
              <w:pStyle w:val="Normal"/>
              <w:widowControl w:val="false"/>
              <w:ind w:firstLine="567"/>
              <w:jc w:val="both"/>
              <w:rPr>
                <w:rFonts w:ascii="Times New Roman" w:hAnsi="Times New Roman"/>
                <w:sz w:val="26"/>
                <w:szCs w:val="26"/>
              </w:rPr>
            </w:pPr>
            <w:r>
              <w:rPr>
                <w:rFonts w:ascii="Times New Roman" w:hAnsi="Times New Roman"/>
                <w:sz w:val="26"/>
                <w:szCs w:val="26"/>
              </w:rPr>
              <w:t>Розроблено та затверджено Міністерством розвитку громад, територій та інфраструктури України схему теплопостачання Луцької міської територіальної громади.</w:t>
            </w:r>
          </w:p>
        </w:tc>
      </w:tr>
      <w:tr>
        <w:trPr>
          <w:trHeight w:val="453" w:hRule="atLeast"/>
        </w:trPr>
        <w:tc>
          <w:tcPr>
            <w:tcW w:w="67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8.</w:t>
            </w:r>
          </w:p>
        </w:tc>
        <w:tc>
          <w:tcPr>
            <w:tcW w:w="3745"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sz w:val="26"/>
                <w:szCs w:val="26"/>
              </w:rPr>
            </w:pPr>
            <w:r>
              <w:rPr>
                <w:rFonts w:ascii="Times New Roman" w:hAnsi="Times New Roman"/>
                <w:iCs/>
                <w:kern w:val="0"/>
                <w:sz w:val="26"/>
                <w:szCs w:val="26"/>
              </w:rPr>
              <w:t xml:space="preserve">Підготовка до створення </w:t>
            </w:r>
            <w:r>
              <w:rPr>
                <w:rFonts w:ascii="Times New Roman" w:hAnsi="Times New Roman"/>
                <w:kern w:val="0"/>
                <w:sz w:val="26"/>
                <w:szCs w:val="26"/>
              </w:rPr>
              <w:t xml:space="preserve">індустріального парку у </w:t>
            </w:r>
            <w:r>
              <w:rPr>
                <w:rFonts w:cs="Times New Roman" w:ascii="Times New Roman" w:hAnsi="Times New Roman"/>
                <w:kern w:val="0"/>
                <w:sz w:val="26"/>
                <w:szCs w:val="26"/>
              </w:rPr>
              <w:t xml:space="preserve">Луцькій міській територіальній громаді: пошук відповідних </w:t>
            </w:r>
            <w:r>
              <w:rPr>
                <w:rFonts w:ascii="Times New Roman" w:hAnsi="Times New Roman"/>
                <w:kern w:val="0"/>
                <w:sz w:val="26"/>
                <w:szCs w:val="26"/>
              </w:rPr>
              <w:t>земельних ділянок з необхідними комунікаціями</w:t>
            </w:r>
            <w:r>
              <w:rPr>
                <w:rFonts w:cs="Times New Roman" w:ascii="Times New Roman" w:hAnsi="Times New Roman"/>
                <w:sz w:val="26"/>
                <w:szCs w:val="26"/>
              </w:rPr>
              <w:t>, розробка концепції парку та переговори з потенційними  інвесторами.</w:t>
            </w:r>
          </w:p>
        </w:tc>
        <w:tc>
          <w:tcPr>
            <w:tcW w:w="1103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Впродовж звітного періоду відділом інвестиційної політики опрацьовувалось питання створення індустріального парку. Для його розміщення попередньо обрано перспективну земельну ділянку комунальної власності в селі Милуші площею близько 10 га (з перспективою розширення до 20 га) та земельну ділянку на території Прилуцького старостинського округу, площа якої понад 10 га. На даний момент земельні ділянки на етапі формування.</w:t>
            </w:r>
          </w:p>
        </w:tc>
      </w:tr>
      <w:tr>
        <w:trPr>
          <w:trHeight w:val="453" w:hRule="atLeast"/>
        </w:trPr>
        <w:tc>
          <w:tcPr>
            <w:tcW w:w="67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9.</w:t>
            </w:r>
          </w:p>
        </w:tc>
        <w:tc>
          <w:tcPr>
            <w:tcW w:w="3745"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sz w:val="26"/>
                <w:szCs w:val="26"/>
              </w:rPr>
            </w:pPr>
            <w:r>
              <w:rPr>
                <w:rFonts w:cs="Times New Roman" w:ascii="Times New Roman" w:hAnsi="Times New Roman"/>
                <w:sz w:val="26"/>
                <w:szCs w:val="26"/>
              </w:rPr>
              <w:t>Співпраця з міжнародними фінансовими організаціями та донорами: з Європейським інвестиційним банком, Європейським банком реконструкції та розвитку, Північною Екологічною Фінансовою Корпорацією НЕФКО, Агентством США з міжнародного розвитку (USAID) в рамках Проєкту енергетичної безпеки та іншими.</w:t>
            </w:r>
          </w:p>
        </w:tc>
        <w:tc>
          <w:tcPr>
            <w:tcW w:w="1103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Протягом звітного періоду тривала активна співпраця з Європейським інвестиційним банком в рамках проєктів: «Міський громадський транспорт України» І та ІІ, «Програми розвитку муніципальної інфраструктури України», «Надзвичайна кредитна програма для відновлення України»; з Європейським банком реконструкції та розвитку в рамках «Проєкту реконструкції системи централізованого теплопостачання у м.</w:t>
            </w:r>
            <w:r>
              <w:rPr>
                <w:rFonts w:ascii="Times New Roman" w:hAnsi="Times New Roman"/>
                <w:sz w:val="26"/>
                <w:szCs w:val="26"/>
                <w:lang w:val="ru-RU"/>
              </w:rPr>
              <w:t> </w:t>
            </w:r>
            <w:r>
              <w:rPr>
                <w:rFonts w:ascii="Times New Roman" w:hAnsi="Times New Roman"/>
                <w:sz w:val="26"/>
                <w:szCs w:val="26"/>
              </w:rPr>
              <w:t xml:space="preserve">Луцьк» у співпраці з ЄБРР»; з Північною Екологічною Фінансовою Корпорацією НЕФКО у ряді поточних та перспективних проєктів; з </w:t>
            </w:r>
            <w:r>
              <w:rPr>
                <w:rFonts w:ascii="Times New Roman" w:hAnsi="Times New Roman"/>
                <w:sz w:val="26"/>
                <w:szCs w:val="26"/>
                <w:lang w:val="ru-RU"/>
              </w:rPr>
              <w:t>USAID</w:t>
            </w:r>
            <w:r>
              <w:rPr>
                <w:rFonts w:ascii="Times New Roman" w:hAnsi="Times New Roman"/>
                <w:sz w:val="26"/>
                <w:szCs w:val="26"/>
              </w:rPr>
              <w:t xml:space="preserve"> в рамках «Проєкту енергетичної безпеки» щодо розробки схеми теплопостачання громади та отримання засобів для подолання наслідків російської військової агресії; у різних сферах з ПРООН тощо.</w:t>
            </w:r>
          </w:p>
        </w:tc>
      </w:tr>
      <w:tr>
        <w:trPr>
          <w:trHeight w:val="453" w:hRule="atLeast"/>
        </w:trPr>
        <w:tc>
          <w:tcPr>
            <w:tcW w:w="67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10.</w:t>
            </w:r>
          </w:p>
        </w:tc>
        <w:tc>
          <w:tcPr>
            <w:tcW w:w="3745"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sz w:val="26"/>
                <w:szCs w:val="26"/>
              </w:rPr>
            </w:pPr>
            <w:r>
              <w:rPr>
                <w:rFonts w:cs="Times New Roman" w:ascii="Times New Roman" w:hAnsi="Times New Roman"/>
                <w:sz w:val="26"/>
                <w:szCs w:val="26"/>
              </w:rPr>
              <w:t>Поширення інформації про інвестиційний потенціал Луцької міської територіальної громади через сайт міської ради, соціальні мережі, місцеві, всеукраїнські та іноземні засоби масової інформації.</w:t>
            </w:r>
          </w:p>
        </w:tc>
        <w:tc>
          <w:tcPr>
            <w:tcW w:w="1103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pPr>
            <w:r>
              <w:rPr>
                <w:rFonts w:ascii="Times New Roman" w:hAnsi="Times New Roman"/>
                <w:sz w:val="26"/>
                <w:szCs w:val="26"/>
              </w:rPr>
              <w:t xml:space="preserve">Регулярно оновлюється інформація щодо об’єктів приватної та комунальної власності, карти інвестиційних проєктів, бази вільних земельних ділянок, вільних виробничих площ, які розміщено на офіційному сайті Луцької міської ради у розділі Про місто/Економіка/Інвестору. </w:t>
            </w:r>
            <w:hyperlink r:id="rId11">
              <w:r>
                <w:rPr>
                  <w:rFonts w:ascii="Times New Roman" w:hAnsi="Times New Roman"/>
                  <w:sz w:val="26"/>
                  <w:szCs w:val="26"/>
                </w:rPr>
                <w:t>https://www.lutskrada.gov.ua/invest</w:t>
              </w:r>
            </w:hyperlink>
            <w:hyperlink r:id="rId12">
              <w:r>
                <w:rPr>
                  <w:rFonts w:ascii="Times New Roman" w:hAnsi="Times New Roman"/>
                  <w:sz w:val="26"/>
                  <w:szCs w:val="26"/>
                </w:rPr>
                <w:t>.</w:t>
              </w:r>
            </w:hyperlink>
          </w:p>
          <w:p>
            <w:pPr>
              <w:pStyle w:val="Normal"/>
              <w:widowControl w:val="false"/>
              <w:ind w:firstLine="567"/>
              <w:jc w:val="both"/>
              <w:rPr>
                <w:rFonts w:ascii="Times New Roman" w:hAnsi="Times New Roman"/>
                <w:sz w:val="26"/>
                <w:szCs w:val="26"/>
              </w:rPr>
            </w:pPr>
            <w:r>
              <w:rPr>
                <w:rFonts w:ascii="Times New Roman" w:hAnsi="Times New Roman"/>
                <w:sz w:val="26"/>
                <w:szCs w:val="26"/>
              </w:rPr>
              <w:t>Постійно актуалізуються розділи «Інформація для інвесторів» та «Інвестиційні проєкти» сайту міської ради. Інформація також поширюється на офіційній сторінці департаменту економічної політики у мережі «Фейсбук». Щорічно формується та оновлюється паспорт Луцької міської територіальної громади, паспорт району тощо.</w:t>
            </w:r>
          </w:p>
        </w:tc>
      </w:tr>
      <w:tr>
        <w:trPr>
          <w:trHeight w:val="453" w:hRule="atLeast"/>
        </w:trPr>
        <w:tc>
          <w:tcPr>
            <w:tcW w:w="67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11.</w:t>
            </w:r>
          </w:p>
        </w:tc>
        <w:tc>
          <w:tcPr>
            <w:tcW w:w="3745" w:type="dxa"/>
            <w:tcBorders>
              <w:top w:val="single" w:sz="4" w:space="0" w:color="000000"/>
              <w:left w:val="single" w:sz="4" w:space="0" w:color="000000"/>
              <w:bottom w:val="single" w:sz="4" w:space="0" w:color="000000"/>
            </w:tcBorders>
          </w:tcPr>
          <w:p>
            <w:pPr>
              <w:pStyle w:val="Normal"/>
              <w:widowControl w:val="false"/>
              <w:jc w:val="both"/>
              <w:rPr/>
            </w:pPr>
            <w:r>
              <w:rPr>
                <w:rFonts w:cs="Times New Roman" w:ascii="Times New Roman" w:hAnsi="Times New Roman"/>
                <w:kern w:val="0"/>
                <w:sz w:val="26"/>
                <w:szCs w:val="26"/>
              </w:rPr>
              <w:t xml:space="preserve">Відновлення роботи Луцької дитячої залізниці: отримання у власність Луцької міської територіальної громади </w:t>
            </w:r>
            <w:r>
              <w:rPr>
                <w:rStyle w:val="Fontstyle01"/>
                <w:rFonts w:ascii="Times New Roman" w:hAnsi="Times New Roman"/>
                <w:color w:val="auto"/>
                <w:sz w:val="26"/>
                <w:szCs w:val="26"/>
              </w:rPr>
              <w:t>майна дитячої залізниці з подальшим відновленням її функціоналу.</w:t>
            </w:r>
          </w:p>
        </w:tc>
        <w:tc>
          <w:tcPr>
            <w:tcW w:w="1103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За результатами перемовин та консультацій з керівництвом Міністерства розвитку громад, територій та інфраструктури України та АТ «Укрзалізниця» прийнято ряд рішень про передачу майна комплексу об’єктів соціальної інфраструктури «Луцька дитяча залізниця» у комунальну власність Луцької міської територіальної громади (рішення від 27.07.2022 № 33/37, від 27.01.2022 № 25/68, від 19.06.2023 № 46/3). Погоджено техніко-економічне обґрунтування проєкту. Усі документи надіслано на розгляд Укрзалізниці, яка в свою чергу потребуватиме узгодження КМУ.</w:t>
            </w:r>
          </w:p>
        </w:tc>
      </w:tr>
      <w:tr>
        <w:trPr>
          <w:trHeight w:val="453" w:hRule="atLeast"/>
        </w:trPr>
        <w:tc>
          <w:tcPr>
            <w:tcW w:w="67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12.</w:t>
            </w:r>
          </w:p>
        </w:tc>
        <w:tc>
          <w:tcPr>
            <w:tcW w:w="3745" w:type="dxa"/>
            <w:tcBorders>
              <w:top w:val="single" w:sz="4" w:space="0" w:color="000000"/>
              <w:left w:val="single" w:sz="4" w:space="0" w:color="000000"/>
              <w:bottom w:val="single" w:sz="4" w:space="0" w:color="000000"/>
            </w:tcBorders>
          </w:tcPr>
          <w:p>
            <w:pPr>
              <w:pStyle w:val="Normal"/>
              <w:widowControl w:val="false"/>
              <w:snapToGrid w:val="false"/>
              <w:jc w:val="both"/>
              <w:rPr>
                <w:rFonts w:ascii="Times New Roman" w:hAnsi="Times New Roman"/>
                <w:sz w:val="26"/>
                <w:szCs w:val="26"/>
              </w:rPr>
            </w:pPr>
            <w:r>
              <w:rPr>
                <w:rFonts w:cs="Times New Roman" w:ascii="Times New Roman" w:hAnsi="Times New Roman"/>
                <w:kern w:val="0"/>
                <w:sz w:val="26"/>
                <w:szCs w:val="26"/>
              </w:rPr>
              <w:t xml:space="preserve">Проведення конкурсів </w:t>
            </w:r>
            <w:bookmarkStart w:id="5" w:name="_Hlk120705514"/>
            <w:r>
              <w:rPr>
                <w:rFonts w:cs="Times New Roman" w:ascii="Times New Roman" w:hAnsi="Times New Roman"/>
                <w:kern w:val="0"/>
                <w:sz w:val="26"/>
                <w:szCs w:val="26"/>
              </w:rPr>
              <w:t>Бюджету участі Луцької міської територіальної громади та Бюджету участі сільських територій громади</w:t>
            </w:r>
            <w:bookmarkEnd w:id="5"/>
            <w:r>
              <w:rPr>
                <w:rFonts w:cs="Times New Roman" w:ascii="Times New Roman" w:hAnsi="Times New Roman"/>
                <w:kern w:val="0"/>
                <w:sz w:val="26"/>
                <w:szCs w:val="26"/>
              </w:rPr>
              <w:t xml:space="preserve">, а також реалізація проєктів-переможців конкурсів 2021 року, </w:t>
            </w:r>
            <w:r>
              <w:rPr>
                <w:rFonts w:cs="Times New Roman" w:ascii="Times New Roman" w:hAnsi="Times New Roman"/>
                <w:kern w:val="0"/>
                <w:sz w:val="26"/>
                <w:szCs w:val="26"/>
                <w:shd w:fill="FFFFFF" w:val="clear"/>
              </w:rPr>
              <w:t>які через воєнний стан не були реалізовані.</w:t>
            </w:r>
          </w:p>
        </w:tc>
        <w:tc>
          <w:tcPr>
            <w:tcW w:w="1103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Пріоритетність здійснення видатків ДКСУ та органами казначейства врегульовано постановою Кабінету Міністрів України від 09.06.2021 № 590. Відповідно до цієї постанови фінансування видатків для реалізації проєктів Бюджету участі належить до третьої черги фінансування.</w:t>
            </w:r>
            <w:r>
              <w:rPr>
                <w:rFonts w:ascii="Times New Roman" w:hAnsi="Times New Roman"/>
                <w:sz w:val="26"/>
                <w:szCs w:val="26"/>
                <w:lang w:eastAsia="ru-RU"/>
              </w:rPr>
              <w:t xml:space="preserve"> Тому, у зв’язку із дією воєнного стану, реалізація проєктів Бюджету участі Луцької міської територіальної громади та Бюджету участі сільських і селищних територій Луцької міської територіальної громади у 2023 році не відбуватиметься.</w:t>
            </w:r>
          </w:p>
          <w:p>
            <w:pPr>
              <w:pStyle w:val="Normal"/>
              <w:widowControl w:val="false"/>
              <w:ind w:firstLine="567"/>
              <w:jc w:val="both"/>
              <w:rPr>
                <w:rFonts w:ascii="Times New Roman" w:hAnsi="Times New Roman"/>
                <w:sz w:val="26"/>
                <w:szCs w:val="26"/>
              </w:rPr>
            </w:pPr>
            <w:r>
              <w:rPr>
                <w:rFonts w:ascii="Times New Roman" w:hAnsi="Times New Roman"/>
                <w:sz w:val="26"/>
                <w:szCs w:val="26"/>
                <w:lang w:eastAsia="ru-RU"/>
              </w:rPr>
              <w:t>У 2023 році конкурси Бюджету участі проводитимуться з пріоритетами на підтримку ЗСУ, реабілітацію військовослужбовців, посилення патріотизму тощо.</w:t>
            </w:r>
          </w:p>
        </w:tc>
      </w:tr>
      <w:tr>
        <w:trPr>
          <w:trHeight w:val="453" w:hRule="atLeast"/>
        </w:trPr>
        <w:tc>
          <w:tcPr>
            <w:tcW w:w="67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13.</w:t>
            </w:r>
          </w:p>
        </w:tc>
        <w:tc>
          <w:tcPr>
            <w:tcW w:w="3745"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sz w:val="26"/>
                <w:szCs w:val="26"/>
              </w:rPr>
            </w:pPr>
            <w:r>
              <w:rPr>
                <w:rFonts w:cs="Times New Roman" w:ascii="Times New Roman" w:hAnsi="Times New Roman"/>
                <w:kern w:val="0"/>
                <w:sz w:val="26"/>
                <w:szCs w:val="26"/>
              </w:rPr>
              <w:t>Залучення приватних інвестицій у будівництво та реконструкцію об’єктів комунальної власності, транспортної та інженерної інфраструктури, використовуючи механізми державно-приватного партнерства, концесії, енергосервісних контрактів тощо.</w:t>
            </w:r>
          </w:p>
        </w:tc>
        <w:tc>
          <w:tcPr>
            <w:tcW w:w="1103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Здійснюються заходи для підготовки конкурсу в рамках державно-приватного партнерства щодо реставрації з пристосуванням під готельно-ресторанний комплекс пам’ятки місцевого значення № 33-мз, яка розташована на вул. Кафедральна, 4 (Гостинний двір чехів Прайзлерів). Затверджено пропозицію про здійснення державно-приватного партнерства, техніко-економічне обґрунтування, висновок про доцільність прийняття рішення про здійснення ДПП, затверджено конкурсну комісію. На цей час розробляється конкурсна документація, яка дозволить провести конкурс з визначення приватного партнера, який проведе реставрацію з пристосуванням цього об</w:t>
            </w:r>
            <w:r>
              <w:rPr>
                <w:rFonts w:ascii="Times New Roman" w:hAnsi="Times New Roman"/>
                <w:sz w:val="26"/>
                <w:szCs w:val="26"/>
                <w:lang w:val="ru-RU"/>
              </w:rPr>
              <w:t>’</w:t>
            </w:r>
            <w:r>
              <w:rPr>
                <w:rFonts w:ascii="Times New Roman" w:hAnsi="Times New Roman"/>
                <w:sz w:val="26"/>
                <w:szCs w:val="26"/>
              </w:rPr>
              <w:t>єкту.</w:t>
            </w:r>
          </w:p>
        </w:tc>
      </w:tr>
      <w:tr>
        <w:trPr>
          <w:trHeight w:val="453" w:hRule="atLeast"/>
        </w:trPr>
        <w:tc>
          <w:tcPr>
            <w:tcW w:w="67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14.</w:t>
            </w:r>
          </w:p>
        </w:tc>
        <w:tc>
          <w:tcPr>
            <w:tcW w:w="3745"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sz w:val="26"/>
                <w:szCs w:val="26"/>
              </w:rPr>
            </w:pPr>
            <w:r>
              <w:rPr>
                <w:rFonts w:cs="Times New Roman" w:ascii="Times New Roman" w:hAnsi="Times New Roman"/>
                <w:kern w:val="0"/>
                <w:sz w:val="26"/>
                <w:szCs w:val="26"/>
              </w:rPr>
              <w:t>Допомога місцевому бізнесу у залученні інвесторів на об’єкти приватної власності (в т. ч. нефункціонуючі: об’єкти промисловості, невикористовувані земельні ділянки тощо). Залучення релокованого бізнесу.</w:t>
            </w:r>
          </w:p>
        </w:tc>
        <w:tc>
          <w:tcPr>
            <w:tcW w:w="1103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З метою використання не залучених виробничих площ та ділянок, що перебувають у приватній власності, проводилися переговори з керівництвом промислових підприємств міста Луцька, зокрема, ПАТ «ЕНКО», ТОВ «НЕО КРОС», ПП «Полгер», ТзОВ «Луцька картонно-паперова фабрика – Україна», ДП «АСЗ № 1» АТ «АК «Богдан Моторс», а також з меншими суб’єктами підприємницької діяльності щодо їх перспективного продажу чи оренди.</w:t>
            </w:r>
          </w:p>
          <w:p>
            <w:pPr>
              <w:pStyle w:val="Normal"/>
              <w:widowControl w:val="false"/>
              <w:ind w:firstLine="567"/>
              <w:jc w:val="both"/>
              <w:rPr>
                <w:rFonts w:ascii="Times New Roman" w:hAnsi="Times New Roman"/>
                <w:sz w:val="26"/>
                <w:szCs w:val="26"/>
              </w:rPr>
            </w:pPr>
            <w:r>
              <w:rPr>
                <w:rFonts w:ascii="Times New Roman" w:hAnsi="Times New Roman"/>
                <w:sz w:val="26"/>
                <w:szCs w:val="26"/>
              </w:rPr>
              <w:t xml:space="preserve">Перелік вільних виробничих площ та будівель приватної форми власності, призначених для оренди й продажу </w:t>
            </w:r>
            <w:r>
              <w:rPr>
                <w:rFonts w:ascii="Times New Roman" w:hAnsi="Times New Roman"/>
                <w:sz w:val="26"/>
                <w:szCs w:val="26"/>
                <w:lang w:val="ru-RU"/>
              </w:rPr>
              <w:t>публікується</w:t>
            </w:r>
            <w:r>
              <w:rPr>
                <w:rFonts w:ascii="Times New Roman" w:hAnsi="Times New Roman"/>
                <w:sz w:val="26"/>
                <w:szCs w:val="26"/>
              </w:rPr>
              <w:t xml:space="preserve"> на офіційному сайті міської ради.</w:t>
            </w:r>
          </w:p>
          <w:p>
            <w:pPr>
              <w:pStyle w:val="Normal"/>
              <w:widowControl w:val="false"/>
              <w:ind w:firstLine="567"/>
              <w:jc w:val="both"/>
              <w:rPr>
                <w:rFonts w:ascii="Times New Roman" w:hAnsi="Times New Roman"/>
                <w:sz w:val="26"/>
                <w:szCs w:val="26"/>
              </w:rPr>
            </w:pPr>
            <w:r>
              <w:rPr>
                <w:rFonts w:ascii="Times New Roman" w:hAnsi="Times New Roman"/>
                <w:sz w:val="26"/>
                <w:szCs w:val="26"/>
              </w:rPr>
              <w:t>Луцькою міською радою на базі департаменту економічної політики створено Луцький центр підтримки евакуації та адаптації бізнесу. Основним завданням Центру є створення комфортних умов для ведення господарської діяльності евакуйованих підприємств різних форм власності на території Луцької міської територіальної громади. Протягом 2022 року та І півріччя 2023 року у нашій громаді зареєструвались 58 суб’єктів господарювання (32 –юридичні особи та 26 – фізичних осіб-підприємців), які раніше були зареєстровані на територіях, де ведуться (велися) активні бойові дії.</w:t>
            </w:r>
          </w:p>
        </w:tc>
      </w:tr>
      <w:tr>
        <w:trPr>
          <w:trHeight w:val="453" w:hRule="atLeast"/>
        </w:trPr>
        <w:tc>
          <w:tcPr>
            <w:tcW w:w="67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15.</w:t>
            </w:r>
          </w:p>
        </w:tc>
        <w:tc>
          <w:tcPr>
            <w:tcW w:w="3745"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sz w:val="26"/>
                <w:szCs w:val="26"/>
              </w:rPr>
            </w:pPr>
            <w:r>
              <w:rPr>
                <w:rFonts w:cs="Times New Roman" w:ascii="Times New Roman" w:hAnsi="Times New Roman"/>
                <w:kern w:val="0"/>
                <w:sz w:val="26"/>
                <w:szCs w:val="26"/>
              </w:rPr>
              <w:t>Представництво Луцької міської ради у національних та міжнародних форумах, виставках тощо із залученням суб’єктів господарювання всіх форм власності з метою представлення інвестиційного потенціалу Луцької міської територіальної громади.</w:t>
            </w:r>
          </w:p>
        </w:tc>
        <w:tc>
          <w:tcPr>
            <w:tcW w:w="1103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lang w:eastAsia="uk-UA" w:bidi="ar-SA"/>
              </w:rPr>
              <w:t>У зв’язку із дією воєнного стану технічна можливість участі в міжнародних заходах ускладнена.</w:t>
            </w:r>
          </w:p>
        </w:tc>
      </w:tr>
      <w:tr>
        <w:trPr>
          <w:trHeight w:val="453" w:hRule="atLeast"/>
        </w:trPr>
        <w:tc>
          <w:tcPr>
            <w:tcW w:w="67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16.</w:t>
            </w:r>
          </w:p>
        </w:tc>
        <w:tc>
          <w:tcPr>
            <w:tcW w:w="3745"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sz w:val="26"/>
                <w:szCs w:val="26"/>
              </w:rPr>
            </w:pPr>
            <w:r>
              <w:rPr>
                <w:rFonts w:cs="Times New Roman" w:ascii="Times New Roman" w:hAnsi="Times New Roman"/>
                <w:kern w:val="0"/>
                <w:sz w:val="26"/>
                <w:szCs w:val="26"/>
              </w:rPr>
              <w:t>Пошук нових інвестицій та грантових програм задля розвитку Луцької міської територіальної громади.</w:t>
            </w:r>
          </w:p>
        </w:tc>
        <w:tc>
          <w:tcPr>
            <w:tcW w:w="1103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У І півріччі Європейським інвестиційним банком затверджено обсяг фінансування проєкту Луцької міської ради «Реконструкція комунального закладу “Луцька загальноосвітня школа І-ІІІ ступенів № 13” на вул. Чернишевського, 29 в м. Луцьку Волинської області». Реконструкція комунального закладу відбуватиметься в рамках фінансової угоди між Україною та Європейським інвестиційним банком (проєкт «Надзвичайна кредитна програма для відновлення України»). Кошти ЄІБ надаватимуться у вигляді субвенції з державного бюджету місцевим бюджетам.</w:t>
            </w:r>
          </w:p>
          <w:p>
            <w:pPr>
              <w:pStyle w:val="Normal"/>
              <w:widowControl w:val="false"/>
              <w:ind w:firstLine="567"/>
              <w:jc w:val="both"/>
              <w:rPr>
                <w:rFonts w:ascii="Times New Roman" w:hAnsi="Times New Roman"/>
                <w:sz w:val="26"/>
                <w:szCs w:val="26"/>
              </w:rPr>
            </w:pPr>
            <w:r>
              <w:rPr>
                <w:rFonts w:ascii="Times New Roman" w:hAnsi="Times New Roman"/>
                <w:sz w:val="26"/>
                <w:szCs w:val="26"/>
              </w:rPr>
              <w:t>Заявка Луцької міської ради щодо створення мультифункціонального простору для бізнесу шляхом реконструкції будівлі кінотеатру «Батьківщина» відібрана для погодження по проєкту уряду Німеччини, ПРООН та GIZ, які  проводять конкурс з наданням грантів для відновлення інфраструктури муніципалітетів.</w:t>
            </w:r>
          </w:p>
          <w:p>
            <w:pPr>
              <w:pStyle w:val="Normal"/>
              <w:widowControl w:val="false"/>
              <w:ind w:firstLine="567"/>
              <w:jc w:val="both"/>
              <w:rPr>
                <w:rFonts w:ascii="Times New Roman" w:hAnsi="Times New Roman"/>
                <w:sz w:val="26"/>
                <w:szCs w:val="26"/>
              </w:rPr>
            </w:pPr>
            <w:r>
              <w:rPr>
                <w:rFonts w:ascii="Times New Roman" w:hAnsi="Times New Roman"/>
                <w:sz w:val="26"/>
                <w:szCs w:val="26"/>
              </w:rPr>
              <w:t>Проводиться активний моніторинг міжнародних та урядових фінансових установ з метою подання відповідних заявок для отримання грантового фінансування.</w:t>
            </w:r>
          </w:p>
        </w:tc>
      </w:tr>
    </w:tbl>
    <w:p>
      <w:pPr>
        <w:pStyle w:val="Normal"/>
        <w:spacing w:lineRule="auto" w:line="360"/>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spacing w:lineRule="auto" w:line="360"/>
        <w:jc w:val="center"/>
        <w:rPr>
          <w:rFonts w:ascii="Times New Roman" w:hAnsi="Times New Roman"/>
          <w:sz w:val="26"/>
          <w:szCs w:val="26"/>
        </w:rPr>
      </w:pPr>
      <w:r>
        <w:rPr>
          <w:rFonts w:cs="Times New Roman" w:ascii="Times New Roman" w:hAnsi="Times New Roman"/>
          <w:b/>
          <w:bCs/>
          <w:sz w:val="26"/>
          <w:szCs w:val="26"/>
        </w:rPr>
        <w:t>3.1.7. Проєктна діяльність та співпраця з міжнародними інституціями</w:t>
      </w:r>
    </w:p>
    <w:tbl>
      <w:tblPr>
        <w:tblW w:w="15330" w:type="dxa"/>
        <w:jc w:val="left"/>
        <w:tblInd w:w="113" w:type="dxa"/>
        <w:tblLayout w:type="fixed"/>
        <w:tblCellMar>
          <w:top w:w="0" w:type="dxa"/>
          <w:left w:w="108" w:type="dxa"/>
          <w:bottom w:w="0" w:type="dxa"/>
          <w:right w:w="108" w:type="dxa"/>
        </w:tblCellMar>
        <w:tblLook w:firstRow="0" w:noVBand="0" w:lastRow="0" w:firstColumn="0" w:lastColumn="0" w:noHBand="0" w:val="0000"/>
      </w:tblPr>
      <w:tblGrid>
        <w:gridCol w:w="671"/>
        <w:gridCol w:w="3704"/>
        <w:gridCol w:w="10955"/>
      </w:tblGrid>
      <w:tr>
        <w:trPr>
          <w:trHeight w:val="615"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bCs/>
                <w:sz w:val="26"/>
                <w:szCs w:val="26"/>
              </w:rPr>
              <w:t xml:space="preserve">№ </w:t>
            </w:r>
            <w:r>
              <w:rPr>
                <w:rFonts w:cs="Times New Roman" w:ascii="Times New Roman" w:hAnsi="Times New Roman"/>
                <w:bCs/>
                <w:sz w:val="26"/>
                <w:szCs w:val="26"/>
              </w:rPr>
              <w:t>з/п</w:t>
            </w:r>
          </w:p>
        </w:tc>
        <w:tc>
          <w:tcPr>
            <w:tcW w:w="3704"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Назва заходів</w:t>
            </w:r>
          </w:p>
        </w:tc>
        <w:tc>
          <w:tcPr>
            <w:tcW w:w="1095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Стан виконання заходів</w:t>
            </w:r>
          </w:p>
        </w:tc>
      </w:tr>
      <w:tr>
        <w:trPr>
          <w:trHeight w:val="615"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t>1.</w:t>
            </w:r>
          </w:p>
        </w:tc>
        <w:tc>
          <w:tcPr>
            <w:tcW w:w="3704" w:type="dxa"/>
            <w:tcBorders>
              <w:top w:val="single" w:sz="4" w:space="0" w:color="000000"/>
              <w:left w:val="single" w:sz="4" w:space="0" w:color="000000"/>
              <w:bottom w:val="single" w:sz="4" w:space="0" w:color="000000"/>
            </w:tcBorders>
          </w:tcPr>
          <w:p>
            <w:pPr>
              <w:pStyle w:val="211"/>
              <w:widowControl w:val="false"/>
              <w:tabs>
                <w:tab w:val="clear" w:pos="708"/>
                <w:tab w:val="left" w:pos="540" w:leader="none"/>
              </w:tabs>
              <w:spacing w:lineRule="auto" w:line="240" w:before="0" w:after="0"/>
              <w:jc w:val="both"/>
              <w:rPr>
                <w:rFonts w:ascii="Times New Roman" w:hAnsi="Times New Roman"/>
                <w:color w:val="auto"/>
                <w:sz w:val="26"/>
                <w:szCs w:val="26"/>
              </w:rPr>
            </w:pPr>
            <w:r>
              <w:rPr>
                <w:rFonts w:ascii="Times New Roman" w:hAnsi="Times New Roman"/>
                <w:color w:val="auto"/>
                <w:sz w:val="26"/>
                <w:szCs w:val="26"/>
              </w:rPr>
              <w:t>Комунікація із закордонними партнерами з метою залучення гуманітарної допомоги, організаційний супровід її перевезення та доставки.</w:t>
            </w:r>
          </w:p>
        </w:tc>
        <w:tc>
          <w:tcPr>
            <w:tcW w:w="1095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bCs/>
                <w:kern w:val="0"/>
                <w:sz w:val="26"/>
                <w:szCs w:val="26"/>
                <w:lang w:bidi="ar-SA"/>
              </w:rPr>
              <w:t>Здійснюється</w:t>
            </w:r>
            <w:r>
              <w:rPr>
                <w:rFonts w:ascii="Times New Roman" w:hAnsi="Times New Roman"/>
                <w:sz w:val="26"/>
                <w:szCs w:val="26"/>
              </w:rPr>
              <w:t xml:space="preserve"> комунікаці</w:t>
            </w:r>
            <w:r>
              <w:rPr>
                <w:rFonts w:cs="Times New Roman" w:ascii="Times New Roman" w:hAnsi="Times New Roman"/>
                <w:bCs/>
                <w:kern w:val="0"/>
                <w:sz w:val="26"/>
                <w:szCs w:val="26"/>
                <w:lang w:bidi="ar-SA"/>
              </w:rPr>
              <w:t>я</w:t>
            </w:r>
            <w:r>
              <w:rPr>
                <w:rFonts w:ascii="Times New Roman" w:hAnsi="Times New Roman"/>
                <w:sz w:val="26"/>
                <w:szCs w:val="26"/>
              </w:rPr>
              <w:t xml:space="preserve"> з українськими та іноземними партнерами, </w:t>
            </w:r>
            <w:bookmarkStart w:id="6" w:name="__DdeLink__1568_4288818098"/>
            <w:r>
              <w:rPr>
                <w:rFonts w:ascii="Times New Roman" w:hAnsi="Times New Roman"/>
                <w:sz w:val="26"/>
                <w:szCs w:val="26"/>
              </w:rPr>
              <w:t>дипломатичними представництвами</w:t>
            </w:r>
            <w:bookmarkEnd w:id="6"/>
            <w:r>
              <w:rPr>
                <w:rFonts w:ascii="Times New Roman" w:hAnsi="Times New Roman"/>
                <w:sz w:val="26"/>
                <w:szCs w:val="26"/>
              </w:rPr>
              <w:t xml:space="preserve"> щодо залучення, перевезення, оформлення та отримання гуманітарн</w:t>
            </w:r>
            <w:r>
              <w:rPr>
                <w:rFonts w:cs="Times New Roman" w:ascii="Times New Roman" w:hAnsi="Times New Roman"/>
                <w:bCs/>
                <w:kern w:val="0"/>
                <w:sz w:val="26"/>
                <w:szCs w:val="26"/>
                <w:lang w:bidi="ar-SA"/>
              </w:rPr>
              <w:t>ої допомоги</w:t>
            </w:r>
            <w:r>
              <w:rPr>
                <w:rFonts w:ascii="Times New Roman" w:hAnsi="Times New Roman"/>
                <w:sz w:val="26"/>
                <w:szCs w:val="26"/>
              </w:rPr>
              <w:t>.</w:t>
            </w:r>
          </w:p>
          <w:p>
            <w:pPr>
              <w:pStyle w:val="Normal"/>
              <w:widowControl w:val="false"/>
              <w:ind w:firstLine="567"/>
              <w:jc w:val="both"/>
              <w:rPr>
                <w:rFonts w:ascii="Times New Roman" w:hAnsi="Times New Roman"/>
                <w:sz w:val="26"/>
                <w:szCs w:val="26"/>
              </w:rPr>
            </w:pPr>
            <w:r>
              <w:rPr>
                <w:rFonts w:cs="Times New Roman" w:ascii="Times New Roman" w:hAnsi="Times New Roman"/>
                <w:bCs/>
                <w:kern w:val="0"/>
                <w:sz w:val="26"/>
                <w:szCs w:val="26"/>
                <w:lang w:bidi="ar-SA"/>
              </w:rPr>
              <w:t xml:space="preserve">Здійснюються </w:t>
            </w:r>
            <w:r>
              <w:rPr>
                <w:rFonts w:cs="Times New Roman" w:ascii="Times New Roman" w:hAnsi="Times New Roman"/>
                <w:sz w:val="26"/>
                <w:szCs w:val="26"/>
              </w:rPr>
              <w:t>переклади кореспонденції з питань надання гуманітарної допомоги на запити інших структурних підрозділів міської ради.</w:t>
            </w:r>
          </w:p>
        </w:tc>
      </w:tr>
      <w:tr>
        <w:trPr>
          <w:trHeight w:val="615"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t>2.</w:t>
            </w:r>
          </w:p>
        </w:tc>
        <w:tc>
          <w:tcPr>
            <w:tcW w:w="3704" w:type="dxa"/>
            <w:tcBorders>
              <w:top w:val="single" w:sz="4" w:space="0" w:color="000000"/>
              <w:left w:val="single" w:sz="4" w:space="0" w:color="000000"/>
              <w:bottom w:val="single" w:sz="4" w:space="0" w:color="000000"/>
            </w:tcBorders>
          </w:tcPr>
          <w:p>
            <w:pPr>
              <w:pStyle w:val="211"/>
              <w:widowControl w:val="false"/>
              <w:tabs>
                <w:tab w:val="clear" w:pos="708"/>
                <w:tab w:val="left" w:pos="540" w:leader="none"/>
              </w:tabs>
              <w:spacing w:lineRule="auto" w:line="240" w:before="0" w:after="0"/>
              <w:jc w:val="both"/>
              <w:rPr>
                <w:rFonts w:ascii="Times New Roman" w:hAnsi="Times New Roman"/>
                <w:color w:val="auto"/>
                <w:sz w:val="26"/>
                <w:szCs w:val="26"/>
              </w:rPr>
            </w:pPr>
            <w:r>
              <w:rPr>
                <w:rFonts w:ascii="Times New Roman" w:hAnsi="Times New Roman"/>
                <w:color w:val="auto"/>
                <w:sz w:val="26"/>
                <w:szCs w:val="26"/>
              </w:rPr>
              <w:t>Ефективне та вчасне, згідно грантових договорів, партнерських угод та міських цільових програм, впровадження заходів з метою досягнення цілей проєктів міжнародної технічної допомоги:</w:t>
            </w:r>
          </w:p>
        </w:tc>
        <w:tc>
          <w:tcPr>
            <w:tcW w:w="1095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6"/>
                <w:szCs w:val="26"/>
              </w:rPr>
            </w:pPr>
            <w:r>
              <w:rPr>
                <w:rFonts w:ascii="Times New Roman" w:hAnsi="Times New Roman"/>
                <w:sz w:val="26"/>
                <w:szCs w:val="26"/>
              </w:rPr>
            </w:r>
          </w:p>
        </w:tc>
      </w:tr>
      <w:tr>
        <w:trPr>
          <w:trHeight w:val="615" w:hRule="atLeast"/>
        </w:trPr>
        <w:tc>
          <w:tcPr>
            <w:tcW w:w="671" w:type="dxa"/>
            <w:tcBorders>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r>
          </w:p>
        </w:tc>
        <w:tc>
          <w:tcPr>
            <w:tcW w:w="3704" w:type="dxa"/>
            <w:tcBorders>
              <w:left w:val="single" w:sz="4" w:space="0" w:color="000000"/>
              <w:bottom w:val="single" w:sz="4" w:space="0" w:color="000000"/>
            </w:tcBorders>
          </w:tcPr>
          <w:p>
            <w:pPr>
              <w:pStyle w:val="Normal"/>
              <w:widowControl w:val="false"/>
              <w:tabs>
                <w:tab w:val="clear" w:pos="708"/>
                <w:tab w:val="left" w:pos="540" w:leader="none"/>
              </w:tabs>
              <w:jc w:val="both"/>
              <w:rPr>
                <w:rFonts w:ascii="Times New Roman" w:hAnsi="Times New Roman"/>
                <w:sz w:val="26"/>
                <w:szCs w:val="26"/>
              </w:rPr>
            </w:pPr>
            <w:r>
              <w:rPr>
                <w:rFonts w:ascii="Times New Roman" w:hAnsi="Times New Roman"/>
                <w:sz w:val="26"/>
                <w:szCs w:val="26"/>
              </w:rPr>
              <w:t>а) «Нове життя старого міста</w:t>
            </w:r>
            <w:r>
              <w:rPr>
                <w:rFonts w:cs="Times New Roman" w:ascii="Times New Roman" w:hAnsi="Times New Roman"/>
                <w:sz w:val="26"/>
                <w:szCs w:val="26"/>
                <w:shd w:fill="FFFFFF" w:val="clear"/>
              </w:rPr>
              <w:t xml:space="preserve">: ревіталізація пам’яток історико-культурної спадщини Луцька та Любліна» (Програма транскордонного співробітництва Польща-Білорусь-Україна 2014-2020 Європейського інструменту сусідства). </w:t>
            </w:r>
            <w:r>
              <w:rPr>
                <w:rFonts w:cs="Times New Roman" w:ascii="Times New Roman" w:hAnsi="Times New Roman"/>
                <w:sz w:val="26"/>
                <w:szCs w:val="26"/>
              </w:rPr>
              <w:t>Заплановано відкриття у цокольних приміщеннях башти Чорторийських та підвалах колишнього колегіуму єзуїтів інтерактивного музею-майстерні лицарства і середньовічних часів (закупівля меблів, предметів інтер’єру, мультимедійних пристроїв, інформаційне наповнення експозицій);</w:t>
            </w:r>
          </w:p>
        </w:tc>
        <w:tc>
          <w:tcPr>
            <w:tcW w:w="10955" w:type="dxa"/>
            <w:tcBorders>
              <w:left w:val="single" w:sz="4" w:space="0" w:color="000000"/>
              <w:bottom w:val="single" w:sz="4" w:space="0" w:color="000000"/>
              <w:right w:val="single" w:sz="4" w:space="0" w:color="000000"/>
            </w:tcBorders>
          </w:tcPr>
          <w:p>
            <w:pPr>
              <w:pStyle w:val="Normal"/>
              <w:widowControl w:val="false"/>
              <w:spacing w:before="0" w:after="0"/>
              <w:ind w:firstLine="567"/>
              <w:contextualSpacing/>
              <w:jc w:val="both"/>
              <w:rPr>
                <w:rFonts w:ascii="Times New Roman" w:hAnsi="Times New Roman"/>
                <w:sz w:val="26"/>
                <w:szCs w:val="26"/>
              </w:rPr>
            </w:pPr>
            <w:r>
              <w:rPr>
                <w:rFonts w:eastAsia="SimSun, 宋体" w:cs="TimesNewRomanPSMT;Times New Rom" w:ascii="Times New Roman" w:hAnsi="Times New Roman"/>
                <w:bCs/>
                <w:color w:val="000000"/>
                <w:spacing w:val="-3"/>
                <w:kern w:val="0"/>
                <w:sz w:val="26"/>
                <w:szCs w:val="26"/>
                <w:lang w:bidi="ar-SA"/>
              </w:rPr>
              <w:t>Для облаштування музейного простору «Окольний замок» на базі пам’яток архітектури національного значення – підвалів монастиря єзуїтів та вежі Чорторийських було здійснено ряд заходів, зокрема: закуплено офісні меблі та меблі для конференційної зали, підготовлено, надруковано та встановлено стенди з інформацією про історико-культурну спадщину міста Луцька в музейному просторі, прокладено оптико-волоконну мережу та організовано доступ до мережі Інтернет, здійснено монтаж електромагістралей для забезпечення роботи світлового та звукового обладнання, налаштовано інтерактивні інсталяції, розміщені в підземеллях монастиря єзуїтів.</w:t>
            </w:r>
          </w:p>
          <w:p>
            <w:pPr>
              <w:pStyle w:val="Normal"/>
              <w:widowControl w:val="false"/>
              <w:spacing w:before="0" w:after="0"/>
              <w:ind w:firstLine="567"/>
              <w:contextualSpacing/>
              <w:jc w:val="both"/>
              <w:rPr>
                <w:rFonts w:ascii="Times New Roman" w:hAnsi="Times New Roman"/>
                <w:sz w:val="26"/>
                <w:szCs w:val="26"/>
              </w:rPr>
            </w:pPr>
            <w:r>
              <w:rPr>
                <w:rFonts w:eastAsia="SimSun, 宋体" w:cs="Times New Roman" w:ascii="Times New Roman" w:hAnsi="Times New Roman"/>
                <w:bCs/>
                <w:color w:val="000000"/>
                <w:spacing w:val="-3"/>
                <w:kern w:val="0"/>
                <w:sz w:val="26"/>
                <w:szCs w:val="26"/>
                <w:lang w:bidi="ar-SA"/>
              </w:rPr>
              <w:t>Проведено заходи</w:t>
            </w:r>
            <w:r>
              <w:rPr>
                <w:rFonts w:eastAsia="SimSun, 宋体" w:cs="Times New Roman" w:ascii="Times New Roman" w:hAnsi="Times New Roman"/>
                <w:color w:val="000000"/>
                <w:spacing w:val="-3"/>
                <w:sz w:val="26"/>
                <w:szCs w:val="26"/>
                <w:lang w:bidi="ar-SA"/>
              </w:rPr>
              <w:t xml:space="preserve"> до офіційного відкриття музейного простору </w:t>
            </w:r>
            <w:r>
              <w:rPr>
                <w:rFonts w:eastAsia="SimSun, 宋体" w:cs="TimesNewRomanPSMT;Times New Rom" w:ascii="Times New Roman" w:hAnsi="Times New Roman"/>
                <w:bCs/>
                <w:color w:val="000000"/>
                <w:spacing w:val="-3"/>
                <w:kern w:val="0"/>
                <w:sz w:val="26"/>
                <w:szCs w:val="26"/>
                <w:lang w:bidi="ar-SA"/>
              </w:rPr>
              <w:t>«Окольний замок» (14 липня 2023 року).</w:t>
            </w:r>
          </w:p>
        </w:tc>
      </w:tr>
      <w:tr>
        <w:trPr>
          <w:trHeight w:val="1009"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r>
          </w:p>
        </w:tc>
        <w:tc>
          <w:tcPr>
            <w:tcW w:w="3704" w:type="dxa"/>
            <w:tcBorders>
              <w:top w:val="single" w:sz="4" w:space="0" w:color="000000"/>
              <w:left w:val="single" w:sz="4" w:space="0" w:color="000000"/>
              <w:bottom w:val="single" w:sz="4" w:space="0" w:color="000000"/>
            </w:tcBorders>
          </w:tcPr>
          <w:p>
            <w:pPr>
              <w:pStyle w:val="Normal"/>
              <w:widowControl w:val="false"/>
              <w:tabs>
                <w:tab w:val="clear" w:pos="708"/>
                <w:tab w:val="left" w:pos="540" w:leader="none"/>
              </w:tabs>
              <w:jc w:val="both"/>
              <w:rPr>
                <w:rFonts w:ascii="Times New Roman" w:hAnsi="Times New Roman"/>
                <w:sz w:val="26"/>
                <w:szCs w:val="26"/>
              </w:rPr>
            </w:pPr>
            <w:r>
              <w:rPr>
                <w:rFonts w:cs="Times New Roman" w:ascii="Times New Roman" w:hAnsi="Times New Roman"/>
                <w:spacing w:val="-1"/>
                <w:sz w:val="26"/>
                <w:szCs w:val="26"/>
                <w:lang w:eastAsia="uk-UA"/>
              </w:rPr>
              <w:t>б) «</w:t>
            </w:r>
            <w:r>
              <w:rPr>
                <w:rFonts w:cs="Times New Roman" w:ascii="Times New Roman" w:hAnsi="Times New Roman"/>
                <w:spacing w:val="-4"/>
                <w:sz w:val="26"/>
                <w:szCs w:val="26"/>
                <w:lang w:eastAsia="uk-UA"/>
              </w:rPr>
              <w:t>Спільний пошук нових рішень у комунальному господарстві: поводження з органічними відходами у Луцькій міській територіальній громаді</w:t>
            </w:r>
            <w:r>
              <w:rPr>
                <w:rFonts w:cs="Times New Roman" w:ascii="Times New Roman" w:hAnsi="Times New Roman"/>
                <w:bCs/>
                <w:spacing w:val="-1"/>
                <w:sz w:val="26"/>
                <w:szCs w:val="26"/>
                <w:lang w:eastAsia="uk-UA"/>
              </w:rPr>
              <w:t>»</w:t>
            </w:r>
            <w:r>
              <w:rPr>
                <w:rFonts w:cs="Times New Roman" w:ascii="Times New Roman" w:hAnsi="Times New Roman"/>
                <w:sz w:val="26"/>
                <w:szCs w:val="26"/>
              </w:rPr>
              <w:t xml:space="preserve"> (</w:t>
            </w:r>
            <w:r>
              <w:rPr>
                <w:rFonts w:cs="Times New Roman" w:ascii="Times New Roman" w:hAnsi="Times New Roman"/>
                <w:bCs/>
                <w:sz w:val="26"/>
                <w:szCs w:val="26"/>
              </w:rPr>
              <w:t xml:space="preserve">Програма </w:t>
            </w:r>
            <w:r>
              <w:rPr>
                <w:rFonts w:cs="Times New Roman" w:ascii="Times New Roman" w:hAnsi="Times New Roman"/>
                <w:spacing w:val="-1"/>
                <w:sz w:val="26"/>
                <w:szCs w:val="26"/>
                <w:lang w:eastAsia="uk-UA"/>
              </w:rPr>
              <w:t>«Сталий розвиток громад через партнерські проєкти</w:t>
            </w:r>
            <w:r>
              <w:rPr>
                <w:rFonts w:cs="Times New Roman" w:ascii="Times New Roman" w:hAnsi="Times New Roman"/>
                <w:bCs/>
                <w:spacing w:val="-1"/>
                <w:sz w:val="26"/>
                <w:szCs w:val="26"/>
                <w:lang w:eastAsia="uk-UA"/>
              </w:rPr>
              <w:t> </w:t>
            </w:r>
            <w:r>
              <w:rPr>
                <w:rFonts w:cs="Times New Roman" w:ascii="Times New Roman" w:hAnsi="Times New Roman"/>
                <w:bCs/>
                <w:spacing w:val="-2"/>
                <w:sz w:val="26"/>
                <w:szCs w:val="26"/>
              </w:rPr>
              <w:t>– </w:t>
            </w:r>
            <w:r>
              <w:rPr>
                <w:rFonts w:cs="Times New Roman" w:ascii="Times New Roman" w:hAnsi="Times New Roman"/>
                <w:bCs/>
                <w:sz w:val="26"/>
                <w:szCs w:val="26"/>
              </w:rPr>
              <w:t>NAKOPA 2020</w:t>
            </w:r>
            <w:r>
              <w:rPr>
                <w:rFonts w:cs="Times New Roman" w:ascii="Times New Roman" w:hAnsi="Times New Roman"/>
                <w:bCs/>
                <w:spacing w:val="-1"/>
                <w:sz w:val="26"/>
                <w:szCs w:val="26"/>
                <w:lang w:eastAsia="uk-UA"/>
              </w:rPr>
              <w:t>»</w:t>
            </w:r>
            <w:r>
              <w:rPr>
                <w:rFonts w:cs="Times New Roman" w:ascii="Times New Roman" w:hAnsi="Times New Roman"/>
                <w:bCs/>
                <w:sz w:val="26"/>
                <w:szCs w:val="26"/>
              </w:rPr>
              <w:t xml:space="preserve"> за підтримки Федерального міністерства економічного співробітництва і розвитку ФРН</w:t>
            </w:r>
            <w:r>
              <w:rPr>
                <w:rFonts w:cs="Times New Roman" w:ascii="Times New Roman" w:hAnsi="Times New Roman"/>
                <w:sz w:val="26"/>
                <w:szCs w:val="26"/>
              </w:rPr>
              <w:t>). Основні заходи: закупівля та встановлення обладнання для очищення фільтрату на полігоні ТПВ у с. Брище, розробка Концепції управління органічними відходами, проведення промоційно-інформаційних кампаній;</w:t>
            </w:r>
          </w:p>
        </w:tc>
        <w:tc>
          <w:tcPr>
            <w:tcW w:w="1095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ind w:firstLine="567"/>
              <w:contextualSpacing/>
              <w:jc w:val="both"/>
              <w:rPr>
                <w:rFonts w:ascii="Times New Roman" w:hAnsi="Times New Roman"/>
                <w:sz w:val="26"/>
                <w:szCs w:val="26"/>
              </w:rPr>
            </w:pPr>
            <w:r>
              <w:rPr>
                <w:rFonts w:cs="Times New Roman" w:ascii="Times New Roman" w:hAnsi="Times New Roman"/>
                <w:bCs/>
                <w:kern w:val="0"/>
                <w:sz w:val="26"/>
                <w:szCs w:val="26"/>
                <w:lang w:bidi="ar-SA"/>
              </w:rPr>
              <w:t>Здійснено реєстрацію проєкту Секретаріатом Кабінету Міністрів України.</w:t>
            </w:r>
          </w:p>
          <w:p>
            <w:pPr>
              <w:pStyle w:val="Normal"/>
              <w:widowControl w:val="false"/>
              <w:spacing w:before="0" w:after="0"/>
              <w:ind w:firstLine="567"/>
              <w:contextualSpacing/>
              <w:jc w:val="both"/>
              <w:rPr>
                <w:rFonts w:ascii="Times New Roman" w:hAnsi="Times New Roman"/>
                <w:sz w:val="26"/>
                <w:szCs w:val="26"/>
              </w:rPr>
            </w:pPr>
            <w:r>
              <w:rPr>
                <w:rFonts w:cs="Times New Roman" w:ascii="Times New Roman" w:hAnsi="Times New Roman"/>
                <w:bCs/>
                <w:kern w:val="0"/>
                <w:sz w:val="26"/>
                <w:szCs w:val="26"/>
                <w:lang w:bidi="ar-SA"/>
              </w:rPr>
              <w:t>Закуплено</w:t>
            </w:r>
            <w:r>
              <w:rPr>
                <w:rFonts w:ascii="Times New Roman" w:hAnsi="Times New Roman"/>
                <w:sz w:val="26"/>
                <w:szCs w:val="26"/>
              </w:rPr>
              <w:t xml:space="preserve"> 20 компостер</w:t>
            </w:r>
            <w:r>
              <w:rPr>
                <w:rFonts w:cs="Times New Roman" w:ascii="Times New Roman" w:hAnsi="Times New Roman"/>
                <w:bCs/>
                <w:kern w:val="0"/>
                <w:sz w:val="26"/>
                <w:szCs w:val="26"/>
                <w:lang w:bidi="ar-SA"/>
              </w:rPr>
              <w:t>ів</w:t>
            </w:r>
            <w:r>
              <w:rPr>
                <w:rFonts w:ascii="Times New Roman" w:hAnsi="Times New Roman"/>
                <w:sz w:val="26"/>
                <w:szCs w:val="26"/>
              </w:rPr>
              <w:t xml:space="preserve"> для органічних відходів для шкіл Луцької міської територіальної громади.</w:t>
            </w:r>
          </w:p>
          <w:p>
            <w:pPr>
              <w:pStyle w:val="Normal"/>
              <w:widowControl w:val="false"/>
              <w:spacing w:before="0" w:after="0"/>
              <w:ind w:firstLine="567"/>
              <w:contextualSpacing/>
              <w:jc w:val="both"/>
              <w:rPr>
                <w:rFonts w:ascii="Times New Roman" w:hAnsi="Times New Roman"/>
                <w:sz w:val="26"/>
                <w:szCs w:val="26"/>
              </w:rPr>
            </w:pPr>
            <w:r>
              <w:rPr>
                <w:rFonts w:cs="Times New Roman" w:ascii="Times New Roman" w:hAnsi="Times New Roman"/>
                <w:bCs/>
                <w:kern w:val="0"/>
                <w:sz w:val="26"/>
                <w:szCs w:val="26"/>
                <w:lang w:bidi="ar-SA"/>
              </w:rPr>
              <w:t xml:space="preserve">Проведено інформаційну кампанію в соцмережах </w:t>
            </w:r>
            <w:r>
              <w:rPr>
                <w:rFonts w:cs="Times New Roman" w:ascii="Times New Roman" w:hAnsi="Times New Roman"/>
                <w:bCs/>
                <w:kern w:val="0"/>
                <w:sz w:val="26"/>
                <w:szCs w:val="26"/>
                <w:lang w:val="en-US" w:bidi="ar-SA"/>
              </w:rPr>
              <w:t>Facebook</w:t>
            </w:r>
            <w:r>
              <w:rPr>
                <w:rFonts w:cs="Times New Roman" w:ascii="Times New Roman" w:hAnsi="Times New Roman"/>
                <w:bCs/>
                <w:kern w:val="0"/>
                <w:sz w:val="26"/>
                <w:szCs w:val="26"/>
                <w:lang w:val="ru-RU" w:bidi="ar-SA"/>
              </w:rPr>
              <w:t xml:space="preserve">, </w:t>
            </w:r>
            <w:r>
              <w:rPr>
                <w:rFonts w:cs="Times New Roman" w:ascii="Times New Roman" w:hAnsi="Times New Roman"/>
                <w:bCs/>
                <w:kern w:val="0"/>
                <w:sz w:val="26"/>
                <w:szCs w:val="26"/>
                <w:lang w:val="en-US" w:bidi="ar-SA"/>
              </w:rPr>
              <w:t>Instagram</w:t>
            </w:r>
            <w:r>
              <w:rPr>
                <w:rFonts w:cs="Times New Roman" w:ascii="Times New Roman" w:hAnsi="Times New Roman"/>
                <w:bCs/>
                <w:kern w:val="0"/>
                <w:sz w:val="26"/>
                <w:szCs w:val="26"/>
                <w:lang w:bidi="ar-SA"/>
              </w:rPr>
              <w:t>: створено та поширено електронний постер про те, чим небезпечне спалювання сухої трави.</w:t>
            </w:r>
          </w:p>
          <w:p>
            <w:pPr>
              <w:pStyle w:val="Normal"/>
              <w:widowControl w:val="false"/>
              <w:spacing w:before="0" w:after="0"/>
              <w:ind w:firstLine="567"/>
              <w:contextualSpacing/>
              <w:jc w:val="both"/>
              <w:rPr>
                <w:rFonts w:ascii="Times New Roman" w:hAnsi="Times New Roman"/>
                <w:sz w:val="26"/>
                <w:szCs w:val="26"/>
              </w:rPr>
            </w:pPr>
            <w:r>
              <w:rPr>
                <w:rFonts w:ascii="Times New Roman" w:hAnsi="Times New Roman"/>
                <w:sz w:val="26"/>
                <w:szCs w:val="26"/>
              </w:rPr>
              <w:t xml:space="preserve">Проведено відкриті торги щодо </w:t>
            </w:r>
            <w:r>
              <w:rPr>
                <w:rFonts w:cs="Times New Roman" w:ascii="Times New Roman" w:hAnsi="Times New Roman"/>
                <w:bCs/>
                <w:kern w:val="0"/>
                <w:sz w:val="26"/>
                <w:szCs w:val="26"/>
                <w:lang w:bidi="ar-SA"/>
              </w:rPr>
              <w:t>поставки</w:t>
            </w:r>
            <w:r>
              <w:rPr>
                <w:rFonts w:ascii="Times New Roman" w:hAnsi="Times New Roman"/>
                <w:sz w:val="26"/>
                <w:szCs w:val="26"/>
              </w:rPr>
              <w:t xml:space="preserve"> обладнання для очистки фільтрату на полігоні твердих побутових відходів у селі Брище Луцької міської територіальної громади. Підписано договір з постачальником обладнання.</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r>
          </w:p>
        </w:tc>
        <w:tc>
          <w:tcPr>
            <w:tcW w:w="3704" w:type="dxa"/>
            <w:tcBorders>
              <w:top w:val="single" w:sz="4" w:space="0" w:color="000000"/>
              <w:left w:val="single" w:sz="4" w:space="0" w:color="000000"/>
              <w:bottom w:val="single" w:sz="4" w:space="0" w:color="000000"/>
            </w:tcBorders>
          </w:tcPr>
          <w:p>
            <w:pPr>
              <w:pStyle w:val="Normal"/>
              <w:widowControl w:val="false"/>
              <w:tabs>
                <w:tab w:val="clear" w:pos="708"/>
                <w:tab w:val="left" w:pos="540" w:leader="none"/>
              </w:tabs>
              <w:jc w:val="both"/>
              <w:rPr>
                <w:rFonts w:ascii="Times New Roman" w:hAnsi="Times New Roman"/>
                <w:sz w:val="26"/>
                <w:szCs w:val="26"/>
              </w:rPr>
            </w:pPr>
            <w:r>
              <w:rPr>
                <w:rFonts w:cs="Times New Roman" w:ascii="Times New Roman" w:hAnsi="Times New Roman"/>
                <w:sz w:val="26"/>
                <w:szCs w:val="26"/>
              </w:rPr>
              <w:t xml:space="preserve">в) «Промоція та захист природної спадщини міських річок та прибережних територій Жешува та Луцька» (Програма транскордонного співробітництва Польща-Білорусь-Україна 2014-2020 Європейського інструменту сусідства). Основні заходи на 2023 рік: </w:t>
            </w:r>
            <w:r>
              <w:rPr>
                <w:rFonts w:eastAsia="SimSun" w:cs="Times New Roman" w:ascii="Times New Roman" w:hAnsi="Times New Roman"/>
                <w:sz w:val="26"/>
                <w:szCs w:val="26"/>
              </w:rPr>
              <w:t>підготовка звітності, проведення аудиту по проєкту;</w:t>
            </w:r>
          </w:p>
          <w:p>
            <w:pPr>
              <w:pStyle w:val="Normal"/>
              <w:widowControl w:val="false"/>
              <w:jc w:val="both"/>
              <w:rPr>
                <w:rFonts w:ascii="Times New Roman" w:hAnsi="Times New Roman" w:cs="Times New Roman"/>
                <w:sz w:val="26"/>
                <w:szCs w:val="26"/>
              </w:rPr>
            </w:pPr>
            <w:r>
              <w:rPr>
                <w:rFonts w:cs="Times New Roman" w:ascii="Times New Roman" w:hAnsi="Times New Roman"/>
                <w:sz w:val="26"/>
                <w:szCs w:val="26"/>
              </w:rPr>
            </w:r>
          </w:p>
        </w:tc>
        <w:tc>
          <w:tcPr>
            <w:tcW w:w="1095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40" w:leader="none"/>
              </w:tabs>
              <w:spacing w:before="0" w:after="0"/>
              <w:ind w:firstLine="680"/>
              <w:contextualSpacing/>
              <w:jc w:val="both"/>
              <w:rPr>
                <w:rFonts w:ascii="Times New Roman" w:hAnsi="Times New Roman"/>
                <w:sz w:val="26"/>
                <w:szCs w:val="26"/>
              </w:rPr>
            </w:pPr>
            <w:r>
              <w:rPr>
                <w:rFonts w:cs="Times New Roman" w:ascii="Times New Roman" w:hAnsi="Times New Roman"/>
                <w:sz w:val="26"/>
                <w:szCs w:val="26"/>
              </w:rPr>
              <w:t xml:space="preserve">Підготовлено фінансову та описову звітність </w:t>
            </w:r>
            <w:r>
              <w:rPr>
                <w:rFonts w:cs="Times New Roman" w:ascii="Times New Roman" w:hAnsi="Times New Roman"/>
                <w:bCs/>
                <w:kern w:val="0"/>
                <w:sz w:val="26"/>
                <w:szCs w:val="26"/>
                <w:lang w:bidi="ar-SA"/>
              </w:rPr>
              <w:t>і</w:t>
            </w:r>
            <w:r>
              <w:rPr>
                <w:rFonts w:cs="Times New Roman" w:ascii="Times New Roman" w:hAnsi="Times New Roman"/>
                <w:sz w:val="26"/>
                <w:szCs w:val="26"/>
              </w:rPr>
              <w:t xml:space="preserve"> проведено аудит по проєкту.</w:t>
            </w:r>
          </w:p>
        </w:tc>
      </w:tr>
      <w:tr>
        <w:trPr>
          <w:trHeight w:val="453"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r>
          </w:p>
        </w:tc>
        <w:tc>
          <w:tcPr>
            <w:tcW w:w="3704" w:type="dxa"/>
            <w:tcBorders>
              <w:top w:val="single" w:sz="4" w:space="0" w:color="000000"/>
              <w:left w:val="single" w:sz="4" w:space="0" w:color="000000"/>
              <w:bottom w:val="single" w:sz="4" w:space="0" w:color="000000"/>
            </w:tcBorders>
          </w:tcPr>
          <w:p>
            <w:pPr>
              <w:pStyle w:val="Normal"/>
              <w:widowControl w:val="false"/>
              <w:tabs>
                <w:tab w:val="clear" w:pos="708"/>
                <w:tab w:val="left" w:pos="540" w:leader="none"/>
              </w:tabs>
              <w:jc w:val="both"/>
              <w:rPr>
                <w:rFonts w:ascii="Times New Roman" w:hAnsi="Times New Roman"/>
                <w:sz w:val="26"/>
                <w:szCs w:val="26"/>
              </w:rPr>
            </w:pPr>
            <w:r>
              <w:rPr>
                <w:rFonts w:cs="Times New Roman" w:ascii="Times New Roman" w:hAnsi="Times New Roman"/>
                <w:sz w:val="26"/>
                <w:szCs w:val="26"/>
              </w:rPr>
              <w:t xml:space="preserve">г) «Таємниці двох веж: просування середньовічних укріплень Луцька та Любліна за допомогою інноваційних технологій» (Програма транскордонного співробітництва Польща-Білорусь-Україна 2014-2020 Європейського інструменту сусідства). </w:t>
            </w:r>
            <w:r>
              <w:rPr>
                <w:rFonts w:cs="Times New Roman" w:ascii="Times New Roman" w:hAnsi="Times New Roman"/>
                <w:sz w:val="26"/>
                <w:szCs w:val="26"/>
                <w:shd w:fill="FFFFFF" w:val="clear"/>
              </w:rPr>
              <w:t>Основні заходи: створення туристичного мобільного додатку з елементами доповненої реальності, створення промоційного відео;</w:t>
            </w:r>
          </w:p>
        </w:tc>
        <w:tc>
          <w:tcPr>
            <w:tcW w:w="1095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ind w:firstLine="567"/>
              <w:contextualSpacing/>
              <w:jc w:val="both"/>
              <w:rPr>
                <w:rFonts w:ascii="Times New Roman" w:hAnsi="Times New Roman"/>
                <w:sz w:val="26"/>
                <w:szCs w:val="26"/>
              </w:rPr>
            </w:pPr>
            <w:r>
              <w:rPr>
                <w:rFonts w:cs="Times New Roman" w:ascii="Times New Roman" w:hAnsi="Times New Roman"/>
                <w:bCs/>
                <w:kern w:val="0"/>
                <w:sz w:val="26"/>
                <w:szCs w:val="26"/>
                <w:lang w:bidi="ar-SA"/>
              </w:rPr>
              <w:t>Для реалізації заходів проєкту укладено договори з підрядниками щодо:</w:t>
            </w:r>
          </w:p>
          <w:p>
            <w:pPr>
              <w:pStyle w:val="Normal"/>
              <w:widowControl w:val="false"/>
              <w:spacing w:before="0" w:after="0"/>
              <w:ind w:firstLine="567"/>
              <w:contextualSpacing/>
              <w:jc w:val="both"/>
              <w:rPr>
                <w:rFonts w:ascii="Times New Roman" w:hAnsi="Times New Roman"/>
                <w:sz w:val="26"/>
                <w:szCs w:val="26"/>
              </w:rPr>
            </w:pPr>
            <w:r>
              <w:rPr>
                <w:rFonts w:cs="Times New Roman" w:ascii="Times New Roman" w:hAnsi="Times New Roman"/>
                <w:bCs/>
                <w:kern w:val="0"/>
                <w:sz w:val="26"/>
                <w:szCs w:val="26"/>
                <w:lang w:bidi="ar-SA"/>
              </w:rPr>
              <w:t>виготовлення спільного промоційного відео (тизеру);</w:t>
            </w:r>
          </w:p>
          <w:p>
            <w:pPr>
              <w:pStyle w:val="Normal"/>
              <w:widowControl w:val="false"/>
              <w:spacing w:before="0" w:after="0"/>
              <w:ind w:firstLine="567"/>
              <w:contextualSpacing/>
              <w:jc w:val="both"/>
              <w:rPr>
                <w:rFonts w:ascii="Times New Roman" w:hAnsi="Times New Roman"/>
                <w:sz w:val="26"/>
                <w:szCs w:val="26"/>
              </w:rPr>
            </w:pPr>
            <w:r>
              <w:rPr>
                <w:rFonts w:cs="Times New Roman" w:ascii="Times New Roman" w:hAnsi="Times New Roman"/>
                <w:bCs/>
                <w:kern w:val="0"/>
                <w:sz w:val="26"/>
                <w:szCs w:val="26"/>
                <w:lang w:bidi="ar-SA"/>
              </w:rPr>
              <w:t>розробки мобільного додатку;</w:t>
            </w:r>
          </w:p>
          <w:p>
            <w:pPr>
              <w:pStyle w:val="Normal"/>
              <w:widowControl w:val="false"/>
              <w:spacing w:before="0" w:after="0"/>
              <w:ind w:firstLine="567"/>
              <w:contextualSpacing/>
              <w:jc w:val="both"/>
              <w:rPr>
                <w:rFonts w:ascii="Times New Roman" w:hAnsi="Times New Roman"/>
                <w:sz w:val="26"/>
                <w:szCs w:val="26"/>
              </w:rPr>
            </w:pPr>
            <w:r>
              <w:rPr>
                <w:rFonts w:cs="Times New Roman" w:ascii="Times New Roman" w:hAnsi="Times New Roman"/>
                <w:bCs/>
                <w:kern w:val="0"/>
                <w:sz w:val="26"/>
                <w:szCs w:val="26"/>
                <w:lang w:bidi="ar-SA"/>
              </w:rPr>
              <w:t>перекладу науково-популярних статей з польської мови на українську для електронного буклету;</w:t>
            </w:r>
          </w:p>
          <w:p>
            <w:pPr>
              <w:pStyle w:val="Normal"/>
              <w:widowControl w:val="false"/>
              <w:spacing w:before="0" w:after="0"/>
              <w:ind w:firstLine="567"/>
              <w:contextualSpacing/>
              <w:jc w:val="both"/>
              <w:rPr>
                <w:rFonts w:ascii="Times New Roman" w:hAnsi="Times New Roman"/>
                <w:sz w:val="26"/>
                <w:szCs w:val="26"/>
              </w:rPr>
            </w:pPr>
            <w:r>
              <w:rPr>
                <w:rFonts w:cs="Times New Roman" w:ascii="Times New Roman" w:hAnsi="Times New Roman"/>
                <w:bCs/>
                <w:kern w:val="0"/>
                <w:sz w:val="26"/>
                <w:szCs w:val="26"/>
                <w:lang w:bidi="ar-SA"/>
              </w:rPr>
              <w:t xml:space="preserve">11 травня 2023 року проведено онлайн </w:t>
            </w:r>
            <w:r>
              <w:rPr>
                <w:rFonts w:cs="Times New Roman" w:ascii="Times New Roman" w:hAnsi="Times New Roman"/>
                <w:kern w:val="0"/>
                <w:sz w:val="26"/>
                <w:szCs w:val="26"/>
                <w:lang w:bidi="ar-SA"/>
              </w:rPr>
              <w:t>польсько-український круглий стіл</w:t>
            </w:r>
            <w:r>
              <w:rPr>
                <w:rFonts w:cs="Times New Roman" w:ascii="Times New Roman" w:hAnsi="Times New Roman"/>
                <w:bCs/>
                <w:kern w:val="0"/>
                <w:sz w:val="26"/>
                <w:szCs w:val="26"/>
                <w:lang w:bidi="ar-SA"/>
              </w:rPr>
              <w:t xml:space="preserve"> «Життя у середньовічному та ранньомодерному Луцьку та Любліні», участь у якому взяли 8 експертів-істориків (4 польських та 4 українських), а також краєзнавці та дослідники минувшини Луцька. Інформація від експертів буде використана для створення електронного буклета під назвою «Повсякденне життя історичного Луцька та Любліна».</w:t>
            </w:r>
          </w:p>
          <w:p>
            <w:pPr>
              <w:pStyle w:val="Normal"/>
              <w:widowControl w:val="false"/>
              <w:tabs>
                <w:tab w:val="clear" w:pos="708"/>
                <w:tab w:val="left" w:pos="540" w:leader="none"/>
              </w:tabs>
              <w:spacing w:before="0" w:after="0"/>
              <w:ind w:firstLine="567"/>
              <w:contextualSpacing/>
              <w:jc w:val="both"/>
              <w:rPr>
                <w:rFonts w:ascii="Times New Roman" w:hAnsi="Times New Roman"/>
                <w:sz w:val="26"/>
                <w:szCs w:val="26"/>
              </w:rPr>
            </w:pPr>
            <w:r>
              <w:rPr>
                <w:rFonts w:cs="Times New Roman" w:ascii="Times New Roman" w:hAnsi="Times New Roman"/>
                <w:bCs/>
                <w:kern w:val="0"/>
                <w:sz w:val="26"/>
                <w:szCs w:val="26"/>
                <w:lang w:bidi="ar-SA"/>
              </w:rPr>
              <w:t>Оголошено тендер на закупівлю послуг аудиту для перевірки витрат проєкту. Тендер не відбувся. Ведуться перемовини щодо укладання прямого договору з аудитором, який відповідатиме вимогам донора.</w:t>
            </w:r>
          </w:p>
        </w:tc>
      </w:tr>
      <w:tr>
        <w:trPr>
          <w:trHeight w:val="453"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r>
          </w:p>
        </w:tc>
        <w:tc>
          <w:tcPr>
            <w:tcW w:w="3704"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sz w:val="26"/>
                <w:szCs w:val="26"/>
              </w:rPr>
            </w:pPr>
            <w:r>
              <w:rPr>
                <w:rFonts w:cs="Times New Roman" w:ascii="Times New Roman" w:hAnsi="Times New Roman"/>
                <w:sz w:val="26"/>
                <w:szCs w:val="26"/>
              </w:rPr>
              <w:t>д) «Стала протидія Covid-19 у Луцьку через новітні технології та поінформованість населення» (</w:t>
            </w:r>
            <w:r>
              <w:rPr>
                <w:rFonts w:cs="Times New Roman" w:ascii="Times New Roman" w:hAnsi="Times New Roman"/>
                <w:bCs/>
                <w:sz w:val="26"/>
                <w:szCs w:val="26"/>
              </w:rPr>
              <w:t xml:space="preserve">Програма </w:t>
            </w:r>
            <w:r>
              <w:rPr>
                <w:rFonts w:cs="Times New Roman" w:ascii="Times New Roman" w:hAnsi="Times New Roman"/>
                <w:sz w:val="26"/>
                <w:szCs w:val="26"/>
              </w:rPr>
              <w:t xml:space="preserve">«Пакет солідарності громад для подолання пандемії коронавірусу» </w:t>
            </w:r>
            <w:r>
              <w:rPr>
                <w:rFonts w:cs="Times New Roman" w:ascii="Times New Roman" w:hAnsi="Times New Roman"/>
                <w:bCs/>
                <w:sz w:val="26"/>
                <w:szCs w:val="26"/>
              </w:rPr>
              <w:t>за підтримки Федерального міністерства економічного співробітництва і розвитку ФРН</w:t>
            </w:r>
            <w:r>
              <w:rPr>
                <w:rFonts w:cs="Times New Roman" w:ascii="Times New Roman" w:hAnsi="Times New Roman"/>
                <w:sz w:val="26"/>
                <w:szCs w:val="26"/>
              </w:rPr>
              <w:t>). Основні заходи: закупівля апарату ШВЛ, інформаційна кампанія щодо постковідної терапії у соцмережах, закупівля вітамінного імуностимулюючого чаю для хворих на Covid-19.</w:t>
            </w:r>
          </w:p>
        </w:tc>
        <w:tc>
          <w:tcPr>
            <w:tcW w:w="1095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ind w:firstLine="680"/>
              <w:contextualSpacing/>
              <w:jc w:val="both"/>
              <w:rPr>
                <w:rFonts w:ascii="Times New Roman" w:hAnsi="Times New Roman"/>
                <w:sz w:val="26"/>
                <w:szCs w:val="26"/>
              </w:rPr>
            </w:pPr>
            <w:r>
              <w:rPr>
                <w:rFonts w:cs="Times New Roman" w:ascii="Times New Roman" w:hAnsi="Times New Roman"/>
                <w:bCs/>
                <w:kern w:val="0"/>
                <w:sz w:val="26"/>
                <w:szCs w:val="26"/>
                <w:lang w:bidi="ar-SA"/>
              </w:rPr>
              <w:t xml:space="preserve">Закуплено апарат ШВЛ, комплект капнографії </w:t>
            </w:r>
            <w:r>
              <w:rPr>
                <w:rFonts w:cs="Times New Roman" w:ascii="Times New Roman" w:hAnsi="Times New Roman"/>
                <w:bCs/>
                <w:kern w:val="0"/>
                <w:sz w:val="26"/>
                <w:szCs w:val="26"/>
                <w:lang w:val="en-US" w:bidi="ar-SA"/>
              </w:rPr>
              <w:t>CO</w:t>
            </w:r>
            <w:r>
              <w:rPr>
                <w:rFonts w:cs="Times New Roman" w:ascii="Times New Roman" w:hAnsi="Times New Roman"/>
                <w:bCs/>
                <w:kern w:val="0"/>
                <w:sz w:val="26"/>
                <w:szCs w:val="26"/>
                <w:lang w:bidi="ar-SA"/>
              </w:rPr>
              <w:t>2, назальні канюлі (90</w:t>
            </w:r>
            <w:r>
              <w:rPr>
                <w:rFonts w:cs="Times New Roman" w:ascii="Times New Roman" w:hAnsi="Times New Roman"/>
                <w:bCs/>
                <w:kern w:val="0"/>
                <w:sz w:val="26"/>
                <w:szCs w:val="26"/>
                <w:lang w:val="en-US" w:bidi="ar-SA"/>
              </w:rPr>
              <w:t> </w:t>
            </w:r>
            <w:r>
              <w:rPr>
                <w:rFonts w:cs="Times New Roman" w:ascii="Times New Roman" w:hAnsi="Times New Roman"/>
                <w:bCs/>
                <w:kern w:val="0"/>
                <w:sz w:val="26"/>
                <w:szCs w:val="26"/>
                <w:lang w:bidi="ar-SA"/>
              </w:rPr>
              <w:t>шт.), монітор пацієнта, пульсоксиметри (4 шт.), імуностимулюючі вітамінні чаї з інформаційними наліпками (1 000 шт.). Розроблено і надруковано інформаційні листівки (1 000 шт.) та постери (100 шт.).</w:t>
            </w:r>
          </w:p>
          <w:p>
            <w:pPr>
              <w:pStyle w:val="Normal"/>
              <w:widowControl w:val="false"/>
              <w:spacing w:before="0" w:after="0"/>
              <w:ind w:firstLine="567"/>
              <w:contextualSpacing/>
              <w:jc w:val="both"/>
              <w:rPr>
                <w:rFonts w:ascii="Times New Roman" w:hAnsi="Times New Roman"/>
                <w:sz w:val="26"/>
                <w:szCs w:val="26"/>
              </w:rPr>
            </w:pPr>
            <w:r>
              <w:rPr>
                <w:rFonts w:cs="Times New Roman" w:ascii="Times New Roman" w:hAnsi="Times New Roman"/>
                <w:bCs/>
                <w:kern w:val="0"/>
                <w:sz w:val="26"/>
                <w:szCs w:val="26"/>
                <w:lang w:bidi="ar-SA"/>
              </w:rPr>
              <w:t xml:space="preserve">Проведено інформаційну кампанію щодо постковідної терапії у соцмережах </w:t>
            </w:r>
            <w:r>
              <w:rPr>
                <w:rFonts w:cs="Times New Roman" w:ascii="Times New Roman" w:hAnsi="Times New Roman"/>
                <w:bCs/>
                <w:kern w:val="0"/>
                <w:sz w:val="26"/>
                <w:szCs w:val="26"/>
                <w:lang w:val="en-US" w:bidi="ar-SA"/>
              </w:rPr>
              <w:t>Facebook</w:t>
            </w:r>
            <w:r>
              <w:rPr>
                <w:rFonts w:cs="Times New Roman" w:ascii="Times New Roman" w:hAnsi="Times New Roman"/>
                <w:bCs/>
                <w:kern w:val="0"/>
                <w:sz w:val="26"/>
                <w:szCs w:val="26"/>
                <w:lang w:bidi="ar-SA"/>
              </w:rPr>
              <w:t xml:space="preserve">, </w:t>
            </w:r>
            <w:r>
              <w:rPr>
                <w:rFonts w:cs="Times New Roman" w:ascii="Times New Roman" w:hAnsi="Times New Roman"/>
                <w:bCs/>
                <w:kern w:val="0"/>
                <w:sz w:val="26"/>
                <w:szCs w:val="26"/>
                <w:lang w:val="en-US" w:bidi="ar-SA"/>
              </w:rPr>
              <w:t>Instagram</w:t>
            </w:r>
            <w:r>
              <w:rPr>
                <w:rFonts w:cs="Times New Roman" w:ascii="Times New Roman" w:hAnsi="Times New Roman"/>
                <w:bCs/>
                <w:kern w:val="0"/>
                <w:sz w:val="26"/>
                <w:szCs w:val="26"/>
                <w:lang w:bidi="ar-SA"/>
              </w:rPr>
              <w:t>: створено та поширено 3 електронні постери, створено 3 статті на офіційному сайті Луцької міської ради.</w:t>
            </w:r>
          </w:p>
          <w:p>
            <w:pPr>
              <w:pStyle w:val="Normal"/>
              <w:widowControl w:val="false"/>
              <w:spacing w:before="0" w:after="0"/>
              <w:ind w:firstLine="567"/>
              <w:contextualSpacing/>
              <w:jc w:val="both"/>
              <w:rPr>
                <w:rFonts w:ascii="Times New Roman" w:hAnsi="Times New Roman"/>
                <w:sz w:val="26"/>
                <w:szCs w:val="26"/>
              </w:rPr>
            </w:pPr>
            <w:r>
              <w:rPr>
                <w:rFonts w:cs="Times New Roman" w:ascii="Times New Roman" w:hAnsi="Times New Roman"/>
                <w:bCs/>
                <w:kern w:val="0"/>
                <w:sz w:val="26"/>
                <w:szCs w:val="26"/>
                <w:lang w:bidi="ar-SA"/>
              </w:rPr>
              <w:t>Підготовлено фінансову та описову звітність, проведено аудит по проєкту</w:t>
            </w:r>
            <w:r>
              <w:rPr>
                <w:rFonts w:eastAsia="SimSun" w:cs="Times New Roman" w:ascii="Times New Roman" w:hAnsi="Times New Roman"/>
                <w:bCs/>
                <w:kern w:val="0"/>
                <w:sz w:val="26"/>
                <w:szCs w:val="26"/>
                <w:lang w:bidi="ar-SA"/>
              </w:rPr>
              <w:t>.</w:t>
            </w:r>
          </w:p>
        </w:tc>
      </w:tr>
      <w:tr>
        <w:trPr>
          <w:trHeight w:val="453"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3.</w:t>
            </w:r>
          </w:p>
        </w:tc>
        <w:tc>
          <w:tcPr>
            <w:tcW w:w="3704" w:type="dxa"/>
            <w:tcBorders>
              <w:top w:val="single" w:sz="4" w:space="0" w:color="000000"/>
              <w:left w:val="single" w:sz="4" w:space="0" w:color="000000"/>
              <w:bottom w:val="single" w:sz="4" w:space="0" w:color="000000"/>
            </w:tcBorders>
          </w:tcPr>
          <w:p>
            <w:pPr>
              <w:pStyle w:val="Normal"/>
              <w:widowControl w:val="false"/>
              <w:tabs>
                <w:tab w:val="clear" w:pos="708"/>
                <w:tab w:val="left" w:pos="540" w:leader="none"/>
              </w:tabs>
              <w:jc w:val="both"/>
              <w:rPr>
                <w:rFonts w:ascii="Times New Roman" w:hAnsi="Times New Roman"/>
                <w:sz w:val="26"/>
                <w:szCs w:val="26"/>
              </w:rPr>
            </w:pPr>
            <w:r>
              <w:rPr>
                <w:rFonts w:cs="Times New Roman" w:ascii="Times New Roman" w:hAnsi="Times New Roman"/>
                <w:sz w:val="26"/>
                <w:szCs w:val="26"/>
                <w:shd w:fill="FFFFFF" w:val="clear"/>
              </w:rPr>
              <w:t>Підготовка заявок на конкурси проєктів, які будуть оголошені закордонними та національними грантодавцями.</w:t>
            </w:r>
          </w:p>
        </w:tc>
        <w:tc>
          <w:tcPr>
            <w:tcW w:w="1095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321" w:leader="none"/>
                <w:tab w:val="left" w:pos="107" w:leader="none"/>
              </w:tabs>
              <w:spacing w:before="0" w:after="0"/>
              <w:ind w:firstLine="680"/>
              <w:contextualSpacing/>
              <w:jc w:val="both"/>
              <w:rPr>
                <w:rFonts w:ascii="Times New Roman" w:hAnsi="Times New Roman"/>
                <w:sz w:val="26"/>
                <w:szCs w:val="26"/>
              </w:rPr>
            </w:pPr>
            <w:bookmarkStart w:id="7" w:name="__DdeLink__1045_3218629527"/>
            <w:r>
              <w:rPr>
                <w:rFonts w:cs="Times New Roman" w:ascii="Times New Roman" w:hAnsi="Times New Roman"/>
                <w:kern w:val="0"/>
                <w:sz w:val="26"/>
                <w:szCs w:val="26"/>
                <w:lang w:bidi="ar-SA"/>
              </w:rPr>
              <w:t xml:space="preserve">Ведеться робота над розробкою проєктних заявок в межах Програми транскордонного співробітництва </w:t>
            </w:r>
            <w:r>
              <w:rPr>
                <w:rFonts w:cs="Times New Roman" w:ascii="Times New Roman" w:hAnsi="Times New Roman"/>
                <w:kern w:val="0"/>
                <w:sz w:val="26"/>
                <w:szCs w:val="26"/>
                <w:lang w:val="en-US" w:bidi="ar-SA"/>
              </w:rPr>
              <w:t>Interreg</w:t>
            </w:r>
            <w:r>
              <w:rPr>
                <w:rFonts w:cs="Times New Roman" w:ascii="Times New Roman" w:hAnsi="Times New Roman"/>
                <w:kern w:val="0"/>
                <w:sz w:val="26"/>
                <w:szCs w:val="26"/>
                <w:lang w:val="ru-RU" w:bidi="ar-SA"/>
              </w:rPr>
              <w:t xml:space="preserve"> </w:t>
            </w:r>
            <w:r>
              <w:rPr>
                <w:rFonts w:cs="Times New Roman" w:ascii="Times New Roman" w:hAnsi="Times New Roman"/>
                <w:kern w:val="0"/>
                <w:sz w:val="26"/>
                <w:szCs w:val="26"/>
                <w:lang w:val="en-US" w:bidi="ar-SA"/>
              </w:rPr>
              <w:t>NEXT</w:t>
            </w:r>
            <w:r>
              <w:rPr>
                <w:rFonts w:cs="Times New Roman" w:ascii="Times New Roman" w:hAnsi="Times New Roman"/>
                <w:kern w:val="0"/>
                <w:sz w:val="26"/>
                <w:szCs w:val="26"/>
                <w:lang w:val="ru-RU" w:bidi="ar-SA"/>
              </w:rPr>
              <w:t xml:space="preserve"> </w:t>
            </w:r>
            <w:r>
              <w:rPr>
                <w:rFonts w:cs="Times New Roman" w:ascii="Times New Roman" w:hAnsi="Times New Roman"/>
                <w:kern w:val="0"/>
                <w:sz w:val="26"/>
                <w:szCs w:val="26"/>
                <w:lang w:bidi="ar-SA"/>
              </w:rPr>
              <w:t xml:space="preserve">Польща-Україна </w:t>
            </w:r>
            <w:r>
              <w:rPr>
                <w:rFonts w:cs="Times New Roman" w:ascii="Times New Roman" w:hAnsi="Times New Roman"/>
                <w:kern w:val="0"/>
                <w:sz w:val="26"/>
                <w:szCs w:val="26"/>
                <w:lang w:val="ru-RU" w:bidi="ar-SA"/>
              </w:rPr>
              <w:t>2021-2027</w:t>
            </w:r>
            <w:bookmarkEnd w:id="7"/>
            <w:r>
              <w:rPr>
                <w:rFonts w:cs="Times New Roman" w:ascii="Times New Roman" w:hAnsi="Times New Roman"/>
                <w:kern w:val="0"/>
                <w:sz w:val="26"/>
                <w:szCs w:val="26"/>
                <w:lang w:val="ru-RU" w:bidi="ar-SA"/>
              </w:rPr>
              <w:t>.</w:t>
            </w:r>
          </w:p>
        </w:tc>
      </w:tr>
      <w:tr>
        <w:trPr>
          <w:trHeight w:val="453"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4.</w:t>
            </w:r>
          </w:p>
        </w:tc>
        <w:tc>
          <w:tcPr>
            <w:tcW w:w="3704" w:type="dxa"/>
            <w:tcBorders>
              <w:top w:val="single" w:sz="4" w:space="0" w:color="000000"/>
              <w:left w:val="single" w:sz="4" w:space="0" w:color="000000"/>
              <w:bottom w:val="single" w:sz="4" w:space="0" w:color="000000"/>
            </w:tcBorders>
          </w:tcPr>
          <w:p>
            <w:pPr>
              <w:pStyle w:val="Normal"/>
              <w:widowControl w:val="false"/>
              <w:tabs>
                <w:tab w:val="clear" w:pos="708"/>
                <w:tab w:val="left" w:pos="360" w:leader="none"/>
                <w:tab w:val="left" w:pos="900" w:leader="none"/>
              </w:tabs>
              <w:jc w:val="both"/>
              <w:rPr>
                <w:rFonts w:ascii="Times New Roman" w:hAnsi="Times New Roman"/>
                <w:sz w:val="26"/>
                <w:szCs w:val="26"/>
              </w:rPr>
            </w:pPr>
            <w:r>
              <w:rPr>
                <w:rFonts w:cs="Times New Roman" w:ascii="Times New Roman" w:hAnsi="Times New Roman"/>
                <w:sz w:val="26"/>
                <w:szCs w:val="26"/>
                <w:shd w:fill="FFFFFF" w:val="clear"/>
              </w:rPr>
              <w:t>Забезпечення участі офіційних делегацій Луцької міської територіальної громади у міжнародних заходах за кордоном відповідно до офіційних запрошень: тематичні конференції, форуми, виставки, заходи з нагод</w:t>
            </w:r>
            <w:r>
              <w:rPr>
                <w:rFonts w:cs="Times New Roman" w:ascii="Times New Roman" w:hAnsi="Times New Roman"/>
                <w:sz w:val="26"/>
                <w:szCs w:val="26"/>
              </w:rPr>
              <w:t>и державних свят і локальних подій тощо, а також забезпечення прийому іноземних делегацій та дипломатичних представників у Луцькій міській раді, надання організаційного супроводу у проведенні міжнародних зустрічей, що організовують виконавчі органи Луцької міської ради.</w:t>
            </w:r>
          </w:p>
        </w:tc>
        <w:tc>
          <w:tcPr>
            <w:tcW w:w="1095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ind w:firstLine="567"/>
              <w:contextualSpacing/>
              <w:jc w:val="both"/>
              <w:rPr>
                <w:rFonts w:ascii="Times New Roman" w:hAnsi="Times New Roman"/>
                <w:sz w:val="26"/>
                <w:szCs w:val="26"/>
              </w:rPr>
            </w:pPr>
            <w:r>
              <w:rPr>
                <w:rFonts w:ascii="Times New Roman" w:hAnsi="Times New Roman"/>
                <w:sz w:val="26"/>
                <w:szCs w:val="26"/>
              </w:rPr>
              <w:t>Забезпечено організаційний супровід офіційних заходів міжнародного характеру, а саме:</w:t>
            </w:r>
          </w:p>
          <w:p>
            <w:pPr>
              <w:pStyle w:val="Normal"/>
              <w:widowControl w:val="false"/>
              <w:spacing w:before="0" w:after="0"/>
              <w:ind w:firstLine="567"/>
              <w:contextualSpacing/>
              <w:jc w:val="both"/>
              <w:rPr>
                <w:rFonts w:ascii="Times New Roman" w:hAnsi="Times New Roman"/>
                <w:sz w:val="26"/>
                <w:szCs w:val="26"/>
              </w:rPr>
            </w:pPr>
            <w:r>
              <w:rPr>
                <w:rFonts w:ascii="Times New Roman" w:hAnsi="Times New Roman"/>
                <w:sz w:val="26"/>
                <w:szCs w:val="26"/>
              </w:rPr>
              <w:t xml:space="preserve">зустріч міського голови Ігоря Поліщука та керівництва Волинської області з представниками </w:t>
            </w:r>
            <w:r>
              <w:rPr>
                <w:rFonts w:cs="Times New Roman" w:ascii="Times New Roman" w:hAnsi="Times New Roman"/>
                <w:kern w:val="0"/>
                <w:sz w:val="26"/>
                <w:szCs w:val="26"/>
                <w:lang w:bidi="ar-SA"/>
              </w:rPr>
              <w:t xml:space="preserve">Фламандського уряду Бельгії, Червоного Хреста Фландрії,  Надзвичайним і Повноважним Послом Бельгії в Україні </w:t>
            </w:r>
            <w:r>
              <w:rPr>
                <w:rFonts w:ascii="Times New Roman" w:hAnsi="Times New Roman"/>
                <w:sz w:val="26"/>
                <w:szCs w:val="26"/>
              </w:rPr>
              <w:t>(23.01.2023);</w:t>
            </w:r>
          </w:p>
          <w:p>
            <w:pPr>
              <w:pStyle w:val="Normal"/>
              <w:widowControl w:val="false"/>
              <w:spacing w:before="0" w:after="0"/>
              <w:ind w:firstLine="567"/>
              <w:contextualSpacing/>
              <w:jc w:val="both"/>
              <w:rPr>
                <w:rFonts w:ascii="Times New Roman" w:hAnsi="Times New Roman"/>
                <w:sz w:val="26"/>
                <w:szCs w:val="26"/>
              </w:rPr>
            </w:pPr>
            <w:r>
              <w:rPr>
                <w:rFonts w:ascii="Times New Roman" w:hAnsi="Times New Roman"/>
                <w:sz w:val="26"/>
                <w:szCs w:val="26"/>
              </w:rPr>
              <w:t>зустріч заступника міського голови Ірини Чебелюк із представниками структурних підрозділів міської ради, КП “Луцькводоканал” та польськими партнерами підприємства (09.02.2023);</w:t>
            </w:r>
          </w:p>
          <w:p>
            <w:pPr>
              <w:pStyle w:val="Normal"/>
              <w:widowControl w:val="false"/>
              <w:spacing w:before="0" w:after="0"/>
              <w:ind w:firstLine="567"/>
              <w:contextualSpacing/>
              <w:jc w:val="both"/>
              <w:rPr>
                <w:rFonts w:ascii="Times New Roman" w:hAnsi="Times New Roman"/>
                <w:sz w:val="26"/>
                <w:szCs w:val="26"/>
              </w:rPr>
            </w:pPr>
            <w:r>
              <w:rPr>
                <w:rFonts w:ascii="Times New Roman" w:hAnsi="Times New Roman"/>
                <w:sz w:val="26"/>
                <w:szCs w:val="26"/>
              </w:rPr>
              <w:t>участь начальника управління міжнародного співробітництва та проектної діяльності Анни Вінцюк у церемонії вручення відзнаки за реалізацію партнерського проєкту “Використання екологічних і розумних технологій у системі громадського транспорту міста Луцька”  у місті Ляйпціг, Федеративна Республіка Німеччина (09.02.2023);</w:t>
            </w:r>
          </w:p>
          <w:p>
            <w:pPr>
              <w:pStyle w:val="Normal"/>
              <w:widowControl w:val="false"/>
              <w:spacing w:before="0" w:after="0"/>
              <w:ind w:firstLine="567"/>
              <w:contextualSpacing/>
              <w:jc w:val="both"/>
              <w:rPr>
                <w:rFonts w:ascii="Times New Roman" w:hAnsi="Times New Roman"/>
                <w:sz w:val="26"/>
                <w:szCs w:val="26"/>
              </w:rPr>
            </w:pPr>
            <w:r>
              <w:rPr>
                <w:rFonts w:ascii="Times New Roman" w:hAnsi="Times New Roman"/>
                <w:sz w:val="26"/>
                <w:szCs w:val="26"/>
              </w:rPr>
              <w:t>зустріч заступника міського голови Ірини Чебелюк із делегацією з міста Жешув, Республіка Польща (02.03.2023);</w:t>
            </w:r>
          </w:p>
          <w:p>
            <w:pPr>
              <w:pStyle w:val="Normal"/>
              <w:widowControl w:val="false"/>
              <w:spacing w:before="0" w:after="0"/>
              <w:ind w:firstLine="567"/>
              <w:contextualSpacing/>
              <w:jc w:val="both"/>
              <w:rPr>
                <w:rFonts w:ascii="Times New Roman" w:hAnsi="Times New Roman"/>
                <w:sz w:val="26"/>
                <w:szCs w:val="26"/>
              </w:rPr>
            </w:pPr>
            <w:r>
              <w:rPr>
                <w:rFonts w:ascii="Times New Roman" w:hAnsi="Times New Roman"/>
                <w:sz w:val="26"/>
                <w:szCs w:val="26"/>
              </w:rPr>
              <w:t>зустріч міського голови Ігоря Поліщука з Міністром-посланником і заступником Голови Місії Посольства Франції в Україні Бенжаменом Рорігом (13.03.2023);</w:t>
            </w:r>
          </w:p>
          <w:p>
            <w:pPr>
              <w:pStyle w:val="Normal"/>
              <w:widowControl w:val="false"/>
              <w:spacing w:before="0" w:after="0"/>
              <w:ind w:firstLine="567"/>
              <w:contextualSpacing/>
              <w:jc w:val="both"/>
              <w:rPr>
                <w:rFonts w:ascii="Times New Roman" w:hAnsi="Times New Roman"/>
                <w:sz w:val="26"/>
                <w:szCs w:val="26"/>
              </w:rPr>
            </w:pPr>
            <w:r>
              <w:rPr>
                <w:rFonts w:ascii="Times New Roman" w:hAnsi="Times New Roman"/>
                <w:sz w:val="26"/>
                <w:szCs w:val="26"/>
              </w:rPr>
              <w:t>зустріч заступника міського голови Ірини Чебелюк із делегацією Замостського повіту, Республіка Польща (04.04.2023);</w:t>
            </w:r>
          </w:p>
          <w:p>
            <w:pPr>
              <w:pStyle w:val="Normal"/>
              <w:widowControl w:val="false"/>
              <w:spacing w:before="0" w:after="0"/>
              <w:ind w:firstLine="567"/>
              <w:contextualSpacing/>
              <w:jc w:val="both"/>
              <w:rPr>
                <w:rFonts w:ascii="Times New Roman" w:hAnsi="Times New Roman"/>
                <w:sz w:val="26"/>
                <w:szCs w:val="26"/>
              </w:rPr>
            </w:pPr>
            <w:r>
              <w:rPr>
                <w:rFonts w:ascii="Times New Roman" w:hAnsi="Times New Roman"/>
                <w:sz w:val="26"/>
                <w:szCs w:val="26"/>
              </w:rPr>
              <w:t>робочий візит офіційної делегації Луцької міської ради до міста Жешув, Республіка Польща  (</w:t>
            </w:r>
            <w:r>
              <w:rPr>
                <w:rFonts w:cs="Times New Roman" w:ascii="Times New Roman" w:hAnsi="Times New Roman"/>
                <w:bCs/>
                <w:kern w:val="0"/>
                <w:sz w:val="26"/>
                <w:szCs w:val="26"/>
                <w:lang w:bidi="ar-SA"/>
              </w:rPr>
              <w:t>05-07</w:t>
            </w:r>
            <w:r>
              <w:rPr>
                <w:rFonts w:ascii="Times New Roman" w:hAnsi="Times New Roman"/>
                <w:sz w:val="26"/>
                <w:szCs w:val="26"/>
              </w:rPr>
              <w:t>.04.2023);</w:t>
            </w:r>
          </w:p>
          <w:p>
            <w:pPr>
              <w:pStyle w:val="Normal"/>
              <w:widowControl w:val="false"/>
              <w:spacing w:before="0" w:after="0"/>
              <w:ind w:firstLine="567"/>
              <w:contextualSpacing/>
              <w:jc w:val="both"/>
              <w:rPr>
                <w:rFonts w:ascii="Times New Roman" w:hAnsi="Times New Roman"/>
                <w:sz w:val="26"/>
                <w:szCs w:val="26"/>
              </w:rPr>
            </w:pPr>
            <w:r>
              <w:rPr>
                <w:rFonts w:ascii="Times New Roman" w:hAnsi="Times New Roman"/>
                <w:sz w:val="26"/>
                <w:szCs w:val="26"/>
              </w:rPr>
              <w:t>зустріч заступника міського голови Ірини Чебелюк з представниками Дитячого фонду ООН (ЮНІСЕФ) (</w:t>
            </w:r>
            <w:r>
              <w:rPr>
                <w:rFonts w:ascii="Times New Roman" w:hAnsi="Times New Roman"/>
                <w:sz w:val="26"/>
                <w:szCs w:val="26"/>
                <w:lang w:val="ru-RU"/>
              </w:rPr>
              <w:t>13</w:t>
            </w:r>
            <w:r>
              <w:rPr>
                <w:rFonts w:ascii="Times New Roman" w:hAnsi="Times New Roman"/>
                <w:sz w:val="26"/>
                <w:szCs w:val="26"/>
              </w:rPr>
              <w:t>.04.2023);</w:t>
            </w:r>
          </w:p>
          <w:p>
            <w:pPr>
              <w:pStyle w:val="Normal"/>
              <w:widowControl w:val="false"/>
              <w:spacing w:before="0" w:after="0"/>
              <w:ind w:firstLine="567"/>
              <w:contextualSpacing/>
              <w:jc w:val="both"/>
              <w:rPr>
                <w:rFonts w:ascii="Times New Roman" w:hAnsi="Times New Roman"/>
                <w:sz w:val="26"/>
                <w:szCs w:val="26"/>
              </w:rPr>
            </w:pPr>
            <w:r>
              <w:rPr>
                <w:rFonts w:ascii="Times New Roman" w:hAnsi="Times New Roman"/>
                <w:sz w:val="26"/>
                <w:szCs w:val="26"/>
              </w:rPr>
              <w:t>онлайн зустріч міського голови Ігоря Поліщука з міським головою німецького міста Швайнфурт, Федеративна Республіка Німеччина (03.05.2023);</w:t>
            </w:r>
          </w:p>
          <w:p>
            <w:pPr>
              <w:pStyle w:val="Normal"/>
              <w:widowControl w:val="false"/>
              <w:spacing w:before="0" w:after="0"/>
              <w:ind w:firstLine="567"/>
              <w:contextualSpacing/>
              <w:jc w:val="both"/>
              <w:rPr>
                <w:rFonts w:ascii="Times New Roman" w:hAnsi="Times New Roman"/>
                <w:sz w:val="26"/>
                <w:szCs w:val="26"/>
              </w:rPr>
            </w:pPr>
            <w:r>
              <w:rPr>
                <w:rFonts w:ascii="Times New Roman" w:hAnsi="Times New Roman"/>
                <w:sz w:val="26"/>
                <w:szCs w:val="26"/>
              </w:rPr>
              <w:t xml:space="preserve">робочий візит </w:t>
            </w:r>
            <w:r>
              <w:rPr>
                <w:rFonts w:cs="Times New Roman" w:ascii="Times New Roman" w:hAnsi="Times New Roman"/>
                <w:bCs/>
                <w:kern w:val="0"/>
                <w:sz w:val="26"/>
                <w:szCs w:val="26"/>
                <w:lang w:bidi="ar-SA"/>
              </w:rPr>
              <w:t xml:space="preserve">представників управління міжнародного співробітництва та проектної діяльності </w:t>
            </w:r>
            <w:r>
              <w:rPr>
                <w:rFonts w:ascii="Times New Roman" w:hAnsi="Times New Roman"/>
                <w:sz w:val="26"/>
                <w:szCs w:val="26"/>
              </w:rPr>
              <w:t>до міста Рівне з метою участі у Д</w:t>
            </w:r>
            <w:r>
              <w:rPr>
                <w:rFonts w:cs="Times New Roman" w:ascii="Times New Roman" w:hAnsi="Times New Roman"/>
                <w:bCs/>
                <w:kern w:val="0"/>
                <w:sz w:val="26"/>
                <w:szCs w:val="26"/>
                <w:lang w:bidi="ar-SA"/>
              </w:rPr>
              <w:t>ні</w:t>
            </w:r>
            <w:r>
              <w:rPr>
                <w:rFonts w:ascii="Times New Roman" w:hAnsi="Times New Roman"/>
                <w:sz w:val="26"/>
                <w:szCs w:val="26"/>
              </w:rPr>
              <w:t xml:space="preserve"> транскордонного партнерства та представлення міжнародних проєктів  Луцька (24.05.2023);</w:t>
            </w:r>
          </w:p>
          <w:p>
            <w:pPr>
              <w:pStyle w:val="Normal"/>
              <w:widowControl w:val="false"/>
              <w:spacing w:before="0" w:after="0"/>
              <w:ind w:firstLine="567"/>
              <w:contextualSpacing/>
              <w:jc w:val="both"/>
              <w:rPr>
                <w:rFonts w:ascii="Times New Roman" w:hAnsi="Times New Roman"/>
                <w:sz w:val="26"/>
                <w:szCs w:val="26"/>
              </w:rPr>
            </w:pPr>
            <w:r>
              <w:rPr>
                <w:rFonts w:ascii="Times New Roman" w:hAnsi="Times New Roman"/>
                <w:sz w:val="26"/>
                <w:szCs w:val="26"/>
              </w:rPr>
              <w:t xml:space="preserve">зустріч заступника міського голови Ірини Чебелюк із представниками міжнародної благодійної організації Alps Resilience, головний офіс якої розміщений у </w:t>
            </w:r>
            <w:r>
              <w:rPr>
                <w:rFonts w:cs="Courier New" w:ascii="Times New Roman" w:hAnsi="Times New Roman"/>
                <w:sz w:val="26"/>
                <w:szCs w:val="26"/>
              </w:rPr>
              <w:t>Південно-Африканській Республіці</w:t>
            </w:r>
            <w:r>
              <w:rPr>
                <w:rFonts w:ascii="Times New Roman" w:hAnsi="Times New Roman"/>
                <w:sz w:val="26"/>
                <w:szCs w:val="26"/>
              </w:rPr>
              <w:t xml:space="preserve">  (29.05.2023) тощо.</w:t>
            </w:r>
          </w:p>
        </w:tc>
      </w:tr>
      <w:tr>
        <w:trPr>
          <w:trHeight w:val="453"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5.</w:t>
            </w:r>
          </w:p>
        </w:tc>
        <w:tc>
          <w:tcPr>
            <w:tcW w:w="3704" w:type="dxa"/>
            <w:tcBorders>
              <w:top w:val="single" w:sz="4" w:space="0" w:color="000000"/>
              <w:left w:val="single" w:sz="4" w:space="0" w:color="000000"/>
              <w:bottom w:val="single" w:sz="4" w:space="0" w:color="000000"/>
            </w:tcBorders>
          </w:tcPr>
          <w:p>
            <w:pPr>
              <w:pStyle w:val="Normal"/>
              <w:widowControl w:val="false"/>
              <w:tabs>
                <w:tab w:val="clear" w:pos="708"/>
                <w:tab w:val="left" w:pos="360" w:leader="none"/>
                <w:tab w:val="left" w:pos="900" w:leader="none"/>
              </w:tabs>
              <w:jc w:val="both"/>
              <w:rPr>
                <w:rFonts w:ascii="Times New Roman" w:hAnsi="Times New Roman"/>
                <w:sz w:val="26"/>
                <w:szCs w:val="26"/>
              </w:rPr>
            </w:pPr>
            <w:r>
              <w:rPr>
                <w:rFonts w:cs="Times New Roman" w:ascii="Times New Roman" w:hAnsi="Times New Roman"/>
                <w:sz w:val="26"/>
                <w:szCs w:val="26"/>
                <w:shd w:fill="FFFFFF" w:val="clear"/>
              </w:rPr>
              <w:t>Надання методичної та організаційної підтримки виконавчим органам міської ради у здійсненні міждержавних зв’язків та забезпечення офіційної</w:t>
            </w:r>
            <w:r>
              <w:rPr>
                <w:rFonts w:cs="Times New Roman" w:ascii="Times New Roman" w:hAnsi="Times New Roman"/>
                <w:sz w:val="26"/>
                <w:szCs w:val="26"/>
              </w:rPr>
              <w:t xml:space="preserve"> ділової комунікації з дипломатичними представництвами іноземних держав і міжнародних організацій в Україні.</w:t>
            </w:r>
          </w:p>
        </w:tc>
        <w:tc>
          <w:tcPr>
            <w:tcW w:w="1095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bCs/>
                <w:color w:val="000000"/>
                <w:kern w:val="0"/>
                <w:sz w:val="26"/>
                <w:szCs w:val="26"/>
                <w:lang w:bidi="ar-SA"/>
              </w:rPr>
              <w:t>Ведеться</w:t>
            </w:r>
            <w:r>
              <w:rPr>
                <w:rFonts w:cs="Times New Roman" w:ascii="Times New Roman" w:hAnsi="Times New Roman"/>
                <w:bCs/>
                <w:color w:val="000000"/>
                <w:kern w:val="0"/>
                <w:sz w:val="26"/>
                <w:szCs w:val="26"/>
              </w:rPr>
              <w:t xml:space="preserve"> поточна координація та консультування виконавчих органів міської ради під час здійснення ними міжнародної діяльності.</w:t>
            </w:r>
          </w:p>
          <w:p>
            <w:pPr>
              <w:pStyle w:val="Normal"/>
              <w:widowControl w:val="false"/>
              <w:ind w:firstLine="567"/>
              <w:jc w:val="both"/>
              <w:rPr>
                <w:rFonts w:ascii="Times New Roman" w:hAnsi="Times New Roman"/>
                <w:sz w:val="26"/>
                <w:szCs w:val="26"/>
              </w:rPr>
            </w:pPr>
            <w:r>
              <w:rPr>
                <w:rFonts w:cs="Times New Roman" w:ascii="Times New Roman" w:hAnsi="Times New Roman"/>
                <w:bCs/>
                <w:color w:val="000000"/>
                <w:kern w:val="0"/>
                <w:sz w:val="26"/>
                <w:szCs w:val="26"/>
                <w:lang w:bidi="ar-SA"/>
              </w:rPr>
              <w:t xml:space="preserve">Здійснюється </w:t>
            </w:r>
            <w:r>
              <w:rPr>
                <w:rFonts w:cs="Times New Roman" w:ascii="Times New Roman" w:hAnsi="Times New Roman"/>
                <w:bCs/>
                <w:color w:val="000000"/>
                <w:kern w:val="0"/>
                <w:sz w:val="26"/>
                <w:szCs w:val="26"/>
              </w:rPr>
              <w:t>офіційн</w:t>
            </w:r>
            <w:r>
              <w:rPr>
                <w:rFonts w:cs="Times New Roman" w:ascii="Times New Roman" w:hAnsi="Times New Roman"/>
                <w:bCs/>
                <w:color w:val="000000"/>
                <w:kern w:val="0"/>
                <w:sz w:val="26"/>
                <w:szCs w:val="26"/>
                <w:lang w:bidi="ar-SA"/>
              </w:rPr>
              <w:t xml:space="preserve">а </w:t>
            </w:r>
            <w:r>
              <w:rPr>
                <w:rFonts w:cs="Times New Roman" w:ascii="Times New Roman" w:hAnsi="Times New Roman"/>
                <w:bCs/>
                <w:color w:val="000000"/>
                <w:kern w:val="0"/>
                <w:sz w:val="26"/>
                <w:szCs w:val="26"/>
              </w:rPr>
              <w:t>ділов</w:t>
            </w:r>
            <w:r>
              <w:rPr>
                <w:rFonts w:cs="Times New Roman" w:ascii="Times New Roman" w:hAnsi="Times New Roman"/>
                <w:bCs/>
                <w:color w:val="000000"/>
                <w:kern w:val="0"/>
                <w:sz w:val="26"/>
                <w:szCs w:val="26"/>
                <w:lang w:bidi="ar-SA"/>
              </w:rPr>
              <w:t xml:space="preserve">а </w:t>
            </w:r>
            <w:r>
              <w:rPr>
                <w:rFonts w:cs="Times New Roman" w:ascii="Times New Roman" w:hAnsi="Times New Roman"/>
                <w:bCs/>
                <w:color w:val="000000"/>
                <w:kern w:val="0"/>
                <w:sz w:val="26"/>
                <w:szCs w:val="26"/>
              </w:rPr>
              <w:t>комунікаці</w:t>
            </w:r>
            <w:r>
              <w:rPr>
                <w:rFonts w:cs="Times New Roman" w:ascii="Times New Roman" w:hAnsi="Times New Roman"/>
                <w:bCs/>
                <w:color w:val="000000"/>
                <w:kern w:val="0"/>
                <w:sz w:val="26"/>
                <w:szCs w:val="26"/>
                <w:lang w:bidi="ar-SA"/>
              </w:rPr>
              <w:t>я</w:t>
            </w:r>
            <w:r>
              <w:rPr>
                <w:rFonts w:cs="Times New Roman" w:ascii="Times New Roman" w:hAnsi="Times New Roman"/>
                <w:bCs/>
                <w:color w:val="000000"/>
                <w:kern w:val="0"/>
                <w:sz w:val="26"/>
                <w:szCs w:val="26"/>
              </w:rPr>
              <w:t xml:space="preserve"> з закордонними партнерами та дипломатичними представництвами.</w:t>
            </w:r>
          </w:p>
        </w:tc>
      </w:tr>
      <w:tr>
        <w:trPr>
          <w:trHeight w:val="453"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6.</w:t>
            </w:r>
          </w:p>
        </w:tc>
        <w:tc>
          <w:tcPr>
            <w:tcW w:w="3704" w:type="dxa"/>
            <w:tcBorders>
              <w:top w:val="single" w:sz="4" w:space="0" w:color="000000"/>
              <w:left w:val="single" w:sz="4" w:space="0" w:color="000000"/>
              <w:bottom w:val="single" w:sz="4" w:space="0" w:color="000000"/>
            </w:tcBorders>
          </w:tcPr>
          <w:p>
            <w:pPr>
              <w:pStyle w:val="Normal"/>
              <w:widowControl w:val="false"/>
              <w:tabs>
                <w:tab w:val="clear" w:pos="708"/>
                <w:tab w:val="left" w:pos="0" w:leader="none"/>
              </w:tabs>
              <w:jc w:val="both"/>
              <w:rPr>
                <w:rFonts w:ascii="Times New Roman" w:hAnsi="Times New Roman"/>
                <w:sz w:val="26"/>
                <w:szCs w:val="26"/>
              </w:rPr>
            </w:pPr>
            <w:r>
              <w:rPr>
                <w:rFonts w:cs="Times New Roman" w:ascii="Times New Roman" w:hAnsi="Times New Roman"/>
                <w:sz w:val="26"/>
                <w:szCs w:val="26"/>
              </w:rPr>
              <w:t xml:space="preserve">Проведення інформаційно-просвітницьких заходів до Дня Європи в Луцькій міській територіальній громаді, в тому числі </w:t>
            </w:r>
            <w:r>
              <w:rPr>
                <w:rFonts w:cs="Times New Roman" w:ascii="Times New Roman" w:hAnsi="Times New Roman"/>
                <w:sz w:val="26"/>
                <w:szCs w:val="26"/>
                <w:shd w:fill="FFFFFF" w:val="clear"/>
              </w:rPr>
              <w:t xml:space="preserve">за участі запрошених </w:t>
            </w:r>
            <w:r>
              <w:rPr>
                <w:rFonts w:cs="Times New Roman" w:ascii="Times New Roman" w:hAnsi="Times New Roman"/>
                <w:sz w:val="26"/>
                <w:szCs w:val="26"/>
              </w:rPr>
              <w:t>делегацій з дружніх та партнерських міст з-за кордону.</w:t>
            </w:r>
          </w:p>
        </w:tc>
        <w:tc>
          <w:tcPr>
            <w:tcW w:w="1095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color w:val="000000"/>
                <w:kern w:val="0"/>
                <w:sz w:val="26"/>
                <w:szCs w:val="26"/>
                <w:lang w:bidi="ar-SA"/>
              </w:rPr>
              <w:t>Заходи до Дня Європи, в тому числі за участі партнерських міст, не проводилися.</w:t>
            </w:r>
          </w:p>
        </w:tc>
      </w:tr>
      <w:tr>
        <w:trPr>
          <w:trHeight w:val="453"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7.</w:t>
            </w:r>
          </w:p>
        </w:tc>
        <w:tc>
          <w:tcPr>
            <w:tcW w:w="3704" w:type="dxa"/>
            <w:tcBorders>
              <w:top w:val="single" w:sz="4" w:space="0" w:color="000000"/>
              <w:left w:val="single" w:sz="4" w:space="0" w:color="000000"/>
              <w:bottom w:val="single" w:sz="4" w:space="0" w:color="000000"/>
            </w:tcBorders>
          </w:tcPr>
          <w:p>
            <w:pPr>
              <w:pStyle w:val="Normal"/>
              <w:widowControl w:val="false"/>
              <w:tabs>
                <w:tab w:val="clear" w:pos="708"/>
                <w:tab w:val="left" w:pos="360" w:leader="none"/>
                <w:tab w:val="left" w:pos="900" w:leader="none"/>
              </w:tabs>
              <w:jc w:val="both"/>
              <w:rPr>
                <w:rFonts w:ascii="Times New Roman" w:hAnsi="Times New Roman"/>
                <w:sz w:val="26"/>
                <w:szCs w:val="26"/>
              </w:rPr>
            </w:pPr>
            <w:r>
              <w:rPr>
                <w:rFonts w:cs="Times New Roman" w:ascii="Times New Roman" w:hAnsi="Times New Roman"/>
                <w:sz w:val="26"/>
                <w:szCs w:val="26"/>
              </w:rPr>
              <w:t>Поширення інформації серед потенційних учасників грантових програм (закладів освіти, охорони здоров’я, комунальних підприємств, громадських організацій, підприємців тощо) про актуальні конкурси проєктів міжнародної технічної допомоги, які проводять донорські організації, шляхом публікацій на офіційному сайті міської ради, на сторінці управління міжнародного співробітництва та проектної діяльності у соціальних мережах, електронної розсилки тощо.</w:t>
            </w:r>
          </w:p>
        </w:tc>
        <w:tc>
          <w:tcPr>
            <w:tcW w:w="1095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bCs/>
                <w:kern w:val="0"/>
                <w:sz w:val="26"/>
                <w:szCs w:val="26"/>
                <w:lang w:bidi="ar-SA"/>
              </w:rPr>
              <w:t>Проводиться</w:t>
            </w:r>
            <w:r>
              <w:rPr>
                <w:rFonts w:ascii="Times New Roman" w:hAnsi="Times New Roman"/>
                <w:sz w:val="26"/>
                <w:szCs w:val="26"/>
              </w:rPr>
              <w:t xml:space="preserve"> регулярний моніторинг інформаційних ресурсів </w:t>
            </w:r>
            <w:r>
              <w:rPr>
                <w:rFonts w:cs="Times New Roman" w:ascii="Times New Roman" w:hAnsi="Times New Roman"/>
                <w:bCs/>
                <w:kern w:val="0"/>
                <w:sz w:val="26"/>
                <w:szCs w:val="26"/>
                <w:lang w:bidi="ar-SA"/>
              </w:rPr>
              <w:t xml:space="preserve">щодо </w:t>
            </w:r>
            <w:r>
              <w:rPr>
                <w:rFonts w:ascii="Times New Roman" w:hAnsi="Times New Roman"/>
                <w:sz w:val="26"/>
                <w:szCs w:val="26"/>
              </w:rPr>
              <w:t>наявності актуальних конкурсів, які проводять донорські організації.</w:t>
            </w:r>
          </w:p>
          <w:p>
            <w:pPr>
              <w:pStyle w:val="Normal"/>
              <w:widowControl w:val="false"/>
              <w:ind w:firstLine="567"/>
              <w:jc w:val="both"/>
              <w:rPr>
                <w:rFonts w:ascii="Times New Roman" w:hAnsi="Times New Roman"/>
                <w:sz w:val="26"/>
                <w:szCs w:val="26"/>
              </w:rPr>
            </w:pPr>
            <w:r>
              <w:rPr>
                <w:rFonts w:cs="Times New Roman" w:ascii="Times New Roman" w:hAnsi="Times New Roman"/>
                <w:bCs/>
                <w:kern w:val="0"/>
                <w:sz w:val="26"/>
                <w:szCs w:val="26"/>
                <w:lang w:bidi="ar-SA"/>
              </w:rPr>
              <w:t>Здійснюється</w:t>
            </w:r>
            <w:r>
              <w:rPr>
                <w:rFonts w:cs="Times New Roman" w:ascii="Times New Roman" w:hAnsi="Times New Roman"/>
                <w:sz w:val="26"/>
                <w:szCs w:val="26"/>
              </w:rPr>
              <w:t xml:space="preserve"> інформування виконавчих органів, комунальних підприємств і закладів шляхом надсилання інформаційних листів, електронної розсилки, поширення інформації на сторінці управління міжнародного співробітництва та проектної діяльності </w:t>
            </w:r>
            <w:r>
              <w:rPr>
                <w:rFonts w:cs="Times New Roman" w:ascii="Times New Roman" w:hAnsi="Times New Roman"/>
                <w:bCs/>
                <w:kern w:val="0"/>
                <w:sz w:val="26"/>
                <w:szCs w:val="26"/>
                <w:lang w:bidi="ar-SA"/>
              </w:rPr>
              <w:t>в</w:t>
            </w:r>
            <w:r>
              <w:rPr>
                <w:rFonts w:cs="Times New Roman" w:ascii="Times New Roman" w:hAnsi="Times New Roman"/>
                <w:sz w:val="26"/>
                <w:szCs w:val="26"/>
              </w:rPr>
              <w:t xml:space="preserve"> мережі «</w:t>
            </w:r>
            <w:r>
              <w:rPr>
                <w:rFonts w:cs="Times New Roman" w:ascii="Times New Roman" w:hAnsi="Times New Roman"/>
                <w:sz w:val="26"/>
                <w:szCs w:val="26"/>
                <w:lang w:val="pl-PL"/>
              </w:rPr>
              <w:t>Facebook</w:t>
            </w:r>
            <w:r>
              <w:rPr>
                <w:rFonts w:cs="Times New Roman" w:ascii="Times New Roman" w:hAnsi="Times New Roman"/>
                <w:sz w:val="26"/>
                <w:szCs w:val="26"/>
              </w:rPr>
              <w:t>».</w:t>
            </w:r>
          </w:p>
        </w:tc>
      </w:tr>
      <w:tr>
        <w:trPr>
          <w:trHeight w:val="453"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8.</w:t>
            </w:r>
          </w:p>
        </w:tc>
        <w:tc>
          <w:tcPr>
            <w:tcW w:w="3704" w:type="dxa"/>
            <w:tcBorders>
              <w:top w:val="single" w:sz="4" w:space="0" w:color="000000"/>
              <w:left w:val="single" w:sz="4" w:space="0" w:color="000000"/>
              <w:bottom w:val="single" w:sz="4" w:space="0" w:color="000000"/>
            </w:tcBorders>
          </w:tcPr>
          <w:p>
            <w:pPr>
              <w:pStyle w:val="Normal"/>
              <w:widowControl w:val="false"/>
              <w:tabs>
                <w:tab w:val="clear" w:pos="708"/>
                <w:tab w:val="left" w:pos="360" w:leader="none"/>
                <w:tab w:val="left" w:pos="900" w:leader="none"/>
              </w:tabs>
              <w:jc w:val="both"/>
              <w:rPr>
                <w:rFonts w:ascii="Times New Roman" w:hAnsi="Times New Roman" w:cs="Times New Roman"/>
                <w:sz w:val="26"/>
                <w:szCs w:val="26"/>
              </w:rPr>
            </w:pPr>
            <w:r>
              <w:rPr>
                <w:rFonts w:cs="Times New Roman" w:ascii="Times New Roman" w:hAnsi="Times New Roman"/>
                <w:sz w:val="26"/>
                <w:szCs w:val="26"/>
              </w:rPr>
              <w:t>Ведення англомовної версії офіційного сайту Луцької міської ради.</w:t>
            </w:r>
          </w:p>
        </w:tc>
        <w:tc>
          <w:tcPr>
            <w:tcW w:w="10955" w:type="dxa"/>
            <w:tcBorders>
              <w:top w:val="single" w:sz="4" w:space="0" w:color="000000"/>
              <w:left w:val="single" w:sz="4" w:space="0" w:color="000000"/>
              <w:bottom w:val="single" w:sz="4" w:space="0" w:color="000000"/>
              <w:right w:val="single" w:sz="4" w:space="0" w:color="000000"/>
            </w:tcBorders>
          </w:tcPr>
          <w:p>
            <w:pPr>
              <w:pStyle w:val="Normal"/>
              <w:widowControl w:val="false"/>
              <w:ind w:firstLine="680"/>
              <w:jc w:val="both"/>
              <w:rPr>
                <w:rFonts w:ascii="Times New Roman" w:hAnsi="Times New Roman" w:cs="Times New Roman"/>
                <w:sz w:val="26"/>
                <w:szCs w:val="26"/>
              </w:rPr>
            </w:pPr>
            <w:r>
              <w:rPr>
                <w:rFonts w:cs="Times New Roman" w:ascii="Times New Roman" w:hAnsi="Times New Roman"/>
                <w:sz w:val="26"/>
                <w:szCs w:val="26"/>
              </w:rPr>
              <w:t>Здійснюється переклад актуальної інформації на офіційному сайті Луцької міської ради з української мови на англійську.</w:t>
            </w:r>
          </w:p>
        </w:tc>
      </w:tr>
    </w:tbl>
    <w:p>
      <w:pPr>
        <w:pStyle w:val="Normal"/>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spacing w:lineRule="auto" w:line="360"/>
        <w:jc w:val="center"/>
        <w:rPr>
          <w:rFonts w:ascii="Times New Roman" w:hAnsi="Times New Roman"/>
          <w:sz w:val="26"/>
          <w:szCs w:val="26"/>
        </w:rPr>
      </w:pPr>
      <w:r>
        <w:rPr>
          <w:rFonts w:cs="Times New Roman" w:ascii="Times New Roman" w:hAnsi="Times New Roman"/>
          <w:b/>
          <w:bCs/>
          <w:sz w:val="26"/>
          <w:szCs w:val="26"/>
        </w:rPr>
        <w:t>3.1.8. Система надання адміністративних послуг. Електронне урядування.</w:t>
      </w:r>
    </w:p>
    <w:tbl>
      <w:tblPr>
        <w:tblW w:w="15401" w:type="dxa"/>
        <w:jc w:val="left"/>
        <w:tblInd w:w="158" w:type="dxa"/>
        <w:tblLayout w:type="fixed"/>
        <w:tblCellMar>
          <w:top w:w="0" w:type="dxa"/>
          <w:left w:w="108" w:type="dxa"/>
          <w:bottom w:w="0" w:type="dxa"/>
          <w:right w:w="108" w:type="dxa"/>
        </w:tblCellMar>
        <w:tblLook w:firstRow="0" w:noVBand="0" w:lastRow="0" w:firstColumn="0" w:lastColumn="0" w:noHBand="0" w:val="0000"/>
      </w:tblPr>
      <w:tblGrid>
        <w:gridCol w:w="625"/>
        <w:gridCol w:w="3719"/>
        <w:gridCol w:w="11057"/>
      </w:tblGrid>
      <w:tr>
        <w:trPr>
          <w:trHeight w:val="615"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bCs/>
                <w:sz w:val="26"/>
                <w:szCs w:val="26"/>
              </w:rPr>
              <w:t xml:space="preserve">№ </w:t>
            </w:r>
            <w:r>
              <w:rPr>
                <w:rFonts w:cs="Times New Roman" w:ascii="Times New Roman" w:hAnsi="Times New Roman"/>
                <w:bCs/>
                <w:sz w:val="26"/>
                <w:szCs w:val="26"/>
              </w:rPr>
              <w:t>з/п</w:t>
            </w:r>
          </w:p>
        </w:tc>
        <w:tc>
          <w:tcPr>
            <w:tcW w:w="3719"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Назва заходів</w:t>
            </w:r>
          </w:p>
        </w:tc>
        <w:tc>
          <w:tcPr>
            <w:tcW w:w="1105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Стан виконання заходів</w:t>
            </w:r>
          </w:p>
        </w:tc>
      </w:tr>
      <w:tr>
        <w:trPr>
          <w:trHeight w:val="615"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t>1.</w:t>
            </w:r>
          </w:p>
        </w:tc>
        <w:tc>
          <w:tcPr>
            <w:tcW w:w="3719"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sz w:val="26"/>
                <w:szCs w:val="26"/>
              </w:rPr>
            </w:pPr>
            <w:r>
              <w:rPr>
                <w:rFonts w:ascii="Times New Roman" w:hAnsi="Times New Roman"/>
                <w:color w:val="auto"/>
                <w:sz w:val="26"/>
                <w:szCs w:val="26"/>
              </w:rPr>
              <w:t>Впровадження нових та прогресивних законодавчих ініціатив, з метою спрощення процедури отримання адміністративних послуг.</w:t>
            </w:r>
          </w:p>
        </w:tc>
        <w:tc>
          <w:tcPr>
            <w:tcW w:w="110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ЦНАП міста Луцька постійно працює над удосконаленням надання публічних послуг, проводить роботу з вивчення нормативно-правової бази в сфері надання адмінпослуг та регулярного розгляду практичних аспектів їх надання. Працівники департаменту залучались до розробок нормативно-правових актів у сфері надання адміністративних послуг, приймали участь у засіданнях Комітету Верховної ради України з питань організації державної влади, місцевого самоврядування, регіонального розвитку та містобудування та Міністерства цифрової трансформації, тощо. Досвід ЦНАП використано в підготовці вебінарів для персоналу ЦНАП України та розробленні курсу «Як надавати адміністративні послуги».</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Директор ЦНАП у червні цього року взяла участь у Конгресових слуханнях щодо викликів та можливостей ефективного здійснення окремих повноважень у сфері державної реєстрації актів цивільного стану (ДРАЦС) органами місцевого самоврядування.</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Команда є постійним учасником пілотних проєктів впровадження новаторських підходів до організації надання адміністративних послуг всебічних напрямків, різноманітних електронних сервісів, цифрових технологій, тощо. В рамках реалізації Програми EGAP впроваджено чат-бот СВОЇ для комунікації з мешканцями громади під час отримання адміністративних послуг.</w:t>
            </w:r>
          </w:p>
        </w:tc>
      </w:tr>
      <w:tr>
        <w:trPr>
          <w:trHeight w:val="615"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t>2.</w:t>
            </w:r>
          </w:p>
        </w:tc>
        <w:tc>
          <w:tcPr>
            <w:tcW w:w="3719"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sz w:val="26"/>
                <w:szCs w:val="26"/>
              </w:rPr>
            </w:pPr>
            <w:r>
              <w:rPr>
                <w:rFonts w:ascii="Times New Roman" w:hAnsi="Times New Roman"/>
                <w:color w:val="auto"/>
                <w:sz w:val="26"/>
                <w:szCs w:val="26"/>
              </w:rPr>
              <w:t>Забезпечення високого рівня обслуговування, шляхом дотримання затверджених стандартів надання адміністративних послуг.</w:t>
            </w:r>
          </w:p>
        </w:tc>
        <w:tc>
          <w:tcPr>
            <w:tcW w:w="110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Фронт офіс ЦНАП це частина команди підтримки Дія. З метою залучення мешканців громади до користування е-сервісами, на сьогодні:</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функціонує вільне робоче місце для відвідувачів із загальним доступом до послуг та порталу Дія;</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встановлено сканери QR та штрих кодів з мобільного застосунку ДІЯ для зчитування, верифікації та шерінгу документів;</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створено можливість попереднього електронного запису на послуги ЦНАП у мобільному додатку PQService (на період дії воєнного стану не функціонує).</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Адміністраторами ЦНАП, в рамках навчання населення цифрової грамотності та популяризація електронних послуг, надається консультативна та практична допомога відвідувачам в створенні власного цифрового підпису та особистого кабінету, або електронної поштової скриньки, завантаженні документів на порталі ДІЯ через мобільний додаток, отриманні послуг у застосунку ДІЯ, подачі документів на адміністративні послуги онлайн тощо. Окрім того, завдячуючи участі у проєкті «Енергонезалежні ЦНАПи» українсько-швейцарської Програми EGAP Луцький ЦНАП отримав від міжнародних партнерів сонячні панелі з інверторами та перейшов на альтернативні джерела живлення, що убезпечує його роботу.</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3.</w:t>
            </w:r>
          </w:p>
        </w:tc>
        <w:tc>
          <w:tcPr>
            <w:tcW w:w="3719"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sz w:val="26"/>
                <w:szCs w:val="26"/>
              </w:rPr>
            </w:pPr>
            <w:r>
              <w:rPr>
                <w:rFonts w:cs="Times New Roman" w:ascii="Times New Roman" w:hAnsi="Times New Roman"/>
                <w:color w:val="auto"/>
                <w:sz w:val="26"/>
                <w:szCs w:val="26"/>
              </w:rPr>
              <w:t>Приєднання до єдиного інформаційно-телекомунікаційного простору виконавчих органів міської ради, установ, організацій та закладів, які беруть участь у процесах життєдіяльності громади.</w:t>
            </w:r>
          </w:p>
        </w:tc>
        <w:tc>
          <w:tcPr>
            <w:tcW w:w="110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kern w:val="0"/>
                <w:sz w:val="26"/>
                <w:szCs w:val="26"/>
                <w:lang w:eastAsia="en-US" w:bidi="ar-SA"/>
              </w:rPr>
              <w:t>Виконавчі органи міської ради забезпечені надійними каналами Інтернет-зв’язку, що дає можливість працювати із загальними ресурсами та сервісами. Особливо важливо підтримувати надійний інтернет-зв’язок в умовах воєнного стану. Всі об’єкти, які потребували забезпечення інтернет-зв’язком, були ним забезпечено.</w:t>
            </w:r>
          </w:p>
          <w:p>
            <w:pPr>
              <w:pStyle w:val="Normal"/>
              <w:widowControl w:val="false"/>
              <w:ind w:firstLine="567"/>
              <w:jc w:val="both"/>
              <w:rPr>
                <w:rFonts w:ascii="Times New Roman" w:hAnsi="Times New Roman"/>
                <w:sz w:val="26"/>
                <w:szCs w:val="26"/>
              </w:rPr>
            </w:pPr>
            <w:r>
              <w:rPr>
                <w:rFonts w:ascii="Times New Roman" w:hAnsi="Times New Roman"/>
                <w:kern w:val="0"/>
                <w:sz w:val="26"/>
                <w:szCs w:val="26"/>
                <w:lang w:eastAsia="en-US" w:bidi="ar-SA"/>
              </w:rPr>
              <w:t>Спільний робочий простір забезпечується підтримкою сервісу АСКОД та внутрішньої мережі міської ради.</w:t>
            </w:r>
          </w:p>
        </w:tc>
      </w:tr>
      <w:tr>
        <w:trPr>
          <w:trHeight w:val="1550"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4.</w:t>
            </w:r>
          </w:p>
        </w:tc>
        <w:tc>
          <w:tcPr>
            <w:tcW w:w="3719"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sz w:val="26"/>
                <w:szCs w:val="26"/>
              </w:rPr>
            </w:pPr>
            <w:r>
              <w:rPr>
                <w:rFonts w:cs="Times New Roman" w:ascii="Times New Roman" w:hAnsi="Times New Roman"/>
                <w:color w:val="auto"/>
                <w:sz w:val="26"/>
                <w:szCs w:val="26"/>
              </w:rPr>
              <w:t>Розвиток та широке впровадження засобів забезпечення віддаленого доступу до відкритої інформації.</w:t>
            </w:r>
          </w:p>
        </w:tc>
        <w:tc>
          <w:tcPr>
            <w:tcW w:w="110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kern w:val="0"/>
                <w:sz w:val="26"/>
                <w:szCs w:val="26"/>
                <w:lang w:eastAsia="en-US" w:bidi="ar-SA"/>
              </w:rPr>
              <w:t>Забезпечення віддаленого доступу до відкритої інформації здійснюється за допомогою підтримки та розвитку порталу відкритих даних Луцька та сайту Луцької міської ради.</w:t>
            </w:r>
          </w:p>
        </w:tc>
      </w:tr>
      <w:tr>
        <w:trPr>
          <w:trHeight w:val="453"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5.</w:t>
            </w:r>
          </w:p>
        </w:tc>
        <w:tc>
          <w:tcPr>
            <w:tcW w:w="3719"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sz w:val="26"/>
                <w:szCs w:val="26"/>
              </w:rPr>
            </w:pPr>
            <w:r>
              <w:rPr>
                <w:rFonts w:cs="Times New Roman" w:ascii="Times New Roman" w:hAnsi="Times New Roman"/>
                <w:color w:val="auto"/>
                <w:sz w:val="26"/>
                <w:szCs w:val="26"/>
              </w:rPr>
              <w:t>Впровадження елементів концепції Smart City: технології інтегруються у відповідні структури, щоб підвищити якість надання послуг, зменшити вартість та</w:t>
            </w:r>
            <w:r>
              <w:rPr>
                <w:rFonts w:ascii="Times New Roman" w:hAnsi="Times New Roman"/>
                <w:color w:val="auto"/>
                <w:sz w:val="26"/>
                <w:szCs w:val="26"/>
              </w:rPr>
              <w:t xml:space="preserve"> споживання ресурсів, поліпшити комунікацію і порозуміння з громадою.</w:t>
            </w:r>
          </w:p>
        </w:tc>
        <w:tc>
          <w:tcPr>
            <w:tcW w:w="110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kern w:val="0"/>
                <w:sz w:val="26"/>
                <w:szCs w:val="26"/>
                <w:lang w:eastAsia="en-US" w:bidi="ar-SA"/>
              </w:rPr>
              <w:t>Шляхи комунікації із громадою вдосконалюються за допомогою сучасних технологій, зокрема покращена взаємодія з мешканцями громади через контакт-центр, месенджери та сервіси на офіційному сайті міської ради. Створений транспортний портал для зручності користувачів громадського транспорту Луцької міської громади.</w:t>
            </w:r>
          </w:p>
          <w:p>
            <w:pPr>
              <w:pStyle w:val="Normal"/>
              <w:widowControl w:val="false"/>
              <w:ind w:firstLine="567"/>
              <w:jc w:val="both"/>
              <w:rPr>
                <w:rFonts w:ascii="Times New Roman" w:hAnsi="Times New Roman"/>
                <w:sz w:val="26"/>
                <w:szCs w:val="26"/>
              </w:rPr>
            </w:pPr>
            <w:r>
              <w:rPr>
                <w:rFonts w:ascii="Times New Roman" w:hAnsi="Times New Roman"/>
                <w:kern w:val="0"/>
                <w:sz w:val="26"/>
                <w:szCs w:val="26"/>
                <w:lang w:eastAsia="en-US" w:bidi="ar-SA"/>
              </w:rPr>
              <w:t>Під час дії воєнного стану особливо важливим є питання налагодження стійкої, зручної та швидкої комунікації. Сучасні засоби комунікації: чат-боти, електронні сервіси, офіційний сайт, надають можливість такої комунікації.</w:t>
            </w:r>
          </w:p>
        </w:tc>
      </w:tr>
      <w:tr>
        <w:trPr>
          <w:trHeight w:val="453"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6.</w:t>
            </w:r>
          </w:p>
        </w:tc>
        <w:tc>
          <w:tcPr>
            <w:tcW w:w="3719"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Надання електронних послуг на основі єдиної інфраструктури інформаційної взаємодії з фізичними та юридичними особами.</w:t>
            </w:r>
          </w:p>
        </w:tc>
        <w:tc>
          <w:tcPr>
            <w:tcW w:w="110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rPr>
                <w:rFonts w:ascii="Times New Roman" w:hAnsi="Times New Roman"/>
                <w:sz w:val="26"/>
                <w:szCs w:val="26"/>
              </w:rPr>
            </w:pPr>
            <w:r>
              <w:rPr>
                <w:rFonts w:ascii="Times New Roman" w:hAnsi="Times New Roman"/>
                <w:kern w:val="0"/>
                <w:sz w:val="26"/>
                <w:szCs w:val="26"/>
              </w:rPr>
              <w:t>У звітному періоді заходи не проводились.</w:t>
            </w:r>
          </w:p>
        </w:tc>
      </w:tr>
      <w:tr>
        <w:trPr>
          <w:trHeight w:val="453"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7.</w:t>
            </w:r>
          </w:p>
        </w:tc>
        <w:tc>
          <w:tcPr>
            <w:tcW w:w="3719"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sz w:val="26"/>
                <w:szCs w:val="26"/>
              </w:rPr>
            </w:pPr>
            <w:r>
              <w:rPr>
                <w:rFonts w:cs="Times New Roman" w:ascii="Times New Roman" w:hAnsi="Times New Roman"/>
                <w:color w:val="auto"/>
                <w:sz w:val="26"/>
                <w:szCs w:val="26"/>
              </w:rPr>
              <w:t>Створення єдиної системи резервування даних.</w:t>
            </w:r>
          </w:p>
        </w:tc>
        <w:tc>
          <w:tcPr>
            <w:tcW w:w="110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kern w:val="0"/>
                <w:sz w:val="26"/>
                <w:szCs w:val="26"/>
              </w:rPr>
              <w:t>Проведено закупівлю та інтегровано в систему Х додаткових жорстких дисків, які забезпечують повне резервне копіювання рівня L0, що дозволяє забезпечити максимальну  відповідність оригіналу даних міської ради.</w:t>
            </w:r>
          </w:p>
        </w:tc>
      </w:tr>
      <w:tr>
        <w:trPr>
          <w:trHeight w:val="453"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8.</w:t>
            </w:r>
          </w:p>
        </w:tc>
        <w:tc>
          <w:tcPr>
            <w:tcW w:w="3719"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sz w:val="26"/>
                <w:szCs w:val="26"/>
              </w:rPr>
            </w:pPr>
            <w:r>
              <w:rPr>
                <w:rFonts w:ascii="Times New Roman" w:hAnsi="Times New Roman"/>
                <w:color w:val="auto"/>
                <w:sz w:val="26"/>
                <w:szCs w:val="26"/>
              </w:rPr>
              <w:t>Розширення переліку послуг, що надаються на філіях та віддалених робочих місцях департаменту ЦНАП.</w:t>
            </w:r>
          </w:p>
        </w:tc>
        <w:tc>
          <w:tcPr>
            <w:tcW w:w="110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Працюючи над підвищенням якості надання публічних послуг та забезпеченням їх територіальної доступності департаментом ЦНАП забезпечено функціонування двох філій у різних районах міста та п’яти віддалених робочих місць у визначених населених пунктах Луцької міської територіальної громади з наданням адміністраторами максимально можливого спектру адмінпослуг. Незважаючи на воєнний стан, віддалені робочі місця та філії функціонують, за 6 місяців 2023 року надано 6 494 адміністративні послуги.</w:t>
            </w:r>
          </w:p>
        </w:tc>
      </w:tr>
      <w:tr>
        <w:trPr>
          <w:trHeight w:val="453"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9.</w:t>
            </w:r>
          </w:p>
        </w:tc>
        <w:tc>
          <w:tcPr>
            <w:tcW w:w="3719"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sz w:val="26"/>
                <w:szCs w:val="26"/>
              </w:rPr>
            </w:pPr>
            <w:r>
              <w:rPr>
                <w:rFonts w:ascii="Times New Roman" w:hAnsi="Times New Roman"/>
                <w:color w:val="auto"/>
                <w:sz w:val="26"/>
                <w:szCs w:val="26"/>
              </w:rPr>
              <w:t>Спрощення процедур надання адміністративних послуг місцевого значення та переведення їх онлайн.</w:t>
            </w:r>
          </w:p>
        </w:tc>
        <w:tc>
          <w:tcPr>
            <w:tcW w:w="110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Для забезпечення якості надання адміністративних послуг, адміністратори активно впроваджують в своїй роботі сучасні онлайн-форми їх надання. Ряд послуг переведено в онлайн-режим, адміністраторами надається консультативна та практична допомога відвідувачам в поданні інформаційного повідомлення про пошкоджене та знищене нерухоме майно внаслідок бойових дій, терористичних актів, диверсій, спричинених військовою агресією російської федерації через портал Дія, або декларації про право провадження господарської діяльності у період воєнного стану на електронну пошту Міністерства економіки України, тощо. Також реєструють об’єкти нерухомості в Єдиній електронній системі у сфері будівництва Державної інспекції архітектури, здійснюється реєстрація суб’єктів господарювання через єдиний державний портал Дія. Окрім того, активно ведеться робота щодо збільшення комплексних послуг за моделлю «життєва ситуація».</w:t>
            </w:r>
          </w:p>
        </w:tc>
      </w:tr>
      <w:tr>
        <w:trPr>
          <w:trHeight w:val="453"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10.</w:t>
            </w:r>
          </w:p>
        </w:tc>
        <w:tc>
          <w:tcPr>
            <w:tcW w:w="3719"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sz w:val="26"/>
                <w:szCs w:val="26"/>
              </w:rPr>
            </w:pPr>
            <w:r>
              <w:rPr>
                <w:rFonts w:ascii="Times New Roman" w:hAnsi="Times New Roman"/>
                <w:color w:val="auto"/>
                <w:sz w:val="26"/>
                <w:szCs w:val="26"/>
              </w:rPr>
              <w:t>Створення нового порталу ЦНАП з можливістю замовлення адміністративних послуг місцевого значення в електронному форматі.</w:t>
            </w:r>
          </w:p>
        </w:tc>
        <w:tc>
          <w:tcPr>
            <w:tcW w:w="110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В рамках реалізації українсько-швейцарської програми «Електронне урядування задля підзвітності влади та участі громади (EGAP)» розроблено концепцію створення нового порталу ЦНАП та ведеться робота з його функціоналу, дизайну та наповнення. Офіційну презентацію заплановано здійснити до серпня 2023 року.</w:t>
            </w:r>
          </w:p>
        </w:tc>
      </w:tr>
      <w:tr>
        <w:trPr>
          <w:trHeight w:val="453"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11.</w:t>
            </w:r>
          </w:p>
        </w:tc>
        <w:tc>
          <w:tcPr>
            <w:tcW w:w="3719"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sz w:val="26"/>
                <w:szCs w:val="26"/>
              </w:rPr>
            </w:pPr>
            <w:r>
              <w:rPr>
                <w:rFonts w:ascii="Times New Roman" w:hAnsi="Times New Roman"/>
                <w:color w:val="auto"/>
                <w:sz w:val="26"/>
                <w:szCs w:val="26"/>
              </w:rPr>
              <w:t>Відкриття інформаційного пункту підприємця в ЦНАП.</w:t>
            </w:r>
          </w:p>
        </w:tc>
        <w:tc>
          <w:tcPr>
            <w:tcW w:w="110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Здійснюється популяризація адміністративних послуг із започаткування та ведення бізнесу. Проводяться консультації з іншими суб’єктами надання адміністративних послуг щодо присутності їх представників у ЦНАП з метою надання консультацій громадянам, які бажають започаткувати власну справу. Надається допомога громадянам, юридичним особам в підготовці документів, які подаються на державну реєстрацію. Проводиться постійний аналіз змін до законодавства у сфері державної реєстрації та доноситься необхідна інформація суб’єктам господарювання як безпосередньо на прийомі державними реєстраторами, так і через соціальні мережі. Постійно інформуються громадяни про отримання послуг у сфері державної реєстрації бізнесу через портал ДІЯ, надається безпосередня допомога державними реєстраторами в замовленні та отриманні результатів даних послуг. Консультування представників бізнесу спеціалістами з центру зайнятості щодо програм отримання грантів в розвитку підприємницької діяльності.</w:t>
            </w:r>
          </w:p>
        </w:tc>
      </w:tr>
      <w:tr>
        <w:trPr>
          <w:trHeight w:val="453"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12.</w:t>
            </w:r>
          </w:p>
        </w:tc>
        <w:tc>
          <w:tcPr>
            <w:tcW w:w="3719" w:type="dxa"/>
            <w:tcBorders>
              <w:top w:val="single" w:sz="4" w:space="0" w:color="000000"/>
              <w:left w:val="single" w:sz="4" w:space="0" w:color="000000"/>
              <w:bottom w:val="single" w:sz="4" w:space="0" w:color="000000"/>
            </w:tcBorders>
          </w:tcPr>
          <w:p>
            <w:pPr>
              <w:pStyle w:val="Normal"/>
              <w:widowControl w:val="false"/>
              <w:shd w:val="clear" w:color="auto" w:fill="FFFFFF"/>
              <w:jc w:val="both"/>
              <w:rPr>
                <w:rFonts w:ascii="Times New Roman" w:hAnsi="Times New Roman"/>
                <w:sz w:val="26"/>
                <w:szCs w:val="26"/>
              </w:rPr>
            </w:pPr>
            <w:r>
              <w:rPr>
                <w:rFonts w:ascii="Times New Roman" w:hAnsi="Times New Roman"/>
                <w:sz w:val="26"/>
                <w:szCs w:val="26"/>
              </w:rPr>
              <w:t>Моніторинг якості надання адміністративних послуг.</w:t>
            </w:r>
          </w:p>
        </w:tc>
        <w:tc>
          <w:tcPr>
            <w:tcW w:w="110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Станом на 01.07.2023 у ЦНАП задекларовано 565 послуг 57 суб’єктів надання адмінпослуг.</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Протягом шести місяців 2023 року до ЦНАП звернулось 156 382 суб’єктів звернень, оформлено 86 555 адміністративних послуг. Міністерством цифрової трансформації України впроваджено загальнодержавний онлайн моніторинг якості надання адміністративних послуг на Єдиному державному веб-порталі електронних послуг, де автоматично відображається рейтинг роботи кожного ЦНАП. За результатами нового муніципального опитування Міжнародного республіканського інституту, Луцьк – перше місто в Україні з якості обслуговування та послуг, тобто це чергове моніторингове оцінювання роботи ЦНАП. Особлива увагу приділяється зворотному зв’язку із замовниками послуг. Більше 97 % відвідувачів, серед загальної кількості респондентів, оцінюють роботу ЦНАП на «Відмінно».</w:t>
            </w:r>
          </w:p>
        </w:tc>
      </w:tr>
      <w:tr>
        <w:trPr>
          <w:trHeight w:val="453"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13.</w:t>
            </w:r>
          </w:p>
        </w:tc>
        <w:tc>
          <w:tcPr>
            <w:tcW w:w="3719"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Популяризація комунікаційних каналів для налагодження всебічного діалогу з жителями громади, зокрема що належать до програмного забезпечення «Visual Service», вдосконалення процесів роботи контакт-центру.</w:t>
            </w:r>
          </w:p>
        </w:tc>
        <w:tc>
          <w:tcPr>
            <w:tcW w:w="110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Збільшено комунікаційні можливості для зворотного зв’язку із жителями громади. Досягається це шляхом автоматизації реєстрації звернень мешканців, отриманих з різних джерел надходження (телефон, веб-портал, мобільний додаток, застосунок Viber), та інформування заявників про виконання робіт, в тому числі по голосових каналах зв'язку. Приймаються звернення, пропозиції громадян не лише щодо аварійних ситуацій, а й для надання довідкової інформації щодо життєдіяльності громади і стану надання послуг ЦНАП. Здійснюються комунікації через соціальні мережі: більше п’яти тисяч користувачів Фейсбуку відслідковують новини ЦНАП та є активними дописувачами, функціонує сторінка в Інстаграм.</w:t>
            </w:r>
          </w:p>
        </w:tc>
      </w:tr>
      <w:tr>
        <w:trPr>
          <w:trHeight w:val="453"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14.</w:t>
            </w:r>
          </w:p>
        </w:tc>
        <w:tc>
          <w:tcPr>
            <w:tcW w:w="3719"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Залучення прогресивної молоді до проходження практики, стажування та незайнятого населення до оплачуваних громадських робіт.</w:t>
            </w:r>
          </w:p>
        </w:tc>
        <w:tc>
          <w:tcPr>
            <w:tcW w:w="110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Відповідно до угод про співпрацю, напрацьовано багаторічний досвід із залучення осіб, які перебувають на обліку в центрі зайнятості до оплачуваних громадських робіт у ЦНАП та активної студентської молоді до проходження стажувань та практик. Періодично проводяться зустрічі та екскурсії із студентами та старшокласниками міста з метою детального ознайомлення їх із роботою адміністраторів, інформаційними та цифровими технологіями, які використовує ЦНАП, а також з механізмами надання муніципальних послуг.</w:t>
            </w:r>
          </w:p>
        </w:tc>
      </w:tr>
    </w:tbl>
    <w:p>
      <w:pPr>
        <w:pStyle w:val="Normal"/>
        <w:rPr>
          <w:rFonts w:ascii="Times New Roman" w:hAnsi="Times New Roman" w:cs="Times New Roman"/>
          <w:b/>
          <w:b/>
          <w:bCs/>
          <w:sz w:val="26"/>
          <w:szCs w:val="26"/>
        </w:rPr>
      </w:pPr>
      <w:r>
        <w:rPr>
          <w:rFonts w:cs="Times New Roman" w:ascii="Times New Roman" w:hAnsi="Times New Roman"/>
          <w:b/>
          <w:bCs/>
          <w:sz w:val="26"/>
          <w:szCs w:val="26"/>
        </w:rPr>
      </w:r>
    </w:p>
    <w:p>
      <w:pPr>
        <w:pStyle w:val="Normal"/>
        <w:spacing w:lineRule="auto" w:line="360"/>
        <w:jc w:val="center"/>
        <w:rPr>
          <w:rFonts w:ascii="Times New Roman" w:hAnsi="Times New Roman"/>
          <w:sz w:val="26"/>
          <w:szCs w:val="26"/>
        </w:rPr>
      </w:pPr>
      <w:r>
        <w:rPr>
          <w:rFonts w:cs="Times New Roman" w:ascii="Times New Roman" w:hAnsi="Times New Roman"/>
          <w:b/>
          <w:bCs/>
          <w:sz w:val="26"/>
          <w:szCs w:val="26"/>
        </w:rPr>
        <w:t>3.2. ІНФРАСТРУКТУРНИЙ РОЗВИТОК</w:t>
      </w:r>
    </w:p>
    <w:p>
      <w:pPr>
        <w:pStyle w:val="Normal"/>
        <w:spacing w:lineRule="auto" w:line="360"/>
        <w:jc w:val="center"/>
        <w:rPr>
          <w:rFonts w:ascii="Times New Roman" w:hAnsi="Times New Roman"/>
          <w:sz w:val="26"/>
          <w:szCs w:val="26"/>
        </w:rPr>
      </w:pPr>
      <w:r>
        <w:rPr>
          <w:rFonts w:cs="Times New Roman" w:ascii="Times New Roman" w:hAnsi="Times New Roman"/>
          <w:b/>
          <w:bCs/>
          <w:sz w:val="26"/>
          <w:szCs w:val="26"/>
        </w:rPr>
        <w:t>3.2.1. Житлово-комунальне господарство</w:t>
      </w:r>
    </w:p>
    <w:tbl>
      <w:tblPr>
        <w:tblW w:w="15435" w:type="dxa"/>
        <w:jc w:val="left"/>
        <w:tblInd w:w="113" w:type="dxa"/>
        <w:tblLayout w:type="fixed"/>
        <w:tblCellMar>
          <w:top w:w="0" w:type="dxa"/>
          <w:left w:w="108" w:type="dxa"/>
          <w:bottom w:w="0" w:type="dxa"/>
          <w:right w:w="108" w:type="dxa"/>
        </w:tblCellMar>
        <w:tblLook w:firstRow="0" w:noVBand="0" w:lastRow="0" w:firstColumn="0" w:lastColumn="0" w:noHBand="0" w:val="0000"/>
      </w:tblPr>
      <w:tblGrid>
        <w:gridCol w:w="671"/>
        <w:gridCol w:w="3706"/>
        <w:gridCol w:w="11058"/>
      </w:tblGrid>
      <w:tr>
        <w:trPr>
          <w:trHeight w:val="615"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bCs/>
                <w:sz w:val="26"/>
                <w:szCs w:val="26"/>
              </w:rPr>
              <w:t xml:space="preserve">№ </w:t>
            </w:r>
            <w:r>
              <w:rPr>
                <w:rFonts w:cs="Times New Roman" w:ascii="Times New Roman" w:hAnsi="Times New Roman"/>
                <w:bCs/>
                <w:sz w:val="26"/>
                <w:szCs w:val="26"/>
              </w:rPr>
              <w:t>з/п</w:t>
            </w:r>
          </w:p>
        </w:tc>
        <w:tc>
          <w:tcPr>
            <w:tcW w:w="370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Назва заходів</w:t>
            </w:r>
          </w:p>
        </w:tc>
        <w:tc>
          <w:tcPr>
            <w:tcW w:w="1105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Стан виконання заходів</w:t>
            </w:r>
          </w:p>
        </w:tc>
      </w:tr>
      <w:tr>
        <w:trPr>
          <w:trHeight w:val="615"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t>1.</w:t>
            </w:r>
          </w:p>
        </w:tc>
        <w:tc>
          <w:tcPr>
            <w:tcW w:w="3706" w:type="dxa"/>
            <w:tcBorders>
              <w:top w:val="single" w:sz="4" w:space="0" w:color="000000"/>
              <w:left w:val="single" w:sz="4" w:space="0" w:color="000000"/>
              <w:bottom w:val="single" w:sz="4" w:space="0" w:color="000000"/>
            </w:tcBorders>
          </w:tcPr>
          <w:p>
            <w:pPr>
              <w:pStyle w:val="Standard"/>
              <w:widowControl w:val="false"/>
              <w:shd w:val="clear" w:color="auto" w:fill="FFFFFF"/>
              <w:jc w:val="both"/>
              <w:rPr>
                <w:rFonts w:ascii="Times New Roman" w:hAnsi="Times New Roman"/>
                <w:color w:val="auto"/>
                <w:sz w:val="26"/>
                <w:szCs w:val="26"/>
              </w:rPr>
            </w:pPr>
            <w:r>
              <w:rPr>
                <w:rFonts w:cs="Times New Roman" w:ascii="Times New Roman" w:hAnsi="Times New Roman"/>
                <w:color w:val="auto"/>
                <w:sz w:val="26"/>
                <w:szCs w:val="26"/>
              </w:rPr>
              <w:t>Будівництво, реконструкція, поточний та капітальний ремонт об'єктів вулично-дорожньої мережі (капітальний ремонт проспекту Волі, бульвару Дружби Народів, вул. Володимирської, вул. Дубнівської, вул. Карбишева та вул. Ковельської).</w:t>
            </w:r>
          </w:p>
        </w:tc>
        <w:tc>
          <w:tcPr>
            <w:tcW w:w="1105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Поточний ремонт у І півріччі здійснено на 109 об'єктах. Сума виконаних робіт становить 25 275,1 тис. грн. Площа відновлення твердого покриття – 19 023,67 м² (Додаток 2).</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Роботи з капітального ремонту виконано на 6 об’єктах:</w:t>
            </w:r>
          </w:p>
          <w:p>
            <w:pPr>
              <w:pStyle w:val="Normal"/>
              <w:widowControl w:val="false"/>
              <w:numPr>
                <w:ilvl w:val="0"/>
                <w:numId w:val="0"/>
              </w:numPr>
              <w:ind w:firstLine="567"/>
              <w:jc w:val="both"/>
              <w:outlineLvl w:val="1"/>
              <w:rPr>
                <w:rFonts w:ascii="Times New Roman" w:hAnsi="Times New Roman"/>
                <w:color w:val="000000"/>
                <w:sz w:val="26"/>
                <w:szCs w:val="26"/>
                <w:lang w:eastAsia="ru-RU"/>
              </w:rPr>
            </w:pPr>
            <w:r>
              <w:rPr>
                <w:rFonts w:cs="Times New Roman" w:ascii="Times New Roman" w:hAnsi="Times New Roman"/>
                <w:color w:val="000000"/>
                <w:sz w:val="26"/>
                <w:szCs w:val="26"/>
                <w:lang w:eastAsia="ru-RU"/>
              </w:rPr>
              <w:t>проїзд з вулиці Кравчука до будинків № 22, 24;</w:t>
            </w:r>
          </w:p>
          <w:p>
            <w:pPr>
              <w:pStyle w:val="Normal"/>
              <w:widowControl w:val="false"/>
              <w:numPr>
                <w:ilvl w:val="0"/>
                <w:numId w:val="0"/>
              </w:numPr>
              <w:ind w:firstLine="567"/>
              <w:jc w:val="both"/>
              <w:outlineLvl w:val="1"/>
              <w:rPr>
                <w:rFonts w:ascii="Times New Roman" w:hAnsi="Times New Roman"/>
                <w:color w:val="000000"/>
                <w:sz w:val="26"/>
                <w:szCs w:val="26"/>
                <w:lang w:eastAsia="ru-RU"/>
              </w:rPr>
            </w:pPr>
            <w:r>
              <w:rPr>
                <w:rFonts w:cs="Times New Roman" w:ascii="Times New Roman" w:hAnsi="Times New Roman"/>
                <w:color w:val="000000"/>
                <w:sz w:val="26"/>
                <w:szCs w:val="26"/>
                <w:lang w:eastAsia="ru-RU"/>
              </w:rPr>
              <w:t>проспект Соборності від вулиці Єршова до вулиці В’ячеслава Чорновола (непарна сторона);</w:t>
            </w:r>
          </w:p>
          <w:p>
            <w:pPr>
              <w:pStyle w:val="Normal"/>
              <w:widowControl w:val="false"/>
              <w:numPr>
                <w:ilvl w:val="0"/>
                <w:numId w:val="0"/>
              </w:numPr>
              <w:ind w:firstLine="567"/>
              <w:jc w:val="both"/>
              <w:outlineLvl w:val="1"/>
              <w:rPr>
                <w:rFonts w:ascii="Times New Roman" w:hAnsi="Times New Roman"/>
                <w:color w:val="000000"/>
                <w:sz w:val="26"/>
                <w:szCs w:val="26"/>
                <w:lang w:eastAsia="uk-UA"/>
              </w:rPr>
            </w:pPr>
            <w:r>
              <w:rPr>
                <w:rFonts w:cs="Times New Roman" w:ascii="Times New Roman" w:hAnsi="Times New Roman"/>
                <w:color w:val="000000"/>
                <w:sz w:val="26"/>
                <w:szCs w:val="26"/>
                <w:lang w:eastAsia="uk-UA"/>
              </w:rPr>
              <w:t>проїзд до будинків № 26, 26а з проспекту Відродження;</w:t>
            </w:r>
          </w:p>
          <w:p>
            <w:pPr>
              <w:pStyle w:val="Normal"/>
              <w:widowControl w:val="false"/>
              <w:numPr>
                <w:ilvl w:val="0"/>
                <w:numId w:val="0"/>
              </w:numPr>
              <w:ind w:firstLine="567"/>
              <w:jc w:val="both"/>
              <w:outlineLvl w:val="1"/>
              <w:rPr>
                <w:rFonts w:ascii="Times New Roman" w:hAnsi="Times New Roman"/>
                <w:color w:val="000000"/>
                <w:sz w:val="26"/>
                <w:szCs w:val="26"/>
                <w:lang w:eastAsia="uk-UA"/>
              </w:rPr>
            </w:pPr>
            <w:r>
              <w:rPr>
                <w:rFonts w:cs="Times New Roman" w:ascii="Times New Roman" w:hAnsi="Times New Roman"/>
                <w:color w:val="000000"/>
                <w:sz w:val="26"/>
                <w:szCs w:val="26"/>
                <w:lang w:eastAsia="uk-UA"/>
              </w:rPr>
              <w:t>проїзд до будинків № 28, 28а, 30 з проспекту Відродження та проїзду до будинку № 4 з вулиці Писаревського;</w:t>
            </w:r>
          </w:p>
          <w:p>
            <w:pPr>
              <w:pStyle w:val="Normal"/>
              <w:widowControl w:val="false"/>
              <w:numPr>
                <w:ilvl w:val="0"/>
                <w:numId w:val="0"/>
              </w:numPr>
              <w:ind w:firstLine="567"/>
              <w:jc w:val="both"/>
              <w:outlineLvl w:val="1"/>
              <w:rPr>
                <w:rFonts w:ascii="Times New Roman" w:hAnsi="Times New Roman"/>
                <w:color w:val="000000"/>
                <w:sz w:val="26"/>
                <w:szCs w:val="26"/>
              </w:rPr>
            </w:pPr>
            <w:r>
              <w:rPr>
                <w:rFonts w:cs="Times New Roman" w:ascii="Times New Roman" w:hAnsi="Times New Roman"/>
                <w:color w:val="000000"/>
                <w:sz w:val="26"/>
                <w:szCs w:val="26"/>
                <w:lang w:eastAsia="uk-UA"/>
              </w:rPr>
              <w:t>проїзд до будинків № 16, 20 з вулиці Кравчука;</w:t>
            </w:r>
          </w:p>
          <w:p>
            <w:pPr>
              <w:pStyle w:val="Normal"/>
              <w:widowControl w:val="false"/>
              <w:numPr>
                <w:ilvl w:val="0"/>
                <w:numId w:val="0"/>
              </w:numPr>
              <w:ind w:firstLine="567"/>
              <w:jc w:val="both"/>
              <w:outlineLvl w:val="1"/>
              <w:rPr>
                <w:rFonts w:ascii="Times New Roman" w:hAnsi="Times New Roman"/>
                <w:color w:val="000000"/>
                <w:sz w:val="26"/>
                <w:szCs w:val="26"/>
              </w:rPr>
            </w:pPr>
            <w:r>
              <w:rPr>
                <w:rFonts w:cs="Times New Roman" w:ascii="Times New Roman" w:hAnsi="Times New Roman"/>
                <w:color w:val="000000"/>
                <w:sz w:val="26"/>
                <w:szCs w:val="26"/>
                <w:lang w:eastAsia="uk-UA"/>
              </w:rPr>
              <w:t>проспект Волі від вулиці Шопена до Київського Майдану.</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Сума виконаних робіт разом з вартістю виготовлення проєктно-кошторисної документації та проведенням технічного нагляду склала 31 921,5 тис. грн. Площа відновлення твердого покриття – 33 268,0 м².</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Також у звітному періоді виконано роботи із встановлення та обслуговування дорожніх знаків на суму 361,0 тис. грн та із нанесення дорожньої розмітки на суму 1 013,9 тис. грн.</w:t>
            </w:r>
          </w:p>
        </w:tc>
      </w:tr>
      <w:tr>
        <w:trPr>
          <w:trHeight w:val="615"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t>2.</w:t>
            </w:r>
          </w:p>
        </w:tc>
        <w:tc>
          <w:tcPr>
            <w:tcW w:w="3706" w:type="dxa"/>
            <w:tcBorders>
              <w:top w:val="single" w:sz="4" w:space="0" w:color="000000"/>
              <w:left w:val="single" w:sz="4" w:space="0" w:color="000000"/>
              <w:bottom w:val="single" w:sz="4" w:space="0" w:color="000000"/>
            </w:tcBorders>
          </w:tcPr>
          <w:p>
            <w:pPr>
              <w:pStyle w:val="Standard"/>
              <w:widowControl w:val="false"/>
              <w:shd w:val="clear" w:color="auto" w:fill="FFFFFF"/>
              <w:jc w:val="both"/>
              <w:rPr>
                <w:rFonts w:ascii="Times New Roman" w:hAnsi="Times New Roman"/>
                <w:color w:val="auto"/>
                <w:sz w:val="26"/>
                <w:szCs w:val="26"/>
              </w:rPr>
            </w:pPr>
            <w:r>
              <w:rPr>
                <w:rFonts w:cs="Times New Roman" w:ascii="Times New Roman" w:hAnsi="Times New Roman"/>
                <w:color w:val="auto"/>
                <w:sz w:val="26"/>
                <w:szCs w:val="26"/>
              </w:rPr>
              <w:t>Капітальний ремонт прибудинкових територій.</w:t>
            </w:r>
          </w:p>
        </w:tc>
        <w:tc>
          <w:tcPr>
            <w:tcW w:w="1105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6954" w:leader="none"/>
              </w:tabs>
              <w:ind w:firstLine="567"/>
              <w:jc w:val="both"/>
              <w:rPr>
                <w:rFonts w:ascii="Times New Roman" w:hAnsi="Times New Roman"/>
                <w:sz w:val="26"/>
                <w:szCs w:val="26"/>
              </w:rPr>
            </w:pPr>
            <w:r>
              <w:rPr>
                <w:rFonts w:cs="Times New Roman" w:ascii="Times New Roman" w:hAnsi="Times New Roman"/>
                <w:sz w:val="26"/>
                <w:szCs w:val="26"/>
              </w:rPr>
              <w:t xml:space="preserve">Завершено капітальний ремонт на прибудинкових територіях </w:t>
            </w:r>
            <w:r>
              <w:rPr>
                <w:rFonts w:cs="Times New Roman" w:ascii="Times New Roman" w:hAnsi="Times New Roman"/>
                <w:sz w:val="26"/>
                <w:szCs w:val="26"/>
                <w:lang w:eastAsia="ru-RU"/>
              </w:rPr>
              <w:t>на проспекті Перемоги, 23, 25, 25а та на вулиці Привокзальна, 2.</w:t>
            </w:r>
          </w:p>
          <w:p>
            <w:pPr>
              <w:pStyle w:val="Normal"/>
              <w:widowControl w:val="false"/>
              <w:tabs>
                <w:tab w:val="clear" w:pos="708"/>
                <w:tab w:val="left" w:pos="6954" w:leader="none"/>
              </w:tabs>
              <w:ind w:firstLine="567"/>
              <w:jc w:val="both"/>
              <w:rPr>
                <w:rFonts w:ascii="Times New Roman" w:hAnsi="Times New Roman"/>
                <w:sz w:val="26"/>
                <w:szCs w:val="26"/>
              </w:rPr>
            </w:pPr>
            <w:r>
              <w:rPr>
                <w:rFonts w:cs="Times New Roman" w:ascii="Times New Roman" w:hAnsi="Times New Roman"/>
                <w:sz w:val="26"/>
                <w:szCs w:val="26"/>
              </w:rPr>
              <w:t>Сума виконаних робіт разом із вартістю виготовлення проєктно-кошторисної документації та проведенням технічного нагляду склала 2 184,8 тис. грн.</w:t>
            </w:r>
          </w:p>
        </w:tc>
      </w:tr>
      <w:tr>
        <w:trPr>
          <w:trHeight w:val="760"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3.</w:t>
            </w:r>
          </w:p>
        </w:tc>
        <w:tc>
          <w:tcPr>
            <w:tcW w:w="3706"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Будівництво і реконструкція мереж зовнішнього освітлення (вулиці Ковельська та Чернишевського) та об’єктів світлофорного господарства  міської територіальної громади.</w:t>
            </w:r>
          </w:p>
        </w:tc>
        <w:tc>
          <w:tcPr>
            <w:tcW w:w="1105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Проведено реконструкцію мереж зовнішнього освітлення на вул. Гнідавська та вул. Потебні. Вартість робіт – 744,8 тис. грн.</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4.</w:t>
            </w:r>
          </w:p>
        </w:tc>
        <w:tc>
          <w:tcPr>
            <w:tcW w:w="3706"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Ремонт житлового фонду з поліпшенням експлуатаційних показників житлових будинків.</w:t>
            </w:r>
          </w:p>
        </w:tc>
        <w:tc>
          <w:tcPr>
            <w:tcW w:w="1105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Роботи із поліпшення експлуатаційних показників житлових будинків (ремонт покрівель, козирків, мощення, заміна загальнобудинкових мереж) не проводилися, у зв’язку з відсутністю звернень співвласників будинків.</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5.</w:t>
            </w:r>
          </w:p>
        </w:tc>
        <w:tc>
          <w:tcPr>
            <w:tcW w:w="3706"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Залучення власників нежитлових приміщень, які знаходяться в житлових будинках, до фінансування загальних витрат на покращення характеристик будинку.</w:t>
            </w:r>
          </w:p>
        </w:tc>
        <w:tc>
          <w:tcPr>
            <w:tcW w:w="1105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Згідно діючого законодавства власники нежитлових приміщень в житлових будинках зобов’язані брати участь у загальнобудинкових витратах. Управителями при розрахунку ціни на послугу з управління багатоквартирними будинками враховані витрати і для таких приміщень.</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6.</w:t>
            </w:r>
          </w:p>
        </w:tc>
        <w:tc>
          <w:tcPr>
            <w:tcW w:w="3706" w:type="dxa"/>
            <w:tcBorders>
              <w:top w:val="single" w:sz="4" w:space="0" w:color="000000"/>
              <w:left w:val="single" w:sz="4" w:space="0" w:color="000000"/>
              <w:bottom w:val="single" w:sz="4" w:space="0" w:color="000000"/>
            </w:tcBorders>
          </w:tcPr>
          <w:p>
            <w:pPr>
              <w:pStyle w:val="Standard"/>
              <w:widowControl w:val="false"/>
              <w:shd w:val="clear" w:color="auto" w:fill="FFFFFF"/>
              <w:jc w:val="both"/>
              <w:rPr>
                <w:rFonts w:ascii="Times New Roman" w:hAnsi="Times New Roman"/>
                <w:color w:val="auto"/>
                <w:sz w:val="26"/>
                <w:szCs w:val="26"/>
              </w:rPr>
            </w:pPr>
            <w:r>
              <w:rPr>
                <w:rFonts w:cs="Times New Roman" w:ascii="Times New Roman" w:hAnsi="Times New Roman"/>
                <w:color w:val="auto"/>
                <w:sz w:val="26"/>
                <w:szCs w:val="26"/>
              </w:rPr>
              <w:t>Влаштування та поточний ремонт елементів безпеки (встановлення дорожніх пагорбів, напівсфер, болардів тощо).</w:t>
            </w:r>
          </w:p>
        </w:tc>
        <w:tc>
          <w:tcPr>
            <w:tcW w:w="1105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Влаштовано обмежувачі руху для транспортних засобів (напівсфери) на вул. Ковельській, вул. Сенаторки Левчанівської, просп. Перемоги (вартість робіт 80,5 тис. грн).</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7.</w:t>
            </w:r>
          </w:p>
        </w:tc>
        <w:tc>
          <w:tcPr>
            <w:tcW w:w="3706" w:type="dxa"/>
            <w:tcBorders>
              <w:top w:val="single" w:sz="4" w:space="0" w:color="000000"/>
              <w:left w:val="single" w:sz="4" w:space="0" w:color="000000"/>
              <w:bottom w:val="single" w:sz="4" w:space="0" w:color="000000"/>
            </w:tcBorders>
          </w:tcPr>
          <w:p>
            <w:pPr>
              <w:pStyle w:val="Standard"/>
              <w:widowControl w:val="false"/>
              <w:shd w:val="clear" w:color="auto" w:fill="FFFFFF"/>
              <w:jc w:val="both"/>
              <w:rPr>
                <w:rFonts w:ascii="Times New Roman" w:hAnsi="Times New Roman"/>
                <w:color w:val="auto"/>
                <w:sz w:val="26"/>
                <w:szCs w:val="26"/>
              </w:rPr>
            </w:pPr>
            <w:r>
              <w:rPr>
                <w:rFonts w:cs="Times New Roman" w:ascii="Times New Roman" w:hAnsi="Times New Roman"/>
                <w:color w:val="auto"/>
                <w:sz w:val="26"/>
                <w:szCs w:val="26"/>
              </w:rPr>
              <w:t>Розроблення схем організації дорожнього руху на вулицях Луцької міської територіальної громади.</w:t>
            </w:r>
          </w:p>
        </w:tc>
        <w:tc>
          <w:tcPr>
            <w:tcW w:w="11058" w:type="dxa"/>
            <w:tcBorders>
              <w:top w:val="single" w:sz="4" w:space="0" w:color="000000"/>
              <w:left w:val="single" w:sz="4" w:space="0" w:color="000000"/>
              <w:bottom w:val="single" w:sz="4" w:space="0" w:color="000000"/>
              <w:right w:val="single" w:sz="4" w:space="0" w:color="000000"/>
            </w:tcBorders>
          </w:tcPr>
          <w:p>
            <w:pPr>
              <w:pStyle w:val="Style61"/>
              <w:widowControl w:val="false"/>
              <w:snapToGrid w:val="false"/>
              <w:spacing w:lineRule="auto" w:line="240"/>
              <w:ind w:firstLine="567"/>
              <w:rPr>
                <w:rFonts w:ascii="Times New Roman" w:hAnsi="Times New Roman" w:cs="Times New Roman"/>
                <w:sz w:val="26"/>
                <w:szCs w:val="26"/>
              </w:rPr>
            </w:pPr>
            <w:r>
              <w:rPr>
                <w:rFonts w:cs="Times New Roman" w:ascii="Times New Roman" w:hAnsi="Times New Roman"/>
                <w:sz w:val="26"/>
                <w:szCs w:val="26"/>
              </w:rPr>
              <w:t>Розроблено схеми організації дорожнього руху на вул. Шопена (від кільцевої розв’язки просп. Василя Мойсея – вул. Шопена – вул. Огієнка – просп. Перемоги до вул. Нестора Бурчака), на просп. Волі (біля будинку № 2) вулицях Володимирській, Загородній, Потебні та Глушець, на перехресті вулиць Героїв УПА – Ціолковського в місті Луцьку. Загальна сума робіт склала 70,3 тис. грн.</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8.</w:t>
            </w:r>
          </w:p>
        </w:tc>
        <w:tc>
          <w:tcPr>
            <w:tcW w:w="3706" w:type="dxa"/>
            <w:tcBorders>
              <w:top w:val="single" w:sz="4" w:space="0" w:color="000000"/>
              <w:left w:val="single" w:sz="4" w:space="0" w:color="000000"/>
              <w:bottom w:val="single" w:sz="4" w:space="0" w:color="000000"/>
            </w:tcBorders>
          </w:tcPr>
          <w:p>
            <w:pPr>
              <w:pStyle w:val="Standard"/>
              <w:widowControl w:val="false"/>
              <w:shd w:val="clear" w:color="auto" w:fill="FFFFFF"/>
              <w:jc w:val="both"/>
              <w:rPr>
                <w:rFonts w:ascii="Times New Roman" w:hAnsi="Times New Roman"/>
                <w:color w:val="auto"/>
                <w:sz w:val="26"/>
                <w:szCs w:val="26"/>
              </w:rPr>
            </w:pPr>
            <w:r>
              <w:rPr>
                <w:rFonts w:cs="Times New Roman" w:ascii="Times New Roman" w:hAnsi="Times New Roman"/>
                <w:color w:val="auto"/>
                <w:sz w:val="26"/>
                <w:szCs w:val="26"/>
              </w:rPr>
              <w:t>Здійснення капітального ремонту: скверу на проспекті Соборності у м. Луцьку (з облаштуванням скейт-майданчика для розваг), скверу «Готель "Україна"» на вул. Винниченка в м. Луцьку, скверу на перетині вулиці Огієнка та проспекту Перемоги у м. Луцьку, скверу на розі вулиці Стрілецької та проспекту Грушевського в м. Луцьку).</w:t>
            </w:r>
          </w:p>
        </w:tc>
        <w:tc>
          <w:tcPr>
            <w:tcW w:w="1105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Роботи із капітального ремонту скверів у І півріччі не проводились.</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9.</w:t>
            </w:r>
          </w:p>
        </w:tc>
        <w:tc>
          <w:tcPr>
            <w:tcW w:w="3706" w:type="dxa"/>
            <w:tcBorders>
              <w:top w:val="single" w:sz="4" w:space="0" w:color="000000"/>
              <w:left w:val="single" w:sz="4" w:space="0" w:color="000000"/>
              <w:bottom w:val="single" w:sz="4" w:space="0" w:color="000000"/>
            </w:tcBorders>
          </w:tcPr>
          <w:p>
            <w:pPr>
              <w:pStyle w:val="Standard"/>
              <w:widowControl w:val="false"/>
              <w:shd w:val="clear" w:color="auto" w:fill="FFFFFF"/>
              <w:jc w:val="both"/>
              <w:rPr>
                <w:rFonts w:ascii="Times New Roman" w:hAnsi="Times New Roman"/>
                <w:color w:val="auto"/>
                <w:sz w:val="26"/>
                <w:szCs w:val="26"/>
              </w:rPr>
            </w:pPr>
            <w:r>
              <w:rPr>
                <w:rFonts w:cs="Times New Roman" w:ascii="Times New Roman" w:hAnsi="Times New Roman"/>
                <w:color w:val="auto"/>
                <w:sz w:val="26"/>
                <w:szCs w:val="26"/>
              </w:rPr>
              <w:t>Впровадження роздільного збору сміття на території міської територіальної громади, перехід на контейнери для збору твердих побутових відходів типу «євро».</w:t>
            </w:r>
          </w:p>
        </w:tc>
        <w:tc>
          <w:tcPr>
            <w:tcW w:w="1105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На території Луцької міської територіальної громади постійно здійснюються заходи з роздільного збору твердих побутових відходів (суха і волога фракція та пет-пляшка). Особливу увагу в І півріччі поточного року в умовах воєнного стану приділено збиранню, вивезенню та організації подальшої утилізації шин автомобільних. На ці цілі витрачено 99,6 тис. грн, вивезено та утилізовано 2 615 шин легкових та вантажних автомобілів. Придбано 100 пластикових контейнерів для збору твердих побутових відходів об’ємом 1 100 л.</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10.</w:t>
            </w:r>
          </w:p>
        </w:tc>
        <w:tc>
          <w:tcPr>
            <w:tcW w:w="3706"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cs="Times New Roman"/>
                <w:sz w:val="26"/>
                <w:szCs w:val="26"/>
              </w:rPr>
            </w:pPr>
            <w:r>
              <w:rPr>
                <w:rFonts w:cs="Times New Roman" w:ascii="Times New Roman" w:hAnsi="Times New Roman"/>
                <w:sz w:val="26"/>
                <w:szCs w:val="26"/>
              </w:rPr>
              <w:t>Відновлення та підтримання сприятливого гідрологічного режиму, санітарного стану та благоустрою річок, ставків та меліоративних каналів.</w:t>
            </w:r>
          </w:p>
        </w:tc>
        <w:tc>
          <w:tcPr>
            <w:tcW w:w="1105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Виготовлено кошторисну документацію на проєкт «Поточний ремонт, очищення від наносів та мулу водойми в районі вул. Гнідавська-Ковельська (коригування)».</w:t>
            </w:r>
          </w:p>
        </w:tc>
      </w:tr>
      <w:tr>
        <w:trPr>
          <w:trHeight w:val="288" w:hRule="atLeast"/>
        </w:trPr>
        <w:tc>
          <w:tcPr>
            <w:tcW w:w="671"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11.</w:t>
            </w:r>
          </w:p>
        </w:tc>
        <w:tc>
          <w:tcPr>
            <w:tcW w:w="3706" w:type="dxa"/>
            <w:tcBorders>
              <w:left w:val="single" w:sz="4" w:space="0" w:color="000000"/>
              <w:bottom w:val="single" w:sz="4" w:space="0" w:color="000000"/>
            </w:tcBorders>
          </w:tcPr>
          <w:p>
            <w:pPr>
              <w:pStyle w:val="Standard"/>
              <w:widowControl w:val="false"/>
              <w:shd w:val="clear" w:color="auto" w:fill="FFFFFF"/>
              <w:jc w:val="both"/>
              <w:rPr>
                <w:rFonts w:ascii="Times New Roman" w:hAnsi="Times New Roman"/>
                <w:sz w:val="26"/>
                <w:szCs w:val="26"/>
              </w:rPr>
            </w:pPr>
            <w:r>
              <w:rPr>
                <w:rFonts w:cs="Times New Roman" w:ascii="Times New Roman" w:hAnsi="Times New Roman"/>
                <w:color w:val="auto"/>
                <w:sz w:val="26"/>
                <w:szCs w:val="26"/>
              </w:rPr>
              <w:t>Проведення ремонтів об’єктів та елементів благоустрою міської територіальної громади.</w:t>
            </w:r>
          </w:p>
        </w:tc>
        <w:tc>
          <w:tcPr>
            <w:tcW w:w="11058"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Виготовлено проєктно-кошторисну документацію для 5 об’єктів загальною вартістю 28,6 тис. грн.</w:t>
            </w:r>
          </w:p>
          <w:p>
            <w:pPr>
              <w:pStyle w:val="Normal"/>
              <w:widowControl w:val="false"/>
              <w:ind w:firstLine="567"/>
              <w:jc w:val="both"/>
              <w:rPr>
                <w:rFonts w:ascii="Times New Roman" w:hAnsi="Times New Roman"/>
                <w:sz w:val="26"/>
                <w:szCs w:val="26"/>
              </w:rPr>
            </w:pPr>
            <w:r>
              <w:rPr>
                <w:rFonts w:ascii="Times New Roman" w:hAnsi="Times New Roman"/>
                <w:sz w:val="26"/>
                <w:szCs w:val="26"/>
              </w:rPr>
              <w:t>Проведено поточний ремонт об’єктів та елементів благоустрою на 12 об’єктах Луцької МТГ. Загальна сума виконаних робіт склала 831,5 тис. грн (Додаток 3).</w:t>
            </w:r>
          </w:p>
        </w:tc>
      </w:tr>
      <w:tr>
        <w:trPr>
          <w:trHeight w:val="288" w:hRule="atLeast"/>
        </w:trPr>
        <w:tc>
          <w:tcPr>
            <w:tcW w:w="671"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12.</w:t>
            </w:r>
          </w:p>
        </w:tc>
        <w:tc>
          <w:tcPr>
            <w:tcW w:w="3706" w:type="dxa"/>
            <w:tcBorders>
              <w:left w:val="single" w:sz="4" w:space="0" w:color="000000"/>
              <w:bottom w:val="single" w:sz="4" w:space="0" w:color="000000"/>
            </w:tcBorders>
          </w:tcPr>
          <w:p>
            <w:pPr>
              <w:pStyle w:val="Standard"/>
              <w:widowControl w:val="false"/>
              <w:shd w:val="clear" w:color="auto" w:fill="FFFFFF"/>
              <w:jc w:val="both"/>
              <w:rPr>
                <w:rFonts w:ascii="Times New Roman" w:hAnsi="Times New Roman"/>
                <w:sz w:val="26"/>
                <w:szCs w:val="26"/>
              </w:rPr>
            </w:pPr>
            <w:r>
              <w:rPr>
                <w:rFonts w:cs="Times New Roman" w:ascii="Times New Roman" w:hAnsi="Times New Roman"/>
                <w:color w:val="auto"/>
                <w:sz w:val="26"/>
                <w:szCs w:val="26"/>
              </w:rPr>
              <w:t>Належне утримання та розширення території кладовищ Луцької міської територіальної громади.</w:t>
            </w:r>
          </w:p>
        </w:tc>
        <w:tc>
          <w:tcPr>
            <w:tcW w:w="11058"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На утримання 40 кладовищ Луцької міської територіальної громади, 3 братських могил (на вулицях Теремнівській, Львівській, Василя Мойсея (меморіал), місць увіковічення пам’яті загиблих (Гнідавська гірка, Сестринське на вул. Потебні, Єврейське на Вересневому, с. Забороль, с. Жидичин, с. Іванчиці, с. Милуші, с. Боголюби, с. Княгининок, с. Одеради, с. Рокині, с. Прилуцьке, с. Шепель) витрачено у І півріччі 3 760,0 тис. грн.</w:t>
            </w:r>
          </w:p>
          <w:p>
            <w:pPr>
              <w:pStyle w:val="Normal"/>
              <w:widowControl w:val="false"/>
              <w:ind w:firstLine="465"/>
              <w:jc w:val="both"/>
              <w:rPr>
                <w:rFonts w:ascii="Times New Roman" w:hAnsi="Times New Roman" w:cs="Times New Roman"/>
                <w:sz w:val="26"/>
                <w:szCs w:val="26"/>
              </w:rPr>
            </w:pPr>
            <w:r>
              <w:rPr>
                <w:rFonts w:cs="Times New Roman" w:ascii="Times New Roman" w:hAnsi="Times New Roman"/>
                <w:sz w:val="26"/>
                <w:szCs w:val="26"/>
              </w:rPr>
              <w:t>Вартість робіт із поховання одиноких громадян склала 136,7 тис. грн.</w:t>
            </w:r>
          </w:p>
          <w:p>
            <w:pPr>
              <w:pStyle w:val="Normal"/>
              <w:widowControl w:val="false"/>
              <w:ind w:firstLine="465"/>
              <w:jc w:val="both"/>
              <w:rPr>
                <w:rFonts w:ascii="Times New Roman" w:hAnsi="Times New Roman" w:cs="Times New Roman"/>
                <w:sz w:val="26"/>
                <w:szCs w:val="26"/>
              </w:rPr>
            </w:pPr>
            <w:r>
              <w:rPr>
                <w:rFonts w:cs="Times New Roman" w:ascii="Times New Roman" w:hAnsi="Times New Roman"/>
                <w:sz w:val="26"/>
                <w:szCs w:val="26"/>
              </w:rPr>
              <w:t>На цілодобове чергування автокатафалка для потреб МВ УМВС України у Волинській області за І півріччя витрачено 500,0 тис. грн. На видалення аварійних дерев на кладовищах Луцької міської територіальної громади витрачено 100,0 тис.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Видатки у галузі поховальної справи склали 4 496,67 тис. грн. На придбаній в минулому році земельній ділянці (сектор 175) площею 1,2866 га для соціальних потреб ЛМТГ виконані роботи з планування її ґрунтового покрову відповідно до кошторисної документації вартістю 196,6 тис. грн. Замовлено та виготовлено кошторисну документацію на поточний ремонт під’їзних шляхів вартістю 14,4 тис. грн. Враховуючи межі придбаної земельної ділянки на кладовищі, демонтовано огорожу, вартість робіт склала 98,9 тис. грн.</w:t>
            </w:r>
          </w:p>
        </w:tc>
      </w:tr>
      <w:tr>
        <w:trPr>
          <w:trHeight w:val="288" w:hRule="atLeast"/>
        </w:trPr>
        <w:tc>
          <w:tcPr>
            <w:tcW w:w="671"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13.</w:t>
            </w:r>
          </w:p>
        </w:tc>
        <w:tc>
          <w:tcPr>
            <w:tcW w:w="3706" w:type="dxa"/>
            <w:tcBorders>
              <w:left w:val="single" w:sz="4" w:space="0" w:color="000000"/>
              <w:bottom w:val="single" w:sz="4" w:space="0" w:color="000000"/>
            </w:tcBorders>
          </w:tcPr>
          <w:p>
            <w:pPr>
              <w:pStyle w:val="Standard"/>
              <w:widowControl w:val="false"/>
              <w:shd w:val="clear" w:color="auto" w:fill="FFFFFF"/>
              <w:jc w:val="both"/>
              <w:rPr>
                <w:rFonts w:ascii="Times New Roman" w:hAnsi="Times New Roman"/>
                <w:color w:val="auto"/>
                <w:sz w:val="26"/>
                <w:szCs w:val="26"/>
              </w:rPr>
            </w:pPr>
            <w:r>
              <w:rPr>
                <w:rFonts w:cs="Times New Roman" w:ascii="Times New Roman" w:hAnsi="Times New Roman"/>
                <w:color w:val="auto"/>
                <w:sz w:val="26"/>
                <w:szCs w:val="26"/>
              </w:rPr>
              <w:t>Проведення ремонтів фасадів житлових будинків, визнаних пам’ятками архітектури національного значення та таких, що псують архітектурну виразність Луцької міської територіальної громади і потребують ремонту.</w:t>
            </w:r>
          </w:p>
        </w:tc>
        <w:tc>
          <w:tcPr>
            <w:tcW w:w="11058"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У звітному періоді укладено договори на капітальний ремонт фасадів (ремонт балконів) житлових будинків на проспекті Волі, 9, 17, на загальну суму 331,6 тис. грн.</w:t>
            </w:r>
          </w:p>
        </w:tc>
      </w:tr>
      <w:tr>
        <w:trPr>
          <w:trHeight w:val="288" w:hRule="atLeast"/>
        </w:trPr>
        <w:tc>
          <w:tcPr>
            <w:tcW w:w="671"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14.</w:t>
            </w:r>
          </w:p>
        </w:tc>
        <w:tc>
          <w:tcPr>
            <w:tcW w:w="3706" w:type="dxa"/>
            <w:tcBorders>
              <w:left w:val="single" w:sz="4" w:space="0" w:color="000000"/>
              <w:bottom w:val="single" w:sz="4" w:space="0" w:color="000000"/>
            </w:tcBorders>
          </w:tcPr>
          <w:p>
            <w:pPr>
              <w:pStyle w:val="Standard"/>
              <w:widowControl w:val="false"/>
              <w:shd w:val="clear" w:color="auto" w:fill="FFFFFF"/>
              <w:jc w:val="both"/>
              <w:rPr>
                <w:rFonts w:ascii="Times New Roman" w:hAnsi="Times New Roman"/>
                <w:color w:val="auto"/>
                <w:sz w:val="26"/>
                <w:szCs w:val="26"/>
              </w:rPr>
            </w:pPr>
            <w:r>
              <w:rPr>
                <w:rFonts w:cs="Times New Roman" w:ascii="Times New Roman" w:hAnsi="Times New Roman"/>
                <w:color w:val="auto"/>
                <w:sz w:val="26"/>
                <w:szCs w:val="26"/>
              </w:rPr>
              <w:t>Проведення робіт з підсилення несучих конструкцій житлових будинків, які визнані такими, що загрожують втраті несучої здатності та можуть привести до надзвичайної ситуації.</w:t>
            </w:r>
          </w:p>
        </w:tc>
        <w:tc>
          <w:tcPr>
            <w:tcW w:w="11058"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Згідно укладеного договору розпочато роботи із підсилення несучих конструкцій житлового будинку на вулиці Шота Руставелі, 9 (вартість робіт 179,8 тис. грн).</w:t>
            </w:r>
          </w:p>
        </w:tc>
      </w:tr>
      <w:tr>
        <w:trPr>
          <w:trHeight w:val="288" w:hRule="atLeast"/>
        </w:trPr>
        <w:tc>
          <w:tcPr>
            <w:tcW w:w="671"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15.</w:t>
            </w:r>
          </w:p>
        </w:tc>
        <w:tc>
          <w:tcPr>
            <w:tcW w:w="3706" w:type="dxa"/>
            <w:tcBorders>
              <w:left w:val="single" w:sz="4" w:space="0" w:color="000000"/>
              <w:bottom w:val="single" w:sz="4" w:space="0" w:color="000000"/>
            </w:tcBorders>
          </w:tcPr>
          <w:p>
            <w:pPr>
              <w:pStyle w:val="Standard"/>
              <w:widowControl w:val="false"/>
              <w:shd w:val="clear" w:color="auto" w:fill="FFFFFF"/>
              <w:jc w:val="both"/>
              <w:rPr>
                <w:rFonts w:ascii="Times New Roman" w:hAnsi="Times New Roman"/>
                <w:color w:val="auto"/>
                <w:sz w:val="26"/>
                <w:szCs w:val="26"/>
              </w:rPr>
            </w:pPr>
            <w:r>
              <w:rPr>
                <w:rFonts w:cs="Times New Roman" w:ascii="Times New Roman" w:hAnsi="Times New Roman"/>
                <w:color w:val="auto"/>
                <w:sz w:val="26"/>
                <w:szCs w:val="26"/>
              </w:rPr>
              <w:t>Капітальний ремонт житлових будинків ОСББ та управителів міської територіальної громади на умовах співфінансування з мешканцями (капітальний ремонт ліфтів, покрівель, інженерних мереж тощо).</w:t>
            </w:r>
          </w:p>
        </w:tc>
        <w:tc>
          <w:tcPr>
            <w:tcW w:w="11058"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Відповідно до затверджених графіків проведення капітальних ремонтів ліфтів (які відпрацювали гранично встановлений термін 25 років) в житлових будинках виконано ремонт 12 ліфтів на загальну суму 574,1 тис. грн (Додаток 4). Загальна вартість робіт із експертного обстеження ліфтів, виготовлення проєктно-кошторисної документації на капітальний ремонт ліфтів, експертизи проєктів та технічного нагляду, склала 208,7 тис. грн.</w:t>
            </w:r>
          </w:p>
        </w:tc>
      </w:tr>
      <w:tr>
        <w:trPr>
          <w:trHeight w:val="288" w:hRule="atLeast"/>
        </w:trPr>
        <w:tc>
          <w:tcPr>
            <w:tcW w:w="671"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16.</w:t>
            </w:r>
          </w:p>
        </w:tc>
        <w:tc>
          <w:tcPr>
            <w:tcW w:w="3706" w:type="dxa"/>
            <w:tcBorders>
              <w:left w:val="single" w:sz="4" w:space="0" w:color="000000"/>
              <w:bottom w:val="single" w:sz="4" w:space="0" w:color="000000"/>
            </w:tcBorders>
          </w:tcPr>
          <w:p>
            <w:pPr>
              <w:pStyle w:val="Standard"/>
              <w:widowControl w:val="false"/>
              <w:shd w:val="clear" w:color="auto" w:fill="FFFFFF"/>
              <w:jc w:val="both"/>
              <w:rPr>
                <w:rFonts w:ascii="Times New Roman" w:hAnsi="Times New Roman"/>
                <w:color w:val="auto"/>
                <w:sz w:val="26"/>
                <w:szCs w:val="26"/>
              </w:rPr>
            </w:pPr>
            <w:r>
              <w:rPr>
                <w:rFonts w:cs="Times New Roman" w:ascii="Times New Roman" w:hAnsi="Times New Roman"/>
                <w:color w:val="auto"/>
                <w:sz w:val="26"/>
                <w:szCs w:val="26"/>
              </w:rPr>
              <w:t>Відшкодування відсотків по кредитах (на роботи виконані до 2020 року) та частини суми кредиту ОСББ на впровадження заходів енергозбереження в житлових будинках ОСББ та ЖБК, що виконувались по державній програмі «Енергодім».</w:t>
            </w:r>
          </w:p>
        </w:tc>
        <w:tc>
          <w:tcPr>
            <w:tcW w:w="11058"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Відшкодування частини тіла кредиту та відсотків за залученими кредитами для ОСББ та ЖБК нашого міста, відбувається в межах дії Програми відшкодування частини суми кредитів ОСББ Луцької міської територіальної громади, залучених на впровадження в будинках енергоефективних заходів на 2021-2023 роки (далі – Програма). За першим розділом цієї Програми чинним є відшкодування відсоткових ставок за залученими ОСББ кредитами у 2013-2020 роках. За звітний період за рахунок бюджетних коштів на відшкодування по 7 кредитних договорах нараховано 662,1 тис. грн. За другим розділом цієї Програми для семи ОСББ на погашення кредитних договорів, залучених на впровадження енергоефективних заходів, з бюджету відшкодовано 6 336,7 тис. грн.</w:t>
            </w:r>
          </w:p>
        </w:tc>
      </w:tr>
    </w:tbl>
    <w:p>
      <w:pPr>
        <w:pStyle w:val="Normal"/>
        <w:rPr>
          <w:rFonts w:ascii="Times New Roman" w:hAnsi="Times New Roman" w:cs="Times New Roman"/>
          <w:b/>
          <w:b/>
          <w:bCs/>
          <w:sz w:val="26"/>
          <w:szCs w:val="26"/>
        </w:rPr>
      </w:pPr>
      <w:r>
        <w:rPr>
          <w:rFonts w:cs="Times New Roman" w:ascii="Times New Roman" w:hAnsi="Times New Roman"/>
          <w:b/>
          <w:bCs/>
          <w:sz w:val="26"/>
          <w:szCs w:val="26"/>
        </w:rPr>
      </w:r>
    </w:p>
    <w:p>
      <w:pPr>
        <w:pStyle w:val="Normal"/>
        <w:jc w:val="center"/>
        <w:rPr>
          <w:rFonts w:ascii="Times New Roman" w:hAnsi="Times New Roman"/>
          <w:sz w:val="26"/>
          <w:szCs w:val="26"/>
        </w:rPr>
      </w:pPr>
      <w:r>
        <w:rPr>
          <w:rFonts w:cs="Times New Roman" w:ascii="Times New Roman" w:hAnsi="Times New Roman"/>
          <w:b/>
          <w:bCs/>
          <w:sz w:val="26"/>
          <w:szCs w:val="26"/>
        </w:rPr>
        <w:t>3.2.2. Містобудівна політика. Земельні відносини. Капітальне будівництво</w:t>
      </w:r>
    </w:p>
    <w:p>
      <w:pPr>
        <w:pStyle w:val="Normal"/>
        <w:jc w:val="center"/>
        <w:rPr>
          <w:rFonts w:ascii="Times New Roman" w:hAnsi="Times New Roman" w:cs="Times New Roman"/>
          <w:b/>
          <w:b/>
          <w:bCs/>
          <w:sz w:val="26"/>
          <w:szCs w:val="26"/>
        </w:rPr>
      </w:pPr>
      <w:r>
        <w:rPr>
          <w:rFonts w:cs="Times New Roman" w:ascii="Times New Roman" w:hAnsi="Times New Roman"/>
          <w:b/>
          <w:bCs/>
          <w:sz w:val="26"/>
          <w:szCs w:val="26"/>
        </w:rPr>
      </w:r>
    </w:p>
    <w:tbl>
      <w:tblPr>
        <w:tblW w:w="15300" w:type="dxa"/>
        <w:jc w:val="left"/>
        <w:tblInd w:w="143" w:type="dxa"/>
        <w:tblLayout w:type="fixed"/>
        <w:tblCellMar>
          <w:top w:w="0" w:type="dxa"/>
          <w:left w:w="108" w:type="dxa"/>
          <w:bottom w:w="0" w:type="dxa"/>
          <w:right w:w="108" w:type="dxa"/>
        </w:tblCellMar>
        <w:tblLook w:firstRow="0" w:noVBand="0" w:lastRow="0" w:firstColumn="0" w:lastColumn="0" w:noHBand="0" w:val="0000"/>
      </w:tblPr>
      <w:tblGrid>
        <w:gridCol w:w="671"/>
        <w:gridCol w:w="3672"/>
        <w:gridCol w:w="10957"/>
      </w:tblGrid>
      <w:tr>
        <w:trPr>
          <w:trHeight w:val="615"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bCs/>
                <w:sz w:val="26"/>
                <w:szCs w:val="26"/>
              </w:rPr>
              <w:t xml:space="preserve">№ </w:t>
            </w:r>
            <w:r>
              <w:rPr>
                <w:rFonts w:cs="Times New Roman" w:ascii="Times New Roman" w:hAnsi="Times New Roman"/>
                <w:bCs/>
                <w:sz w:val="26"/>
                <w:szCs w:val="26"/>
              </w:rPr>
              <w:t>з/п</w:t>
            </w:r>
          </w:p>
        </w:tc>
        <w:tc>
          <w:tcPr>
            <w:tcW w:w="3672"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Назва заходів</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Стан виконання заходів</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w:t>
            </w:r>
          </w:p>
        </w:tc>
        <w:tc>
          <w:tcPr>
            <w:tcW w:w="3672"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sz w:val="26"/>
                <w:szCs w:val="26"/>
              </w:rPr>
            </w:pPr>
            <w:r>
              <w:rPr>
                <w:rFonts w:cs="Times New Roman" w:ascii="Times New Roman" w:hAnsi="Times New Roman"/>
                <w:color w:val="auto"/>
                <w:sz w:val="26"/>
                <w:szCs w:val="26"/>
              </w:rPr>
              <w:t>Виготовлення топографо-геодезичної основи М 1:2000 для розроблення (поновлення) містобудівної документації.</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Заходи не проводились у зв’язку із продовженням дії воєнного стану.</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2.</w:t>
            </w:r>
          </w:p>
        </w:tc>
        <w:tc>
          <w:tcPr>
            <w:tcW w:w="3672"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sz w:val="26"/>
                <w:szCs w:val="26"/>
              </w:rPr>
            </w:pPr>
            <w:r>
              <w:rPr>
                <w:rFonts w:cs="Times New Roman" w:ascii="Times New Roman" w:hAnsi="Times New Roman"/>
                <w:color w:val="auto"/>
                <w:sz w:val="26"/>
                <w:szCs w:val="26"/>
              </w:rPr>
              <w:t>Розвиток містобудівного кадастру.</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Заходи не проводились у зв’язку із продовженням дії воєнного стану.</w:t>
            </w:r>
          </w:p>
        </w:tc>
      </w:tr>
      <w:tr>
        <w:trPr>
          <w:trHeight w:val="2908" w:hRule="atLeast"/>
        </w:trPr>
        <w:tc>
          <w:tcPr>
            <w:tcW w:w="671" w:type="dxa"/>
            <w:tcBorders>
              <w:top w:val="single" w:sz="4" w:space="0" w:color="000000"/>
              <w:lef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3.</w:t>
            </w:r>
          </w:p>
        </w:tc>
        <w:tc>
          <w:tcPr>
            <w:tcW w:w="3672" w:type="dxa"/>
            <w:tcBorders>
              <w:top w:val="single" w:sz="4" w:space="0" w:color="000000"/>
              <w:left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Продовження виконання функцій щодо:</w:t>
            </w:r>
          </w:p>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продажу земельних ділянок комунальної власності (прав на них) на земельних торгах (аукціонах);</w:t>
            </w:r>
          </w:p>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продажу земельних ділянок комунальної власності (прав на них) на земельних торгах (аукціонах) на території старостинських округів;</w:t>
            </w:r>
          </w:p>
        </w:tc>
        <w:tc>
          <w:tcPr>
            <w:tcW w:w="10957" w:type="dxa"/>
            <w:tcBorders>
              <w:top w:val="single" w:sz="4" w:space="0" w:color="000000"/>
              <w:left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У звітному періоді проведено земельні торги (аукціон) у формі електронного аукціону з продажу земельних ділянок несільськогосподарського призначення комунальної власності Луцької міської територіальної громади, за результатами якого в місті Луцьку продано 2 земельні ділянки комунальної власності Луцької міської територіальної громади на загальну суму 7 400,2 тис. грн, а саме: на вул. Конякіна, 1-Г, площею 0,52 га та на вул. Конякіна, 1-Д, площею 0,22 га.</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r>
          </w:p>
        </w:tc>
        <w:tc>
          <w:tcPr>
            <w:tcW w:w="3672"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s="Times New Roman"/>
                <w:color w:val="auto"/>
                <w:sz w:val="26"/>
                <w:szCs w:val="26"/>
              </w:rPr>
            </w:pPr>
            <w:r>
              <w:rPr>
                <w:rFonts w:cs="Times New Roman" w:ascii="Times New Roman" w:hAnsi="Times New Roman"/>
                <w:color w:val="auto"/>
                <w:sz w:val="26"/>
                <w:szCs w:val="26"/>
              </w:rPr>
              <w:t>продажу земельних ділянок комунальної власності несільськогосподарського призначення громадянам та юридичним особам, які мають право на набуття земельних ділянок у власність (викуп земельних ділянок, на яких розташовані об’єкти нерухомого майна, що є власністю покупців цих ділянок);</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Забезпечено продаж 5 земельних ділянок комунальної власності несільськогосподарського призначення у м. Луцьку, шляхом викупу, по яких укладено договори купівлі-продажу з покупцями земельних ділянок, загальною площею 4,5743 га на загальну суму 5 525,6 тис. грн, а саме: вул. Вахтангова, 10, площею 4,2995 га, вул. Богдана Хмельницького, 47, площею 0,0473 га, вул. Василя Стуса, 11, площею 0,1252 га, вул. Стрілецька, 13-А, площею 0,0201 га та вул. Георгія Гонгадзе, 5-А, площею 0,0822 га.</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r>
          </w:p>
        </w:tc>
        <w:tc>
          <w:tcPr>
            <w:tcW w:w="3672"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s="Times New Roman"/>
                <w:color w:val="auto"/>
                <w:sz w:val="26"/>
                <w:szCs w:val="26"/>
              </w:rPr>
            </w:pPr>
            <w:r>
              <w:rPr>
                <w:rFonts w:cs="Times New Roman" w:ascii="Times New Roman" w:hAnsi="Times New Roman"/>
                <w:color w:val="auto"/>
                <w:sz w:val="26"/>
                <w:szCs w:val="26"/>
              </w:rPr>
              <w:t>організації приватизації земельних ділянок комунальної власності;</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За І півріччя 2023 року забезпечено надання безоплатно у власність громадянам 88 земельних ділянок</w:t>
            </w:r>
            <w:r>
              <w:rPr>
                <w:rFonts w:ascii="Times New Roman" w:hAnsi="Times New Roman"/>
                <w:sz w:val="26"/>
                <w:szCs w:val="26"/>
              </w:rPr>
              <w:t>.</w:t>
            </w:r>
          </w:p>
        </w:tc>
      </w:tr>
      <w:tr>
        <w:trPr>
          <w:trHeight w:val="288" w:hRule="atLeast"/>
        </w:trPr>
        <w:tc>
          <w:tcPr>
            <w:tcW w:w="67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r>
          </w:p>
        </w:tc>
        <w:tc>
          <w:tcPr>
            <w:tcW w:w="3672" w:type="dxa"/>
            <w:tcBorders>
              <w:top w:val="single" w:sz="4" w:space="0" w:color="000000"/>
              <w:left w:val="single" w:sz="4" w:space="0" w:color="000000"/>
              <w:bottom w:val="single" w:sz="4" w:space="0" w:color="000000"/>
              <w:right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організації оформлення права постійного користування земельними ділянками під об’єктами комунальної власності, культовими будівлями;</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Протягом звітного періоду надано в постійне користування наступні земельні ділянки:</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ЛСКАП «Луцькспецкомунтранс» (за межами населених пунктів Луцької міської територіальної громади с. Брище, площею 8,6897 га);</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КП «Парки та сквери м. Луцька» (у с. Кульчин, площею 10,1120 га, 86,6511 га та 91,3547 га);</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ДКП «Луцьктепло» (у м. Луцьку на вул. Загородній, 3-А, площею 1,3030 га).</w:t>
            </w:r>
          </w:p>
        </w:tc>
      </w:tr>
      <w:tr>
        <w:trPr>
          <w:trHeight w:val="288" w:hRule="atLeast"/>
        </w:trPr>
        <w:tc>
          <w:tcPr>
            <w:tcW w:w="67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r>
          </w:p>
        </w:tc>
        <w:tc>
          <w:tcPr>
            <w:tcW w:w="3672" w:type="dxa"/>
            <w:tcBorders>
              <w:top w:val="single" w:sz="4" w:space="0" w:color="000000"/>
              <w:left w:val="single" w:sz="4" w:space="0" w:color="000000"/>
              <w:bottom w:val="single" w:sz="4" w:space="0" w:color="000000"/>
              <w:right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забезпечення надання земельних ділянок в користування на умовах оренди.</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Протягом І півріччя 2023 року забезпечено передачу в користування фізичних та юридичних осіб на умовах оренди 70 земельних ділянок.</w:t>
            </w:r>
          </w:p>
        </w:tc>
      </w:tr>
      <w:tr>
        <w:trPr>
          <w:trHeight w:val="288" w:hRule="atLeast"/>
        </w:trPr>
        <w:tc>
          <w:tcPr>
            <w:tcW w:w="67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4.</w:t>
            </w:r>
          </w:p>
        </w:tc>
        <w:tc>
          <w:tcPr>
            <w:tcW w:w="3672" w:type="dxa"/>
            <w:tcBorders>
              <w:top w:val="single" w:sz="4" w:space="0" w:color="000000"/>
              <w:left w:val="single" w:sz="4" w:space="0" w:color="000000"/>
              <w:bottom w:val="single" w:sz="4" w:space="0" w:color="000000"/>
              <w:right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Замовлення розробки нормативної грошової оцінки земель сільських населених пунктів, селища міського типу Рокині та міста Луцька.</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Заходи не проводились у зв’язку із продовженням дії воєнного стану.</w:t>
            </w:r>
          </w:p>
        </w:tc>
      </w:tr>
      <w:tr>
        <w:trPr>
          <w:trHeight w:val="288" w:hRule="atLeast"/>
        </w:trPr>
        <w:tc>
          <w:tcPr>
            <w:tcW w:w="67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5.</w:t>
            </w:r>
          </w:p>
        </w:tc>
        <w:tc>
          <w:tcPr>
            <w:tcW w:w="3672" w:type="dxa"/>
            <w:tcBorders>
              <w:top w:val="single" w:sz="4" w:space="0" w:color="000000"/>
              <w:left w:val="single" w:sz="4" w:space="0" w:color="000000"/>
              <w:bottom w:val="single" w:sz="4" w:space="0" w:color="000000"/>
              <w:right w:val="single" w:sz="4" w:space="0" w:color="000000"/>
            </w:tcBorders>
          </w:tcPr>
          <w:p>
            <w:pPr>
              <w:pStyle w:val="Standard"/>
              <w:widowControl w:val="false"/>
              <w:jc w:val="both"/>
              <w:rPr>
                <w:rFonts w:ascii="Times New Roman" w:hAnsi="Times New Roman" w:cs="Times New Roman"/>
                <w:color w:val="auto"/>
                <w:sz w:val="26"/>
                <w:szCs w:val="26"/>
              </w:rPr>
            </w:pPr>
            <w:r>
              <w:rPr>
                <w:rFonts w:cs="Times New Roman" w:ascii="Times New Roman" w:hAnsi="Times New Roman"/>
                <w:color w:val="auto"/>
                <w:sz w:val="26"/>
                <w:szCs w:val="26"/>
              </w:rPr>
              <w:t>Додатково</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Згідно з рішенням Луцької міської ради від 15.02.2023 № 75-1 «Про оголошення Всеукраїнського відкритого архітектурного бліц-конкурсу на кращу концепцію облаштування сектору військових поховань на міському кладовищі в с. Гаразджа» організовано та проведено Всеукраїнський відкритий архітектурний бліц-конкурс на кращу концепцію облаштування сектору військових поховань на міському кладовищі в с. Гаразджа.</w:t>
            </w:r>
          </w:p>
        </w:tc>
      </w:tr>
    </w:tbl>
    <w:p>
      <w:pPr>
        <w:pStyle w:val="Normal"/>
        <w:spacing w:lineRule="auto" w:line="360"/>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spacing w:lineRule="auto" w:line="360"/>
        <w:jc w:val="center"/>
        <w:rPr>
          <w:rFonts w:ascii="Times New Roman" w:hAnsi="Times New Roman"/>
          <w:sz w:val="26"/>
          <w:szCs w:val="26"/>
        </w:rPr>
      </w:pPr>
      <w:r>
        <w:rPr>
          <w:rFonts w:cs="Times New Roman" w:ascii="Times New Roman" w:hAnsi="Times New Roman"/>
          <w:b/>
          <w:bCs/>
          <w:sz w:val="26"/>
          <w:szCs w:val="26"/>
        </w:rPr>
        <w:t>3.2.3. Благоустрій та громадський порядок</w:t>
      </w:r>
    </w:p>
    <w:tbl>
      <w:tblPr>
        <w:tblW w:w="15300" w:type="dxa"/>
        <w:jc w:val="left"/>
        <w:tblInd w:w="143" w:type="dxa"/>
        <w:tblLayout w:type="fixed"/>
        <w:tblCellMar>
          <w:top w:w="0" w:type="dxa"/>
          <w:left w:w="108" w:type="dxa"/>
          <w:bottom w:w="0" w:type="dxa"/>
          <w:right w:w="108" w:type="dxa"/>
        </w:tblCellMar>
        <w:tblLook w:firstRow="0" w:noVBand="0" w:lastRow="0" w:firstColumn="0" w:lastColumn="0" w:noHBand="0" w:val="0000"/>
      </w:tblPr>
      <w:tblGrid>
        <w:gridCol w:w="671"/>
        <w:gridCol w:w="3672"/>
        <w:gridCol w:w="10957"/>
      </w:tblGrid>
      <w:tr>
        <w:trPr>
          <w:trHeight w:val="615"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bCs/>
                <w:sz w:val="26"/>
                <w:szCs w:val="26"/>
              </w:rPr>
              <w:t xml:space="preserve">№ </w:t>
            </w:r>
            <w:r>
              <w:rPr>
                <w:rFonts w:cs="Times New Roman" w:ascii="Times New Roman" w:hAnsi="Times New Roman"/>
                <w:bCs/>
                <w:sz w:val="26"/>
                <w:szCs w:val="26"/>
              </w:rPr>
              <w:t>з/п</w:t>
            </w:r>
          </w:p>
        </w:tc>
        <w:tc>
          <w:tcPr>
            <w:tcW w:w="3672"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Назва заходів</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Стан виконання заходів</w:t>
            </w:r>
          </w:p>
        </w:tc>
      </w:tr>
      <w:tr>
        <w:trPr>
          <w:trHeight w:val="615"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t>1.</w:t>
            </w:r>
          </w:p>
        </w:tc>
        <w:tc>
          <w:tcPr>
            <w:tcW w:w="3672" w:type="dxa"/>
            <w:tcBorders>
              <w:top w:val="single" w:sz="4" w:space="0" w:color="000000"/>
              <w:left w:val="single" w:sz="4" w:space="0" w:color="000000"/>
              <w:bottom w:val="single" w:sz="4" w:space="0" w:color="000000"/>
            </w:tcBorders>
          </w:tcPr>
          <w:p>
            <w:pPr>
              <w:pStyle w:val="Standard"/>
              <w:widowControl w:val="false"/>
              <w:tabs>
                <w:tab w:val="clear" w:pos="708"/>
                <w:tab w:val="left" w:pos="795" w:leader="none"/>
              </w:tabs>
              <w:jc w:val="both"/>
              <w:rPr>
                <w:rFonts w:ascii="Times New Roman" w:hAnsi="Times New Roman"/>
                <w:color w:val="auto"/>
                <w:sz w:val="26"/>
                <w:szCs w:val="26"/>
              </w:rPr>
            </w:pPr>
            <w:r>
              <w:rPr>
                <w:rFonts w:cs="Times New Roman" w:ascii="Times New Roman" w:hAnsi="Times New Roman"/>
                <w:color w:val="auto"/>
                <w:sz w:val="26"/>
                <w:szCs w:val="26"/>
              </w:rPr>
              <w:t>Оперативне реагування на звернення громадян щодо правопорушень у сфері благоустрою, паркування, пошкоджень комунального майна тощо.</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За звітний період до департаменту муніципальної варти надійшло 369 письмових звернень та 1 741 звернень через гарячу лінію «ГШР», платформу «Відкрите місто», відділ комунікацій «15-80» та соціальну мережу Facebook. Усі звернення оперативно розглянуто, заявники письмово або в телефонному режимі поінформовані про результати вжитих заходів. Особлива увага приділялась зверненням, які пов’язані з правопорушеннями в умовах воєнного стану.</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2.</w:t>
            </w:r>
          </w:p>
        </w:tc>
        <w:tc>
          <w:tcPr>
            <w:tcW w:w="3672" w:type="dxa"/>
            <w:tcBorders>
              <w:top w:val="single" w:sz="4" w:space="0" w:color="000000"/>
              <w:left w:val="single" w:sz="4" w:space="0" w:color="000000"/>
              <w:bottom w:val="single" w:sz="4" w:space="0" w:color="000000"/>
            </w:tcBorders>
          </w:tcPr>
          <w:p>
            <w:pPr>
              <w:pStyle w:val="Standard"/>
              <w:widowControl w:val="false"/>
              <w:tabs>
                <w:tab w:val="clear" w:pos="708"/>
                <w:tab w:val="left" w:pos="795" w:leader="none"/>
              </w:tabs>
              <w:jc w:val="both"/>
              <w:rPr>
                <w:rFonts w:ascii="Times New Roman" w:hAnsi="Times New Roman"/>
                <w:color w:val="auto"/>
                <w:sz w:val="26"/>
                <w:szCs w:val="26"/>
              </w:rPr>
            </w:pPr>
            <w:r>
              <w:rPr>
                <w:rFonts w:cs="Times New Roman" w:ascii="Times New Roman" w:hAnsi="Times New Roman"/>
                <w:color w:val="auto"/>
                <w:sz w:val="26"/>
                <w:szCs w:val="26"/>
              </w:rPr>
              <w:t>Продовження реалізації комплексної програми «Безпечне місто Луцьк».</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Завершено будівництво об’єкту: «"Безпечне місто Луцьк" – Нове будівництво з встановлення камер відеоспостереження по проспекту Відродження. Коригування». Здійснено перепідключення електроживлення камер відеоспостереження у Заборольському та Жидичинському старостинських округах. Проведено роботи для виготовлення документації для проєкту: «Нове будівництво з встановлення камер відеоспостереження у місті Луцьку на проспектах Молоді та Соборності. Коригування». Здійснено відновлення вузлів доступу до камер відеоспостереження, які вийшли з ладу внаслідок негоди. Система відеоспостереження «Безпечне місто» активно використовувалась правоохоронними органами в умовах воєнного стану з метою пошуку підозрілих осіб, транспортних засобів тощо.</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3.</w:t>
            </w:r>
          </w:p>
        </w:tc>
        <w:tc>
          <w:tcPr>
            <w:tcW w:w="3672" w:type="dxa"/>
            <w:tcBorders>
              <w:top w:val="single" w:sz="4" w:space="0" w:color="000000"/>
              <w:left w:val="single" w:sz="4" w:space="0" w:color="000000"/>
              <w:bottom w:val="single" w:sz="4" w:space="0" w:color="000000"/>
            </w:tcBorders>
          </w:tcPr>
          <w:p>
            <w:pPr>
              <w:pStyle w:val="Standard"/>
              <w:widowControl w:val="false"/>
              <w:tabs>
                <w:tab w:val="clear" w:pos="708"/>
                <w:tab w:val="left" w:pos="795" w:leader="none"/>
              </w:tabs>
              <w:jc w:val="both"/>
              <w:rPr>
                <w:rFonts w:ascii="Times New Roman" w:hAnsi="Times New Roman"/>
                <w:color w:val="auto"/>
                <w:sz w:val="26"/>
                <w:szCs w:val="26"/>
              </w:rPr>
            </w:pPr>
            <w:r>
              <w:rPr>
                <w:rFonts w:cs="Times New Roman" w:ascii="Times New Roman" w:hAnsi="Times New Roman"/>
                <w:color w:val="auto"/>
                <w:sz w:val="26"/>
                <w:szCs w:val="26"/>
              </w:rPr>
              <w:t>Здійснення контролю за благоустроєм на території Луцької міської територіальної громади, шляхом проведення превентивної роботи, видачі приписів та складення адмінпротоколів, а саме: за викиданням сміття та зливанням нечистот, недопущенням спалювання сміття, гілля листя, за розміщення реклами у не дозволених місцях, за порядком вигулу домашніх тварин, неналежне утримання об’єктів благоустрою тощо.</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У сфері дотримання громадянами, підприємствами, установами та організаціями Правил благоустрою міста Луцька, проводились наступні заходи контролю:</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щодо заборони засмічення територій громади, звалювання у невідведених місцях гілля, будівельних матеріалів, різноманітних відходів;</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за паркуванням транспортних засобів у невідведених для цього місцях – зелених зонах, тротуарах тощо;</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за розміщенням реклами та оголошень у невизначених для цього місцях;</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щодо самовільного розміщення різноманітних конструкцій, тимчасових споруд, рекламоносіїв;</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щодо проведення земляних робіт без ордеру, не відновлення благоустрою;</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за неналежне утримання об’єктів благоустрою тощо.</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В результаті перевірки дотримання громадянами вимог Правил утримання тварин у місті Луцьку складено 6 протоколів про адміністративні правопорушення за ст. 154 КУпАП, зокрема за вигул собак у невстановлених місцях (дитячих майданчиках, територіях навчальних закладів тощо). Загалом видано 2 247 приписів та складено 523 протоколи за різноманітні порушення Правил благоустрою. Працівники департаменту муніципальної варти Луцької міської ради протягом лютого-березня проводили інформаційно-роз'яснювальну роботу з мешканцями приватного сектора вулиці Львівської та прилеглих вулиць щодо припинення стихійних сміттєзвалищ та встановлення індивідуальних сміттєвих контейнерів власниками приватних домоволодінь.</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4.</w:t>
            </w:r>
          </w:p>
        </w:tc>
        <w:tc>
          <w:tcPr>
            <w:tcW w:w="3672" w:type="dxa"/>
            <w:tcBorders>
              <w:top w:val="single" w:sz="4" w:space="0" w:color="000000"/>
              <w:left w:val="single" w:sz="4" w:space="0" w:color="000000"/>
              <w:bottom w:val="single" w:sz="4" w:space="0" w:color="000000"/>
            </w:tcBorders>
          </w:tcPr>
          <w:p>
            <w:pPr>
              <w:pStyle w:val="Standard"/>
              <w:widowControl w:val="false"/>
              <w:tabs>
                <w:tab w:val="clear" w:pos="708"/>
                <w:tab w:val="left" w:pos="795" w:leader="none"/>
              </w:tabs>
              <w:jc w:val="both"/>
              <w:rPr>
                <w:rFonts w:ascii="Times New Roman" w:hAnsi="Times New Roman"/>
                <w:color w:val="auto"/>
                <w:sz w:val="26"/>
                <w:szCs w:val="26"/>
              </w:rPr>
            </w:pPr>
            <w:r>
              <w:rPr>
                <w:rFonts w:cs="Times New Roman" w:ascii="Times New Roman" w:hAnsi="Times New Roman"/>
                <w:color w:val="auto"/>
                <w:sz w:val="26"/>
                <w:szCs w:val="26"/>
              </w:rPr>
              <w:t>Проведення демонтажу незаконно встановлених малих архітектурних форм, тимчасових споруд, металевих та дерев’яних конструкцій.</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Підготовлено 28 рішень про демонтаж незаконних споруд в Луцькій громаді. З початку року демонтовано 122 незаконні об’єкти на території громади (гаражі, сараї, огорожі, обмежувачі руху, шини тощо). Розпочато роботи з демонтажу старих автомобільних шин з вулиць і дворів міста. Складено 116 протоколів за ст. 152 КУпАП за самовільне розміщення тимчасових споруд, конструкцій, рекламоносіїв. Проведено ряд роз’яснювальних розмов в результаті яких частина незаконних споруд, які було виявлено, демонтовані власниками добровільно.</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5.</w:t>
            </w:r>
          </w:p>
        </w:tc>
        <w:tc>
          <w:tcPr>
            <w:tcW w:w="3672" w:type="dxa"/>
            <w:tcBorders>
              <w:top w:val="single" w:sz="4" w:space="0" w:color="000000"/>
              <w:left w:val="single" w:sz="4" w:space="0" w:color="000000"/>
              <w:bottom w:val="single" w:sz="4" w:space="0" w:color="000000"/>
            </w:tcBorders>
          </w:tcPr>
          <w:p>
            <w:pPr>
              <w:pStyle w:val="Standard"/>
              <w:widowControl w:val="false"/>
              <w:tabs>
                <w:tab w:val="clear" w:pos="708"/>
                <w:tab w:val="left" w:pos="795" w:leader="none"/>
              </w:tabs>
              <w:jc w:val="both"/>
              <w:rPr>
                <w:rFonts w:ascii="Times New Roman" w:hAnsi="Times New Roman"/>
                <w:color w:val="auto"/>
                <w:sz w:val="26"/>
                <w:szCs w:val="26"/>
              </w:rPr>
            </w:pPr>
            <w:r>
              <w:rPr>
                <w:rFonts w:cs="Times New Roman" w:ascii="Times New Roman" w:hAnsi="Times New Roman"/>
                <w:color w:val="auto"/>
                <w:sz w:val="26"/>
                <w:szCs w:val="26"/>
              </w:rPr>
              <w:t>Здійснення контролю за недопущенням стихійної торгівлі та порушенням інших норм законодавства у сфері торгівлі на території Луцької міської територіальної громади.</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 метою недопущення утворення стихійних ринків на території міста та дотримання правил торгівлі інспекторами відділу протидії стихійній торгівлі департаменту муніципальної варти організовано щоденні чергування на вул. Глушець, Замкова, Кравчука, Конякіна, Львівська, просп. Соборності, просп. Грушевського, просп. Відродження (поблизу ринків).</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За розміщення об’єктів торгівлі у невстановлених місцях та торгівлю з рук, порушення правил торгівлі на ринках на громадян було складено 64 протоколи про адміністративні правопорушення за ст. 152 КУпАП. З метою виконання рішення міської ради від 20.04.2011 № 9/23 «Про заборону продажу пива, алкогольних, слабоалкогольних напоїв, вин столових та тютюнових виробів» (заборона продажу алкогольних напоїв в нічний час) проводились перевірки закладів торгівлі. Зафіксовано 3 випадки продажу алкоголю в нічний час, по кожному з яких складено відповідні адмінматеріали за ч. 2 ст. 156 КУпАП. Також проводилась робота щодо виявлення фактів торгівлі пивом (крім безалкогольного), алкогольними, слабоалкогольними напоями або тютюновими виробами з рук (продаж «сурогату») та без марок акцизного податку. За даними фактами у вказаному періоді складено 10 протоколів за ч. 3 ст. 156 КУпАП. У зв’язку із забороною продажу алкоголю на території Луцької міської територіальної громади, працівники департаменту муніципальної варти здійснювали перевірки торгових закладів, приватних домоволодінь, квартир тощо.</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6.</w:t>
            </w:r>
          </w:p>
        </w:tc>
        <w:tc>
          <w:tcPr>
            <w:tcW w:w="3672" w:type="dxa"/>
            <w:tcBorders>
              <w:top w:val="single" w:sz="4" w:space="0" w:color="000000"/>
              <w:left w:val="single" w:sz="4" w:space="0" w:color="000000"/>
              <w:bottom w:val="single" w:sz="4" w:space="0" w:color="000000"/>
            </w:tcBorders>
          </w:tcPr>
          <w:p>
            <w:pPr>
              <w:pStyle w:val="Standard"/>
              <w:widowControl w:val="false"/>
              <w:tabs>
                <w:tab w:val="clear" w:pos="708"/>
                <w:tab w:val="left" w:pos="795" w:leader="none"/>
              </w:tabs>
              <w:jc w:val="both"/>
              <w:rPr>
                <w:rFonts w:ascii="Times New Roman" w:hAnsi="Times New Roman"/>
                <w:color w:val="auto"/>
                <w:sz w:val="26"/>
                <w:szCs w:val="26"/>
              </w:rPr>
            </w:pPr>
            <w:r>
              <w:rPr>
                <w:rFonts w:cs="Times New Roman" w:ascii="Times New Roman" w:hAnsi="Times New Roman"/>
                <w:color w:val="auto"/>
                <w:sz w:val="26"/>
                <w:szCs w:val="26"/>
              </w:rPr>
              <w:t>Здійснення фіксації порушень громадянами правил зупинки, стоянки та паркування транспортних засобів.</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Департаментом муніципальної варти розроблено 15 маршрутів (локацій), на яких працюють інспектори з паркування. Кожен маршрут охоплює в середньому від 5 до 12 вулиць та проспектів міста, якими курсують інспектори протягом робочого дня. Також інспектори здійснювали контроль за оплатою послуг за паркування на майданчиках КП «АвтоПаркСервіс» на вулицях Кривий Вал та Карпенка Карого, 1. За  звітний період винесено 8 886 Повідомлень/Постанов, сума оплати штрафів за порушення правил паркування до бюджету склала 5 465,4 тис. грн.</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7.</w:t>
            </w:r>
          </w:p>
        </w:tc>
        <w:tc>
          <w:tcPr>
            <w:tcW w:w="3672" w:type="dxa"/>
            <w:tcBorders>
              <w:top w:val="single" w:sz="4" w:space="0" w:color="000000"/>
              <w:left w:val="single" w:sz="4" w:space="0" w:color="000000"/>
              <w:bottom w:val="single" w:sz="4" w:space="0" w:color="000000"/>
            </w:tcBorders>
          </w:tcPr>
          <w:p>
            <w:pPr>
              <w:pStyle w:val="Standard"/>
              <w:widowControl w:val="false"/>
              <w:tabs>
                <w:tab w:val="clear" w:pos="708"/>
                <w:tab w:val="left" w:pos="795" w:leader="none"/>
              </w:tabs>
              <w:jc w:val="both"/>
              <w:rPr>
                <w:rFonts w:ascii="Times New Roman" w:hAnsi="Times New Roman"/>
                <w:color w:val="auto"/>
                <w:sz w:val="26"/>
                <w:szCs w:val="26"/>
              </w:rPr>
            </w:pPr>
            <w:r>
              <w:rPr>
                <w:rFonts w:cs="Times New Roman" w:ascii="Times New Roman" w:hAnsi="Times New Roman"/>
                <w:color w:val="auto"/>
                <w:sz w:val="26"/>
                <w:szCs w:val="26"/>
              </w:rPr>
              <w:t>Забезпечення правопорядку, охорони прав, свобод і законних інтересів громадян.</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 метою забезпечення охорони громадського порядку та недопущення вчинення різного роду правопорушень, пошкоджень комунального майна та елементів благоустрою, працівники департаменту муніципальної варти регулярно здійснюють чергування під час проведення масових заходів, у громадських місцях. Здійснюється патрулювання Центрального парку культури та відпочинку імені Лесі Українки, Театрального майдану та інших вулиць міста.</w:t>
            </w:r>
          </w:p>
        </w:tc>
      </w:tr>
    </w:tbl>
    <w:p>
      <w:pPr>
        <w:pStyle w:val="Normal"/>
        <w:spacing w:lineRule="auto" w:line="360"/>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spacing w:lineRule="auto" w:line="360"/>
        <w:jc w:val="center"/>
        <w:rPr>
          <w:rFonts w:ascii="Times New Roman" w:hAnsi="Times New Roman"/>
          <w:sz w:val="26"/>
          <w:szCs w:val="26"/>
        </w:rPr>
      </w:pPr>
      <w:r>
        <w:rPr>
          <w:rFonts w:cs="Times New Roman" w:ascii="Times New Roman" w:hAnsi="Times New Roman"/>
          <w:b/>
          <w:bCs/>
          <w:sz w:val="26"/>
          <w:szCs w:val="26"/>
        </w:rPr>
        <w:t>3.2.4. Розвиток транспортної інфраструктури</w:t>
      </w:r>
    </w:p>
    <w:tbl>
      <w:tblPr>
        <w:tblW w:w="15300" w:type="dxa"/>
        <w:jc w:val="left"/>
        <w:tblInd w:w="143" w:type="dxa"/>
        <w:tblLayout w:type="fixed"/>
        <w:tblCellMar>
          <w:top w:w="0" w:type="dxa"/>
          <w:left w:w="108" w:type="dxa"/>
          <w:bottom w:w="0" w:type="dxa"/>
          <w:right w:w="108" w:type="dxa"/>
        </w:tblCellMar>
        <w:tblLook w:firstRow="0" w:noVBand="0" w:lastRow="0" w:firstColumn="0" w:lastColumn="0" w:noHBand="0" w:val="0000"/>
      </w:tblPr>
      <w:tblGrid>
        <w:gridCol w:w="671"/>
        <w:gridCol w:w="3672"/>
        <w:gridCol w:w="10957"/>
      </w:tblGrid>
      <w:tr>
        <w:trPr>
          <w:trHeight w:val="615"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bCs/>
                <w:sz w:val="26"/>
                <w:szCs w:val="26"/>
              </w:rPr>
              <w:t xml:space="preserve">№ </w:t>
            </w:r>
            <w:r>
              <w:rPr>
                <w:rFonts w:cs="Times New Roman" w:ascii="Times New Roman" w:hAnsi="Times New Roman"/>
                <w:bCs/>
                <w:sz w:val="26"/>
                <w:szCs w:val="26"/>
              </w:rPr>
              <w:t>з/п</w:t>
            </w:r>
          </w:p>
        </w:tc>
        <w:tc>
          <w:tcPr>
            <w:tcW w:w="3672"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Назва заходів</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Стан виконання заходів</w:t>
            </w:r>
          </w:p>
        </w:tc>
      </w:tr>
      <w:tr>
        <w:trPr>
          <w:trHeight w:val="615"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t>1.</w:t>
            </w:r>
          </w:p>
        </w:tc>
        <w:tc>
          <w:tcPr>
            <w:tcW w:w="3672" w:type="dxa"/>
            <w:tcBorders>
              <w:top w:val="single" w:sz="4" w:space="0" w:color="000000"/>
              <w:left w:val="single" w:sz="4" w:space="0" w:color="000000"/>
              <w:bottom w:val="single" w:sz="4" w:space="0" w:color="000000"/>
            </w:tcBorders>
          </w:tcPr>
          <w:p>
            <w:pPr>
              <w:pStyle w:val="Standard"/>
              <w:widowControl w:val="false"/>
              <w:tabs>
                <w:tab w:val="clear" w:pos="708"/>
                <w:tab w:val="left" w:pos="795" w:leader="none"/>
              </w:tabs>
              <w:jc w:val="both"/>
              <w:rPr>
                <w:rFonts w:ascii="Times New Roman" w:hAnsi="Times New Roman"/>
                <w:color w:val="auto"/>
                <w:sz w:val="26"/>
                <w:szCs w:val="26"/>
              </w:rPr>
            </w:pPr>
            <w:r>
              <w:rPr>
                <w:rFonts w:cs="Times New Roman" w:ascii="Times New Roman" w:hAnsi="Times New Roman"/>
                <w:color w:val="auto"/>
                <w:sz w:val="26"/>
                <w:szCs w:val="26"/>
              </w:rPr>
              <w:t>Удосконалення маршрутної мережі громадського транспорту міської територіальної громади із врахуванням придбання нових тролейбусів.</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shd w:val="clear" w:color="auto" w:fill="FFFFFF"/>
              <w:ind w:firstLine="567"/>
              <w:jc w:val="both"/>
              <w:textAlignment w:val="auto"/>
              <w:rPr>
                <w:rFonts w:ascii="Times New Roman" w:hAnsi="Times New Roman" w:cs="Times New Roman"/>
                <w:sz w:val="26"/>
                <w:szCs w:val="26"/>
              </w:rPr>
            </w:pPr>
            <w:r>
              <w:rPr>
                <w:rFonts w:cs="Times New Roman" w:ascii="Times New Roman" w:hAnsi="Times New Roman"/>
                <w:sz w:val="26"/>
                <w:szCs w:val="26"/>
              </w:rPr>
              <w:t>Протягом звітного періоду зазначені заходи не проводились.</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2.</w:t>
            </w:r>
          </w:p>
        </w:tc>
        <w:tc>
          <w:tcPr>
            <w:tcW w:w="3672" w:type="dxa"/>
            <w:tcBorders>
              <w:top w:val="single" w:sz="4" w:space="0" w:color="000000"/>
              <w:left w:val="single" w:sz="4" w:space="0" w:color="000000"/>
              <w:bottom w:val="single" w:sz="4" w:space="0" w:color="000000"/>
            </w:tcBorders>
          </w:tcPr>
          <w:p>
            <w:pPr>
              <w:pStyle w:val="Standard"/>
              <w:widowControl w:val="false"/>
              <w:tabs>
                <w:tab w:val="clear" w:pos="708"/>
                <w:tab w:val="left" w:pos="795" w:leader="none"/>
              </w:tabs>
              <w:jc w:val="both"/>
              <w:rPr>
                <w:rFonts w:ascii="Times New Roman" w:hAnsi="Times New Roman"/>
                <w:color w:val="auto"/>
                <w:sz w:val="26"/>
                <w:szCs w:val="26"/>
              </w:rPr>
            </w:pPr>
            <w:r>
              <w:rPr>
                <w:rFonts w:cs="Times New Roman" w:ascii="Times New Roman" w:hAnsi="Times New Roman"/>
                <w:color w:val="auto"/>
                <w:sz w:val="26"/>
                <w:szCs w:val="26"/>
              </w:rPr>
              <w:t>Організація приміських пасажирських перевезень в межах Луцької міської територіальної громади.</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Проведено конкурс та визначено перевізників на приміських маршрутах № 57 «Луцьк - Боголюби», № 58 «Луцьк - Сьомаки» та № 59 «Луцьк - Небіжка».</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3.</w:t>
            </w:r>
          </w:p>
        </w:tc>
        <w:tc>
          <w:tcPr>
            <w:tcW w:w="3672" w:type="dxa"/>
            <w:tcBorders>
              <w:top w:val="single" w:sz="4" w:space="0" w:color="000000"/>
              <w:left w:val="single" w:sz="4" w:space="0" w:color="000000"/>
              <w:bottom w:val="single" w:sz="4" w:space="0" w:color="000000"/>
            </w:tcBorders>
          </w:tcPr>
          <w:p>
            <w:pPr>
              <w:pStyle w:val="Standard"/>
              <w:widowControl w:val="false"/>
              <w:tabs>
                <w:tab w:val="clear" w:pos="708"/>
                <w:tab w:val="left" w:pos="795" w:leader="none"/>
              </w:tabs>
              <w:jc w:val="both"/>
              <w:rPr>
                <w:rFonts w:ascii="Times New Roman" w:hAnsi="Times New Roman" w:cs="Times New Roman"/>
                <w:color w:val="auto"/>
                <w:sz w:val="26"/>
                <w:szCs w:val="26"/>
              </w:rPr>
            </w:pPr>
            <w:r>
              <w:rPr>
                <w:rFonts w:cs="Times New Roman" w:ascii="Times New Roman" w:hAnsi="Times New Roman"/>
                <w:color w:val="auto"/>
                <w:sz w:val="26"/>
                <w:szCs w:val="26"/>
              </w:rPr>
              <w:t>Забезпечення перевезень працівників об’єктів критичної інфраструктури у разі припинення роботи громадського транспорту під час дії воєнного стану, виникнення надзвичайної ситуації чи блекауту.</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Протягом звітного періоду зазначені заходи не проводились.</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4.</w:t>
            </w:r>
          </w:p>
        </w:tc>
        <w:tc>
          <w:tcPr>
            <w:tcW w:w="3672" w:type="dxa"/>
            <w:tcBorders>
              <w:top w:val="single" w:sz="4" w:space="0" w:color="000000"/>
              <w:left w:val="single" w:sz="4" w:space="0" w:color="000000"/>
              <w:bottom w:val="single" w:sz="4" w:space="0" w:color="000000"/>
            </w:tcBorders>
          </w:tcPr>
          <w:p>
            <w:pPr>
              <w:pStyle w:val="Standard"/>
              <w:widowControl w:val="false"/>
              <w:tabs>
                <w:tab w:val="clear" w:pos="708"/>
                <w:tab w:val="left" w:pos="795" w:leader="none"/>
              </w:tabs>
              <w:jc w:val="both"/>
              <w:rPr>
                <w:rFonts w:ascii="Times New Roman" w:hAnsi="Times New Roman"/>
                <w:color w:val="auto"/>
                <w:sz w:val="26"/>
                <w:szCs w:val="26"/>
              </w:rPr>
            </w:pPr>
            <w:r>
              <w:rPr>
                <w:rFonts w:cs="Times New Roman" w:ascii="Times New Roman" w:hAnsi="Times New Roman"/>
                <w:color w:val="auto"/>
                <w:sz w:val="26"/>
                <w:szCs w:val="26"/>
              </w:rPr>
              <w:t>Оновлення рухомого складу громадського транспорту.</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У звітному періоді оновлено рухомий склад на маршрутах № 22 (3 автобуси), № 26,26а (6 автобусів), № 11 (6 автобусів), № 28 (3 автобуси) та № 31 (8 автобусів).</w:t>
            </w:r>
          </w:p>
        </w:tc>
      </w:tr>
      <w:tr>
        <w:trPr>
          <w:trHeight w:val="288" w:hRule="atLeast"/>
        </w:trPr>
        <w:tc>
          <w:tcPr>
            <w:tcW w:w="671"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5.</w:t>
            </w:r>
          </w:p>
        </w:tc>
        <w:tc>
          <w:tcPr>
            <w:tcW w:w="3672" w:type="dxa"/>
            <w:tcBorders>
              <w:left w:val="single" w:sz="4" w:space="0" w:color="000000"/>
              <w:bottom w:val="single" w:sz="4" w:space="0" w:color="000000"/>
            </w:tcBorders>
          </w:tcPr>
          <w:p>
            <w:pPr>
              <w:pStyle w:val="Standard"/>
              <w:widowControl w:val="false"/>
              <w:tabs>
                <w:tab w:val="clear" w:pos="708"/>
                <w:tab w:val="left" w:pos="795" w:leader="none"/>
              </w:tabs>
              <w:jc w:val="both"/>
              <w:rPr>
                <w:rFonts w:ascii="Times New Roman" w:hAnsi="Times New Roman"/>
                <w:color w:val="auto"/>
                <w:sz w:val="26"/>
                <w:szCs w:val="26"/>
              </w:rPr>
            </w:pPr>
            <w:r>
              <w:rPr>
                <w:rFonts w:cs="Times New Roman" w:ascii="Times New Roman" w:hAnsi="Times New Roman"/>
                <w:color w:val="auto"/>
                <w:sz w:val="26"/>
                <w:szCs w:val="26"/>
              </w:rPr>
              <w:t>Оптимізація пасажирської транспортної мережі Луцької міської територіальної громади.</w:t>
            </w:r>
          </w:p>
        </w:tc>
        <w:tc>
          <w:tcPr>
            <w:tcW w:w="10957"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Враховуючи залучення великогабаритних автобусів, зменшилась загальна кількість автобусів по маршрутах № № 2, 3, 9, 11, 12, 24.</w:t>
            </w:r>
          </w:p>
        </w:tc>
      </w:tr>
      <w:tr>
        <w:trPr>
          <w:trHeight w:val="288" w:hRule="atLeast"/>
        </w:trPr>
        <w:tc>
          <w:tcPr>
            <w:tcW w:w="671"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6.</w:t>
            </w:r>
          </w:p>
        </w:tc>
        <w:tc>
          <w:tcPr>
            <w:tcW w:w="3672" w:type="dxa"/>
            <w:tcBorders>
              <w:left w:val="single" w:sz="4" w:space="0" w:color="000000"/>
              <w:bottom w:val="single" w:sz="4" w:space="0" w:color="000000"/>
            </w:tcBorders>
          </w:tcPr>
          <w:p>
            <w:pPr>
              <w:pStyle w:val="Standard"/>
              <w:widowControl w:val="false"/>
              <w:tabs>
                <w:tab w:val="clear" w:pos="708"/>
                <w:tab w:val="left" w:pos="795" w:leader="none"/>
              </w:tabs>
              <w:jc w:val="both"/>
              <w:rPr>
                <w:rFonts w:ascii="Times New Roman" w:hAnsi="Times New Roman"/>
                <w:color w:val="auto"/>
                <w:sz w:val="26"/>
                <w:szCs w:val="26"/>
              </w:rPr>
            </w:pPr>
            <w:r>
              <w:rPr>
                <w:rFonts w:cs="Times New Roman" w:ascii="Times New Roman" w:hAnsi="Times New Roman"/>
                <w:color w:val="auto"/>
                <w:sz w:val="26"/>
                <w:szCs w:val="26"/>
              </w:rPr>
              <w:t>Удосконалення механізму оплати за проїзд та обліку пасажирів.</w:t>
            </w:r>
          </w:p>
        </w:tc>
        <w:tc>
          <w:tcPr>
            <w:tcW w:w="10957"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Обладнання автоматизованої системи обліку оплати проїзду встановлено та функціонує у 57 тролейбусах та 152 автобусах, що здійснюють пасажирські перевезення у Луцькій міській територіальній громаді. Оператором електронних систем ТОВ «Сіті Кард Систем» забезпечено функціонування 36 терміналів з продажу та поповнення електронних квитків, із них 2 термінали розміщені на зупинках громадського транспорту та працюють цілодобово.</w:t>
            </w:r>
          </w:p>
        </w:tc>
      </w:tr>
      <w:tr>
        <w:trPr>
          <w:trHeight w:val="288" w:hRule="atLeast"/>
        </w:trPr>
        <w:tc>
          <w:tcPr>
            <w:tcW w:w="671"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7.</w:t>
            </w:r>
          </w:p>
        </w:tc>
        <w:tc>
          <w:tcPr>
            <w:tcW w:w="3672" w:type="dxa"/>
            <w:tcBorders>
              <w:left w:val="single" w:sz="4" w:space="0" w:color="000000"/>
              <w:bottom w:val="single" w:sz="4" w:space="0" w:color="000000"/>
            </w:tcBorders>
          </w:tcPr>
          <w:p>
            <w:pPr>
              <w:pStyle w:val="Standard"/>
              <w:widowControl w:val="false"/>
              <w:tabs>
                <w:tab w:val="clear" w:pos="708"/>
                <w:tab w:val="left" w:pos="795" w:leader="none"/>
              </w:tabs>
              <w:jc w:val="both"/>
              <w:rPr>
                <w:rFonts w:ascii="Times New Roman" w:hAnsi="Times New Roman" w:cs="Times New Roman"/>
                <w:color w:val="auto"/>
                <w:sz w:val="26"/>
                <w:szCs w:val="26"/>
              </w:rPr>
            </w:pPr>
            <w:r>
              <w:rPr>
                <w:rFonts w:cs="Times New Roman" w:ascii="Times New Roman" w:hAnsi="Times New Roman"/>
                <w:color w:val="auto"/>
                <w:sz w:val="26"/>
                <w:szCs w:val="26"/>
              </w:rPr>
              <w:t>Здійснення постійного контроль за якістю надання транспортних послуг.</w:t>
            </w:r>
          </w:p>
        </w:tc>
        <w:tc>
          <w:tcPr>
            <w:tcW w:w="10957"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На підставі п. 2.3. Положення про порядок здійснення контролю оплати (реєстрації) проїзду у пасажирському транспорті загального користування Луцької міської територіальної громади, оголошено тендер на закупівлю послуги із забезпечення контролю за оплатою (реєстрацією) проїзду в громадському транспорті та укладено договір з ТзОВ «Волиньконтрольсервіс». З допомогою залученого підприємства вдалось значно підвищити платіжну дисципліну пасажирів в частині оплати проїзду за допомогою електронного квитка.</w:t>
            </w:r>
          </w:p>
        </w:tc>
      </w:tr>
      <w:tr>
        <w:trPr>
          <w:trHeight w:val="288" w:hRule="atLeast"/>
        </w:trPr>
        <w:tc>
          <w:tcPr>
            <w:tcW w:w="671"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8.</w:t>
            </w:r>
          </w:p>
        </w:tc>
        <w:tc>
          <w:tcPr>
            <w:tcW w:w="3672" w:type="dxa"/>
            <w:tcBorders>
              <w:left w:val="single" w:sz="4" w:space="0" w:color="000000"/>
              <w:bottom w:val="single" w:sz="4" w:space="0" w:color="000000"/>
            </w:tcBorders>
          </w:tcPr>
          <w:p>
            <w:pPr>
              <w:pStyle w:val="Standard"/>
              <w:widowControl w:val="false"/>
              <w:tabs>
                <w:tab w:val="clear" w:pos="708"/>
                <w:tab w:val="left" w:pos="795" w:leader="none"/>
              </w:tabs>
              <w:jc w:val="both"/>
              <w:rPr>
                <w:rFonts w:ascii="Times New Roman" w:hAnsi="Times New Roman"/>
                <w:color w:val="auto"/>
                <w:sz w:val="26"/>
                <w:szCs w:val="26"/>
              </w:rPr>
            </w:pPr>
            <w:r>
              <w:rPr>
                <w:rFonts w:cs="Times New Roman" w:ascii="Times New Roman" w:hAnsi="Times New Roman"/>
                <w:color w:val="auto"/>
                <w:sz w:val="26"/>
                <w:szCs w:val="26"/>
              </w:rPr>
              <w:t>Оновлення та підтримка у належному стані зупинок громадського транспорту.</w:t>
            </w:r>
          </w:p>
        </w:tc>
        <w:tc>
          <w:tcPr>
            <w:tcW w:w="10957" w:type="dxa"/>
            <w:tcBorders>
              <w:left w:val="single" w:sz="4" w:space="0" w:color="000000"/>
              <w:bottom w:val="single" w:sz="4" w:space="0" w:color="000000"/>
              <w:right w:val="single" w:sz="4" w:space="0" w:color="000000"/>
            </w:tcBorders>
          </w:tcPr>
          <w:p>
            <w:pPr>
              <w:pStyle w:val="HTML1"/>
              <w:widowControl w:val="false"/>
              <w:shd w:val="clear" w:color="auto" w:fill="FFFFFF"/>
              <w:ind w:firstLine="567"/>
              <w:jc w:val="both"/>
              <w:rPr>
                <w:rFonts w:ascii="Times New Roman" w:hAnsi="Times New Roman"/>
                <w:sz w:val="26"/>
                <w:szCs w:val="26"/>
              </w:rPr>
            </w:pPr>
            <w:r>
              <w:rPr>
                <w:rFonts w:cs="Times New Roman" w:ascii="Times New Roman" w:hAnsi="Times New Roman"/>
                <w:sz w:val="26"/>
                <w:szCs w:val="26"/>
                <w:lang w:val="uk-UA"/>
              </w:rPr>
              <w:t>На території Луцької міської територіальної громади затверджено назви та місця розташування 730 зупинок громадського транспорту.</w:t>
            </w:r>
          </w:p>
          <w:p>
            <w:pPr>
              <w:pStyle w:val="HTML1"/>
              <w:widowControl w:val="false"/>
              <w:shd w:val="clear" w:color="auto" w:fill="FFFFFF"/>
              <w:ind w:firstLine="567"/>
              <w:jc w:val="both"/>
              <w:rPr>
                <w:rFonts w:ascii="Times New Roman" w:hAnsi="Times New Roman"/>
                <w:sz w:val="26"/>
                <w:szCs w:val="26"/>
              </w:rPr>
            </w:pPr>
            <w:r>
              <w:rPr>
                <w:rFonts w:cs="Times New Roman" w:ascii="Times New Roman" w:hAnsi="Times New Roman"/>
                <w:sz w:val="26"/>
                <w:szCs w:val="26"/>
                <w:lang w:val="uk-UA"/>
              </w:rPr>
              <w:t>Протягом першого півріччя 2023 року перелік зупинок громадського транспорту доповнено на 15 од.</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Після прийняття Луцькою міською радою  рішень щодо процесу декомунізації з перейменування вулиць міста Луцька та інших населених пунктів Луцької міської територіальної громади, здійснюється процес перейменування зупинок громадського транспорту та відповідно їх місце розташування, який має завершитись у поточному році.</w:t>
            </w:r>
          </w:p>
        </w:tc>
      </w:tr>
    </w:tbl>
    <w:p>
      <w:pPr>
        <w:pStyle w:val="Normal"/>
        <w:spacing w:lineRule="auto" w:line="360"/>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spacing w:lineRule="auto" w:line="360"/>
        <w:jc w:val="center"/>
        <w:rPr>
          <w:rFonts w:ascii="Times New Roman" w:hAnsi="Times New Roman"/>
          <w:sz w:val="26"/>
          <w:szCs w:val="26"/>
        </w:rPr>
      </w:pPr>
      <w:r>
        <w:rPr>
          <w:rFonts w:cs="Times New Roman" w:ascii="Times New Roman" w:hAnsi="Times New Roman"/>
          <w:b/>
          <w:bCs/>
          <w:sz w:val="26"/>
          <w:szCs w:val="26"/>
        </w:rPr>
        <w:t>3.3. СТВОРЕННЯ УМОВ</w:t>
      </w:r>
    </w:p>
    <w:p>
      <w:pPr>
        <w:pStyle w:val="Normal"/>
        <w:spacing w:lineRule="auto" w:line="360"/>
        <w:jc w:val="center"/>
        <w:rPr>
          <w:rFonts w:ascii="Times New Roman" w:hAnsi="Times New Roman"/>
          <w:sz w:val="26"/>
          <w:szCs w:val="26"/>
        </w:rPr>
      </w:pPr>
      <w:r>
        <w:rPr>
          <w:rFonts w:cs="Times New Roman" w:ascii="Times New Roman" w:hAnsi="Times New Roman"/>
          <w:b/>
          <w:bCs/>
          <w:sz w:val="26"/>
          <w:szCs w:val="26"/>
        </w:rPr>
        <w:t>ДЛЯ ПОКРАЩЕННЯ ЯКОСТІ ЖИТТЯ</w:t>
      </w:r>
    </w:p>
    <w:p>
      <w:pPr>
        <w:pStyle w:val="Normal"/>
        <w:tabs>
          <w:tab w:val="clear" w:pos="708"/>
          <w:tab w:val="left" w:pos="795" w:leader="none"/>
        </w:tabs>
        <w:spacing w:lineRule="auto" w:line="360"/>
        <w:jc w:val="center"/>
        <w:rPr>
          <w:rFonts w:ascii="Times New Roman" w:hAnsi="Times New Roman"/>
          <w:sz w:val="26"/>
          <w:szCs w:val="26"/>
        </w:rPr>
      </w:pPr>
      <w:r>
        <w:rPr>
          <w:rFonts w:cs="Times New Roman" w:ascii="Times New Roman" w:hAnsi="Times New Roman"/>
          <w:b/>
          <w:bCs/>
          <w:sz w:val="26"/>
          <w:szCs w:val="26"/>
        </w:rPr>
        <w:t>3.3.1. Охорона здоров’я</w:t>
      </w:r>
    </w:p>
    <w:tbl>
      <w:tblPr>
        <w:tblW w:w="15330" w:type="dxa"/>
        <w:jc w:val="left"/>
        <w:tblInd w:w="113" w:type="dxa"/>
        <w:tblLayout w:type="fixed"/>
        <w:tblCellMar>
          <w:top w:w="0" w:type="dxa"/>
          <w:left w:w="108" w:type="dxa"/>
          <w:bottom w:w="0" w:type="dxa"/>
          <w:right w:w="108" w:type="dxa"/>
        </w:tblCellMar>
        <w:tblLook w:firstRow="0" w:noVBand="0" w:lastRow="0" w:firstColumn="0" w:lastColumn="0" w:noHBand="0" w:val="0000"/>
      </w:tblPr>
      <w:tblGrid>
        <w:gridCol w:w="625"/>
        <w:gridCol w:w="3748"/>
        <w:gridCol w:w="10957"/>
      </w:tblGrid>
      <w:tr>
        <w:trPr>
          <w:trHeight w:val="615"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bCs/>
                <w:sz w:val="26"/>
                <w:szCs w:val="26"/>
              </w:rPr>
              <w:t xml:space="preserve">№ </w:t>
            </w:r>
            <w:r>
              <w:rPr>
                <w:rFonts w:cs="Times New Roman" w:ascii="Times New Roman" w:hAnsi="Times New Roman"/>
                <w:bCs/>
                <w:sz w:val="26"/>
                <w:szCs w:val="26"/>
              </w:rPr>
              <w:t>з/п</w:t>
            </w:r>
          </w:p>
        </w:tc>
        <w:tc>
          <w:tcPr>
            <w:tcW w:w="3748" w:type="dxa"/>
            <w:tcBorders>
              <w:top w:val="single" w:sz="4" w:space="0" w:color="000000"/>
              <w:left w:val="single" w:sz="4" w:space="0" w:color="000000"/>
              <w:bottom w:val="single" w:sz="4" w:space="0" w:color="000000"/>
            </w:tcBorders>
          </w:tcPr>
          <w:p>
            <w:pPr>
              <w:pStyle w:val="Normal"/>
              <w:widowControl w:val="false"/>
              <w:ind w:firstLine="567"/>
              <w:jc w:val="center"/>
              <w:rPr>
                <w:rFonts w:ascii="Times New Roman" w:hAnsi="Times New Roman" w:cs="Times New Roman"/>
                <w:bCs/>
                <w:sz w:val="26"/>
                <w:szCs w:val="26"/>
              </w:rPr>
            </w:pPr>
            <w:r>
              <w:rPr>
                <w:rFonts w:cs="Times New Roman" w:ascii="Times New Roman" w:hAnsi="Times New Roman"/>
                <w:bCs/>
                <w:sz w:val="26"/>
                <w:szCs w:val="26"/>
              </w:rPr>
              <w:t>Назва заходів</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center"/>
              <w:rPr>
                <w:rFonts w:ascii="Times New Roman" w:hAnsi="Times New Roman" w:cs="Times New Roman"/>
                <w:bCs/>
                <w:sz w:val="26"/>
                <w:szCs w:val="26"/>
              </w:rPr>
            </w:pPr>
            <w:r>
              <w:rPr>
                <w:rFonts w:cs="Times New Roman" w:ascii="Times New Roman" w:hAnsi="Times New Roman"/>
                <w:bCs/>
                <w:sz w:val="26"/>
                <w:szCs w:val="26"/>
              </w:rPr>
              <w:t>Стан виконання заходів</w:t>
            </w:r>
          </w:p>
        </w:tc>
      </w:tr>
      <w:tr>
        <w:trPr>
          <w:trHeight w:val="615"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t>1.</w:t>
            </w:r>
          </w:p>
        </w:tc>
        <w:tc>
          <w:tcPr>
            <w:tcW w:w="3748" w:type="dxa"/>
            <w:tcBorders>
              <w:top w:val="single" w:sz="4" w:space="0" w:color="000000"/>
              <w:left w:val="single" w:sz="4" w:space="0" w:color="000000"/>
              <w:bottom w:val="single" w:sz="4" w:space="0" w:color="000000"/>
            </w:tcBorders>
          </w:tcPr>
          <w:p>
            <w:pPr>
              <w:pStyle w:val="Standard"/>
              <w:widowControl w:val="false"/>
              <w:tabs>
                <w:tab w:val="clear" w:pos="708"/>
                <w:tab w:val="left" w:pos="795" w:leader="none"/>
              </w:tabs>
              <w:jc w:val="both"/>
              <w:rPr>
                <w:rFonts w:ascii="Times New Roman" w:hAnsi="Times New Roman"/>
                <w:color w:val="auto"/>
                <w:sz w:val="26"/>
                <w:szCs w:val="26"/>
              </w:rPr>
            </w:pPr>
            <w:r>
              <w:rPr>
                <w:rFonts w:cs="Times New Roman" w:ascii="Times New Roman" w:hAnsi="Times New Roman"/>
                <w:color w:val="auto"/>
                <w:sz w:val="26"/>
                <w:szCs w:val="26"/>
              </w:rPr>
              <w:t>Контрактування комунальних підприємств охорони здоров’я Луцької міської територіальної громади з Національної службою здоров’я договорів на пакети надання медичних послуг за програмою державних медичних гарантій на 2023 рік, включаючи пакет на надання медичної стаціонарної допомоги з гострою респіраторною хворобою COVID-19.</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Відповідно до постанови Кабінету міністрів України від 27.12.2022 № 1464 «Деякі питання реалізації програми державних гарантій медичного обслуговування населення у 2023 році» з 01 січня 2023 року комунальними підприємствами охорони здоров’я Луцької міської територіальної громади укладені договори з Національною службою здоров’я України на надання медичних послуг за програмою державних медичних гарантій, в тому числі за пакетом медичних послуг «Готовність закладу охорони здоров’я до надання медичної допомоги в надзвичайних умовах». Згідно з вимогами постанови Кабінету Міністрів України від 09.12.2020 № 1236 «Про встановлення карантину та запровадження обмежувальних протиепідемічних заходів з метою запобігання поширенню на території України гострої респіраторної хвороби COVID-19, спричиненої коронавірусом SARS-CoV-2» (в редакції від 25.04.2023 № 383) 30.06.2023 року припинено дію карантину на території України.</w:t>
            </w:r>
          </w:p>
        </w:tc>
      </w:tr>
      <w:tr>
        <w:trPr>
          <w:trHeight w:val="3933"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2.</w:t>
            </w:r>
          </w:p>
        </w:tc>
        <w:tc>
          <w:tcPr>
            <w:tcW w:w="3748" w:type="dxa"/>
            <w:tcBorders>
              <w:top w:val="single" w:sz="4" w:space="0" w:color="000000"/>
              <w:left w:val="single" w:sz="4" w:space="0" w:color="000000"/>
              <w:bottom w:val="single" w:sz="4" w:space="0" w:color="000000"/>
            </w:tcBorders>
          </w:tcPr>
          <w:p>
            <w:pPr>
              <w:pStyle w:val="Standard"/>
              <w:widowControl w:val="false"/>
              <w:tabs>
                <w:tab w:val="clear" w:pos="708"/>
                <w:tab w:val="left" w:pos="795" w:leader="none"/>
              </w:tabs>
              <w:jc w:val="both"/>
              <w:rPr>
                <w:rFonts w:ascii="Times New Roman" w:hAnsi="Times New Roman"/>
                <w:sz w:val="26"/>
                <w:szCs w:val="26"/>
              </w:rPr>
            </w:pPr>
            <w:r>
              <w:rPr>
                <w:rFonts w:cs="Times New Roman" w:ascii="Times New Roman" w:hAnsi="Times New Roman"/>
                <w:color w:val="auto"/>
                <w:sz w:val="26"/>
                <w:szCs w:val="26"/>
              </w:rPr>
              <w:t>Виконання соціальних гарантій пільгових категорій мешканців громади в частині безоплатного та пільгового відпуску лікарських засобів, препаратів за життєво необхідними показами та певними категоріями захворювання в рамках виконання заходів Програми Здоров’я мешканців Луцької міської територіальної громади на 2021-2025 роки.</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 метою забезпечення пільгових категорій громадян, які потребують постійного дороговартісного лікування та замісної терапії за життєвими показами безоплатними лікарськими засобами, препаратами, виробами медичного призначення відповідно до рішення Луцької міської ради від 13.12.2022 № 38/19 «Про бюджет Луцької міської територіальної громади на 2023 рік» було виділено КП «Луцька міська дитяча поліклініка» та КП «Медичне об’єднання Луцької міської територіальної громади» 13 000,0 тис. грн. За звітний період касові витрати підприємств склали 6 223,6 тис. грн та було передано кошти департаменту соціальної політики для надання адресної грошової допомоги пацієнтам в зв’язку з відсутністю декларованих цін на відшкодування вартості лікарських препаратів на суму 1 770,8 тис. грн.</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3.</w:t>
            </w:r>
          </w:p>
        </w:tc>
        <w:tc>
          <w:tcPr>
            <w:tcW w:w="3748" w:type="dxa"/>
            <w:tcBorders>
              <w:top w:val="single" w:sz="4" w:space="0" w:color="000000"/>
              <w:left w:val="single" w:sz="4" w:space="0" w:color="000000"/>
              <w:bottom w:val="single" w:sz="4" w:space="0" w:color="000000"/>
            </w:tcBorders>
          </w:tcPr>
          <w:p>
            <w:pPr>
              <w:pStyle w:val="Standard"/>
              <w:widowControl w:val="false"/>
              <w:tabs>
                <w:tab w:val="clear" w:pos="708"/>
                <w:tab w:val="left" w:pos="795" w:leader="none"/>
              </w:tabs>
              <w:jc w:val="both"/>
              <w:rPr>
                <w:rFonts w:ascii="Times New Roman" w:hAnsi="Times New Roman"/>
                <w:color w:val="auto"/>
                <w:sz w:val="26"/>
                <w:szCs w:val="26"/>
              </w:rPr>
            </w:pPr>
            <w:r>
              <w:rPr>
                <w:rFonts w:cs="Times New Roman" w:ascii="Times New Roman" w:hAnsi="Times New Roman"/>
                <w:color w:val="auto"/>
                <w:sz w:val="26"/>
                <w:szCs w:val="26"/>
              </w:rPr>
              <w:t>Оновлення та осучаснення матеріально-технічної бази комунальних підприємств охорони здоров’я міської територіальної громади в рамках виконання заходів Програми фінансової підтримки комунальних підприємств охорони здоров’я Луцької МТГ на 2021-2025 роки (придбання наркозо-дихального апарату та проведення централізованої системи забезпечення повітрям в гінекологічному корпусі КП «Луцький клінічний пологовий будинок», здійснення капітального ремонту амбулаторії на вул. Привокзальна у м. Луцьк, здійснення капітального ремонту операційного блоку КП «Медичне об’єднання Луцької міської територіальної громади» тощо).</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Згідно з рішенням Луцької міської ради від 13.12.2022 № 38/19 «Про бюджет Луцької міської територіальної громади на 2023 рік» (в редакції від 28.06.2023 № 47/84) виділено КП «Луцький клінічний пологовий будинок» 3 000,0 тис. грн: на придбання наркозно-дихального апарату, на проведення централізованої системи забезпечення повітрям в гінекологічному корпусі та інше.</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4.</w:t>
            </w:r>
          </w:p>
        </w:tc>
        <w:tc>
          <w:tcPr>
            <w:tcW w:w="3748" w:type="dxa"/>
            <w:tcBorders>
              <w:top w:val="single" w:sz="4" w:space="0" w:color="000000"/>
              <w:left w:val="single" w:sz="4" w:space="0" w:color="000000"/>
              <w:bottom w:val="single" w:sz="4" w:space="0" w:color="000000"/>
            </w:tcBorders>
          </w:tcPr>
          <w:p>
            <w:pPr>
              <w:pStyle w:val="Standard"/>
              <w:widowControl w:val="false"/>
              <w:tabs>
                <w:tab w:val="clear" w:pos="708"/>
                <w:tab w:val="left" w:pos="795" w:leader="none"/>
              </w:tabs>
              <w:jc w:val="both"/>
              <w:rPr>
                <w:rFonts w:ascii="Times New Roman" w:hAnsi="Times New Roman"/>
                <w:sz w:val="26"/>
                <w:szCs w:val="26"/>
              </w:rPr>
            </w:pPr>
            <w:r>
              <w:rPr>
                <w:rFonts w:cs="Times New Roman" w:ascii="Times New Roman" w:hAnsi="Times New Roman"/>
                <w:color w:val="auto"/>
                <w:sz w:val="26"/>
                <w:szCs w:val="26"/>
              </w:rPr>
              <w:t>Забезпечення чіткої послідовності в наданні якісної і доступної медичної допомоги жителям Луцької міської територіальної громади та внутрішньо переміщеним особам, підвищення юридичної відповідальності за організацію і наданням медичної допомоги.</w:t>
            </w:r>
          </w:p>
        </w:tc>
        <w:tc>
          <w:tcPr>
            <w:tcW w:w="10957" w:type="dxa"/>
            <w:tcBorders>
              <w:top w:val="single" w:sz="4" w:space="0" w:color="000000"/>
              <w:left w:val="single" w:sz="4" w:space="0" w:color="000000"/>
              <w:bottom w:val="single" w:sz="4" w:space="0" w:color="000000"/>
              <w:right w:val="single" w:sz="4" w:space="0" w:color="000000"/>
            </w:tcBorders>
          </w:tcPr>
          <w:p>
            <w:pPr>
              <w:pStyle w:val="6"/>
              <w:widowControl w:val="false"/>
              <w:shd w:val="clear" w:color="auto" w:fill="FFFFFF"/>
              <w:suppressAutoHyphens w:val="true"/>
              <w:spacing w:beforeAutospacing="0" w:before="0" w:afterAutospacing="0" w:after="280"/>
              <w:ind w:firstLine="567"/>
              <w:jc w:val="both"/>
              <w:rPr>
                <w:rFonts w:ascii="Times New Roman" w:hAnsi="Times New Roman"/>
                <w:b w:val="false"/>
                <w:b w:val="false"/>
                <w:sz w:val="26"/>
                <w:szCs w:val="26"/>
              </w:rPr>
            </w:pPr>
            <w:r>
              <w:rPr>
                <w:rFonts w:ascii="Times New Roman" w:hAnsi="Times New Roman"/>
                <w:b w:val="false"/>
                <w:sz w:val="26"/>
                <w:szCs w:val="26"/>
              </w:rPr>
              <w:t>Стандартизація «маршруту пацієнта», посилення концентрації науково-професійного розвитку, матеріальних ресурсів, створення умов для розвитку медичної допомоги на європейському рівні та забезпечення чіткої послідовності в наданні якісної медичної допомоги створили єдиний дієвий медичний простір, в центрі якого знаходиться пацієнт, з можливістю отримання лікарями повної інформації про стан здоров’я пацієнта, і доступної медичної допомоги жителям Луцької міської територіальної громади та акумулювали юридичну відповідальність за організацію і надання медичної допомоги</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5.</w:t>
            </w:r>
          </w:p>
        </w:tc>
        <w:tc>
          <w:tcPr>
            <w:tcW w:w="3748" w:type="dxa"/>
            <w:tcBorders>
              <w:top w:val="single" w:sz="4" w:space="0" w:color="000000"/>
              <w:left w:val="single" w:sz="4" w:space="0" w:color="000000"/>
              <w:bottom w:val="single" w:sz="4" w:space="0" w:color="000000"/>
            </w:tcBorders>
          </w:tcPr>
          <w:p>
            <w:pPr>
              <w:pStyle w:val="Standard"/>
              <w:widowControl w:val="false"/>
              <w:tabs>
                <w:tab w:val="clear" w:pos="708"/>
                <w:tab w:val="left" w:pos="795" w:leader="none"/>
              </w:tabs>
              <w:jc w:val="both"/>
              <w:rPr>
                <w:rFonts w:ascii="Times New Roman" w:hAnsi="Times New Roman"/>
                <w:sz w:val="26"/>
                <w:szCs w:val="26"/>
              </w:rPr>
            </w:pPr>
            <w:r>
              <w:rPr>
                <w:rFonts w:cs="Times New Roman" w:ascii="Times New Roman" w:hAnsi="Times New Roman"/>
                <w:color w:val="auto"/>
                <w:sz w:val="26"/>
                <w:szCs w:val="26"/>
              </w:rPr>
              <w:t>Подальше впровадження сучасних медичних технологій.</w:t>
            </w:r>
          </w:p>
        </w:tc>
        <w:tc>
          <w:tcPr>
            <w:tcW w:w="1095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В комунальних підприємствах охорони здоров’я Луцької МТГ постійно впроваджуються наукові нововведення і сучасні методики із діагностики та лікування, з яких: в КП «Медичне об’єднання Луцької міської територіальної громади» – новітні методики оперативних втручань на органах черевної порожнини та опорно-рухового апарату, подальший розвиток і удосконалення інвазивних методів діагностики та лікування уражень коронарних судин, використовуються сучасні методики ендоскопічної зупинки кровотеч, виконуються ангіографії і емболізації мозкових артерій при аневризмах, ангіографій і ангіопластики артерій нижніх кінцівок тощо; в КП «Медичний центр реабілітації учасників бойових дій Луцької міської територіальної громади» продовжується впровадження та розвиток біопсихосоціальної моделі надання медичної допомоги; в КП «Луцька міська клінічна стоматологічна поліклініка» – втілення нових технологій, використання у роботі сучасних матеріалів для лікування твердих тканин зуба, пародонту та слизової оболонки ротової порожнини, виготовлення усіх існуючих ортопедичних конструкцій.</w:t>
            </w:r>
          </w:p>
        </w:tc>
      </w:tr>
    </w:tbl>
    <w:p>
      <w:pPr>
        <w:pStyle w:val="Normal"/>
        <w:spacing w:lineRule="auto" w:line="360"/>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spacing w:lineRule="auto" w:line="360"/>
        <w:jc w:val="center"/>
        <w:rPr>
          <w:rFonts w:ascii="Times New Roman" w:hAnsi="Times New Roman"/>
          <w:sz w:val="26"/>
          <w:szCs w:val="26"/>
        </w:rPr>
      </w:pPr>
      <w:r>
        <w:rPr>
          <w:rFonts w:cs="Times New Roman" w:ascii="Times New Roman" w:hAnsi="Times New Roman"/>
          <w:b/>
          <w:bCs/>
          <w:sz w:val="26"/>
          <w:szCs w:val="26"/>
        </w:rPr>
        <w:t xml:space="preserve">3.3.2. Освіта </w:t>
      </w:r>
    </w:p>
    <w:tbl>
      <w:tblPr>
        <w:tblW w:w="15330" w:type="dxa"/>
        <w:jc w:val="left"/>
        <w:tblInd w:w="113" w:type="dxa"/>
        <w:tblLayout w:type="fixed"/>
        <w:tblCellMar>
          <w:top w:w="0" w:type="dxa"/>
          <w:left w:w="108" w:type="dxa"/>
          <w:bottom w:w="0" w:type="dxa"/>
          <w:right w:w="108" w:type="dxa"/>
        </w:tblCellMar>
        <w:tblLook w:firstRow="0" w:noVBand="0" w:lastRow="0" w:firstColumn="0" w:lastColumn="0" w:noHBand="0" w:val="0000"/>
      </w:tblPr>
      <w:tblGrid>
        <w:gridCol w:w="671"/>
        <w:gridCol w:w="3704"/>
        <w:gridCol w:w="10955"/>
      </w:tblGrid>
      <w:tr>
        <w:trPr>
          <w:trHeight w:val="615"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bCs/>
                <w:sz w:val="26"/>
                <w:szCs w:val="26"/>
              </w:rPr>
              <w:t xml:space="preserve">№ </w:t>
            </w:r>
            <w:r>
              <w:rPr>
                <w:rFonts w:cs="Times New Roman" w:ascii="Times New Roman" w:hAnsi="Times New Roman"/>
                <w:bCs/>
                <w:sz w:val="26"/>
                <w:szCs w:val="26"/>
              </w:rPr>
              <w:t>з/п</w:t>
            </w:r>
          </w:p>
        </w:tc>
        <w:tc>
          <w:tcPr>
            <w:tcW w:w="3704"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Назва заходів</w:t>
            </w:r>
          </w:p>
        </w:tc>
        <w:tc>
          <w:tcPr>
            <w:tcW w:w="1095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Стан виконання заходів</w:t>
            </w:r>
          </w:p>
        </w:tc>
      </w:tr>
      <w:tr>
        <w:trPr>
          <w:trHeight w:val="615"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t>1.</w:t>
            </w:r>
          </w:p>
        </w:tc>
        <w:tc>
          <w:tcPr>
            <w:tcW w:w="3704"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Забезпечення закладів загальної середньої та дошкільної освіти сучасним комп’ютерним та мультимедійним обладнанням.</w:t>
            </w:r>
          </w:p>
        </w:tc>
        <w:tc>
          <w:tcPr>
            <w:tcW w:w="1095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Для підвищення ефективності навчального процесу в освітніх закладах, які використовують технології дистанційного навчання, у школи № 29 с. Прилуцьке, № 35 с. Клепачів та  № 39 с. Шепель було передано в якості гуманітарної допомоги 26 ноутбуків</w:t>
            </w:r>
            <w:r>
              <w:rPr>
                <w:rFonts w:cs="Times New Roman" w:ascii="Times New Roman" w:hAnsi="Times New Roman"/>
                <w:color w:val="FF0000"/>
                <w:sz w:val="26"/>
                <w:szCs w:val="26"/>
              </w:rPr>
              <w:t>.</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У червні 2023 у ЗЗСО № 12, 13 та ЦНТТУ були передані мультиборди з роутерами, у заклади № № 3,7,16,17,20, що мають набути статус гімназій, передано в якості гуманітарної допомоги 75 планшетів.</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 xml:space="preserve">За програмою </w:t>
            </w:r>
            <w:r>
              <w:rPr>
                <w:rFonts w:cs="Times New Roman" w:ascii="Times New Roman" w:hAnsi="Times New Roman"/>
                <w:sz w:val="26"/>
                <w:szCs w:val="26"/>
                <w:lang w:val="en-US"/>
              </w:rPr>
              <w:t>UNI</w:t>
            </w:r>
            <w:r>
              <w:rPr>
                <w:rFonts w:cs="Times New Roman" w:ascii="Times New Roman" w:hAnsi="Times New Roman"/>
                <w:sz w:val="26"/>
                <w:szCs w:val="26"/>
              </w:rPr>
              <w:t>С</w:t>
            </w:r>
            <w:r>
              <w:rPr>
                <w:rFonts w:cs="Times New Roman" w:ascii="Times New Roman" w:hAnsi="Times New Roman"/>
                <w:sz w:val="26"/>
                <w:szCs w:val="26"/>
                <w:lang w:val="en-US"/>
              </w:rPr>
              <w:t>EF</w:t>
            </w:r>
            <w:r>
              <w:rPr>
                <w:rFonts w:cs="Times New Roman" w:ascii="Times New Roman" w:hAnsi="Times New Roman"/>
                <w:sz w:val="26"/>
                <w:szCs w:val="26"/>
              </w:rPr>
              <w:t>,</w:t>
            </w:r>
            <w:r>
              <w:rPr>
                <w:rFonts w:cs="Times New Roman" w:ascii="Times New Roman" w:hAnsi="Times New Roman"/>
                <w:sz w:val="26"/>
                <w:szCs w:val="26"/>
                <w:lang w:val="ru-RU"/>
              </w:rPr>
              <w:t xml:space="preserve"> </w:t>
            </w:r>
            <w:r>
              <w:rPr>
                <w:rFonts w:cs="Times New Roman" w:ascii="Times New Roman" w:hAnsi="Times New Roman"/>
                <w:sz w:val="26"/>
                <w:szCs w:val="26"/>
              </w:rPr>
              <w:t>з метою забезпечення освітнього процесу в онлайн режимі, школи отримали 270 хромбуків для вчителів</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2.</w:t>
            </w:r>
          </w:p>
        </w:tc>
        <w:tc>
          <w:tcPr>
            <w:tcW w:w="3704"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Активне залучення учнівської молоді до систематичних занять у гуртках та секціях закладів позашкільної освіти міської територіальної громади.</w:t>
            </w:r>
          </w:p>
        </w:tc>
        <w:tc>
          <w:tcPr>
            <w:tcW w:w="1095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У Палаці учнівської молоді протягом 2022/2023 навчального року функціонували 65 гуртків (255 груп), які охоплювали 3 204 вихованців віком від 4 до 18 років за напрямками: художньо-естетичного, туристично-краєзнавчого, еколого-натуралістичного, фізкультурно-спортивного, гуманітарного, військово-патріотичного спрямування.</w:t>
            </w:r>
          </w:p>
          <w:p>
            <w:pPr>
              <w:pStyle w:val="Normal"/>
              <w:widowControl w:val="false"/>
              <w:ind w:firstLine="567"/>
              <w:jc w:val="both"/>
              <w:rPr>
                <w:rFonts w:ascii="Times New Roman" w:hAnsi="Times New Roman"/>
                <w:sz w:val="26"/>
                <w:szCs w:val="26"/>
              </w:rPr>
            </w:pPr>
            <w:r>
              <w:rPr>
                <w:rFonts w:cs="Times New Roman" w:ascii="Times New Roman" w:hAnsi="Times New Roman"/>
                <w:spacing w:val="-4"/>
                <w:sz w:val="26"/>
                <w:szCs w:val="26"/>
              </w:rPr>
              <w:t>Освітній процес у Луцькому міському ЦНТТУМ відбувався за 22 напрямками, діяла 51 група, у яких займалося понад 650 вихованців.</w:t>
            </w:r>
            <w:r>
              <w:rPr>
                <w:rFonts w:ascii="Times New Roman" w:hAnsi="Times New Roman"/>
                <w:spacing w:val="-4"/>
                <w:sz w:val="26"/>
                <w:szCs w:val="26"/>
              </w:rPr>
              <w:t xml:space="preserve"> </w:t>
            </w:r>
            <w:r>
              <w:rPr>
                <w:rFonts w:cs="Times New Roman" w:ascii="Times New Roman" w:hAnsi="Times New Roman"/>
                <w:spacing w:val="-4"/>
                <w:sz w:val="26"/>
                <w:szCs w:val="26"/>
              </w:rPr>
              <w:t xml:space="preserve">З метою створення умов для рівного доступу дітей і молоді до якісної позашкільної </w:t>
            </w:r>
            <w:r>
              <w:rPr>
                <w:rFonts w:ascii="Times New Roman" w:hAnsi="Times New Roman"/>
                <w:sz w:val="26"/>
                <w:szCs w:val="26"/>
              </w:rPr>
              <w:t>освіти в ряді мікрорайонів міста функціонували філіали Центру (10 закладів освіти): ЗЗСО №№ 2, 4, 5, 1</w:t>
            </w:r>
            <w:r>
              <w:rPr>
                <w:rFonts w:cs="Times New Roman" w:ascii="Times New Roman" w:hAnsi="Times New Roman"/>
                <w:spacing w:val="-4"/>
                <w:sz w:val="26"/>
                <w:szCs w:val="26"/>
                <w:shd w:fill="FFFFFF" w:val="clear"/>
              </w:rPr>
              <w:t>2, 14, 17, 18, 27, МНВК, ТСОУ</w:t>
            </w:r>
            <w:r>
              <w:rPr>
                <w:rFonts w:ascii="Times New Roman" w:hAnsi="Times New Roman"/>
                <w:spacing w:val="-4"/>
                <w:sz w:val="26"/>
                <w:szCs w:val="26"/>
                <w:shd w:fill="FFFFFF" w:val="clear"/>
              </w:rPr>
              <w:t>.</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3.</w:t>
            </w:r>
          </w:p>
        </w:tc>
        <w:tc>
          <w:tcPr>
            <w:tcW w:w="3704"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Впровадження енергосервісних послуг у 33-ох закладах освіти.</w:t>
            </w:r>
          </w:p>
        </w:tc>
        <w:tc>
          <w:tcPr>
            <w:tcW w:w="10955" w:type="dxa"/>
            <w:tcBorders>
              <w:top w:val="single" w:sz="4" w:space="0" w:color="000000"/>
              <w:left w:val="single" w:sz="4" w:space="0" w:color="000000"/>
              <w:bottom w:val="single" w:sz="4" w:space="0" w:color="000000"/>
              <w:right w:val="single" w:sz="4" w:space="0" w:color="000000"/>
            </w:tcBorders>
          </w:tcPr>
          <w:p>
            <w:pPr>
              <w:pStyle w:val="Standard"/>
              <w:widowControl w:val="false"/>
              <w:ind w:firstLine="567"/>
              <w:jc w:val="both"/>
              <w:rPr>
                <w:rFonts w:ascii="Times New Roman" w:hAnsi="Times New Roman" w:cs="Times New Roman"/>
                <w:color w:val="auto"/>
                <w:sz w:val="26"/>
                <w:szCs w:val="26"/>
              </w:rPr>
            </w:pPr>
            <w:r>
              <w:rPr>
                <w:rFonts w:cs="Times New Roman" w:ascii="Times New Roman" w:hAnsi="Times New Roman"/>
                <w:color w:val="auto"/>
                <w:sz w:val="26"/>
                <w:szCs w:val="26"/>
              </w:rPr>
              <w:t>На кінець звітного періоду надання послуг з енергосервісу здійснювалося у 35 закладах освіти. У всіх закладах в опалювальний період проводилось погодне регулювання систем теплопостачання.</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Протягом звітного періоду було утеплено горища у шести будівлях – ЗДО №№ 2, 8, 16, 17, 29, ЗЗСО № 7. Розпочато утеплення фасадів у п’яти будівлях (ЗДО №№ 2, 16, 17, 22, 29), монтаж трьох теплових насосів (ДЮСШ № 1, ЗДО №№ 4, 13). Реконструйовано систему освітлення у ЗДО № 26.</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4.</w:t>
            </w:r>
          </w:p>
        </w:tc>
        <w:tc>
          <w:tcPr>
            <w:tcW w:w="3704"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Удосконалення мережевої освіти на базі Міжшкільного ресурсного центру.</w:t>
            </w:r>
          </w:p>
        </w:tc>
        <w:tc>
          <w:tcPr>
            <w:tcW w:w="1095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На початку 2023 року було проведено профорієнтаційну роботу серед учнів 9-х класів загальноосвітніх навчальних закладів Луцької міської територіальної громади з метою виявлення їхніх професійних намірів та допомоги у виборі професії. Міжшкільний ресурсний центр</w:t>
            </w:r>
            <w:r>
              <w:rPr>
                <w:rFonts w:cs="Times New Roman" w:ascii="Times New Roman" w:hAnsi="Times New Roman"/>
                <w:bCs/>
                <w:sz w:val="26"/>
                <w:szCs w:val="26"/>
              </w:rPr>
              <w:t xml:space="preserve"> здійснює трудову, професійну та допрофесійну підготовку учнів, професійну орієнтацію учнів з метою підготовки їх до свідомого вибору професії та прищеплює учням початкові навички праці за обраною професією.</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294 випускники шкіл №№ 2,5,8,15,17,20,25,29 у 2022/2023 році отримали оцінювання з предмету «Технології» навчаючись у МРЦ за спеціальностями «</w:t>
            </w:r>
            <w:r>
              <w:rPr>
                <w:rFonts w:cs="Times New Roman" w:ascii="Times New Roman" w:hAnsi="Times New Roman"/>
                <w:sz w:val="26"/>
                <w:szCs w:val="26"/>
                <w:lang w:eastAsia="uk-UA"/>
              </w:rPr>
              <w:t>Слюсар з ремонту автомобілів», «Оператор комп’ютерного набору», «Перукар», «Основи перекладу», «Водій категорії «С», «С1», «Секретар керівника», з них 146 – свідоцтва про допрофесійну підготовку, склавши кваліфікаційні іспити.</w:t>
            </w:r>
          </w:p>
        </w:tc>
      </w:tr>
      <w:tr>
        <w:trPr>
          <w:trHeight w:val="288" w:hRule="atLeast"/>
        </w:trPr>
        <w:tc>
          <w:tcPr>
            <w:tcW w:w="671"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5.</w:t>
            </w:r>
          </w:p>
        </w:tc>
        <w:tc>
          <w:tcPr>
            <w:tcW w:w="3704" w:type="dxa"/>
            <w:tcBorders>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Проведення капітального ремонту системи пожежної сигналізації закладів дошкільної освіти № 6 та № 11.</w:t>
            </w:r>
          </w:p>
        </w:tc>
        <w:tc>
          <w:tcPr>
            <w:tcW w:w="10955"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У звітному періоді проведено коригування ПКД. Виконання робіт заплановано на ІІ півріччя.</w:t>
            </w:r>
          </w:p>
        </w:tc>
      </w:tr>
      <w:tr>
        <w:trPr>
          <w:trHeight w:val="288" w:hRule="atLeast"/>
        </w:trPr>
        <w:tc>
          <w:tcPr>
            <w:tcW w:w="671"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6.</w:t>
            </w:r>
          </w:p>
        </w:tc>
        <w:tc>
          <w:tcPr>
            <w:tcW w:w="3704" w:type="dxa"/>
            <w:tcBorders>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Здійснення капітального ремонту покрівлі закладів дошкільної освіти № 30 та № 34.</w:t>
            </w:r>
          </w:p>
        </w:tc>
        <w:tc>
          <w:tcPr>
            <w:tcW w:w="10955"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Протягом І півріччя було виготовлено кошторисну документацію, проведено публічну закупівлю та укладено договори з виконавцем робіт, проведення яких заплановано на ІІ півріччя 2023 року.</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7.</w:t>
            </w:r>
          </w:p>
        </w:tc>
        <w:tc>
          <w:tcPr>
            <w:tcW w:w="3704"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Покращення матеріально-технічного забезпечення захисних споруд (протирадіаційні укриття та найпростіші укриття) на базі закладів освіти.</w:t>
            </w:r>
          </w:p>
        </w:tc>
        <w:tc>
          <w:tcPr>
            <w:tcW w:w="1095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У квітні проведено щорічну оцінку стану готовності протирадіаційних укриттів, що розташовані у ЗЗСО № № 2, 5, 9, 16, 28, 37, 38, за участі представника Луцького РУ ГУ ДСНС у Волинській області, які відповідно до Актів оцінки стану готовності захисних споруд цивільного захисту оцінюються «як готові до використання за призначенням».</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 xml:space="preserve">У травні 2023 року 38 закладів освіти отримали в якості гуманітарної допомоги </w:t>
            </w:r>
            <w:r>
              <w:rPr>
                <w:rFonts w:cs="Times New Roman" w:ascii="Times New Roman" w:hAnsi="Times New Roman"/>
                <w:sz w:val="26"/>
                <w:szCs w:val="26"/>
                <w:lang w:val="en-US"/>
              </w:rPr>
              <w:t>WI</w:t>
            </w:r>
            <w:r>
              <w:rPr>
                <w:rFonts w:cs="Times New Roman" w:ascii="Times New Roman" w:hAnsi="Times New Roman"/>
                <w:sz w:val="26"/>
                <w:szCs w:val="26"/>
                <w:lang w:val="ru-RU"/>
              </w:rPr>
              <w:t>-</w:t>
            </w:r>
            <w:r>
              <w:rPr>
                <w:rFonts w:cs="Times New Roman" w:ascii="Times New Roman" w:hAnsi="Times New Roman"/>
                <w:sz w:val="26"/>
                <w:szCs w:val="26"/>
                <w:lang w:val="en-US"/>
              </w:rPr>
              <w:t>FI</w:t>
            </w:r>
            <w:r>
              <w:rPr>
                <w:rFonts w:cs="Times New Roman" w:ascii="Times New Roman" w:hAnsi="Times New Roman"/>
                <w:sz w:val="26"/>
                <w:szCs w:val="26"/>
              </w:rPr>
              <w:t xml:space="preserve"> роутери для найпростіших укриттів.</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8.</w:t>
            </w:r>
          </w:p>
        </w:tc>
        <w:tc>
          <w:tcPr>
            <w:tcW w:w="3704"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s="Times New Roman"/>
                <w:color w:val="auto"/>
                <w:sz w:val="26"/>
                <w:szCs w:val="26"/>
              </w:rPr>
            </w:pPr>
            <w:r>
              <w:rPr>
                <w:rFonts w:cs="Times New Roman" w:ascii="Times New Roman" w:hAnsi="Times New Roman"/>
                <w:color w:val="auto"/>
                <w:sz w:val="26"/>
                <w:szCs w:val="26"/>
              </w:rPr>
              <w:t>Проведення капітального ремонту (підсилення несучих конструкцій) будівлі КЗ «Луцький ліцей № 2».</w:t>
            </w:r>
          </w:p>
          <w:p>
            <w:pPr>
              <w:pStyle w:val="Standard"/>
              <w:widowControl w:val="false"/>
              <w:jc w:val="both"/>
              <w:rPr>
                <w:rFonts w:ascii="Times New Roman" w:hAnsi="Times New Roman" w:cs="Times New Roman"/>
                <w:color w:val="auto"/>
                <w:sz w:val="26"/>
                <w:szCs w:val="26"/>
              </w:rPr>
            </w:pPr>
            <w:r>
              <w:rPr>
                <w:rFonts w:cs="Times New Roman" w:ascii="Times New Roman" w:hAnsi="Times New Roman"/>
                <w:color w:val="auto"/>
                <w:sz w:val="26"/>
                <w:szCs w:val="26"/>
              </w:rPr>
            </w:r>
          </w:p>
          <w:p>
            <w:pPr>
              <w:pStyle w:val="Standard"/>
              <w:widowControl w:val="false"/>
              <w:jc w:val="both"/>
              <w:rPr>
                <w:rFonts w:ascii="Times New Roman" w:hAnsi="Times New Roman" w:cs="Times New Roman"/>
                <w:color w:val="auto"/>
                <w:sz w:val="26"/>
                <w:szCs w:val="26"/>
              </w:rPr>
            </w:pPr>
            <w:r>
              <w:rPr>
                <w:rFonts w:cs="Times New Roman" w:ascii="Times New Roman" w:hAnsi="Times New Roman"/>
                <w:color w:val="auto"/>
                <w:sz w:val="26"/>
                <w:szCs w:val="26"/>
              </w:rPr>
              <w:t>Проведення капітального ремонту каналізації і зовнішніх огороджуючих конструкцій КЗ «Луцький ліцей № 4 імені Модеста Левицького»</w:t>
            </w:r>
          </w:p>
          <w:p>
            <w:pPr>
              <w:pStyle w:val="Standard"/>
              <w:widowControl w:val="false"/>
              <w:jc w:val="both"/>
              <w:rPr>
                <w:rFonts w:ascii="Times New Roman" w:hAnsi="Times New Roman" w:cs="Times New Roman"/>
                <w:color w:val="auto"/>
                <w:sz w:val="26"/>
                <w:szCs w:val="26"/>
              </w:rPr>
            </w:pPr>
            <w:r>
              <w:rPr>
                <w:rFonts w:cs="Times New Roman" w:ascii="Times New Roman" w:hAnsi="Times New Roman"/>
                <w:color w:val="auto"/>
                <w:sz w:val="26"/>
                <w:szCs w:val="26"/>
              </w:rPr>
            </w:r>
          </w:p>
          <w:p>
            <w:pPr>
              <w:pStyle w:val="Standard"/>
              <w:widowControl w:val="false"/>
              <w:jc w:val="both"/>
              <w:rPr>
                <w:rFonts w:ascii="Times New Roman" w:hAnsi="Times New Roman" w:cs="Times New Roman"/>
                <w:color w:val="auto"/>
                <w:sz w:val="26"/>
                <w:szCs w:val="26"/>
              </w:rPr>
            </w:pPr>
            <w:r>
              <w:rPr>
                <w:rFonts w:cs="Times New Roman" w:ascii="Times New Roman" w:hAnsi="Times New Roman"/>
                <w:color w:val="auto"/>
                <w:sz w:val="26"/>
                <w:szCs w:val="26"/>
              </w:rPr>
              <w:t>Проведення капітальних ремонтів харчоблоку</w:t>
            </w:r>
          </w:p>
          <w:p>
            <w:pPr>
              <w:pStyle w:val="Standard"/>
              <w:widowControl w:val="false"/>
              <w:jc w:val="both"/>
              <w:rPr>
                <w:rFonts w:ascii="Times New Roman" w:hAnsi="Times New Roman" w:cs="Times New Roman"/>
                <w:color w:val="auto"/>
                <w:sz w:val="26"/>
                <w:szCs w:val="26"/>
              </w:rPr>
            </w:pPr>
            <w:r>
              <w:rPr>
                <w:rFonts w:cs="Times New Roman" w:ascii="Times New Roman" w:hAnsi="Times New Roman"/>
                <w:color w:val="auto"/>
                <w:sz w:val="26"/>
                <w:szCs w:val="26"/>
              </w:rPr>
              <w:t>КЗ «Луцький ліцей № 15» та системи вентиляції їдальні</w:t>
            </w:r>
          </w:p>
          <w:p>
            <w:pPr>
              <w:pStyle w:val="Standard"/>
              <w:widowControl w:val="false"/>
              <w:jc w:val="both"/>
              <w:rPr>
                <w:rFonts w:ascii="Times New Roman" w:hAnsi="Times New Roman" w:cs="Times New Roman"/>
                <w:color w:val="auto"/>
                <w:sz w:val="26"/>
                <w:szCs w:val="26"/>
              </w:rPr>
            </w:pPr>
            <w:r>
              <w:rPr>
                <w:rFonts w:cs="Times New Roman" w:ascii="Times New Roman" w:hAnsi="Times New Roman"/>
                <w:color w:val="auto"/>
                <w:sz w:val="26"/>
                <w:szCs w:val="26"/>
              </w:rPr>
              <w:t>КЗ «Луцький ліцей № 28» .</w:t>
            </w:r>
          </w:p>
        </w:tc>
        <w:tc>
          <w:tcPr>
            <w:tcW w:w="1095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У І півріччі розпочато виготовлення проєктно-кошторисної документації. Виконання робіт заплановано на липень-серпень.</w:t>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t xml:space="preserve">Розпочато ремонтні роботи системи каналізації. Також укладено договір на заміну існуючих віконних та дверних блоків. Виконання робіт заплановано у </w:t>
            </w:r>
            <w:r>
              <w:rPr>
                <w:rFonts w:ascii="Times New Roman" w:hAnsi="Times New Roman"/>
                <w:sz w:val="26"/>
                <w:szCs w:val="26"/>
                <w:lang w:val="en-US"/>
              </w:rPr>
              <w:t xml:space="preserve">II </w:t>
            </w:r>
            <w:r>
              <w:rPr>
                <w:rFonts w:ascii="Times New Roman" w:hAnsi="Times New Roman"/>
                <w:sz w:val="26"/>
                <w:szCs w:val="26"/>
              </w:rPr>
              <w:t>півріччі.</w:t>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t xml:space="preserve">У звітному періоді було здійснено коригування ПКД. Виконання робіт планується у </w:t>
            </w:r>
            <w:r>
              <w:rPr>
                <w:rFonts w:ascii="Times New Roman" w:hAnsi="Times New Roman"/>
                <w:sz w:val="26"/>
                <w:szCs w:val="26"/>
                <w:lang w:val="en-US"/>
              </w:rPr>
              <w:t xml:space="preserve">II </w:t>
            </w:r>
            <w:r>
              <w:rPr>
                <w:rFonts w:ascii="Times New Roman" w:hAnsi="Times New Roman"/>
                <w:sz w:val="26"/>
                <w:szCs w:val="26"/>
              </w:rPr>
              <w:t>півріччі.</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9.</w:t>
            </w:r>
          </w:p>
        </w:tc>
        <w:tc>
          <w:tcPr>
            <w:tcW w:w="3704"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s="Times New Roman"/>
                <w:color w:val="auto"/>
                <w:sz w:val="26"/>
                <w:szCs w:val="26"/>
              </w:rPr>
            </w:pPr>
            <w:r>
              <w:rPr>
                <w:rFonts w:cs="Times New Roman" w:ascii="Times New Roman" w:hAnsi="Times New Roman"/>
                <w:color w:val="auto"/>
                <w:sz w:val="26"/>
                <w:szCs w:val="26"/>
              </w:rPr>
              <w:t>Здійснення капітального ремонту котельні</w:t>
            </w:r>
          </w:p>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КЗ «Княгининівський ліцей № 34».</w:t>
            </w:r>
          </w:p>
        </w:tc>
        <w:tc>
          <w:tcPr>
            <w:tcW w:w="1095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Виконання робіт заплановано на липень-жовтень.</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10.</w:t>
            </w:r>
          </w:p>
        </w:tc>
        <w:tc>
          <w:tcPr>
            <w:tcW w:w="3704"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Оновлення навчально-методичної та матеріально-технічної бази навчальних кабінетів відповідно до встановленого порядку.</w:t>
            </w:r>
          </w:p>
        </w:tc>
        <w:tc>
          <w:tcPr>
            <w:tcW w:w="1095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 xml:space="preserve">На </w:t>
            </w:r>
            <w:r>
              <w:rPr>
                <w:rFonts w:cs="Times New Roman" w:ascii="Times New Roman" w:hAnsi="Times New Roman"/>
                <w:spacing w:val="31"/>
                <w:sz w:val="26"/>
                <w:szCs w:val="26"/>
              </w:rPr>
              <w:t xml:space="preserve"> </w:t>
            </w:r>
            <w:r>
              <w:rPr>
                <w:rFonts w:cs="Times New Roman" w:ascii="Times New Roman" w:hAnsi="Times New Roman"/>
                <w:sz w:val="26"/>
                <w:szCs w:val="26"/>
              </w:rPr>
              <w:t xml:space="preserve">виконання </w:t>
            </w:r>
            <w:r>
              <w:rPr>
                <w:rFonts w:cs="Times New Roman" w:ascii="Times New Roman" w:hAnsi="Times New Roman"/>
                <w:spacing w:val="31"/>
                <w:sz w:val="26"/>
                <w:szCs w:val="26"/>
              </w:rPr>
              <w:t xml:space="preserve"> </w:t>
            </w:r>
            <w:r>
              <w:rPr>
                <w:rFonts w:cs="Times New Roman" w:ascii="Times New Roman" w:hAnsi="Times New Roman"/>
                <w:sz w:val="26"/>
                <w:szCs w:val="26"/>
              </w:rPr>
              <w:t xml:space="preserve">вимог </w:t>
            </w:r>
            <w:r>
              <w:rPr>
                <w:rFonts w:cs="Times New Roman" w:ascii="Times New Roman" w:hAnsi="Times New Roman"/>
                <w:spacing w:val="31"/>
                <w:sz w:val="26"/>
                <w:szCs w:val="26"/>
              </w:rPr>
              <w:t xml:space="preserve"> </w:t>
            </w:r>
            <w:r>
              <w:rPr>
                <w:rFonts w:cs="Times New Roman" w:ascii="Times New Roman" w:hAnsi="Times New Roman"/>
                <w:sz w:val="26"/>
                <w:szCs w:val="26"/>
              </w:rPr>
              <w:t xml:space="preserve">листа </w:t>
            </w:r>
            <w:r>
              <w:rPr>
                <w:rFonts w:cs="Times New Roman" w:ascii="Times New Roman" w:hAnsi="Times New Roman"/>
                <w:spacing w:val="31"/>
                <w:sz w:val="26"/>
                <w:szCs w:val="26"/>
              </w:rPr>
              <w:t xml:space="preserve"> </w:t>
            </w:r>
            <w:r>
              <w:rPr>
                <w:rFonts w:cs="Times New Roman" w:ascii="Times New Roman" w:hAnsi="Times New Roman"/>
                <w:sz w:val="26"/>
                <w:szCs w:val="26"/>
              </w:rPr>
              <w:t xml:space="preserve">Міністерства </w:t>
            </w:r>
            <w:r>
              <w:rPr>
                <w:rFonts w:cs="Times New Roman" w:ascii="Times New Roman" w:hAnsi="Times New Roman"/>
                <w:spacing w:val="31"/>
                <w:sz w:val="26"/>
                <w:szCs w:val="26"/>
              </w:rPr>
              <w:t xml:space="preserve"> </w:t>
            </w:r>
            <w:r>
              <w:rPr>
                <w:rFonts w:cs="Times New Roman" w:ascii="Times New Roman" w:hAnsi="Times New Roman"/>
                <w:sz w:val="26"/>
                <w:szCs w:val="26"/>
              </w:rPr>
              <w:t xml:space="preserve">освіти </w:t>
            </w:r>
            <w:r>
              <w:rPr>
                <w:rFonts w:cs="Times New Roman" w:ascii="Times New Roman" w:hAnsi="Times New Roman"/>
                <w:spacing w:val="31"/>
                <w:sz w:val="26"/>
                <w:szCs w:val="26"/>
              </w:rPr>
              <w:t xml:space="preserve"> </w:t>
            </w:r>
            <w:r>
              <w:rPr>
                <w:rFonts w:cs="Times New Roman" w:ascii="Times New Roman" w:hAnsi="Times New Roman"/>
                <w:sz w:val="26"/>
                <w:szCs w:val="26"/>
              </w:rPr>
              <w:t xml:space="preserve">і </w:t>
            </w:r>
            <w:r>
              <w:rPr>
                <w:rFonts w:cs="Times New Roman" w:ascii="Times New Roman" w:hAnsi="Times New Roman"/>
                <w:spacing w:val="31"/>
                <w:sz w:val="26"/>
                <w:szCs w:val="26"/>
              </w:rPr>
              <w:t xml:space="preserve"> </w:t>
            </w:r>
            <w:r>
              <w:rPr>
                <w:rFonts w:cs="Times New Roman" w:ascii="Times New Roman" w:hAnsi="Times New Roman"/>
                <w:sz w:val="26"/>
                <w:szCs w:val="26"/>
              </w:rPr>
              <w:t xml:space="preserve">науки </w:t>
            </w:r>
            <w:r>
              <w:rPr>
                <w:rFonts w:cs="Times New Roman" w:ascii="Times New Roman" w:hAnsi="Times New Roman"/>
                <w:spacing w:val="31"/>
                <w:sz w:val="26"/>
                <w:szCs w:val="26"/>
              </w:rPr>
              <w:t xml:space="preserve"> </w:t>
            </w:r>
            <w:r>
              <w:rPr>
                <w:rFonts w:cs="Times New Roman" w:ascii="Times New Roman" w:hAnsi="Times New Roman"/>
                <w:sz w:val="26"/>
                <w:szCs w:val="26"/>
              </w:rPr>
              <w:t xml:space="preserve">України </w:t>
            </w:r>
            <w:r>
              <w:rPr>
                <w:rFonts w:cs="Times New Roman" w:ascii="Times New Roman" w:hAnsi="Times New Roman"/>
                <w:spacing w:val="31"/>
                <w:sz w:val="26"/>
                <w:szCs w:val="26"/>
              </w:rPr>
              <w:t xml:space="preserve"> </w:t>
            </w:r>
            <w:r>
              <w:rPr>
                <w:rFonts w:cs="Times New Roman" w:ascii="Times New Roman" w:hAnsi="Times New Roman"/>
                <w:sz w:val="26"/>
                <w:szCs w:val="26"/>
              </w:rPr>
              <w:t>від 20.06.2023 № 1/8889-23 проведено опитування керівників ЗЗСО на теми:</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«Матеріально-технічне забезпечення навчальних</w:t>
            </w:r>
            <w:r>
              <w:rPr>
                <w:rFonts w:cs="Times New Roman" w:ascii="Times New Roman" w:hAnsi="Times New Roman"/>
                <w:spacing w:val="1"/>
                <w:sz w:val="26"/>
                <w:szCs w:val="26"/>
              </w:rPr>
              <w:t xml:space="preserve"> </w:t>
            </w:r>
            <w:r>
              <w:rPr>
                <w:rFonts w:cs="Times New Roman" w:ascii="Times New Roman" w:hAnsi="Times New Roman"/>
                <w:sz w:val="26"/>
                <w:szCs w:val="26"/>
              </w:rPr>
              <w:t>кабінетів і STEM-лабораторій закладів загальної середньої освіти (наявне обладнання), станом на 01.07.2023»;</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«Матеріально-технічне забезпечення</w:t>
            </w:r>
            <w:r>
              <w:rPr>
                <w:rFonts w:cs="Times New Roman" w:ascii="Times New Roman" w:hAnsi="Times New Roman"/>
                <w:spacing w:val="1"/>
                <w:sz w:val="26"/>
                <w:szCs w:val="26"/>
              </w:rPr>
              <w:t xml:space="preserve"> </w:t>
            </w:r>
            <w:r>
              <w:rPr>
                <w:rFonts w:cs="Times New Roman" w:ascii="Times New Roman" w:hAnsi="Times New Roman"/>
                <w:sz w:val="26"/>
                <w:szCs w:val="26"/>
              </w:rPr>
              <w:t>навчальних</w:t>
            </w:r>
            <w:r>
              <w:rPr>
                <w:rFonts w:cs="Times New Roman" w:ascii="Times New Roman" w:hAnsi="Times New Roman"/>
                <w:spacing w:val="1"/>
                <w:sz w:val="26"/>
                <w:szCs w:val="26"/>
              </w:rPr>
              <w:t xml:space="preserve"> </w:t>
            </w:r>
            <w:r>
              <w:rPr>
                <w:rFonts w:cs="Times New Roman" w:ascii="Times New Roman" w:hAnsi="Times New Roman"/>
                <w:sz w:val="26"/>
                <w:szCs w:val="26"/>
              </w:rPr>
              <w:t>кабінетів закладів</w:t>
            </w:r>
            <w:r>
              <w:rPr>
                <w:rFonts w:cs="Times New Roman" w:ascii="Times New Roman" w:hAnsi="Times New Roman"/>
                <w:spacing w:val="9"/>
                <w:sz w:val="26"/>
                <w:szCs w:val="26"/>
              </w:rPr>
              <w:t xml:space="preserve"> </w:t>
            </w:r>
            <w:r>
              <w:rPr>
                <w:rFonts w:cs="Times New Roman" w:ascii="Times New Roman" w:hAnsi="Times New Roman"/>
                <w:sz w:val="26"/>
                <w:szCs w:val="26"/>
              </w:rPr>
              <w:t>загальної</w:t>
            </w:r>
            <w:r>
              <w:rPr>
                <w:rFonts w:cs="Times New Roman" w:ascii="Times New Roman" w:hAnsi="Times New Roman"/>
                <w:spacing w:val="8"/>
                <w:sz w:val="26"/>
                <w:szCs w:val="26"/>
              </w:rPr>
              <w:t xml:space="preserve"> </w:t>
            </w:r>
            <w:r>
              <w:rPr>
                <w:rFonts w:cs="Times New Roman" w:ascii="Times New Roman" w:hAnsi="Times New Roman"/>
                <w:sz w:val="26"/>
                <w:szCs w:val="26"/>
              </w:rPr>
              <w:t>середньої</w:t>
            </w:r>
            <w:r>
              <w:rPr>
                <w:rFonts w:cs="Times New Roman" w:ascii="Times New Roman" w:hAnsi="Times New Roman"/>
                <w:spacing w:val="8"/>
                <w:sz w:val="26"/>
                <w:szCs w:val="26"/>
              </w:rPr>
              <w:t xml:space="preserve"> </w:t>
            </w:r>
            <w:r>
              <w:rPr>
                <w:rFonts w:cs="Times New Roman" w:ascii="Times New Roman" w:hAnsi="Times New Roman"/>
                <w:sz w:val="26"/>
                <w:szCs w:val="26"/>
              </w:rPr>
              <w:t>освіти,</w:t>
            </w:r>
            <w:r>
              <w:rPr>
                <w:rFonts w:cs="Times New Roman" w:ascii="Times New Roman" w:hAnsi="Times New Roman"/>
                <w:spacing w:val="8"/>
                <w:sz w:val="26"/>
                <w:szCs w:val="26"/>
              </w:rPr>
              <w:t xml:space="preserve"> </w:t>
            </w:r>
            <w:r>
              <w:rPr>
                <w:rFonts w:cs="Times New Roman" w:ascii="Times New Roman" w:hAnsi="Times New Roman"/>
                <w:sz w:val="26"/>
                <w:szCs w:val="26"/>
              </w:rPr>
              <w:t>в</w:t>
            </w:r>
            <w:r>
              <w:rPr>
                <w:rFonts w:cs="Times New Roman" w:ascii="Times New Roman" w:hAnsi="Times New Roman"/>
                <w:spacing w:val="9"/>
                <w:sz w:val="26"/>
                <w:szCs w:val="26"/>
              </w:rPr>
              <w:t xml:space="preserve"> </w:t>
            </w:r>
            <w:r>
              <w:rPr>
                <w:rFonts w:cs="Times New Roman" w:ascii="Times New Roman" w:hAnsi="Times New Roman"/>
                <w:sz w:val="26"/>
                <w:szCs w:val="26"/>
              </w:rPr>
              <w:t>яких</w:t>
            </w:r>
            <w:r>
              <w:rPr>
                <w:rFonts w:cs="Times New Roman" w:ascii="Times New Roman" w:hAnsi="Times New Roman"/>
                <w:spacing w:val="9"/>
                <w:sz w:val="26"/>
                <w:szCs w:val="26"/>
              </w:rPr>
              <w:t xml:space="preserve"> </w:t>
            </w:r>
            <w:r>
              <w:rPr>
                <w:rFonts w:cs="Times New Roman" w:ascii="Times New Roman" w:hAnsi="Times New Roman"/>
                <w:sz w:val="26"/>
                <w:szCs w:val="26"/>
              </w:rPr>
              <w:t>планується</w:t>
            </w:r>
            <w:r>
              <w:rPr>
                <w:rFonts w:cs="Times New Roman" w:ascii="Times New Roman" w:hAnsi="Times New Roman"/>
                <w:spacing w:val="8"/>
                <w:sz w:val="26"/>
                <w:szCs w:val="26"/>
              </w:rPr>
              <w:t xml:space="preserve"> </w:t>
            </w:r>
            <w:r>
              <w:rPr>
                <w:rFonts w:cs="Times New Roman" w:ascii="Times New Roman" w:hAnsi="Times New Roman"/>
                <w:sz w:val="26"/>
                <w:szCs w:val="26"/>
              </w:rPr>
              <w:t>надавати</w:t>
            </w:r>
            <w:r>
              <w:rPr>
                <w:rFonts w:cs="Times New Roman" w:ascii="Times New Roman" w:hAnsi="Times New Roman"/>
                <w:spacing w:val="8"/>
                <w:sz w:val="26"/>
                <w:szCs w:val="26"/>
              </w:rPr>
              <w:t xml:space="preserve"> </w:t>
            </w:r>
            <w:r>
              <w:rPr>
                <w:rFonts w:cs="Times New Roman" w:ascii="Times New Roman" w:hAnsi="Times New Roman"/>
                <w:sz w:val="26"/>
                <w:szCs w:val="26"/>
              </w:rPr>
              <w:t>освіту</w:t>
            </w:r>
            <w:r>
              <w:rPr>
                <w:rFonts w:cs="Times New Roman" w:ascii="Times New Roman" w:hAnsi="Times New Roman"/>
                <w:spacing w:val="8"/>
                <w:sz w:val="26"/>
                <w:szCs w:val="26"/>
              </w:rPr>
              <w:t xml:space="preserve"> </w:t>
            </w:r>
            <w:r>
              <w:rPr>
                <w:rFonts w:cs="Times New Roman" w:ascii="Times New Roman" w:hAnsi="Times New Roman"/>
                <w:sz w:val="26"/>
                <w:szCs w:val="26"/>
              </w:rPr>
              <w:t>учням</w:t>
            </w:r>
            <w:r>
              <w:rPr>
                <w:rFonts w:cs="Times New Roman" w:ascii="Times New Roman" w:hAnsi="Times New Roman"/>
                <w:spacing w:val="8"/>
                <w:sz w:val="26"/>
                <w:szCs w:val="26"/>
              </w:rPr>
              <w:t xml:space="preserve"> </w:t>
            </w:r>
            <w:r>
              <w:rPr>
                <w:rFonts w:cs="Times New Roman" w:ascii="Times New Roman" w:hAnsi="Times New Roman"/>
                <w:sz w:val="26"/>
                <w:szCs w:val="26"/>
              </w:rPr>
              <w:t>6-х</w:t>
            </w:r>
            <w:r>
              <w:rPr>
                <w:rFonts w:cs="Times New Roman" w:ascii="Times New Roman" w:hAnsi="Times New Roman"/>
                <w:spacing w:val="1"/>
                <w:sz w:val="26"/>
                <w:szCs w:val="26"/>
              </w:rPr>
              <w:t xml:space="preserve"> </w:t>
            </w:r>
            <w:r>
              <w:rPr>
                <w:rFonts w:cs="Times New Roman" w:ascii="Times New Roman" w:hAnsi="Times New Roman"/>
                <w:sz w:val="26"/>
                <w:szCs w:val="26"/>
              </w:rPr>
              <w:t>класів</w:t>
            </w:r>
            <w:r>
              <w:rPr>
                <w:rFonts w:cs="Times New Roman" w:ascii="Times New Roman" w:hAnsi="Times New Roman"/>
                <w:spacing w:val="1"/>
                <w:sz w:val="26"/>
                <w:szCs w:val="26"/>
              </w:rPr>
              <w:t xml:space="preserve"> </w:t>
            </w:r>
            <w:r>
              <w:rPr>
                <w:rFonts w:cs="Times New Roman" w:ascii="Times New Roman" w:hAnsi="Times New Roman"/>
                <w:sz w:val="26"/>
                <w:szCs w:val="26"/>
              </w:rPr>
              <w:t>Нової</w:t>
            </w:r>
            <w:r>
              <w:rPr>
                <w:rFonts w:cs="Times New Roman" w:ascii="Times New Roman" w:hAnsi="Times New Roman"/>
                <w:spacing w:val="1"/>
                <w:sz w:val="26"/>
                <w:szCs w:val="26"/>
              </w:rPr>
              <w:t xml:space="preserve"> </w:t>
            </w:r>
            <w:r>
              <w:rPr>
                <w:rFonts w:cs="Times New Roman" w:ascii="Times New Roman" w:hAnsi="Times New Roman"/>
                <w:sz w:val="26"/>
                <w:szCs w:val="26"/>
              </w:rPr>
              <w:t>української</w:t>
            </w:r>
            <w:r>
              <w:rPr>
                <w:rFonts w:cs="Times New Roman" w:ascii="Times New Roman" w:hAnsi="Times New Roman"/>
                <w:spacing w:val="1"/>
                <w:sz w:val="26"/>
                <w:szCs w:val="26"/>
              </w:rPr>
              <w:t xml:space="preserve"> </w:t>
            </w:r>
            <w:r>
              <w:rPr>
                <w:rFonts w:cs="Times New Roman" w:ascii="Times New Roman" w:hAnsi="Times New Roman"/>
                <w:sz w:val="26"/>
                <w:szCs w:val="26"/>
              </w:rPr>
              <w:t>школи</w:t>
            </w:r>
            <w:r>
              <w:rPr>
                <w:rFonts w:cs="Times New Roman" w:ascii="Times New Roman" w:hAnsi="Times New Roman"/>
                <w:spacing w:val="1"/>
                <w:sz w:val="26"/>
                <w:szCs w:val="26"/>
              </w:rPr>
              <w:t xml:space="preserve"> </w:t>
            </w:r>
            <w:r>
              <w:rPr>
                <w:rFonts w:cs="Times New Roman" w:ascii="Times New Roman" w:hAnsi="Times New Roman"/>
                <w:sz w:val="26"/>
                <w:szCs w:val="26"/>
              </w:rPr>
              <w:t>(наявне</w:t>
            </w:r>
            <w:r>
              <w:rPr>
                <w:rFonts w:cs="Times New Roman" w:ascii="Times New Roman" w:hAnsi="Times New Roman"/>
                <w:spacing w:val="1"/>
                <w:sz w:val="26"/>
                <w:szCs w:val="26"/>
              </w:rPr>
              <w:t xml:space="preserve"> </w:t>
            </w:r>
            <w:r>
              <w:rPr>
                <w:rFonts w:cs="Times New Roman" w:ascii="Times New Roman" w:hAnsi="Times New Roman"/>
                <w:sz w:val="26"/>
                <w:szCs w:val="26"/>
              </w:rPr>
              <w:t>обладнання),</w:t>
            </w:r>
            <w:r>
              <w:rPr>
                <w:rFonts w:cs="Times New Roman" w:ascii="Times New Roman" w:hAnsi="Times New Roman"/>
                <w:spacing w:val="1"/>
                <w:sz w:val="26"/>
                <w:szCs w:val="26"/>
              </w:rPr>
              <w:t xml:space="preserve"> </w:t>
            </w:r>
            <w:r>
              <w:rPr>
                <w:rFonts w:cs="Times New Roman" w:ascii="Times New Roman" w:hAnsi="Times New Roman"/>
                <w:sz w:val="26"/>
                <w:szCs w:val="26"/>
              </w:rPr>
              <w:t>станом на</w:t>
            </w:r>
            <w:r>
              <w:rPr>
                <w:rFonts w:cs="Times New Roman" w:ascii="Times New Roman" w:hAnsi="Times New Roman"/>
                <w:spacing w:val="1"/>
                <w:sz w:val="26"/>
                <w:szCs w:val="26"/>
              </w:rPr>
              <w:t xml:space="preserve"> </w:t>
            </w:r>
            <w:r>
              <w:rPr>
                <w:rFonts w:cs="Times New Roman" w:ascii="Times New Roman" w:hAnsi="Times New Roman"/>
                <w:sz w:val="26"/>
                <w:szCs w:val="26"/>
              </w:rPr>
              <w:t>01.07.2023».</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У травні 2023 року ЗЗСО № № 13, 35, 39 отримали набори меблів у класні кімнати в якості гуманітарної допомог</w:t>
            </w:r>
            <w:r>
              <w:rPr>
                <w:rFonts w:cs="Times New Roman" w:ascii="Times New Roman" w:hAnsi="Times New Roman"/>
                <w:color w:val="000000"/>
                <w:sz w:val="26"/>
                <w:szCs w:val="26"/>
              </w:rPr>
              <w:t>и.</w:t>
            </w:r>
          </w:p>
        </w:tc>
      </w:tr>
    </w:tbl>
    <w:p>
      <w:pPr>
        <w:pStyle w:val="Normal"/>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spacing w:lineRule="auto" w:line="360"/>
        <w:jc w:val="center"/>
        <w:rPr>
          <w:rFonts w:ascii="Times New Roman" w:hAnsi="Times New Roman"/>
          <w:sz w:val="26"/>
          <w:szCs w:val="26"/>
        </w:rPr>
      </w:pPr>
      <w:r>
        <w:rPr>
          <w:rFonts w:cs="Times New Roman" w:ascii="Times New Roman" w:hAnsi="Times New Roman"/>
          <w:b/>
          <w:bCs/>
          <w:sz w:val="26"/>
          <w:szCs w:val="26"/>
        </w:rPr>
        <w:t>3.3.3. Соціальний захист</w:t>
      </w:r>
    </w:p>
    <w:tbl>
      <w:tblPr>
        <w:tblW w:w="15300" w:type="dxa"/>
        <w:jc w:val="left"/>
        <w:tblInd w:w="143" w:type="dxa"/>
        <w:tblLayout w:type="fixed"/>
        <w:tblCellMar>
          <w:top w:w="0" w:type="dxa"/>
          <w:left w:w="108" w:type="dxa"/>
          <w:bottom w:w="0" w:type="dxa"/>
          <w:right w:w="108" w:type="dxa"/>
        </w:tblCellMar>
        <w:tblLook w:firstRow="0" w:noVBand="0" w:lastRow="0" w:firstColumn="0" w:lastColumn="0" w:noHBand="0" w:val="0000"/>
      </w:tblPr>
      <w:tblGrid>
        <w:gridCol w:w="627"/>
        <w:gridCol w:w="3868"/>
        <w:gridCol w:w="10805"/>
      </w:tblGrid>
      <w:tr>
        <w:trPr>
          <w:trHeight w:val="615"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bCs/>
                <w:sz w:val="26"/>
                <w:szCs w:val="26"/>
              </w:rPr>
              <w:t xml:space="preserve">№ </w:t>
            </w:r>
            <w:r>
              <w:rPr>
                <w:rFonts w:cs="Times New Roman" w:ascii="Times New Roman" w:hAnsi="Times New Roman"/>
                <w:bCs/>
                <w:sz w:val="26"/>
                <w:szCs w:val="26"/>
              </w:rPr>
              <w:t>з/п</w:t>
            </w:r>
          </w:p>
        </w:tc>
        <w:tc>
          <w:tcPr>
            <w:tcW w:w="3868"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Назва заходів</w:t>
            </w:r>
          </w:p>
        </w:tc>
        <w:tc>
          <w:tcPr>
            <w:tcW w:w="1080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Стан виконання заходів</w:t>
            </w:r>
          </w:p>
        </w:tc>
      </w:tr>
      <w:tr>
        <w:trPr>
          <w:trHeight w:val="615"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t>1.</w:t>
            </w:r>
          </w:p>
        </w:tc>
        <w:tc>
          <w:tcPr>
            <w:tcW w:w="3868"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Надання адресної грошової допомоги жителям Луцької міської територіальної громади з числа соціально вразливих верств населення.</w:t>
            </w:r>
          </w:p>
        </w:tc>
        <w:tc>
          <w:tcPr>
            <w:tcW w:w="1080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На виконання Програми соціального захисту населення Луцької міської територіальної громади на 2021-2025 роки, з метою здійснення адресної підтримки окремих вразливих груп населення протягом звітного періоду проведені виплати із бюджету громади на суму 7 699,6 тис. грн, в т. ч.:</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одноразової грошової допомоги мешканцям міста, які опинились в складних життєвих обставинах, на лікування, медико-соціальну реабілітацію, протезування, подолання наслідків пожежі, стихійного лиха, техногенних аварій та катастроф, вирішення соціально-побутових проблем на суму 5 803,0 тис.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одноразової грошової допомоги громадянам міста з нагоди державних і релігійних свят, визначних та пам’ятних дат на суму 109,0 тис.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адресної грошової допомоги учасникам бойових дій, яким виповнилось 90 і більше років на суму 88,0 тис.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адресної грошової допомоги видатним та почесним громадянам міста на суму 204,0 тис.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адресної грошової допомоги ветеранам ОУН-УПА на суму 57,0 тис.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адресної грошової допомоги сім’ям загиблих воїнів в Афганістані на суму 50,0 тис.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адресної грошової допомоги особам з інвалідністю з пересадженими органами (в т. ч. дітям) на суму 66,0 тис.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адресної грошової допомоги сім’ям, які виховують двох дітей з інвалідністю на суму 68,0 тис.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адресної грошової допомоги хворим громадянам пільгових категорій населення на придбання ліків за пільговими рецептами на суму 965,3 тис. грн;</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shd w:fill="FFFFFF" w:val="clear"/>
              </w:rPr>
              <w:t>допомоги на поховання деяких категорі</w:t>
            </w:r>
            <w:r>
              <w:rPr>
                <w:rFonts w:ascii="Times New Roman" w:hAnsi="Times New Roman"/>
                <w:sz w:val="26"/>
                <w:szCs w:val="26"/>
              </w:rPr>
              <w:t>й осіб, виконавцю волевиявлення померлого або особі, яка зобов’язалась поховати померлого, в сумі 232,8 тис. грн;</w:t>
            </w:r>
          </w:p>
          <w:p>
            <w:pPr>
              <w:pStyle w:val="Normal"/>
              <w:widowControl w:val="false"/>
              <w:ind w:left="-98" w:firstLine="567"/>
              <w:jc w:val="both"/>
              <w:rPr>
                <w:rFonts w:ascii="Times New Roman" w:hAnsi="Times New Roman"/>
                <w:sz w:val="26"/>
                <w:szCs w:val="26"/>
              </w:rPr>
            </w:pPr>
            <w:r>
              <w:rPr>
                <w:rFonts w:cs="Times New Roman" w:ascii="Times New Roman" w:hAnsi="Times New Roman"/>
                <w:sz w:val="26"/>
                <w:szCs w:val="26"/>
                <w:shd w:fill="FFFFFF" w:val="clear"/>
              </w:rPr>
              <w:t xml:space="preserve">компенсацій фізичним особам, які надають соціальні послуги, на </w:t>
            </w:r>
            <w:r>
              <w:rPr>
                <w:rFonts w:ascii="Times New Roman" w:hAnsi="Times New Roman"/>
                <w:sz w:val="26"/>
                <w:szCs w:val="26"/>
              </w:rPr>
              <w:t>суму 1 708,9 тис. грн;</w:t>
            </w:r>
          </w:p>
          <w:p>
            <w:pPr>
              <w:pStyle w:val="Normal"/>
              <w:widowControl w:val="false"/>
              <w:ind w:left="-98" w:firstLine="567"/>
              <w:jc w:val="both"/>
              <w:rPr>
                <w:rFonts w:ascii="Times New Roman" w:hAnsi="Times New Roman" w:cs="Times New Roman"/>
                <w:sz w:val="26"/>
                <w:szCs w:val="26"/>
              </w:rPr>
            </w:pPr>
            <w:r>
              <w:rPr>
                <w:rFonts w:cs="Times New Roman" w:ascii="Times New Roman" w:hAnsi="Times New Roman"/>
                <w:sz w:val="26"/>
                <w:szCs w:val="26"/>
              </w:rPr>
              <w:t>одноразової грошової допомоги громадянам, яким виповнилось 100 і більше років та керівникам і активістам громадських організацій з нагоди ювілейних дат та річниць на суму 24,0 тис. грн тощо.</w:t>
            </w:r>
          </w:p>
        </w:tc>
      </w:tr>
      <w:tr>
        <w:trPr>
          <w:trHeight w:val="288"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2.</w:t>
            </w:r>
          </w:p>
        </w:tc>
        <w:tc>
          <w:tcPr>
            <w:tcW w:w="3868"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Забезпечення реалізації права на пільги окремих пільгових категорій громадян.</w:t>
            </w:r>
          </w:p>
        </w:tc>
        <w:tc>
          <w:tcPr>
            <w:tcW w:w="1080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ind w:firstLine="567"/>
              <w:jc w:val="both"/>
              <w:rPr>
                <w:rFonts w:ascii="Times New Roman" w:hAnsi="Times New Roman"/>
                <w:sz w:val="26"/>
                <w:szCs w:val="26"/>
              </w:rPr>
            </w:pPr>
            <w:r>
              <w:rPr>
                <w:rFonts w:cs="Times New Roman" w:ascii="Times New Roman" w:hAnsi="Times New Roman"/>
                <w:sz w:val="26"/>
                <w:szCs w:val="26"/>
                <w:lang w:eastAsia="uk-UA"/>
              </w:rPr>
              <w:t>Впродовж І півріччя 2023 року в межах Програми соціального захисту населення</w:t>
            </w:r>
            <w:r>
              <w:rPr>
                <w:rFonts w:cs="Times New Roman" w:ascii="Times New Roman" w:hAnsi="Times New Roman"/>
                <w:sz w:val="26"/>
                <w:szCs w:val="26"/>
              </w:rPr>
              <w:t xml:space="preserve"> Луцької міської територіальної громади на 2021-2023 роки</w:t>
            </w:r>
            <w:r>
              <w:rPr>
                <w:rFonts w:cs="Times New Roman" w:ascii="Times New Roman" w:hAnsi="Times New Roman"/>
                <w:sz w:val="26"/>
                <w:szCs w:val="26"/>
                <w:lang w:eastAsia="uk-UA"/>
              </w:rPr>
              <w:t xml:space="preserve"> здійснювалось відшкодування:</w:t>
            </w:r>
          </w:p>
          <w:p>
            <w:pPr>
              <w:pStyle w:val="ListParagraph"/>
              <w:widowControl w:val="false"/>
              <w:suppressAutoHyphens w:val="false"/>
              <w:ind w:left="0" w:firstLine="567"/>
              <w:jc w:val="both"/>
              <w:textAlignment w:val="auto"/>
              <w:rPr>
                <w:rFonts w:ascii="Times New Roman" w:hAnsi="Times New Roman" w:cs="Times New Roman"/>
                <w:sz w:val="26"/>
                <w:szCs w:val="26"/>
                <w:lang w:eastAsia="uk-UA"/>
              </w:rPr>
            </w:pPr>
            <w:r>
              <w:rPr>
                <w:rFonts w:cs="Times New Roman" w:ascii="Times New Roman" w:hAnsi="Times New Roman"/>
                <w:sz w:val="26"/>
                <w:szCs w:val="26"/>
                <w:lang w:eastAsia="uk-UA"/>
              </w:rPr>
              <w:t>коштів підприємствам-надавачам послуг, відповідно до поданих розрахунків з надання пільг на послуги зв’язку пільговим категоріям громадян на суму 366,0 тис. грн;</w:t>
            </w:r>
          </w:p>
          <w:p>
            <w:pPr>
              <w:pStyle w:val="ListParagraph"/>
              <w:widowControl w:val="false"/>
              <w:suppressAutoHyphens w:val="false"/>
              <w:ind w:left="0" w:firstLine="567"/>
              <w:jc w:val="both"/>
              <w:textAlignment w:val="auto"/>
              <w:rPr>
                <w:rFonts w:ascii="Times New Roman" w:hAnsi="Times New Roman" w:cs="Times New Roman"/>
                <w:sz w:val="26"/>
                <w:szCs w:val="26"/>
                <w:lang w:eastAsia="uk-UA"/>
              </w:rPr>
            </w:pPr>
            <w:r>
              <w:rPr>
                <w:rFonts w:cs="Times New Roman" w:ascii="Times New Roman" w:hAnsi="Times New Roman"/>
                <w:sz w:val="26"/>
                <w:szCs w:val="26"/>
                <w:lang w:eastAsia="uk-UA"/>
              </w:rPr>
              <w:t>вартості проїзду громадянам віднесеним до 1 та 2 категорії постраждалих внаслідок Чорнобильської катастрофи на суму 1,9 тис. грн;</w:t>
            </w:r>
          </w:p>
          <w:p>
            <w:pPr>
              <w:pStyle w:val="ListParagraph"/>
              <w:widowControl w:val="false"/>
              <w:suppressAutoHyphens w:val="false"/>
              <w:ind w:left="0" w:firstLine="567"/>
              <w:jc w:val="both"/>
              <w:textAlignment w:val="auto"/>
              <w:rPr>
                <w:rFonts w:ascii="Times New Roman" w:hAnsi="Times New Roman" w:cs="Times New Roman"/>
                <w:sz w:val="26"/>
                <w:szCs w:val="26"/>
                <w:lang w:eastAsia="uk-UA"/>
              </w:rPr>
            </w:pPr>
            <w:r>
              <w:rPr>
                <w:rFonts w:cs="Times New Roman" w:ascii="Times New Roman" w:hAnsi="Times New Roman"/>
                <w:sz w:val="26"/>
                <w:szCs w:val="26"/>
                <w:lang w:eastAsia="uk-UA"/>
              </w:rPr>
              <w:t>коштів Рівненській дирекції залізничних перевезень відповідно до поданих розрахунків з надання послуг за перевезення пільгових категорій громадян залізничним транспортом на суму 302,5 тис.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lang w:eastAsia="uk-UA"/>
              </w:rPr>
              <w:t>Також здійснюється оплата підписки на газету «Луцький замок» для почесних громадян Луцької міської територіальної громади. За звітний період на вказані потреби профінансовано 3,0 тис. грн.</w:t>
            </w:r>
          </w:p>
        </w:tc>
      </w:tr>
      <w:tr>
        <w:trPr>
          <w:trHeight w:val="288"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3.</w:t>
            </w:r>
          </w:p>
        </w:tc>
        <w:tc>
          <w:tcPr>
            <w:tcW w:w="3868"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Організація оздоровлення та відпочинку пільгових категорій громадян.</w:t>
            </w:r>
          </w:p>
        </w:tc>
        <w:tc>
          <w:tcPr>
            <w:tcW w:w="1080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shd w:fill="FFFFFF" w:val="clear"/>
                <w:lang w:eastAsia="hi-IN"/>
              </w:rPr>
              <w:t>Протягом І півріччя 2023 року заходи щодо о</w:t>
            </w:r>
            <w:r>
              <w:rPr>
                <w:rFonts w:cs="Times New Roman" w:ascii="Times New Roman" w:hAnsi="Times New Roman"/>
                <w:sz w:val="26"/>
                <w:szCs w:val="26"/>
              </w:rPr>
              <w:t>рганізації оздоровлення та відпочинку пільгових категорій громадян з бюджету громади не фінансувались.</w:t>
            </w:r>
          </w:p>
        </w:tc>
      </w:tr>
      <w:tr>
        <w:trPr>
          <w:trHeight w:val="288"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4.</w:t>
            </w:r>
          </w:p>
        </w:tc>
        <w:tc>
          <w:tcPr>
            <w:tcW w:w="3868"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Надання адресної грошової допомоги на оплату житлово-комунальних послуг окремим категоріям громадян.</w:t>
            </w:r>
          </w:p>
        </w:tc>
        <w:tc>
          <w:tcPr>
            <w:tcW w:w="1080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Надання адресної грошової допомоги на оплату житлово-комунальних послуг окремим категоріям громадян здійснюється в межах Програми соціального захисту населення Луцької міської територіальної громади на 2023-2025 роки та Комплексної програми соціальної підтримки ветеранів війни та членів їх сімей на 2021-2023 роки. Розмір щомісячної адресної грошової допомоги у 2023 році складає 800 грн. Всього, продовж І півріччя на виплату вказаної адресної допомоги з бюджету громади профінансовано 3 500,0 тис. грн.</w:t>
            </w:r>
          </w:p>
        </w:tc>
      </w:tr>
      <w:tr>
        <w:trPr>
          <w:trHeight w:val="288"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5.</w:t>
            </w:r>
          </w:p>
        </w:tc>
        <w:tc>
          <w:tcPr>
            <w:tcW w:w="3868"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Надання одноразової адресної грошової допомоги на лікування ветеранам війни та членам їх сімей (учасникам бойових дій, членам сімей загиблих (померлих, зниклих безвісти) Захисників та Захисниць України, бійцям-добровольцям, постраждалим учасникам Революції Гідності).</w:t>
            </w:r>
          </w:p>
        </w:tc>
        <w:tc>
          <w:tcPr>
            <w:tcW w:w="1080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pPr>
            <w:r>
              <w:rPr>
                <w:rFonts w:cs="Times New Roman" w:ascii="Times New Roman" w:hAnsi="Times New Roman"/>
                <w:sz w:val="26"/>
                <w:szCs w:val="26"/>
                <w:shd w:fill="FFFFFF" w:val="clear"/>
              </w:rPr>
              <w:t>Протягом 6 місяців 2023 року в межах Комплексної пр</w:t>
            </w:r>
            <w:r>
              <w:rPr>
                <w:rFonts w:ascii="Times New Roman" w:hAnsi="Times New Roman"/>
                <w:sz w:val="26"/>
                <w:szCs w:val="26"/>
              </w:rPr>
              <w:t>ограми соціальної підтримки ветеранів війни та членів їх сімей на 2021-2023 роки профінансовано 650,0 тис. грн на виплату одноразової грошової допомоги на лікування ветеранам війни та членам їх сім</w:t>
            </w:r>
            <w:r>
              <w:rPr>
                <w:rFonts w:cs="Times New Roman" w:ascii="Times New Roman" w:hAnsi="Times New Roman"/>
                <w:sz w:val="26"/>
                <w:szCs w:val="26"/>
              </w:rPr>
              <w:t>ей (учасникам бойових дій, членам сімей загиблих (померлих, зниклих безвісти) Захисників та Захисниць України, бійцям-добровольцям, постраждалим учасникам Революції Гідності).</w:t>
            </w:r>
          </w:p>
        </w:tc>
      </w:tr>
      <w:tr>
        <w:trPr>
          <w:trHeight w:val="288"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6.</w:t>
            </w:r>
          </w:p>
        </w:tc>
        <w:tc>
          <w:tcPr>
            <w:tcW w:w="3868"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sz w:val="26"/>
                <w:szCs w:val="26"/>
              </w:rPr>
            </w:pPr>
            <w:r>
              <w:rPr>
                <w:rFonts w:ascii="Times New Roman" w:hAnsi="Times New Roman"/>
                <w:sz w:val="26"/>
                <w:szCs w:val="26"/>
              </w:rPr>
              <w:t>Надання адресної грошової допомоги сім’ям загиблих (померлих), зниклих безвісти військовослужбовців та сім’ям загиблих (померлих), зниклих безвісти Захисників та Захисниць України.</w:t>
            </w:r>
          </w:p>
        </w:tc>
        <w:tc>
          <w:tcPr>
            <w:tcW w:w="1080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На надання адресної грошової допомоги сім’ям загиблих (померлих), зниклих безвісти військовослужбовців та сім’ям загиблих (померлих), зниклих безвісти Захисників та Захисниць України у звітному періоді профінансовано 1 550,0 тис. грн.</w:t>
            </w:r>
          </w:p>
        </w:tc>
      </w:tr>
      <w:tr>
        <w:trPr>
          <w:trHeight w:val="288"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7.</w:t>
            </w:r>
          </w:p>
        </w:tc>
        <w:tc>
          <w:tcPr>
            <w:tcW w:w="3868"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Забезпечення відпочинку із проведенням заходів психологічної реабілітації учасникам бойових дій, членам сімей загиблих (померлих, зниклих безвісти) Захисників та Захисниць України, бійцям-добровольцям, постраждалим учасникам Революції Гідності.</w:t>
            </w:r>
          </w:p>
        </w:tc>
        <w:tc>
          <w:tcPr>
            <w:tcW w:w="1080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За перше півріччя поточного року на забезпечення відпочинку із проведенням заходів психологічної реабілітації учасникам бойових дій, членам сімей загиблих (померлих, зниклих безвісти) Захисників та Захисниць України, бійцям-добровольцям, постраждалим учасникам Революції Гідності з бюджету громади профінансовано 912,0 тис. грн (57 осіб).</w:t>
            </w:r>
          </w:p>
        </w:tc>
      </w:tr>
      <w:tr>
        <w:trPr>
          <w:trHeight w:val="288"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8.</w:t>
            </w:r>
          </w:p>
        </w:tc>
        <w:tc>
          <w:tcPr>
            <w:tcW w:w="3868"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Забезпечення організації навчання (професійної адаптації) учасників бойових дій; осіб з інвалідністю внаслідок війни; членів сімей загиблих (померлих), зниклих безвісти Захисників та Захисниць України, бійців-добровольців, постраждалих учасників Революції Гідності.</w:t>
            </w:r>
          </w:p>
        </w:tc>
        <w:tc>
          <w:tcPr>
            <w:tcW w:w="1080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ind w:firstLine="567"/>
              <w:jc w:val="both"/>
              <w:rPr>
                <w:rFonts w:ascii="Times New Roman" w:hAnsi="Times New Roman" w:cs="Times New Roman"/>
                <w:sz w:val="26"/>
                <w:szCs w:val="26"/>
              </w:rPr>
            </w:pPr>
            <w:r>
              <w:rPr>
                <w:rFonts w:cs="Times New Roman" w:ascii="Times New Roman" w:hAnsi="Times New Roman"/>
                <w:sz w:val="26"/>
                <w:szCs w:val="26"/>
              </w:rPr>
              <w:t>Забезпечено організацію навчання (професійну адаптацію) 8 осіб з числа учасників бойових дій; осіб з інвалідністю внаслідок війни; членів сімей загиблих (померлих), зниклих безвісти Захисників та Захисниць України, бійців-добровольців, постраждалих учасників Революції Гідності, з яких 1 особа – за рахунок коштів бюджету на суму 19,6 тис. грн.</w:t>
            </w:r>
          </w:p>
        </w:tc>
      </w:tr>
      <w:tr>
        <w:trPr>
          <w:trHeight w:val="288"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9.</w:t>
            </w:r>
          </w:p>
        </w:tc>
        <w:tc>
          <w:tcPr>
            <w:tcW w:w="3868"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Вирішення проблем забезпечення, поліпшення житлових умов учасників бойових дій, осіб з інвалідністю, бійців-добровольців, а також членів сімей загиблих (померлих), зниклих безвісти внаслідок воєнних дій з числа мешканців Луцької міської територіальної громади шляхом придбання житла на умовах співфінансування.</w:t>
            </w:r>
          </w:p>
        </w:tc>
        <w:tc>
          <w:tcPr>
            <w:tcW w:w="1080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pPr>
            <w:r>
              <w:rPr>
                <w:rFonts w:cs="Times New Roman" w:ascii="Times New Roman" w:hAnsi="Times New Roman"/>
                <w:sz w:val="26"/>
                <w:szCs w:val="26"/>
              </w:rPr>
              <w:t xml:space="preserve">З метою сприяння у вирішенні проблем забезпечення, поліпшення житлових умов учасників бойових дій, осіб з інвалідністю внаслідок війни, бійців-добровольців, а також членів сімей загиблих (померлих), зниклих безвісти з числа мешканців Луцької міської територіальної громади, діє </w:t>
            </w:r>
            <w:r>
              <w:rPr>
                <w:rStyle w:val="FontStyle22"/>
                <w:rFonts w:cs="Times New Roman" w:ascii="Times New Roman" w:hAnsi="Times New Roman"/>
                <w:sz w:val="26"/>
                <w:szCs w:val="26"/>
                <w:shd w:fill="FFFFFF" w:val="clear"/>
                <w:lang w:eastAsia="ar-SA" w:bidi="ar-SA"/>
              </w:rPr>
              <w:t xml:space="preserve">Програма </w:t>
            </w:r>
            <w:r>
              <w:rPr>
                <w:rFonts w:cs="Times New Roman" w:ascii="Times New Roman" w:hAnsi="Times New Roman"/>
                <w:sz w:val="26"/>
                <w:szCs w:val="26"/>
              </w:rPr>
              <w:t>забезпечення житлом на умовах співфінансування учасників АТО/ООС та членів їх сімей. Реалізація Програми здійснюється шляхом придбання житла на умовах співфінансування для учасників Програми. У зв’язку із дією воєнного стану</w:t>
            </w:r>
            <w:r>
              <w:rPr>
                <w:rFonts w:cs="Times New Roman" w:ascii="Times New Roman" w:hAnsi="Times New Roman"/>
                <w:sz w:val="26"/>
                <w:szCs w:val="26"/>
                <w:shd w:fill="FFFFFF" w:val="clear"/>
              </w:rPr>
              <w:t xml:space="preserve"> фінансування заходів вказаної Програми не здійснювалось.</w:t>
            </w:r>
          </w:p>
        </w:tc>
      </w:tr>
      <w:tr>
        <w:trPr>
          <w:trHeight w:val="288"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10.</w:t>
            </w:r>
          </w:p>
        </w:tc>
        <w:tc>
          <w:tcPr>
            <w:tcW w:w="3868"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Забезпечення виплат дітям військовослужбовців, добровольців, волонтерів, які загинули, померли, зникли безвісти, є військовополоненими в результаті участі в АТО/ООС та/або захисті України, а також померлих осіб з інвалідністю внаслідок війни, які стали такими в результаті участі в АТО/ООС та/або захисті України.</w:t>
            </w:r>
          </w:p>
        </w:tc>
        <w:tc>
          <w:tcPr>
            <w:tcW w:w="1080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shd w:fill="FFFFFF" w:val="clear"/>
              </w:rPr>
              <w:t xml:space="preserve">Відповідно до </w:t>
            </w:r>
            <w:r>
              <w:rPr>
                <w:rFonts w:cs="Times New Roman" w:ascii="Times New Roman" w:hAnsi="Times New Roman"/>
                <w:sz w:val="26"/>
                <w:szCs w:val="26"/>
              </w:rPr>
              <w:t xml:space="preserve">Програми соціальних виплат дітям у Луцькій міській територіальній громаді на 2021-2023 роки, дітям військовослужбовців, добровольців, волонтерів, які загинули під час участі в антитерористичній операції або померли внаслідок поранення, контузії чи каліцтва, чи захворювання отриманих в результаті участі в АТО та/або у здійсненні заходів із забезпечення національної безпеки і оборони, відсічі і стримування збройної агресії росії, а також померлих осіб з інвалідністю внаслідок </w:t>
            </w:r>
            <w:r>
              <w:rPr>
                <w:rFonts w:ascii="Times New Roman" w:hAnsi="Times New Roman"/>
                <w:sz w:val="26"/>
                <w:szCs w:val="26"/>
              </w:rPr>
              <w:t>війни, які стали такими в результаті участі в АТО та/або у здійсненні заходів із забезпечення національної безпеки і оборони, відсічі і стримування збройної агресії, виплачено щомісячних допомог на загальну суму 2 132,3 тис. грн для 159 дітей зі 120 сімей.</w:t>
            </w:r>
          </w:p>
        </w:tc>
      </w:tr>
      <w:tr>
        <w:trPr>
          <w:trHeight w:val="288"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11.</w:t>
            </w:r>
          </w:p>
        </w:tc>
        <w:tc>
          <w:tcPr>
            <w:tcW w:w="3868"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Залучення осіб з інвалідністю до надання послуг у департаменті соціальної політики, відповідно до укладених договорів цивільно-правового характеру, з метою їх соціальної інтеграції в суспільне життя, самореалізації та матеріальної підтримки за виконану роботу.</w:t>
            </w:r>
          </w:p>
        </w:tc>
        <w:tc>
          <w:tcPr>
            <w:tcW w:w="1080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Через карантинні обмеження, а також у зв’язку із дією воєнного стану, протягом 2023 року особи з інвалідністю до участі у Програмі не залучались.</w:t>
            </w:r>
          </w:p>
        </w:tc>
      </w:tr>
      <w:tr>
        <w:trPr>
          <w:trHeight w:val="288"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12.</w:t>
            </w:r>
          </w:p>
        </w:tc>
        <w:tc>
          <w:tcPr>
            <w:tcW w:w="3868"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Здійснення фінансової підтримки діяльності громадських організацій ветеранів, осіб з інвалідністю та жертв нацистських переслідувань, діяльність  яких поширюється лише на території Луцької міської територіальної громади, та громадських об’єднань, які надають соціальні послуги.</w:t>
            </w:r>
          </w:p>
        </w:tc>
        <w:tc>
          <w:tcPr>
            <w:tcW w:w="1080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Протягом І півріччя в рамках Програми соціального захисту населення на підтримку діяльності громадських об’єднань профінансовано 581,4 тис. грн, з яких:</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155,2 тис. грн – фінансова підтримка статутної діяльності громадських організацій ветеранів, осіб з інвалідністю та жертв нацистських переслідувань;</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5,0 тис. грн – фінансова підтримка громадським організаціям для проведення заходів соціального спрямування;</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112,6 тис. грн – фінансова підтримка ВО «Генерація успішної дії» щодо надання соціальних послуг службою супроводу незрячих;</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308,5 тис. грн – підтримка громадських організацій шляхом оплати за комунальні послуги.</w:t>
            </w:r>
          </w:p>
        </w:tc>
      </w:tr>
      <w:tr>
        <w:trPr>
          <w:trHeight w:val="288" w:hRule="atLeast"/>
        </w:trPr>
        <w:tc>
          <w:tcPr>
            <w:tcW w:w="62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13.</w:t>
            </w:r>
          </w:p>
        </w:tc>
        <w:tc>
          <w:tcPr>
            <w:tcW w:w="3868"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Створення умов для забезпечення надання базових та додаткових соціальних послуг вразливим групам населення громади, в тому числі внутрішньо переміщеним особам, відповідно до їх потреб та державних стандартів, шляхом зміцнення управлінського, кадрового, фінансового потенціалу Територіального центру соціального обслуговування (надання соціальних послуг) м. Луцька та залучення надавачів соціальних послуг комунальної та недержавної форми власності.</w:t>
            </w:r>
          </w:p>
        </w:tc>
        <w:tc>
          <w:tcPr>
            <w:tcW w:w="1080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 метою створення умов для забезпечення надання базових та додаткових соціальних послуг вразливим групам населення громади, в приміщенні територіального центру соціального обслуговування (надання соціальних послуг) Луцької міської територіальної громади проводяться ремонтні роботи. Впродовж І півріччя на вказані потреби з бюджету громади профінансовано 159,9 тис. грн.</w:t>
            </w:r>
          </w:p>
          <w:p>
            <w:pPr>
              <w:pStyle w:val="Normal"/>
              <w:widowControl w:val="false"/>
              <w:ind w:firstLine="567"/>
              <w:jc w:val="both"/>
              <w:rPr>
                <w:rFonts w:ascii="Times New Roman" w:hAnsi="Times New Roman"/>
                <w:sz w:val="26"/>
                <w:szCs w:val="26"/>
              </w:rPr>
            </w:pPr>
            <w:r>
              <w:rPr>
                <w:rFonts w:ascii="Times New Roman" w:hAnsi="Times New Roman"/>
                <w:sz w:val="26"/>
                <w:szCs w:val="26"/>
              </w:rPr>
              <w:t>Протягом звітного періоду в їдальні територіального центру забезпечено безкоштовним гарячим харчуванням підопічних установи на суму 284,6 тис. грн; закуплено та вручено продуктові пакети для підопічних територіального центру з нагоди державних та релігійних свят на суму 12,6 тис. грн; забезпечено надання послуг з перевезення спеціалізованим автомобілем осіб з обмеженими фізичними можливостями та громадян похилого віку, які обслуговуються структурними підрозділами територіального центру на суму 10,6 тис. грн.</w:t>
            </w:r>
          </w:p>
        </w:tc>
      </w:tr>
    </w:tbl>
    <w:p>
      <w:pPr>
        <w:pStyle w:val="Normal"/>
        <w:ind w:firstLine="709"/>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spacing w:lineRule="auto" w:line="360"/>
        <w:ind w:firstLine="709"/>
        <w:jc w:val="center"/>
        <w:rPr>
          <w:rFonts w:ascii="Times New Roman" w:hAnsi="Times New Roman"/>
          <w:sz w:val="26"/>
          <w:szCs w:val="26"/>
        </w:rPr>
      </w:pPr>
      <w:r>
        <w:rPr>
          <w:rFonts w:cs="Times New Roman" w:ascii="Times New Roman" w:hAnsi="Times New Roman"/>
          <w:b/>
          <w:bCs/>
          <w:sz w:val="26"/>
          <w:szCs w:val="26"/>
        </w:rPr>
        <w:t xml:space="preserve">3.3.4. Зайнятість населення та охорона праці </w:t>
      </w:r>
    </w:p>
    <w:tbl>
      <w:tblPr>
        <w:tblW w:w="15390" w:type="dxa"/>
        <w:jc w:val="left"/>
        <w:tblInd w:w="158" w:type="dxa"/>
        <w:tblLayout w:type="fixed"/>
        <w:tblCellMar>
          <w:top w:w="0" w:type="dxa"/>
          <w:left w:w="108" w:type="dxa"/>
          <w:bottom w:w="0" w:type="dxa"/>
          <w:right w:w="108" w:type="dxa"/>
        </w:tblCellMar>
        <w:tblLook w:firstRow="0" w:noVBand="0" w:lastRow="0" w:firstColumn="0" w:lastColumn="0" w:noHBand="0" w:val="0000"/>
      </w:tblPr>
      <w:tblGrid>
        <w:gridCol w:w="626"/>
        <w:gridCol w:w="4126"/>
        <w:gridCol w:w="10638"/>
      </w:tblGrid>
      <w:tr>
        <w:trPr>
          <w:trHeight w:val="615"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bCs/>
                <w:sz w:val="26"/>
                <w:szCs w:val="26"/>
              </w:rPr>
              <w:t xml:space="preserve">№ </w:t>
            </w:r>
            <w:r>
              <w:rPr>
                <w:rFonts w:cs="Times New Roman" w:ascii="Times New Roman" w:hAnsi="Times New Roman"/>
                <w:bCs/>
                <w:sz w:val="26"/>
                <w:szCs w:val="26"/>
              </w:rPr>
              <w:t>з/п</w:t>
            </w:r>
          </w:p>
        </w:tc>
        <w:tc>
          <w:tcPr>
            <w:tcW w:w="41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Назва заходів</w:t>
            </w:r>
          </w:p>
        </w:tc>
        <w:tc>
          <w:tcPr>
            <w:tcW w:w="1063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Стан виконання заходів</w:t>
            </w:r>
          </w:p>
        </w:tc>
      </w:tr>
      <w:tr>
        <w:trPr>
          <w:trHeight w:val="615"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t>1.</w:t>
            </w:r>
          </w:p>
        </w:tc>
        <w:tc>
          <w:tcPr>
            <w:tcW w:w="4126"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Здійснення повідомної реєстрації колективних договорів і територіальних угод, внесення зауважень та рекомендацій щодо приведення їх положень у відповідність до вимог чинного законодавства.</w:t>
            </w:r>
          </w:p>
        </w:tc>
        <w:tc>
          <w:tcPr>
            <w:tcW w:w="1063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Протягом І півріччя спеціалістами відділу з питань праці зареєстровано 46 колективних договорів та змін і доповнень до діючих договорів суб’єктів господарювання усіх форм власності, за результатами їх вивчення надано 68 рекомендацій щодо приведення положень договорів до норм чинного законодавства України. В ході повідомної реєстрації колективних договорів, фахівцями відділу наголошується на законодавчих вимогах щодо забезпечення роботодавцями дотримання мінімальних соціальних гарантій в оплаті праці, встановленні розміру заробітної плати залежно від складності роботи та умов її виконання, встановленні конкретних строків виплати заробітної плати.</w:t>
            </w:r>
          </w:p>
        </w:tc>
      </w:tr>
      <w:tr>
        <w:trPr>
          <w:trHeight w:val="288"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2.</w:t>
            </w:r>
          </w:p>
        </w:tc>
        <w:tc>
          <w:tcPr>
            <w:tcW w:w="4126"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Проведення моніторингу стану виплати заробітної плати та рівня оплати праці найманих працівників на підприємствах Луцької міської територіальної громади.</w:t>
            </w:r>
          </w:p>
        </w:tc>
        <w:tc>
          <w:tcPr>
            <w:tcW w:w="1063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Для забезпечення належного рівня оплати праці найманих працівників, здійснювався моніторинг рівня середньої заробітної плати на підприємствах міської територіальної громади. Так, згідно даних ГУ ДПС у Волинській області, встановлено, що у 3 817-х суб’єктів господарювання міської територіальної громади у І кварталі середня заробітна плата склала менше гарантованої державою мінімальної заробітної плати.</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Право на своєчасне отримання винагороди за працю було порушено стосовно працівників 6-ти економічно активних підприємств</w:t>
            </w:r>
            <w:r>
              <w:rPr>
                <w:rFonts w:cs="Times New Roman" w:ascii="Times New Roman" w:hAnsi="Times New Roman"/>
                <w:color w:val="FF0000"/>
                <w:sz w:val="26"/>
                <w:szCs w:val="26"/>
              </w:rPr>
              <w:t xml:space="preserve"> </w:t>
            </w:r>
            <w:r>
              <w:rPr>
                <w:rFonts w:cs="Times New Roman" w:ascii="Times New Roman" w:hAnsi="Times New Roman"/>
                <w:sz w:val="26"/>
                <w:szCs w:val="26"/>
              </w:rPr>
              <w:t>(</w:t>
            </w:r>
            <w:r>
              <w:rPr>
                <w:rFonts w:cs="Times New Roman" w:ascii="Times New Roman" w:hAnsi="Times New Roman"/>
                <w:sz w:val="26"/>
                <w:szCs w:val="26"/>
                <w:shd w:fill="FFFFFF" w:val="clear"/>
              </w:rPr>
              <w:t>ДП «Волинський облавтодор», ТОВ  «Континіум», ВДДС інституту картоплярства НААН України, ТОВ «Луцьккомунмаш», ВОО Українського товариства сліпих, ТОВ «Група компаній Технопром»).</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міської територіальної громади, сума невиплаченої заробітної плати складала 21 207,2 тис.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Також, упродовж звітного періоду постійно проводилась роз’яснювальна робота суб’єктам господарювання щодо економічних та соціальних переваг дотримання законодавства про працю, надавалась консультативна допомога щодо організації трудових відносин в умовах воєнного стану, постійно висвітлювалась дана інформація в ЗМІ та на офіційному сайті міської ради.</w:t>
            </w:r>
          </w:p>
        </w:tc>
      </w:tr>
      <w:tr>
        <w:trPr>
          <w:trHeight w:val="288"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3.</w:t>
            </w:r>
          </w:p>
        </w:tc>
        <w:tc>
          <w:tcPr>
            <w:tcW w:w="4126"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Інформування роботодавців та працівників щодо порядку оформлення трудових відносин та негативних наслідків тіньової зайнятості.</w:t>
            </w:r>
          </w:p>
        </w:tc>
        <w:tc>
          <w:tcPr>
            <w:tcW w:w="1063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Упродовж І півріччя фахівцями відділу проводилась робота щодо виявлення та попередження вчинення роботодавцями законодавства про працю в частині належного оформлення найманих працівників. Проведено 16 рейдів, якими охоплено 706 суб’єктів господарювання, за результатами яких виявлено 179 працівників відносно яких роботодавцями порушено вимоги законодавства щодо неналежного оформлення трудових відносин. За результатами проведення інформаційно-роз'яснювальних заходів з 76 працівниками укладено трудові договори. Також було розглянуте одне звернення працівників, щодо невиплати заробітної плати.</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На сайті Луцької міської ради розміщено статті з метою інформування роботодавців міської територіальної громади щодо організації трудових відносин в умовах воєнного стану, оформлення трудових відносин та негативних наслідків тіньової зайнятості.</w:t>
            </w:r>
          </w:p>
        </w:tc>
      </w:tr>
      <w:tr>
        <w:trPr>
          <w:trHeight w:val="288"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4.</w:t>
            </w:r>
          </w:p>
        </w:tc>
        <w:tc>
          <w:tcPr>
            <w:tcW w:w="4126"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Здійснення системного контролю за додержанням суб’єктами господарювання комунальної форми власності вимог законодавства з охорони праці з метою запобігання нещасним випадкам та професійним захворюванням.</w:t>
            </w:r>
          </w:p>
        </w:tc>
        <w:tc>
          <w:tcPr>
            <w:tcW w:w="1063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 xml:space="preserve">В зв’язку із дією воєнного стану в Україні та </w:t>
            </w:r>
            <w:r>
              <w:rPr>
                <w:rFonts w:cs="Times New Roman" w:ascii="Times New Roman" w:hAnsi="Times New Roman"/>
                <w:kern w:val="0"/>
                <w:sz w:val="26"/>
                <w:szCs w:val="26"/>
                <w:lang w:bidi="ar-SA"/>
              </w:rPr>
              <w:t>відповідно до</w:t>
            </w:r>
            <w:r>
              <w:rPr>
                <w:rFonts w:cs="Times New Roman" w:ascii="Times New Roman" w:hAnsi="Times New Roman"/>
                <w:sz w:val="26"/>
                <w:szCs w:val="26"/>
              </w:rPr>
              <w:t xml:space="preserve"> постанови Кабінету Міністрів України  від 13.03.2022 № 303  «Про припинення заходів державного нагляду (контролю) і державного ринкового нагляду в умовах воєнного стану» було припинено проведення планових та позапланових заходів державного нагляду (контролю) і державного ринкового нагляду.</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Працівниками відділу праці було проведено роз’яснення щодо механізму отримання дозвільних документів на виконання робіт з підвищеною небезпекою в умовах воєнного стану та роботу з посудинами під тиском суб’єктам господарювання комунальної форми власності, з метою запобігання нещасних випадків та професійних захворювань.</w:t>
            </w:r>
          </w:p>
        </w:tc>
      </w:tr>
      <w:tr>
        <w:trPr>
          <w:trHeight w:val="288"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5.</w:t>
            </w:r>
          </w:p>
        </w:tc>
        <w:tc>
          <w:tcPr>
            <w:tcW w:w="4126"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Постійне здійснення моніторингу випадків виробничого травматизму та травм невиробничого характеру.</w:t>
            </w:r>
          </w:p>
        </w:tc>
        <w:tc>
          <w:tcPr>
            <w:tcW w:w="1063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Протягом І півріччя було проаналізовано 5 286 повідомлень про нещасні випадки невиробничого характеру, що стались на території громади. За результатами моніторингу у 40 випадках приймалося рішення щодо проведення розслідування нещасних випадків. Крім того, працівниками відділу з питань праці прийнято участь у 6 спеціальних розслідуваннях нещасних випадків виробничого характеру.</w:t>
            </w:r>
          </w:p>
        </w:tc>
      </w:tr>
      <w:tr>
        <w:trPr>
          <w:trHeight w:val="288"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6.</w:t>
            </w:r>
          </w:p>
        </w:tc>
        <w:tc>
          <w:tcPr>
            <w:tcW w:w="4126"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Сприяння в оперативному укомплектуванні вакансій шляхом проведення професійного добору пошукачів роботи відповідно до вимог роботодавця, представлення вакансій через проведення індивідуальних співбесід, організації профорієнтаційних заходів (міні-ярмарків вакансій, презентацій роботодавця, тощо), використання рекрутингового підходу та електронних сервісів служби зайнятості.</w:t>
            </w:r>
          </w:p>
        </w:tc>
        <w:tc>
          <w:tcPr>
            <w:tcW w:w="1063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До служби зайнятості міста Луцька впродовж січня-червня 2023 року 1 034 роботодавця надали інформацію про 3 033 вільних робочих місць та вакантних посад. На початок липня 2023 року актуальними були 1 083 вакансій: для робітників – 62 %, для службовців – 23 %, для осіб, які не потребують спеціальної підготовки – 15%. В той же час на обліку перебувало 708 безробітних, з яких 41 % – робітники, 45 % – службовці, 14 % – особи без професії.</w:t>
            </w:r>
          </w:p>
          <w:p>
            <w:pPr>
              <w:pStyle w:val="Normal"/>
              <w:widowControl w:val="false"/>
              <w:tabs>
                <w:tab w:val="clear" w:pos="708"/>
                <w:tab w:val="left" w:pos="466" w:leader="none"/>
                <w:tab w:val="center" w:pos="4819" w:leader="none"/>
              </w:tabs>
              <w:ind w:firstLine="567"/>
              <w:jc w:val="both"/>
              <w:rPr>
                <w:rFonts w:ascii="Times New Roman" w:hAnsi="Times New Roman" w:cs="Times New Roman"/>
                <w:sz w:val="26"/>
                <w:szCs w:val="26"/>
              </w:rPr>
            </w:pPr>
            <w:r>
              <w:rPr>
                <w:rFonts w:cs="Times New Roman" w:ascii="Times New Roman" w:hAnsi="Times New Roman"/>
                <w:sz w:val="26"/>
                <w:szCs w:val="26"/>
              </w:rPr>
              <w:t>Для оперативного укомплектування вакансій роботодавців службою зайнятості організовано 2 ярмарки вакансій та 16 презентацій роботодавця.</w:t>
            </w:r>
          </w:p>
        </w:tc>
      </w:tr>
      <w:tr>
        <w:trPr>
          <w:trHeight w:val="288"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7.</w:t>
            </w:r>
          </w:p>
        </w:tc>
        <w:tc>
          <w:tcPr>
            <w:tcW w:w="4126"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Підтримка роботодавців щодо збереження існуючих та створення нових робочих місць шляхом застосування компенсаторних механізмів працевлаштування зареєстрованих безробітних та грантової підтримки.</w:t>
            </w:r>
          </w:p>
        </w:tc>
        <w:tc>
          <w:tcPr>
            <w:tcW w:w="1063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lang w:eastAsia="uk-UA"/>
              </w:rPr>
            </w:pPr>
            <w:r>
              <w:rPr>
                <w:rFonts w:cs="Times New Roman" w:ascii="Times New Roman" w:hAnsi="Times New Roman"/>
                <w:sz w:val="26"/>
                <w:szCs w:val="26"/>
                <w:lang w:eastAsia="uk-UA"/>
              </w:rPr>
              <w:t>Цьогоріч запроваджені фінансові механізми підтримки роботодавців, спрямовані на активізацію ринку праці та зростання зайнятості серед населення. Відповідно до активних програм зайнятості, роботодавці отримуватимуть певні пільги за працевлаштування окремих категорій осіб.</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Серед методів стимулювання діяльності роботодавців, спрямованої на створення нових робочих місць та працевлаштування безробітних з числа окремих категорій осіб є: компенсація фактичних витрат роботодавця на сплату єдиного внеску на загальнообов’язкове державне соціальне страхування, к</w:t>
            </w:r>
            <w:r>
              <w:rPr>
                <w:rFonts w:cs="Times New Roman" w:ascii="Times New Roman" w:hAnsi="Times New Roman"/>
                <w:bCs/>
                <w:sz w:val="26"/>
                <w:szCs w:val="26"/>
                <w:lang w:eastAsia="uk-UA"/>
              </w:rPr>
              <w:t xml:space="preserve">омпенсація 50 % фактичних витрат на оплату праці, але не більше розміру мінімальної заробітної плати, 50 % мінімальної заробітної плати за відповідну особу за місяць. </w:t>
            </w:r>
            <w:r>
              <w:rPr>
                <w:rFonts w:cs="Times New Roman" w:ascii="Times New Roman" w:hAnsi="Times New Roman"/>
                <w:sz w:val="26"/>
                <w:szCs w:val="26"/>
              </w:rPr>
              <w:t>Впродовж 2023 року цією послугою скористалися 11 роботодавців міста, які у такий спосіб забезпечили роботою 11 осіб.</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 метою підтримки роботодавців, які працевлаштовують внутрішньо переміщених осіб введено в дію Порядок, який визначає умови та механізм виплати коштів для надання роботодавцю компенсацій витрат на оплату праці. Компенсація надається у розмірі мінімальної заробітної плати щомісяця за кожну працевлаштовану особу з числа внутрішньо переміщених осіб, але не більше двох місяців. У звітному періоді компенсація надана 52 роботодавцям за працевлаштування 129 внутрішньо переміщених осіб.</w:t>
            </w:r>
          </w:p>
        </w:tc>
      </w:tr>
      <w:tr>
        <w:trPr>
          <w:trHeight w:val="288"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8.</w:t>
            </w:r>
          </w:p>
        </w:tc>
        <w:tc>
          <w:tcPr>
            <w:tcW w:w="4126"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Організація професійного навчання (проведення семінарів із безробітними щодо техніки пошуку роботи), залучення незайнятих громадян до участі в громадських та інших роботах тимчасового характеру, у період дії воєнного стану – у суспільно-корисних роботах.</w:t>
            </w:r>
          </w:p>
        </w:tc>
        <w:tc>
          <w:tcPr>
            <w:tcW w:w="1063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lang w:eastAsia="en-US"/>
              </w:rPr>
            </w:pPr>
            <w:r>
              <w:rPr>
                <w:rFonts w:cs="Times New Roman" w:ascii="Times New Roman" w:hAnsi="Times New Roman"/>
                <w:sz w:val="26"/>
                <w:szCs w:val="26"/>
                <w:lang w:eastAsia="en-US"/>
              </w:rPr>
              <w:t>Впродовж І півріччя 2023 року професійне навчання проходили 95 осіб. На замовлення роботодавців безробітні громадяни навчалися за такими робітничими професіями: «швачка», «кухар». Професійне навчання безробітних Луцької філії Волинського обласного центру зайнятості здійснюється на базі професійно-технічних навчальних закладів м. Луцька.</w:t>
            </w:r>
          </w:p>
          <w:p>
            <w:pPr>
              <w:pStyle w:val="Normal"/>
              <w:widowControl w:val="false"/>
              <w:ind w:firstLine="567"/>
              <w:jc w:val="both"/>
              <w:rPr>
                <w:rFonts w:ascii="Times New Roman" w:hAnsi="Times New Roman" w:cs="Times New Roman"/>
                <w:sz w:val="26"/>
                <w:szCs w:val="26"/>
                <w:lang w:eastAsia="en-US"/>
              </w:rPr>
            </w:pPr>
            <w:r>
              <w:rPr>
                <w:rFonts w:cs="Times New Roman" w:ascii="Times New Roman" w:hAnsi="Times New Roman"/>
                <w:sz w:val="26"/>
                <w:szCs w:val="26"/>
                <w:lang w:eastAsia="en-US"/>
              </w:rPr>
              <w:t>Підвищення кваліфікації шляхом стажування у роботодавців-замовників кадрів  проходили 49 безробітних громадян.</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lang w:eastAsia="en-US"/>
              </w:rPr>
              <w:t xml:space="preserve">Фахівцями служби зайнятості систематично проводиться інформаційно-роз’яснювальна робота щодо можливості проходження професійного навчання. У І півріччі 2023 року проведено 126 тренінгів з техніки пошуку роботи (цикл тренінгів) для 745 безробітних осіб </w:t>
            </w:r>
            <w:r>
              <w:rPr>
                <w:rFonts w:cs="Times New Roman" w:ascii="Times New Roman" w:hAnsi="Times New Roman"/>
                <w:sz w:val="26"/>
                <w:szCs w:val="26"/>
              </w:rPr>
              <w:t>та 24 п</w:t>
            </w:r>
            <w:r>
              <w:rPr>
                <w:rFonts w:cs="Times New Roman" w:ascii="Times New Roman" w:hAnsi="Times New Roman"/>
                <w:sz w:val="26"/>
                <w:szCs w:val="26"/>
                <w:lang w:eastAsia="en-US"/>
              </w:rPr>
              <w:t>резентацій послуг з професійного навчання, у тому числі послуг ЦПТО для 157 осіб.</w:t>
            </w:r>
          </w:p>
        </w:tc>
      </w:tr>
      <w:tr>
        <w:trPr>
          <w:trHeight w:val="288"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9.</w:t>
            </w:r>
          </w:p>
        </w:tc>
        <w:tc>
          <w:tcPr>
            <w:tcW w:w="4126"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Сприяння безробітним особам в реалізації права на організацію підприємницької діяльності. Забезпечення функціонування Центру розвитку підприємництва Луцького міського центру зайнятості.</w:t>
            </w:r>
          </w:p>
        </w:tc>
        <w:tc>
          <w:tcPr>
            <w:tcW w:w="1063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Для підтримки та розвитку підприємницьких ініціатив серед безробітних, Державна служба зайнятості залучає осіб, які бажають започаткувати власну справу, до інформаційних семінарів з питань самозайнятості, вибору перспективного виду діяльності, реєстрації суб’єкту підприємницької діяльності. До участі в заходах запрошуються фахівці Головного управління Пенсійного фонду України у Волинській області, Регіонального відділення  Фонду державного майна України по Львівській, Закарпатській та Волинської областях, ГО «Волинський інститут права», ГО «Молодіжний центр Волині» Волинського регіонального та Луцького місцевого центрів з надання безоплатної вторинної правової допомоги, успішні підприємці.</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Громадяни, які виявили бажання розпочати власну справу, проходять професійне психодіагностичне обстеження щодо наявності здібностей до ведення підприємницької діяльності.</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У І півріччі Центром розвитку підприємництва проведено 62 заходи для 2 133 осіб, проведено 12 заходів та тему «Генеруй бізнес-ідею та розпочни свій бізнес» для 195 осіб.  С</w:t>
            </w:r>
            <w:r>
              <w:rPr>
                <w:rFonts w:cs="Times New Roman" w:ascii="Times New Roman" w:hAnsi="Times New Roman"/>
                <w:sz w:val="26"/>
                <w:szCs w:val="26"/>
                <w:shd w:fill="FFFFFF" w:val="clear"/>
              </w:rPr>
              <w:t xml:space="preserve">истемно організовувались консультаційні зустрічі за участі представника ГО «Волинський інститут права». </w:t>
            </w:r>
            <w:r>
              <w:rPr>
                <w:rFonts w:cs="Times New Roman" w:ascii="Times New Roman" w:hAnsi="Times New Roman"/>
                <w:sz w:val="26"/>
                <w:szCs w:val="26"/>
              </w:rPr>
              <w:t>Безробітні особи активно цікавилась можливостями започаткування власної справи, розмірами ставок єдиного податку, термінами сплати, порядком заповнення звітів суб’єктами господарювання тощо.</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У травні організовано тренінг на тему «Кредитування бізнесу», в рамках реалізації Меморандуму про співпрацю з іноземною неурядовою організацією «</w:t>
            </w:r>
            <w:r>
              <w:rPr>
                <w:rFonts w:cs="Times New Roman" w:ascii="Times New Roman" w:hAnsi="Times New Roman"/>
                <w:sz w:val="26"/>
                <w:szCs w:val="26"/>
                <w:lang w:val="en-US"/>
              </w:rPr>
              <w:t>ACTED</w:t>
            </w:r>
            <w:r>
              <w:rPr>
                <w:rFonts w:cs="Times New Roman" w:ascii="Times New Roman" w:hAnsi="Times New Roman"/>
                <w:sz w:val="26"/>
                <w:szCs w:val="26"/>
              </w:rPr>
              <w:t>» та проєкту «Забезпечення розширення економічних прав та можливостей жінок для відновлення та розвитку» (</w:t>
            </w:r>
            <w:r>
              <w:rPr>
                <w:rFonts w:cs="Times New Roman" w:ascii="Times New Roman" w:hAnsi="Times New Roman"/>
                <w:sz w:val="26"/>
                <w:szCs w:val="26"/>
                <w:lang w:val="en-US"/>
              </w:rPr>
              <w:t>SEED</w:t>
            </w:r>
            <w:r>
              <w:rPr>
                <w:rFonts w:cs="Times New Roman" w:ascii="Times New Roman" w:hAnsi="Times New Roman"/>
                <w:sz w:val="26"/>
                <w:szCs w:val="26"/>
              </w:rPr>
              <w:t>). Учасниками тренінгу стали 22 особи.</w:t>
            </w:r>
          </w:p>
          <w:p>
            <w:pPr>
              <w:pStyle w:val="Normal"/>
              <w:widowControl w:val="false"/>
              <w:ind w:firstLine="567"/>
              <w:jc w:val="both"/>
              <w:rPr/>
            </w:pPr>
            <w:r>
              <w:rPr>
                <w:rFonts w:cs="Times New Roman" w:ascii="Times New Roman" w:hAnsi="Times New Roman"/>
                <w:sz w:val="26"/>
                <w:szCs w:val="26"/>
              </w:rPr>
              <w:t>Упродовж звітного періоду також діяли програми «Надання грантів для створення або розвитку бізнесу», «</w:t>
            </w:r>
            <w:r>
              <w:fldChar w:fldCharType="begin"/>
            </w:r>
            <w:r>
              <w:rPr>
                <w:sz w:val="26"/>
                <w:szCs w:val="26"/>
                <w:rFonts w:cs="Times New Roman" w:ascii="Times New Roman" w:hAnsi="Times New Roman"/>
              </w:rPr>
              <w:instrText> HYPERLINK "https://zakon.rada.gov.ua/laws/show/738-2022-п" \l "n902"</w:instrText>
            </w:r>
            <w:r>
              <w:rPr>
                <w:sz w:val="26"/>
                <w:szCs w:val="26"/>
                <w:rFonts w:cs="Times New Roman" w:ascii="Times New Roman" w:hAnsi="Times New Roman"/>
              </w:rPr>
              <w:fldChar w:fldCharType="separate"/>
            </w:r>
            <w:r>
              <w:rPr>
                <w:rFonts w:cs="Times New Roman" w:ascii="Times New Roman" w:hAnsi="Times New Roman"/>
                <w:sz w:val="26"/>
                <w:szCs w:val="26"/>
              </w:rPr>
              <w:t>Порядок надання грантів на створення або розвиток власного бізнесу учасникам бойових дій, особам з інвалідністю внаслідок війни та членам їх сімей</w:t>
            </w:r>
            <w:r>
              <w:rPr>
                <w:sz w:val="26"/>
                <w:szCs w:val="26"/>
                <w:rFonts w:cs="Times New Roman" w:ascii="Times New Roman" w:hAnsi="Times New Roman"/>
              </w:rPr>
              <w:fldChar w:fldCharType="end"/>
            </w:r>
            <w:r>
              <w:rPr>
                <w:rFonts w:cs="Times New Roman" w:ascii="Times New Roman" w:hAnsi="Times New Roman"/>
                <w:sz w:val="26"/>
                <w:szCs w:val="26"/>
                <w:shd w:fill="FFFFFF" w:val="clear"/>
              </w:rPr>
              <w:t>».</w:t>
            </w:r>
            <w:r>
              <w:rPr>
                <w:rFonts w:cs="Times New Roman" w:ascii="Times New Roman" w:hAnsi="Times New Roman"/>
                <w:sz w:val="26"/>
                <w:szCs w:val="26"/>
              </w:rPr>
              <w:t xml:space="preserve"> Здійснювалась інформаційна (рекламна) підтримка успішного провадження підприємницької діяльності у ЗМІ, на веб-сайті обласного центру зайнятості, на власній сторінці Луцької філії Волинського обласного центру зайнятості в соціальній мережі Фейсбук, в «Каталозі підприємливих ідей безробітних Волині».</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Для безробітних осіб, які бажають започаткувати власний бізнес організовано 2 менторські зустрічі за участі підприємців-практиків.</w:t>
            </w:r>
          </w:p>
        </w:tc>
      </w:tr>
      <w:tr>
        <w:trPr>
          <w:trHeight w:val="288"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10.</w:t>
            </w:r>
          </w:p>
        </w:tc>
        <w:tc>
          <w:tcPr>
            <w:tcW w:w="4126"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Сприяння продуктивній зайнятості населення, у тому числі соціально-вразливих категорій населення та внутрішньо переміщеним особам, шляхом надання результативних послуг на основі індивідуального та адресного підходу у вирішенні питань зайнятості.</w:t>
            </w:r>
          </w:p>
        </w:tc>
        <w:tc>
          <w:tcPr>
            <w:tcW w:w="1063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Протягом 2023 року знайшли роботу 1 156 осіб, з них – 675 безробітні. Серед безробітних громадян найчастіше працевлаштування відбувалося у сфері оптової та роздрібної торгівлі; ремонт автотранспортних засобів і мотоциклів (25,4 %), у сфері переробної промисловості (24,5 %).</w:t>
            </w:r>
          </w:p>
          <w:p>
            <w:pPr>
              <w:pStyle w:val="Normal"/>
              <w:widowControl w:val="false"/>
              <w:tabs>
                <w:tab w:val="clear" w:pos="708"/>
                <w:tab w:val="left" w:pos="900" w:leader="none"/>
              </w:tabs>
              <w:ind w:firstLine="567"/>
              <w:jc w:val="both"/>
              <w:rPr>
                <w:rFonts w:ascii="Times New Roman" w:hAnsi="Times New Roman"/>
                <w:sz w:val="26"/>
                <w:szCs w:val="26"/>
              </w:rPr>
            </w:pPr>
            <w:r>
              <w:rPr>
                <w:rFonts w:cs="Times New Roman" w:ascii="Times New Roman" w:hAnsi="Times New Roman"/>
                <w:sz w:val="26"/>
                <w:szCs w:val="26"/>
              </w:rPr>
              <w:t xml:space="preserve">Протягом січня-червня послугами служби зайнятості міста скористалося 687 </w:t>
            </w:r>
            <w:r>
              <w:rPr>
                <w:rFonts w:cs="Times New Roman" w:ascii="Times New Roman" w:hAnsi="Times New Roman"/>
                <w:bCs/>
                <w:sz w:val="26"/>
                <w:szCs w:val="26"/>
              </w:rPr>
              <w:t>осіб, які потребують додаткових гарантій соціального захисту, 670 з яких безробітні.</w:t>
            </w:r>
          </w:p>
          <w:p>
            <w:pPr>
              <w:pStyle w:val="Normal"/>
              <w:widowControl w:val="false"/>
              <w:tabs>
                <w:tab w:val="clear" w:pos="708"/>
                <w:tab w:val="left" w:pos="900" w:leader="none"/>
              </w:tabs>
              <w:ind w:firstLine="567"/>
              <w:jc w:val="both"/>
              <w:rPr>
                <w:rFonts w:ascii="Times New Roman" w:hAnsi="Times New Roman" w:cs="Times New Roman"/>
                <w:bCs/>
                <w:sz w:val="26"/>
                <w:szCs w:val="26"/>
              </w:rPr>
            </w:pPr>
            <w:r>
              <w:rPr>
                <w:rFonts w:cs="Times New Roman" w:ascii="Times New Roman" w:hAnsi="Times New Roman"/>
                <w:bCs/>
                <w:sz w:val="26"/>
                <w:szCs w:val="26"/>
              </w:rPr>
              <w:t>На початок липня на обліку перебувають 223 безробітних з числа соціально незахищених. Послугами служби зайнятості скористалося 247 осіб з інвалідністю, з них 222 – безробітні. Працевлаштовано 38 осіб з інвалідністю, 1 прийняв участь в роботах тимчасового характеру, 6 – проходили професійне навчання. Продовжують перебувати на обліку 78  безробітних з інвалідністю.</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До служби зайнятості міста Луцька впродовж І півріччя звернулось 172 особи з числа внутрішньо переміщених, з яких 87 отримали статус безробітного. Усього працевлаштовано 85 осіб. Проходили навчання за направленням служби зайнятості 4 особи. На початок липня перебувають на обліку як безробітні 40 осіб з числа внутрішньо переміщених.</w:t>
            </w:r>
          </w:p>
        </w:tc>
      </w:tr>
      <w:tr>
        <w:trPr>
          <w:trHeight w:val="288"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11.</w:t>
            </w:r>
          </w:p>
        </w:tc>
        <w:tc>
          <w:tcPr>
            <w:tcW w:w="4126"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Здійснення професійної орієнтації населення в рамках роботи Центрів кар’єри при навчальних закладах та в старостатах громади.</w:t>
            </w:r>
          </w:p>
        </w:tc>
        <w:tc>
          <w:tcPr>
            <w:tcW w:w="1063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 xml:space="preserve">У І півріччі 2023 року надано 11 107 профорієнтаційних послуг для 7 507 осіб різних категорій населення. Для </w:t>
            </w:r>
            <w:r>
              <w:rPr>
                <w:rFonts w:cs="Times New Roman" w:ascii="Times New Roman" w:hAnsi="Times New Roman"/>
                <w:sz w:val="26"/>
                <w:szCs w:val="26"/>
                <w:lang w:val="ru-RU"/>
              </w:rPr>
              <w:t>2 050</w:t>
            </w:r>
            <w:r>
              <w:rPr>
                <w:rFonts w:cs="Times New Roman" w:ascii="Times New Roman" w:hAnsi="Times New Roman"/>
                <w:sz w:val="26"/>
                <w:szCs w:val="26"/>
              </w:rPr>
              <w:t xml:space="preserve"> осіб, які перебували у статусі безробітного, надано </w:t>
            </w:r>
            <w:r>
              <w:rPr>
                <w:rFonts w:cs="Times New Roman" w:ascii="Times New Roman" w:hAnsi="Times New Roman"/>
                <w:sz w:val="26"/>
                <w:szCs w:val="26"/>
                <w:lang w:val="ru-RU"/>
              </w:rPr>
              <w:t>6 905</w:t>
            </w:r>
            <w:r>
              <w:rPr>
                <w:rFonts w:cs="Times New Roman" w:ascii="Times New Roman" w:hAnsi="Times New Roman"/>
                <w:sz w:val="26"/>
                <w:szCs w:val="26"/>
              </w:rPr>
              <w:t xml:space="preserve"> послуг. Для 5 457 осіб інших категорій (учні, студенти, батьки, працівники освіти, ВПО) надано </w:t>
            </w:r>
            <w:r>
              <w:rPr>
                <w:rFonts w:cs="Times New Roman" w:ascii="Times New Roman" w:hAnsi="Times New Roman"/>
                <w:sz w:val="26"/>
                <w:szCs w:val="26"/>
                <w:lang w:val="ru-RU"/>
              </w:rPr>
              <w:t xml:space="preserve"> </w:t>
            </w:r>
            <w:r>
              <w:rPr>
                <w:rFonts w:cs="Times New Roman" w:ascii="Times New Roman" w:hAnsi="Times New Roman"/>
                <w:sz w:val="26"/>
                <w:szCs w:val="26"/>
              </w:rPr>
              <w:t>4 202 послуг. За вказаний період проведено 32 заходи з професійної орієнтації учнівської молоді.</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Про послуги служби зайнятості, електронні сервіси, актуальні вакансії та переваги офіційної зайнятості фахівці Луцької філії Волинського обласного центру зайнятості інформують внутрішньо переміщених осіб в місцях їх проживання та у центрі зайнятості. У І півріччі проведено 12 заходів для 253</w:t>
            </w:r>
            <w:r>
              <w:rPr>
                <w:rFonts w:cs="Times New Roman" w:ascii="Times New Roman" w:hAnsi="Times New Roman"/>
                <w:b/>
                <w:sz w:val="26"/>
                <w:szCs w:val="26"/>
              </w:rPr>
              <w:t xml:space="preserve"> </w:t>
            </w:r>
            <w:r>
              <w:rPr>
                <w:rFonts w:cs="Times New Roman" w:ascii="Times New Roman" w:hAnsi="Times New Roman"/>
                <w:sz w:val="26"/>
                <w:szCs w:val="26"/>
              </w:rPr>
              <w:t>внутрішньо переміщених осіб.</w:t>
            </w:r>
          </w:p>
          <w:p>
            <w:pPr>
              <w:pStyle w:val="Normal"/>
              <w:widowControl w:val="false"/>
              <w:ind w:firstLine="567"/>
              <w:jc w:val="both"/>
              <w:rPr/>
            </w:pPr>
            <w:r>
              <w:rPr>
                <w:rStyle w:val="14"/>
                <w:rFonts w:ascii="Times New Roman" w:hAnsi="Times New Roman"/>
                <w:i w:val="false"/>
                <w:sz w:val="26"/>
                <w:szCs w:val="26"/>
              </w:rPr>
              <w:t xml:space="preserve">В рамках «Клубу учасників АТО та членів їх сімей» в І півріччі </w:t>
            </w:r>
            <w:r>
              <w:rPr>
                <w:rFonts w:cs="Times New Roman" w:ascii="Times New Roman" w:hAnsi="Times New Roman"/>
                <w:sz w:val="26"/>
                <w:szCs w:val="26"/>
              </w:rPr>
              <w:t>проведено тестування перед направленням їх на здобуття професії «водій» (7 осіб).</w:t>
            </w:r>
          </w:p>
          <w:p>
            <w:pPr>
              <w:pStyle w:val="Normal"/>
              <w:widowControl w:val="false"/>
              <w:ind w:firstLine="567"/>
              <w:jc w:val="both"/>
              <w:rPr/>
            </w:pPr>
            <w:r>
              <w:rPr>
                <w:rFonts w:cs="Times New Roman" w:ascii="Times New Roman" w:hAnsi="Times New Roman"/>
                <w:sz w:val="26"/>
                <w:szCs w:val="26"/>
              </w:rPr>
              <w:t xml:space="preserve">Фахівцями </w:t>
            </w:r>
            <w:r>
              <w:rPr>
                <w:rStyle w:val="Strong"/>
                <w:rFonts w:ascii="Times New Roman" w:hAnsi="Times New Roman"/>
                <w:b w:val="false"/>
                <w:sz w:val="26"/>
                <w:szCs w:val="26"/>
              </w:rPr>
              <w:t>Луцької філії Волинського обласного центру зайнятості</w:t>
            </w:r>
            <w:r>
              <w:rPr>
                <w:rFonts w:cs="Times New Roman" w:ascii="Times New Roman" w:hAnsi="Times New Roman"/>
                <w:b/>
                <w:sz w:val="26"/>
                <w:szCs w:val="26"/>
              </w:rPr>
              <w:t xml:space="preserve"> </w:t>
            </w:r>
            <w:r>
              <w:rPr>
                <w:rFonts w:cs="Times New Roman" w:ascii="Times New Roman" w:hAnsi="Times New Roman"/>
                <w:sz w:val="26"/>
                <w:szCs w:val="26"/>
              </w:rPr>
              <w:t>у травні організовано зустріч із керівником креативної агенції «</w:t>
            </w:r>
            <w:r>
              <w:rPr>
                <w:rFonts w:cs="Times New Roman" w:ascii="Times New Roman" w:hAnsi="Times New Roman"/>
                <w:sz w:val="26"/>
                <w:szCs w:val="26"/>
                <w:lang w:val="en-US"/>
              </w:rPr>
              <w:t>Partyzan</w:t>
            </w:r>
            <w:r>
              <w:rPr>
                <w:rFonts w:cs="Times New Roman" w:ascii="Times New Roman" w:hAnsi="Times New Roman"/>
                <w:sz w:val="26"/>
                <w:szCs w:val="26"/>
              </w:rPr>
              <w:t>» з 40 студентами Луцького ВПУ будівництва та архітектури. У травні у Луцькому національному технічному університеті відбувся Business-Profi-Day.</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Ярмарок кар’єри, проведений в травні у Волинському фаховому коледжі НУХТ в червні 2023 року, об’єднав студентів, освітян, роботодавців, випускників, громадськість. Свою діяльність презентували представники компаній, підприємств міста Луцька. Здобувачі освіти дізнавались про пропозиції роботи, можливості стажування.</w:t>
            </w:r>
          </w:p>
        </w:tc>
      </w:tr>
    </w:tbl>
    <w:p>
      <w:pPr>
        <w:pStyle w:val="Normal"/>
        <w:ind w:firstLine="709"/>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spacing w:lineRule="auto" w:line="360"/>
        <w:ind w:firstLine="709"/>
        <w:jc w:val="center"/>
        <w:rPr>
          <w:rFonts w:ascii="Times New Roman" w:hAnsi="Times New Roman"/>
          <w:sz w:val="26"/>
          <w:szCs w:val="26"/>
        </w:rPr>
      </w:pPr>
      <w:r>
        <w:rPr>
          <w:rFonts w:cs="Times New Roman" w:ascii="Times New Roman" w:hAnsi="Times New Roman"/>
          <w:b/>
          <w:bCs/>
          <w:sz w:val="26"/>
          <w:szCs w:val="26"/>
        </w:rPr>
        <w:t>3.3.5. Підтримка сім’ї та молоді, захист прав дітей</w:t>
      </w:r>
    </w:p>
    <w:tbl>
      <w:tblPr>
        <w:tblW w:w="15390" w:type="dxa"/>
        <w:jc w:val="left"/>
        <w:tblInd w:w="158" w:type="dxa"/>
        <w:tblLayout w:type="fixed"/>
        <w:tblCellMar>
          <w:top w:w="0" w:type="dxa"/>
          <w:left w:w="108" w:type="dxa"/>
          <w:bottom w:w="0" w:type="dxa"/>
          <w:right w:w="108" w:type="dxa"/>
        </w:tblCellMar>
        <w:tblLook w:firstRow="0" w:noVBand="0" w:lastRow="0" w:firstColumn="0" w:lastColumn="0" w:noHBand="0" w:val="0000"/>
      </w:tblPr>
      <w:tblGrid>
        <w:gridCol w:w="657"/>
        <w:gridCol w:w="4107"/>
        <w:gridCol w:w="10626"/>
      </w:tblGrid>
      <w:tr>
        <w:trPr>
          <w:trHeight w:val="615" w:hRule="atLeast"/>
        </w:trPr>
        <w:tc>
          <w:tcPr>
            <w:tcW w:w="65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bCs/>
                <w:sz w:val="26"/>
                <w:szCs w:val="26"/>
              </w:rPr>
              <w:t xml:space="preserve">№ </w:t>
            </w:r>
            <w:r>
              <w:rPr>
                <w:rFonts w:cs="Times New Roman" w:ascii="Times New Roman" w:hAnsi="Times New Roman"/>
                <w:bCs/>
                <w:sz w:val="26"/>
                <w:szCs w:val="26"/>
              </w:rPr>
              <w:t>з/п</w:t>
            </w:r>
          </w:p>
        </w:tc>
        <w:tc>
          <w:tcPr>
            <w:tcW w:w="410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Назва заходів</w:t>
            </w:r>
          </w:p>
        </w:tc>
        <w:tc>
          <w:tcPr>
            <w:tcW w:w="1062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Стан виконання заходів</w:t>
            </w:r>
          </w:p>
        </w:tc>
      </w:tr>
      <w:tr>
        <w:trPr>
          <w:trHeight w:val="4508" w:hRule="atLeast"/>
        </w:trPr>
        <w:tc>
          <w:tcPr>
            <w:tcW w:w="657" w:type="dxa"/>
            <w:tcBorders>
              <w:top w:val="single" w:sz="4" w:space="0" w:color="000000"/>
              <w:left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t>1.</w:t>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t>1.1</w:t>
            </w:r>
          </w:p>
        </w:tc>
        <w:tc>
          <w:tcPr>
            <w:tcW w:w="4107" w:type="dxa"/>
            <w:tcBorders>
              <w:top w:val="single" w:sz="4" w:space="0" w:color="000000"/>
              <w:left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Забезпечення соціальних гарантій дітям-сиротам та дітям, позбавленим батьківського піклування, а саме:</w:t>
            </w:r>
          </w:p>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Надання допомоги у вирішенні питання погашення заборгованості за комунальні послуги у житлі, яке на праві власності належить дітям-сиротам та дітям, позбавленим батьківського піклування, у житлі соціального призначення особам з числа дітей-сиріт та дітей, позбавлених батьківського піклування, у житлі, де проживають діти, які перебувають у складних життєвих обставинах.</w:t>
            </w:r>
          </w:p>
        </w:tc>
        <w:tc>
          <w:tcPr>
            <w:tcW w:w="10626" w:type="dxa"/>
            <w:tcBorders>
              <w:top w:val="single" w:sz="4" w:space="0" w:color="000000"/>
              <w:left w:val="single" w:sz="4" w:space="0" w:color="000000"/>
              <w:right w:val="single" w:sz="4" w:space="0" w:color="000000"/>
            </w:tcBorders>
          </w:tcPr>
          <w:p>
            <w:pPr>
              <w:pStyle w:val="Normal"/>
              <w:widowControl w:val="false"/>
              <w:suppressLineNumbers/>
              <w:ind w:firstLine="567"/>
              <w:jc w:val="both"/>
              <w:rPr>
                <w:rFonts w:ascii="Times New Roman" w:hAnsi="Times New Roman" w:cs="Times New Roman"/>
                <w:sz w:val="26"/>
                <w:szCs w:val="26"/>
              </w:rPr>
            </w:pPr>
            <w:r>
              <w:rPr>
                <w:rFonts w:cs="Times New Roman" w:ascii="Times New Roman" w:hAnsi="Times New Roman"/>
                <w:iCs/>
                <w:kern w:val="0"/>
                <w:sz w:val="26"/>
                <w:szCs w:val="26"/>
              </w:rPr>
              <w:t>У випадку наявності житла у дитини-сироти, дитини, позбавленої батьківського піклування, встановлюється опіка над майном, у разі його відсутності – закріплюється право користування. Піклувальникам рекомендовано ставити дітей на квартирний облік (у разі відсутності житла) після досягнення ними 16-річного віку. В II кварталі 2023 заселено у гуртожиток виконавчого комітету міської ради 1 особу з числа дітей-сиріт.</w:t>
            </w:r>
          </w:p>
        </w:tc>
      </w:tr>
      <w:tr>
        <w:trPr>
          <w:trHeight w:val="288" w:hRule="atLeast"/>
        </w:trPr>
        <w:tc>
          <w:tcPr>
            <w:tcW w:w="65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sz w:val="26"/>
                <w:szCs w:val="26"/>
              </w:rPr>
            </w:pPr>
            <w:r>
              <w:rPr>
                <w:rFonts w:ascii="Times New Roman" w:hAnsi="Times New Roman"/>
                <w:sz w:val="26"/>
                <w:szCs w:val="26"/>
              </w:rPr>
              <w:t>1.2.</w:t>
            </w:r>
          </w:p>
        </w:tc>
        <w:tc>
          <w:tcPr>
            <w:tcW w:w="4107"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Надання допомоги у вирішенні соціально-побутових та матеріальних проблем дітям, які знаходяться у складних життєвих обставинах.</w:t>
            </w:r>
          </w:p>
        </w:tc>
        <w:tc>
          <w:tcPr>
            <w:tcW w:w="10626"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firstLine="567"/>
              <w:jc w:val="both"/>
              <w:rPr>
                <w:rFonts w:ascii="Times New Roman" w:hAnsi="Times New Roman" w:cs="Times New Roman"/>
                <w:sz w:val="26"/>
                <w:szCs w:val="26"/>
              </w:rPr>
            </w:pPr>
            <w:r>
              <w:rPr>
                <w:rFonts w:cs="Times New Roman" w:ascii="Times New Roman" w:hAnsi="Times New Roman"/>
                <w:iCs/>
                <w:kern w:val="0"/>
                <w:sz w:val="26"/>
                <w:szCs w:val="26"/>
              </w:rPr>
              <w:t>Надано матеріальну допомогу 63 дітям, які перебувають у складних життєвих обставинах, на суму 38,4 тис. грн.</w:t>
            </w:r>
          </w:p>
        </w:tc>
      </w:tr>
      <w:tr>
        <w:trPr>
          <w:trHeight w:val="288" w:hRule="atLeast"/>
        </w:trPr>
        <w:tc>
          <w:tcPr>
            <w:tcW w:w="65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sz w:val="26"/>
                <w:szCs w:val="26"/>
              </w:rPr>
            </w:pPr>
            <w:r>
              <w:rPr>
                <w:rFonts w:ascii="Times New Roman" w:hAnsi="Times New Roman"/>
                <w:sz w:val="26"/>
                <w:szCs w:val="26"/>
              </w:rPr>
              <w:t>1.3.</w:t>
            </w:r>
          </w:p>
        </w:tc>
        <w:tc>
          <w:tcPr>
            <w:tcW w:w="4107"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Проведення ремонтних робіт у житлі, яке на праві власності належить дітям-сиротам та дітям, позбавленим батьківського піклування.</w:t>
            </w:r>
          </w:p>
        </w:tc>
        <w:tc>
          <w:tcPr>
            <w:tcW w:w="10626"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firstLine="567"/>
              <w:jc w:val="both"/>
              <w:rPr>
                <w:rFonts w:ascii="Times New Roman" w:hAnsi="Times New Roman" w:cs="Times New Roman"/>
                <w:sz w:val="26"/>
                <w:szCs w:val="26"/>
              </w:rPr>
            </w:pPr>
            <w:r>
              <w:rPr>
                <w:rFonts w:cs="Times New Roman" w:ascii="Times New Roman" w:hAnsi="Times New Roman"/>
                <w:iCs/>
                <w:kern w:val="0"/>
                <w:sz w:val="26"/>
                <w:szCs w:val="26"/>
              </w:rPr>
              <w:t>Ремонтні роботи у I півріччі не проводились.</w:t>
            </w:r>
          </w:p>
        </w:tc>
      </w:tr>
      <w:tr>
        <w:trPr>
          <w:trHeight w:val="288" w:hRule="atLeast"/>
        </w:trPr>
        <w:tc>
          <w:tcPr>
            <w:tcW w:w="65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sz w:val="26"/>
                <w:szCs w:val="26"/>
              </w:rPr>
            </w:pPr>
            <w:r>
              <w:rPr>
                <w:rFonts w:ascii="Times New Roman" w:hAnsi="Times New Roman"/>
                <w:sz w:val="26"/>
                <w:szCs w:val="26"/>
              </w:rPr>
              <w:t>1.4.</w:t>
            </w:r>
          </w:p>
        </w:tc>
        <w:tc>
          <w:tcPr>
            <w:tcW w:w="4107"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Організація заходів до дня Дня захисту дітей, Святого Миколая для дітей-сиріт, дітей позбавлених батьківського піклування, дітей, які перебувають у складних життєвих обставинах.</w:t>
            </w:r>
          </w:p>
        </w:tc>
        <w:tc>
          <w:tcPr>
            <w:tcW w:w="10626"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firstLine="567"/>
              <w:jc w:val="both"/>
              <w:rPr>
                <w:rFonts w:ascii="Times New Roman" w:hAnsi="Times New Roman" w:cs="Times New Roman"/>
                <w:iCs/>
                <w:sz w:val="26"/>
                <w:szCs w:val="26"/>
              </w:rPr>
            </w:pPr>
            <w:r>
              <w:rPr>
                <w:rFonts w:cs="Times New Roman" w:ascii="Times New Roman" w:hAnsi="Times New Roman"/>
                <w:iCs/>
                <w:kern w:val="0"/>
                <w:sz w:val="26"/>
                <w:szCs w:val="26"/>
              </w:rPr>
              <w:t>З нагоди Дня захисту дітей проведено акцію «Творімо добро дітям» з врученням продуктових наборів (100 шт.). До акції були залучені діти, які проживають на території Луцької міської територіальної громади.</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iCs/>
                <w:kern w:val="0"/>
                <w:sz w:val="26"/>
                <w:szCs w:val="26"/>
              </w:rPr>
              <w:t>Волонтерка із Данії, Мар'яна Б'єрг-Саковська неодноразово надсилала з-за кордону засоби гігієни, одяг, взуття, іграшки для дітей (65 осіб), які прибули з тимчасово окупованих територій або з зони бойових дій, та дітей, які перебувають у складних життєвих обставинах.</w:t>
            </w:r>
          </w:p>
        </w:tc>
      </w:tr>
      <w:tr>
        <w:trPr>
          <w:trHeight w:val="288" w:hRule="atLeast"/>
        </w:trPr>
        <w:tc>
          <w:tcPr>
            <w:tcW w:w="65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sz w:val="26"/>
                <w:szCs w:val="26"/>
              </w:rPr>
            </w:pPr>
            <w:r>
              <w:rPr>
                <w:rFonts w:ascii="Times New Roman" w:hAnsi="Times New Roman"/>
                <w:sz w:val="26"/>
                <w:szCs w:val="26"/>
              </w:rPr>
              <w:t>2.</w:t>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t>2.1</w:t>
            </w:r>
          </w:p>
        </w:tc>
        <w:tc>
          <w:tcPr>
            <w:tcW w:w="4107"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Запобігання дитячій бездоглядності та протиправним діям у підлітковому середовищі, а саме:</w:t>
            </w:r>
          </w:p>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Надання юридичної допомоги в оформленні письмової згоди матері (батьків) на усиновлення, засвідченої нотаріусом в установленому порядку, для дітей, яких протягом двох місяців після народження не забрали з пологового будинку або іншого закладу охорони здоров'я.</w:t>
            </w:r>
          </w:p>
        </w:tc>
        <w:tc>
          <w:tcPr>
            <w:tcW w:w="10626"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r>
          </w:p>
          <w:p>
            <w:pPr>
              <w:pStyle w:val="Normal"/>
              <w:widowControl w:val="false"/>
              <w:suppressLineNumbers/>
              <w:tabs>
                <w:tab w:val="clear" w:pos="708"/>
                <w:tab w:val="left" w:pos="556" w:leader="none"/>
                <w:tab w:val="left" w:pos="8222" w:leader="none"/>
              </w:tabs>
              <w:spacing w:before="0" w:after="120"/>
              <w:ind w:firstLine="567"/>
              <w:jc w:val="both"/>
              <w:rPr>
                <w:rFonts w:ascii="Times New Roman" w:hAnsi="Times New Roman" w:cs="Tahoma"/>
                <w:sz w:val="26"/>
                <w:szCs w:val="26"/>
              </w:rPr>
            </w:pPr>
            <w:r>
              <w:rPr>
                <w:rFonts w:cs="Tahoma" w:ascii="Times New Roman" w:hAnsi="Times New Roman"/>
                <w:iCs/>
                <w:kern w:val="0"/>
                <w:sz w:val="26"/>
                <w:szCs w:val="26"/>
              </w:rPr>
              <w:t>У I півріччі 2023 року матері (батьки) дітей не надавали нотаріально засвідчену письмову згоду на усиновлення дітей.</w:t>
            </w:r>
          </w:p>
        </w:tc>
      </w:tr>
      <w:tr>
        <w:trPr>
          <w:trHeight w:val="288" w:hRule="atLeast"/>
        </w:trPr>
        <w:tc>
          <w:tcPr>
            <w:tcW w:w="65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sz w:val="26"/>
                <w:szCs w:val="26"/>
              </w:rPr>
            </w:pPr>
            <w:r>
              <w:rPr>
                <w:rFonts w:ascii="Times New Roman" w:hAnsi="Times New Roman"/>
                <w:sz w:val="26"/>
                <w:szCs w:val="26"/>
              </w:rPr>
              <w:t>2.2</w:t>
            </w:r>
          </w:p>
        </w:tc>
        <w:tc>
          <w:tcPr>
            <w:tcW w:w="4107"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У випадку реальної загрози життю та здоров'ю дітей у сім'ях, які перебувають у складних життєвих обставинах, вилучення дітей із сімей та влаштування їх у заклади соціального захисту, порушення питання про притягнення батьків до адміністративної відповідальності.</w:t>
            </w:r>
          </w:p>
        </w:tc>
        <w:tc>
          <w:tcPr>
            <w:tcW w:w="10626"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Станом  на 30.06.2023 на облік у службу у справах дітей взято 121 дитину, яка перебуває у складних  життєвих обставинах, в т. ч. за категоріями:</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діти, які самовільно залишають місце навчання та проживання – 8;</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діти, які виховуються в сім’ях, у яких батьки або особи, що їх заміняють, ухиляються від виконання батьківських обов'язків – 108;</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діти, щодо яких скоєно насилля – 5.</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Системний та повний облік дітей даної категорії забезпечується роботою ЄІАС «Діти».</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Протягом звітного періоду підготовлено і передано до суду 2 позовні заяви з метою захисту прав та інтересів дітей. Було позбавлено батьківських прав 2 батьків щодо 2 дітей, які перебували на обліку в службі у справах дітей, як такі, що залишились без батьківського піклування.</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Представлено інтереси 41 дитини у суді, з них: 3 – під час розгляду кримінальних справ та 38 – під час розгляду цивільних справ. Направлено 10 справ/матеріалів до Луцького РУП ГУНП у Волинській області для оформлення протоколів за ст. 184 КУпАП (ухилення батьків від виконання своїх обов`язків щодо виховання та  утримання дітей).</w:t>
            </w:r>
          </w:p>
        </w:tc>
      </w:tr>
      <w:tr>
        <w:trPr>
          <w:trHeight w:val="288" w:hRule="atLeast"/>
        </w:trPr>
        <w:tc>
          <w:tcPr>
            <w:tcW w:w="65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sz w:val="26"/>
                <w:szCs w:val="26"/>
              </w:rPr>
            </w:pPr>
            <w:r>
              <w:rPr>
                <w:rFonts w:ascii="Times New Roman" w:hAnsi="Times New Roman"/>
                <w:sz w:val="26"/>
                <w:szCs w:val="26"/>
              </w:rPr>
              <w:t>2.3.</w:t>
            </w:r>
          </w:p>
        </w:tc>
        <w:tc>
          <w:tcPr>
            <w:tcW w:w="4107" w:type="dxa"/>
            <w:tcBorders>
              <w:top w:val="single" w:sz="4" w:space="0" w:color="000000"/>
              <w:left w:val="single" w:sz="4" w:space="0" w:color="000000"/>
              <w:bottom w:val="single" w:sz="4" w:space="0" w:color="000000"/>
            </w:tcBorders>
          </w:tcPr>
          <w:p>
            <w:pPr>
              <w:pStyle w:val="Standard"/>
              <w:widowControl w:val="false"/>
              <w:ind w:firstLine="20"/>
              <w:jc w:val="both"/>
              <w:rPr>
                <w:rFonts w:ascii="Times New Roman" w:hAnsi="Times New Roman"/>
                <w:color w:val="auto"/>
                <w:sz w:val="26"/>
                <w:szCs w:val="26"/>
              </w:rPr>
            </w:pPr>
            <w:r>
              <w:rPr>
                <w:rFonts w:ascii="Times New Roman" w:hAnsi="Times New Roman"/>
                <w:color w:val="auto"/>
                <w:sz w:val="26"/>
                <w:szCs w:val="26"/>
              </w:rPr>
              <w:t>Систематичне проведення заходів (операції “Літо”, “Урок”, ”Канікули” тощо), з метою попередження дитячої бездоглядності, безпритульності та виявлення дорослих осіб, які втягують дітей у жебрацтво та вчинення протиправних дій, своєчасне притягнення цих осіб до відповідальності згідно з чинним законодавством.</w:t>
            </w:r>
          </w:p>
        </w:tc>
        <w:tc>
          <w:tcPr>
            <w:tcW w:w="10626"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rPr>
                <w:rFonts w:ascii="Times New Roman" w:hAnsi="Times New Roman" w:cs="Times New Roman"/>
                <w:sz w:val="26"/>
                <w:szCs w:val="26"/>
              </w:rPr>
            </w:pPr>
            <w:r>
              <w:rPr>
                <w:rFonts w:cs="Times New Roman" w:ascii="Times New Roman" w:hAnsi="Times New Roman"/>
                <w:sz w:val="26"/>
                <w:szCs w:val="26"/>
              </w:rPr>
              <w:t>Протягом звітного періоду було проведено:</w:t>
            </w:r>
          </w:p>
          <w:p>
            <w:pPr>
              <w:pStyle w:val="Normal"/>
              <w:widowControl w:val="false"/>
              <w:ind w:firstLine="567"/>
              <w:rPr>
                <w:rFonts w:ascii="Times New Roman" w:hAnsi="Times New Roman" w:cs="Times New Roman"/>
                <w:sz w:val="26"/>
                <w:szCs w:val="26"/>
              </w:rPr>
            </w:pPr>
            <w:r>
              <w:rPr>
                <w:rFonts w:cs="Times New Roman" w:ascii="Times New Roman" w:hAnsi="Times New Roman"/>
                <w:sz w:val="26"/>
                <w:szCs w:val="26"/>
              </w:rPr>
              <w:t>12 рейдів вулицями населених пунктів громади, в ході яких виявлено 8 дітей, які влаштовані у притулок для дітей ССД Волинської ОДА;</w:t>
            </w:r>
          </w:p>
          <w:p>
            <w:pPr>
              <w:pStyle w:val="Normal"/>
              <w:widowControl w:val="false"/>
              <w:ind w:firstLine="567"/>
              <w:rPr>
                <w:rFonts w:ascii="Times New Roman" w:hAnsi="Times New Roman" w:cs="Times New Roman"/>
                <w:sz w:val="26"/>
                <w:szCs w:val="26"/>
              </w:rPr>
            </w:pPr>
            <w:r>
              <w:rPr>
                <w:rFonts w:cs="Times New Roman" w:ascii="Times New Roman" w:hAnsi="Times New Roman"/>
                <w:sz w:val="26"/>
                <w:szCs w:val="26"/>
              </w:rPr>
              <w:t>74 виховних та попереджувально-виховних заходів;</w:t>
            </w:r>
          </w:p>
          <w:p>
            <w:pPr>
              <w:pStyle w:val="Normal"/>
              <w:widowControl w:val="false"/>
              <w:ind w:firstLine="567"/>
              <w:rPr>
                <w:rFonts w:ascii="Times New Roman" w:hAnsi="Times New Roman" w:cs="Times New Roman"/>
                <w:sz w:val="26"/>
                <w:szCs w:val="26"/>
              </w:rPr>
            </w:pPr>
            <w:r>
              <w:rPr>
                <w:rFonts w:cs="Times New Roman" w:ascii="Times New Roman" w:hAnsi="Times New Roman"/>
                <w:sz w:val="26"/>
                <w:szCs w:val="26"/>
              </w:rPr>
              <w:t>180 індивідуальних профілактичних бесід;</w:t>
            </w:r>
          </w:p>
          <w:p>
            <w:pPr>
              <w:pStyle w:val="Normal"/>
              <w:widowControl w:val="false"/>
              <w:ind w:firstLine="567"/>
              <w:rPr>
                <w:rFonts w:ascii="Times New Roman" w:hAnsi="Times New Roman" w:cs="Times New Roman"/>
                <w:sz w:val="26"/>
                <w:szCs w:val="26"/>
              </w:rPr>
            </w:pPr>
            <w:r>
              <w:rPr>
                <w:rFonts w:cs="Times New Roman" w:ascii="Times New Roman" w:hAnsi="Times New Roman"/>
                <w:sz w:val="26"/>
                <w:szCs w:val="26"/>
              </w:rPr>
              <w:t>548 індивідуальних консультацій.</w:t>
            </w:r>
          </w:p>
        </w:tc>
      </w:tr>
      <w:tr>
        <w:trPr>
          <w:trHeight w:val="288" w:hRule="atLeast"/>
        </w:trPr>
        <w:tc>
          <w:tcPr>
            <w:tcW w:w="65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sz w:val="26"/>
                <w:szCs w:val="26"/>
              </w:rPr>
            </w:pPr>
            <w:r>
              <w:rPr>
                <w:rFonts w:ascii="Times New Roman" w:hAnsi="Times New Roman"/>
                <w:sz w:val="26"/>
                <w:szCs w:val="26"/>
              </w:rPr>
              <w:t>2.4.</w:t>
            </w:r>
          </w:p>
        </w:tc>
        <w:tc>
          <w:tcPr>
            <w:tcW w:w="4107"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Здійснення контролю за охопленням дітей шкільного віку навчанням у загальноосвітніх навчальних закладах, здобуттям загальної середньої освіти. Забезпечення здобуття повної середньої освіти дітьми, які не навчались тривалий час, на базі КЗ ЗСО “Луцький інституційний ліцей № 8”.</w:t>
            </w:r>
          </w:p>
        </w:tc>
        <w:tc>
          <w:tcPr>
            <w:tcW w:w="10626"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tabs>
                <w:tab w:val="clear" w:pos="708"/>
                <w:tab w:val="left" w:pos="556" w:leader="none"/>
                <w:tab w:val="left" w:pos="8222" w:leader="none"/>
              </w:tabs>
              <w:spacing w:before="0" w:after="120"/>
              <w:ind w:firstLine="567"/>
              <w:jc w:val="both"/>
              <w:rPr>
                <w:rFonts w:ascii="Times New Roman" w:hAnsi="Times New Roman"/>
                <w:sz w:val="26"/>
                <w:szCs w:val="26"/>
              </w:rPr>
            </w:pPr>
            <w:r>
              <w:rPr>
                <w:rFonts w:cs="Tahoma" w:ascii="Times New Roman" w:hAnsi="Times New Roman"/>
                <w:iCs/>
                <w:kern w:val="0"/>
                <w:sz w:val="26"/>
                <w:szCs w:val="26"/>
              </w:rPr>
              <w:t>Проведена профілактична робота з батьками дітей, які не були охоплені навчанням з метою забезпечення їх права на здобуття повної загальної середньої освіти, 3 дітей залучено до навчання у КЗ</w:t>
            </w:r>
            <w:r>
              <w:rPr>
                <w:rFonts w:cs="Times New Roman CYR" w:ascii="Times New Roman" w:hAnsi="Times New Roman"/>
                <w:iCs/>
                <w:spacing w:val="10"/>
                <w:kern w:val="0"/>
                <w:sz w:val="26"/>
                <w:szCs w:val="26"/>
              </w:rPr>
              <w:t xml:space="preserve"> </w:t>
            </w:r>
            <w:r>
              <w:rPr>
                <w:rFonts w:cs="Tahoma" w:ascii="Times New Roman" w:hAnsi="Times New Roman"/>
                <w:iCs/>
                <w:kern w:val="0"/>
                <w:sz w:val="26"/>
                <w:szCs w:val="26"/>
              </w:rPr>
              <w:t>ЗСО «Луцький інституційний ліцей № 8».</w:t>
            </w:r>
          </w:p>
        </w:tc>
      </w:tr>
      <w:tr>
        <w:trPr>
          <w:trHeight w:val="288" w:hRule="atLeast"/>
        </w:trPr>
        <w:tc>
          <w:tcPr>
            <w:tcW w:w="65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sz w:val="26"/>
                <w:szCs w:val="26"/>
              </w:rPr>
            </w:pPr>
            <w:r>
              <w:rPr>
                <w:rFonts w:ascii="Times New Roman" w:hAnsi="Times New Roman"/>
                <w:sz w:val="26"/>
                <w:szCs w:val="26"/>
              </w:rPr>
              <w:t>2.5.</w:t>
            </w:r>
          </w:p>
        </w:tc>
        <w:tc>
          <w:tcPr>
            <w:tcW w:w="4107"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Проведення обстеження умов проживання сімей, які опинились у складних життєвих обставинах, з метою запобігання залученню дітей до найгірших форм праці.</w:t>
            </w:r>
          </w:p>
        </w:tc>
        <w:tc>
          <w:tcPr>
            <w:tcW w:w="10626"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tabs>
                <w:tab w:val="clear" w:pos="708"/>
                <w:tab w:val="left" w:pos="556" w:leader="none"/>
                <w:tab w:val="left" w:pos="8222" w:leader="none"/>
              </w:tabs>
              <w:spacing w:before="0" w:after="120"/>
              <w:ind w:firstLine="567"/>
              <w:jc w:val="both"/>
              <w:rPr>
                <w:rFonts w:ascii="Times New Roman" w:hAnsi="Times New Roman" w:cs="Tahoma"/>
                <w:sz w:val="26"/>
                <w:szCs w:val="26"/>
              </w:rPr>
            </w:pPr>
            <w:r>
              <w:rPr>
                <w:rFonts w:cs="Tahoma" w:ascii="Times New Roman" w:hAnsi="Times New Roman"/>
                <w:iCs/>
                <w:kern w:val="0"/>
                <w:sz w:val="26"/>
                <w:szCs w:val="26"/>
              </w:rPr>
              <w:t>Обстежено умови проживання 225 дітей, які проживають у сім'ях, що перебувають у складних життєвих обставинах.</w:t>
            </w:r>
          </w:p>
        </w:tc>
      </w:tr>
      <w:tr>
        <w:trPr>
          <w:trHeight w:val="3220" w:hRule="atLeast"/>
        </w:trPr>
        <w:tc>
          <w:tcPr>
            <w:tcW w:w="657" w:type="dxa"/>
            <w:tcBorders>
              <w:top w:val="single" w:sz="4" w:space="0" w:color="000000"/>
              <w:lef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3.</w:t>
            </w:r>
          </w:p>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r>
          </w:p>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t>3.1.</w:t>
            </w:r>
          </w:p>
        </w:tc>
        <w:tc>
          <w:tcPr>
            <w:tcW w:w="4107" w:type="dxa"/>
            <w:tcBorders>
              <w:top w:val="single" w:sz="4" w:space="0" w:color="000000"/>
              <w:left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Соціально-правовий захист інтересів дітей в умовах воєнного стану, а саме:</w:t>
            </w:r>
          </w:p>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Визначення причин втрати дитиною батьківського піклування під час війни і внаслідок війни, документування відсутності батьківського піклування, надання дитині статусу або сироти, або позбавленої батьківського піклування, та влаштування їх до сімейних форм виховання.</w:t>
            </w:r>
          </w:p>
        </w:tc>
        <w:tc>
          <w:tcPr>
            <w:tcW w:w="10626" w:type="dxa"/>
            <w:tcBorders>
              <w:top w:val="single" w:sz="4" w:space="0" w:color="000000"/>
              <w:left w:val="single" w:sz="4" w:space="0" w:color="000000"/>
              <w:right w:val="single" w:sz="4" w:space="0" w:color="000000"/>
            </w:tcBorders>
          </w:tcPr>
          <w:p>
            <w:pPr>
              <w:pStyle w:val="Normal"/>
              <w:widowControl w:val="false"/>
              <w:suppressLineNumbers/>
              <w:tabs>
                <w:tab w:val="clear" w:pos="708"/>
                <w:tab w:val="left" w:pos="556" w:leader="none"/>
                <w:tab w:val="left" w:pos="8222" w:leader="none"/>
              </w:tabs>
              <w:ind w:firstLine="567"/>
              <w:jc w:val="both"/>
              <w:rPr>
                <w:rFonts w:ascii="Times New Roman" w:hAnsi="Times New Roman" w:cs="Tahoma"/>
                <w:iCs/>
                <w:sz w:val="26"/>
                <w:szCs w:val="26"/>
              </w:rPr>
            </w:pPr>
            <w:r>
              <w:rPr>
                <w:rFonts w:cs="Tahoma" w:ascii="Times New Roman" w:hAnsi="Times New Roman"/>
                <w:iCs/>
                <w:kern w:val="0"/>
                <w:sz w:val="26"/>
                <w:szCs w:val="26"/>
              </w:rPr>
              <w:t>Службою у справах дітей ведеться облік переміщених під час війни дітей-сиріт та дітей, позбавлених батьківського піклування (виїзд за кордон, місце перебування за  кордоном, постановка на консульський облік,  повернення в Україну).</w:t>
            </w:r>
          </w:p>
          <w:p>
            <w:pPr>
              <w:pStyle w:val="Normal"/>
              <w:widowControl w:val="false"/>
              <w:suppressLineNumbers/>
              <w:tabs>
                <w:tab w:val="clear" w:pos="708"/>
                <w:tab w:val="left" w:pos="556" w:leader="none"/>
                <w:tab w:val="left" w:pos="8222" w:leader="none"/>
              </w:tabs>
              <w:ind w:firstLine="567"/>
              <w:jc w:val="both"/>
              <w:rPr>
                <w:rFonts w:ascii="Times New Roman" w:hAnsi="Times New Roman"/>
                <w:sz w:val="26"/>
                <w:szCs w:val="26"/>
              </w:rPr>
            </w:pPr>
            <w:r>
              <w:rPr>
                <w:rFonts w:cs="Tahoma" w:ascii="Times New Roman" w:hAnsi="Times New Roman"/>
                <w:iCs/>
                <w:kern w:val="0"/>
                <w:sz w:val="26"/>
                <w:szCs w:val="26"/>
              </w:rPr>
              <w:t>На обліку перебуває 50 внутрішньо переміщених дітей, з них 20 </w:t>
            </w:r>
            <w:r>
              <w:rPr>
                <w:rFonts w:cs="Times New Roman" w:ascii="Times New Roman" w:hAnsi="Times New Roman"/>
                <w:iCs/>
                <w:kern w:val="0"/>
                <w:sz w:val="26"/>
                <w:szCs w:val="26"/>
              </w:rPr>
              <w:t>– </w:t>
            </w:r>
            <w:r>
              <w:rPr>
                <w:rFonts w:cs="Tahoma" w:ascii="Times New Roman" w:hAnsi="Times New Roman"/>
                <w:iCs/>
                <w:kern w:val="0"/>
                <w:sz w:val="26"/>
                <w:szCs w:val="26"/>
              </w:rPr>
              <w:t>дітей-сиріт і дітей, позбавлених батьківського піклування; 14 дітям надано статус дітей, постраждалих внаслідок воєнних дій і збройних конфліктів.</w:t>
            </w:r>
          </w:p>
        </w:tc>
      </w:tr>
      <w:tr>
        <w:trPr>
          <w:trHeight w:val="288" w:hRule="atLeast"/>
        </w:trPr>
        <w:tc>
          <w:tcPr>
            <w:tcW w:w="65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sz w:val="26"/>
                <w:szCs w:val="26"/>
              </w:rPr>
            </w:pPr>
            <w:r>
              <w:rPr>
                <w:rFonts w:ascii="Times New Roman" w:hAnsi="Times New Roman"/>
                <w:sz w:val="26"/>
                <w:szCs w:val="26"/>
              </w:rPr>
              <w:t>3.2.</w:t>
            </w:r>
          </w:p>
        </w:tc>
        <w:tc>
          <w:tcPr>
            <w:tcW w:w="4107"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Інформаційна консультація та допомога в оформленні дозволів на вивезення дітей за кордон.</w:t>
            </w:r>
          </w:p>
        </w:tc>
        <w:tc>
          <w:tcPr>
            <w:tcW w:w="10626"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tabs>
                <w:tab w:val="clear" w:pos="708"/>
                <w:tab w:val="left" w:pos="556" w:leader="none"/>
                <w:tab w:val="left" w:pos="8222" w:leader="none"/>
              </w:tabs>
              <w:ind w:firstLine="567"/>
              <w:jc w:val="both"/>
              <w:rPr>
                <w:rFonts w:ascii="Times New Roman" w:hAnsi="Times New Roman"/>
                <w:sz w:val="26"/>
                <w:szCs w:val="26"/>
              </w:rPr>
            </w:pPr>
            <w:r>
              <w:rPr>
                <w:rFonts w:cs="Tahoma" w:ascii="Times New Roman" w:hAnsi="Times New Roman"/>
                <w:iCs/>
                <w:kern w:val="0"/>
                <w:sz w:val="26"/>
                <w:szCs w:val="26"/>
              </w:rPr>
              <w:t>Проведено 548 індивідуальних консультацій та надано 548 дозволів на виїзд дітей за межі України в умовах воєнного стану у супроводі законних представників або  уповноважених ними осіб.</w:t>
            </w:r>
          </w:p>
        </w:tc>
      </w:tr>
      <w:tr>
        <w:trPr>
          <w:trHeight w:val="288" w:hRule="atLeast"/>
        </w:trPr>
        <w:tc>
          <w:tcPr>
            <w:tcW w:w="65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4.</w:t>
            </w:r>
          </w:p>
        </w:tc>
        <w:tc>
          <w:tcPr>
            <w:tcW w:w="4107"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Підтримка ініціатив громадських організацій щодо реалізації молодіжної політики.</w:t>
            </w:r>
          </w:p>
        </w:tc>
        <w:tc>
          <w:tcPr>
            <w:tcW w:w="10626"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bCs/>
                <w:spacing w:val="-4"/>
                <w:sz w:val="26"/>
                <w:szCs w:val="26"/>
              </w:rPr>
            </w:pPr>
            <w:r>
              <w:rPr>
                <w:rFonts w:cs="Times New Roman" w:ascii="Times New Roman" w:hAnsi="Times New Roman"/>
                <w:bCs/>
                <w:spacing w:val="-4"/>
                <w:sz w:val="26"/>
                <w:szCs w:val="26"/>
                <w:shd w:fill="FFFFFF" w:val="clear"/>
              </w:rPr>
              <w:t>Спільно з громадськими організаціями у звітному періоді було проведено: творчі майстер-класи «Зустрічай весну!», «Великоднє диво» та «Європейська весна»; дводенний мистецький захід «ФРІ-вікенд»; змагання з LEGO робототехніки серед підлітків.</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bCs/>
                <w:spacing w:val="-4"/>
                <w:sz w:val="26"/>
                <w:szCs w:val="26"/>
                <w:shd w:fill="FFFFFF" w:val="clear"/>
              </w:rPr>
              <w:t>КЗ «Луцький міський молодіжний центр» постійно долучається до «Благодійних ярмарків», а також спільно з громадськими організаціями проводив відзначення та вшанування визначних дат української історії. Молодіжний центр надає безкоштовне приміщення для проведення заходів та ініціатив молоді, а також менторську підтримку.</w:t>
            </w:r>
          </w:p>
        </w:tc>
      </w:tr>
      <w:tr>
        <w:trPr>
          <w:trHeight w:val="288" w:hRule="atLeast"/>
        </w:trPr>
        <w:tc>
          <w:tcPr>
            <w:tcW w:w="65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5.</w:t>
            </w:r>
          </w:p>
        </w:tc>
        <w:tc>
          <w:tcPr>
            <w:tcW w:w="4107"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Проведення заходів, спрямованих на формування національної свідомості та патріотизму, поваги до історичного минулого та героїзму українського народу та його воїнів.</w:t>
            </w:r>
          </w:p>
        </w:tc>
        <w:tc>
          <w:tcPr>
            <w:tcW w:w="10626"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У травні було проведено зустріч-реквієм «Sürgünlik», приурочену до річниці депортації кримських татар (круглий стіл та перегляд тематичного документального фільму).</w:t>
            </w:r>
          </w:p>
          <w:p>
            <w:pPr>
              <w:pStyle w:val="Normal"/>
              <w:widowControl w:val="false"/>
              <w:ind w:firstLine="567"/>
              <w:jc w:val="both"/>
              <w:rPr>
                <w:rFonts w:ascii="Times New Roman" w:hAnsi="Times New Roman"/>
                <w:sz w:val="26"/>
                <w:szCs w:val="26"/>
              </w:rPr>
            </w:pPr>
            <w:r>
              <w:rPr>
                <w:rFonts w:ascii="Times New Roman" w:hAnsi="Times New Roman"/>
                <w:sz w:val="26"/>
                <w:szCs w:val="26"/>
              </w:rPr>
              <w:t>КЗ «Луцький міський молодіжний центр» організував та провів більше 280 заходів на загальну суму 130,1 тис. грн (в т. ч. 77,1 тис. грн за рахунок БФ Ігоря Палиці «Тільки разом»): акція «Ланцюг єднання» до Дня Соборності Ук</w:t>
            </w:r>
            <w:r>
              <w:rPr>
                <w:rFonts w:cs="Times New Roman" w:ascii="Times New Roman" w:hAnsi="Times New Roman"/>
                <w:bCs/>
                <w:spacing w:val="-4"/>
                <w:sz w:val="26"/>
                <w:szCs w:val="26"/>
                <w:shd w:fill="FFFFFF" w:val="clear"/>
              </w:rPr>
              <w:t>раїни; показ фільму «Крути 1918»;  вшанування пам’яті Героїв Небесної Сотні; «Військові вишколи для молоді», «Підлітки в умовах війни» (навчання з питань інформаційної безпеки, творчі та інтелектуальні вправи, зниження тривожності, національно-патріотичне виховання), навчання «Фінансова грамотність для школярів», «Курси самооборони цивільного населення», «Арт-терапія» (психологічні знання), «Інтерв’ю в укритті» (ютуб-канал), «Квести» (сімейні та дитячі). КЗ «Луцький міський молодіжний центр» успішно залучив молодь до національно-патріотичного проєкту «Просто посиденьки» шляхом організації вечорів творчості та мистецтва, а також акустичних вечорів.</w:t>
            </w:r>
          </w:p>
        </w:tc>
      </w:tr>
      <w:tr>
        <w:trPr>
          <w:trHeight w:val="288" w:hRule="atLeast"/>
        </w:trPr>
        <w:tc>
          <w:tcPr>
            <w:tcW w:w="65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6.</w:t>
            </w:r>
          </w:p>
        </w:tc>
        <w:tc>
          <w:tcPr>
            <w:tcW w:w="4107"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Здійснення заходів спрямованих на посилення гендерної рівності, підвищення обізнаності молоді з гендерної тематики.</w:t>
            </w:r>
          </w:p>
        </w:tc>
        <w:tc>
          <w:tcPr>
            <w:tcW w:w="10626" w:type="dxa"/>
            <w:tcBorders>
              <w:top w:val="single" w:sz="4" w:space="0" w:color="000000"/>
              <w:left w:val="single" w:sz="4" w:space="0" w:color="000000"/>
              <w:bottom w:val="single" w:sz="4" w:space="0" w:color="000000"/>
              <w:right w:val="single" w:sz="4" w:space="0" w:color="000000"/>
            </w:tcBorders>
          </w:tcPr>
          <w:p>
            <w:pPr>
              <w:pStyle w:val="Standard"/>
              <w:widowControl w:val="false"/>
              <w:tabs>
                <w:tab w:val="clear" w:pos="708"/>
                <w:tab w:val="left" w:pos="540" w:leader="none"/>
              </w:tabs>
              <w:ind w:firstLine="567"/>
              <w:jc w:val="both"/>
              <w:rPr>
                <w:rFonts w:ascii="Times New Roman" w:hAnsi="Times New Roman" w:cs="Times New Roman"/>
                <w:bCs/>
                <w:spacing w:val="-4"/>
                <w:sz w:val="26"/>
                <w:szCs w:val="26"/>
              </w:rPr>
            </w:pPr>
            <w:r>
              <w:rPr>
                <w:rFonts w:cs="Times New Roman" w:ascii="Times New Roman" w:hAnsi="Times New Roman"/>
                <w:bCs/>
                <w:spacing w:val="-4"/>
                <w:sz w:val="26"/>
                <w:szCs w:val="26"/>
                <w:shd w:fill="FFFFFF" w:val="clear"/>
              </w:rPr>
              <w:t>Проведено круглий стіл з питань налагодження партнерств щодо реалізації гендерної політики.</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bCs/>
                <w:spacing w:val="-4"/>
                <w:sz w:val="26"/>
                <w:szCs w:val="26"/>
                <w:shd w:fill="FFFFFF" w:val="clear"/>
              </w:rPr>
              <w:t>КЗ «Луцький міський молодіжний центр» проведено ряд заходів у рамках проєкту «Мотиваційні зустрічі з молоддю».</w:t>
            </w:r>
          </w:p>
        </w:tc>
      </w:tr>
      <w:tr>
        <w:trPr>
          <w:trHeight w:val="288" w:hRule="atLeast"/>
        </w:trPr>
        <w:tc>
          <w:tcPr>
            <w:tcW w:w="65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7.</w:t>
            </w:r>
          </w:p>
        </w:tc>
        <w:tc>
          <w:tcPr>
            <w:tcW w:w="4107"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Проведення заходів, спрямованих на популяризацію здорового способу життя серед молоді, протидію негативним проявам у молодіжному середовищі.</w:t>
            </w:r>
          </w:p>
        </w:tc>
        <w:tc>
          <w:tcPr>
            <w:tcW w:w="10626" w:type="dxa"/>
            <w:tcBorders>
              <w:top w:val="single" w:sz="4" w:space="0" w:color="000000"/>
              <w:left w:val="single" w:sz="4" w:space="0" w:color="000000"/>
              <w:bottom w:val="single" w:sz="4" w:space="0" w:color="000000"/>
              <w:right w:val="single" w:sz="4" w:space="0" w:color="000000"/>
            </w:tcBorders>
          </w:tcPr>
          <w:p>
            <w:pPr>
              <w:pStyle w:val="Standard"/>
              <w:widowControl w:val="false"/>
              <w:tabs>
                <w:tab w:val="clear" w:pos="708"/>
                <w:tab w:val="left" w:pos="540" w:leader="none"/>
              </w:tabs>
              <w:ind w:firstLine="567"/>
              <w:jc w:val="both"/>
              <w:rPr>
                <w:rFonts w:ascii="Times New Roman" w:hAnsi="Times New Roman" w:cs="Times New Roman"/>
                <w:sz w:val="26"/>
                <w:szCs w:val="26"/>
              </w:rPr>
            </w:pPr>
            <w:r>
              <w:rPr>
                <w:rFonts w:cs="Times New Roman" w:ascii="Times New Roman" w:hAnsi="Times New Roman"/>
                <w:sz w:val="26"/>
                <w:szCs w:val="26"/>
                <w:shd w:fill="FFFFFF" w:val="clear"/>
              </w:rPr>
              <w:t>Спільно із партнерами проведено 2 рейди із нейтралізації наркотичної реклами на фасадах будівель. Проведено семінар «Не буває маленького насильства», під час якого зосереджено увагу на висвітленні інформації щодо домашнього насильства та боротьби з наркоманією та алкоголізмом. Проведено фотоконкурс «Моя формула здоров'я». Реалізовано масштабний проєкт «Інтелектуальна гра «Зебра»», участь у якому взяли всі ЗЗСО громади (спрямування проєкту – безпека на дорозі). Триває проєкт сексуального просвітництва для молоді «Обережно. Секс», в рамках якого постійно запрошуються експерти з питань репродуктивного здоров’я, безпеки, психології, правопорядку (відбулося 4 таких заходи).</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bCs/>
                <w:spacing w:val="-4"/>
                <w:sz w:val="26"/>
                <w:szCs w:val="26"/>
                <w:shd w:fill="FFFFFF" w:val="clear"/>
              </w:rPr>
              <w:t>КЗ «Луцький міський молодіжний центр» організував «Біговий клуб з фізичною підготовкою» (позитивний вплив на молодь, сприяння фізичному здоров'ю та загальному благополуччю, заняттям спортом, розвитку витривалості та дисципліни, формуванню командного духу та підтримці соціальних зв'язків). Курси «Самооборона цивільного населення» позитивно впливають на молодь, надаючи їм необхідні навички самозахисту та підвищуючи їх почуття безпеки. Спортивна ініціатива «Паркур» сприяє фізичному здоров'ю та загартовуванню молоді, розвитку ментальних навичок, таких як концентрація, стратегічне мислення та рішучість.</w:t>
            </w:r>
          </w:p>
        </w:tc>
      </w:tr>
      <w:tr>
        <w:trPr>
          <w:trHeight w:val="288" w:hRule="atLeast"/>
        </w:trPr>
        <w:tc>
          <w:tcPr>
            <w:tcW w:w="65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8.</w:t>
            </w:r>
          </w:p>
        </w:tc>
        <w:tc>
          <w:tcPr>
            <w:tcW w:w="4107"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Організація та проведення заходів, спрямованих на творчий та інтелектуальний розвиток молоді (в т. ч. заходи неформальної освіти).</w:t>
            </w:r>
          </w:p>
        </w:tc>
        <w:tc>
          <w:tcPr>
            <w:tcW w:w="10626" w:type="dxa"/>
            <w:tcBorders>
              <w:top w:val="single" w:sz="4" w:space="0" w:color="000000"/>
              <w:left w:val="single" w:sz="4" w:space="0" w:color="000000"/>
              <w:bottom w:val="single" w:sz="4" w:space="0" w:color="000000"/>
              <w:right w:val="single" w:sz="4" w:space="0" w:color="000000"/>
            </w:tcBorders>
          </w:tcPr>
          <w:p>
            <w:pPr>
              <w:pStyle w:val="Standard"/>
              <w:widowControl w:val="false"/>
              <w:tabs>
                <w:tab w:val="clear" w:pos="708"/>
                <w:tab w:val="left" w:pos="540" w:leader="none"/>
              </w:tabs>
              <w:ind w:firstLine="567"/>
              <w:jc w:val="both"/>
              <w:rPr>
                <w:rFonts w:ascii="Times New Roman" w:hAnsi="Times New Roman" w:cs="Times New Roman"/>
                <w:sz w:val="26"/>
                <w:szCs w:val="26"/>
              </w:rPr>
            </w:pPr>
            <w:r>
              <w:rPr>
                <w:rFonts w:cs="Times New Roman" w:ascii="Times New Roman" w:hAnsi="Times New Roman"/>
                <w:sz w:val="26"/>
                <w:szCs w:val="26"/>
                <w:shd w:fill="FFFFFF" w:val="clear"/>
              </w:rPr>
              <w:t>Проведено «Цикл імпрез Moleskine: територія творчих» (участь у проєкті беруть талановиті молоді люди). На постійній основі підтримується проєкт «Mind Game» (нова версія традиційної гри брейн-ринг). Організовано та проведено серію заходів «Експерти на зв’язку» (три виїзди у 2023 році). В рамках проєкту організовано зустрічі із молоддю у селах та селищах громади на теми патріотичного виховання, неформальної освіти, лідерства, волонтерства, екології тощо.</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bCs/>
                <w:spacing w:val="-4"/>
                <w:sz w:val="26"/>
                <w:szCs w:val="26"/>
                <w:shd w:fill="FFFFFF" w:val="clear"/>
              </w:rPr>
              <w:t>КЗ «Луцький міський молодіжний центр» організував заняття «Підлітки в умовах війни» (інформаційна безпека, інтелектуальні та творчі вправи, зниження тривожності, національно-патріотичне виховання); клуб «Арт-терапія» забезпечує молодь можливістю розвивати свої творчі та інтелектуальні здібності через участь у заходах неформальної освіти, що сприяє їхньому особистісному зростанню та самовираженню. Ці заходи надають молоді простір для вираження своїх ідей, розвитку творчого мислення та сприяють стимулюванню креативності у молодіжному середовищі. Здійснено успішну серію інтелектуальних патріотичних квізів у школах Луцька, заохочуючи до пізнання національної історії та культури.</w:t>
            </w:r>
          </w:p>
        </w:tc>
      </w:tr>
      <w:tr>
        <w:trPr>
          <w:trHeight w:val="288" w:hRule="atLeast"/>
        </w:trPr>
        <w:tc>
          <w:tcPr>
            <w:tcW w:w="657"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9.</w:t>
            </w:r>
          </w:p>
        </w:tc>
        <w:tc>
          <w:tcPr>
            <w:tcW w:w="4107" w:type="dxa"/>
            <w:tcBorders>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Проведення заходів, спрямованих на розвиток молодіжного підприємництва та зайнятості молоді.</w:t>
            </w:r>
          </w:p>
        </w:tc>
        <w:tc>
          <w:tcPr>
            <w:tcW w:w="10626" w:type="dxa"/>
            <w:tcBorders>
              <w:left w:val="single" w:sz="4" w:space="0" w:color="000000"/>
              <w:bottom w:val="single" w:sz="4" w:space="0" w:color="000000"/>
              <w:right w:val="single" w:sz="4" w:space="0" w:color="000000"/>
            </w:tcBorders>
          </w:tcPr>
          <w:p>
            <w:pPr>
              <w:pStyle w:val="Standard"/>
              <w:widowControl w:val="false"/>
              <w:tabs>
                <w:tab w:val="clear" w:pos="708"/>
                <w:tab w:val="left" w:pos="540" w:leader="none"/>
              </w:tabs>
              <w:ind w:firstLine="567"/>
              <w:jc w:val="both"/>
              <w:rPr>
                <w:rFonts w:ascii="Times New Roman" w:hAnsi="Times New Roman" w:cs="Times New Roman"/>
                <w:sz w:val="26"/>
                <w:szCs w:val="26"/>
              </w:rPr>
            </w:pPr>
            <w:r>
              <w:rPr>
                <w:rFonts w:cs="Times New Roman" w:ascii="Times New Roman" w:hAnsi="Times New Roman"/>
                <w:sz w:val="26"/>
                <w:szCs w:val="26"/>
                <w:shd w:fill="FFFFFF" w:val="clear"/>
              </w:rPr>
              <w:t>Організовано та проведено StartUpBranches special session January 2023 (Хакатон на тему циркулярної економіки) серед молодих людей.</w:t>
            </w:r>
          </w:p>
          <w:p>
            <w:pPr>
              <w:pStyle w:val="Normal"/>
              <w:widowControl w:val="false"/>
              <w:ind w:firstLine="567"/>
              <w:jc w:val="both"/>
              <w:rPr>
                <w:rFonts w:ascii="Times New Roman" w:hAnsi="Times New Roman"/>
                <w:sz w:val="26"/>
                <w:szCs w:val="26"/>
              </w:rPr>
            </w:pPr>
            <w:r>
              <w:rPr>
                <w:rFonts w:cs="Times New Roman" w:ascii="Times New Roman" w:hAnsi="Times New Roman"/>
                <w:bCs/>
                <w:spacing w:val="-4"/>
                <w:sz w:val="26"/>
                <w:szCs w:val="26"/>
                <w:shd w:fill="FFFFFF" w:val="clear"/>
              </w:rPr>
              <w:t>КЗ «Луцький міський молодіжний центр» успішно організував навчання з фінансової грамотності для школярів, в результаті якого 80 викладачів Луцької міської територіальної громади були підготовлені та навчені в ігровій формі, що увійшло в ресурсну базу для навчання тисяч учнів.</w:t>
            </w:r>
          </w:p>
        </w:tc>
      </w:tr>
      <w:tr>
        <w:trPr>
          <w:trHeight w:val="288" w:hRule="atLeast"/>
        </w:trPr>
        <w:tc>
          <w:tcPr>
            <w:tcW w:w="657"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10.</w:t>
            </w:r>
          </w:p>
        </w:tc>
        <w:tc>
          <w:tcPr>
            <w:tcW w:w="4107" w:type="dxa"/>
            <w:tcBorders>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Проведення заходів, спрямованих на розвиток волонтерського руху, в т. ч. у сфері допомоги ЗСУ, ТРО, ВПО.</w:t>
            </w:r>
          </w:p>
        </w:tc>
        <w:tc>
          <w:tcPr>
            <w:tcW w:w="10626" w:type="dxa"/>
            <w:tcBorders>
              <w:left w:val="single" w:sz="4" w:space="0" w:color="000000"/>
              <w:bottom w:val="single" w:sz="4" w:space="0" w:color="000000"/>
              <w:right w:val="single" w:sz="4" w:space="0" w:color="000000"/>
            </w:tcBorders>
          </w:tcPr>
          <w:p>
            <w:pPr>
              <w:pStyle w:val="Standard"/>
              <w:widowControl w:val="false"/>
              <w:tabs>
                <w:tab w:val="clear" w:pos="708"/>
                <w:tab w:val="left" w:pos="540" w:leader="none"/>
              </w:tabs>
              <w:ind w:firstLine="567"/>
              <w:jc w:val="both"/>
              <w:rPr>
                <w:rFonts w:ascii="Times New Roman" w:hAnsi="Times New Roman" w:cs="Times New Roman"/>
                <w:sz w:val="26"/>
                <w:szCs w:val="26"/>
              </w:rPr>
            </w:pPr>
            <w:r>
              <w:rPr>
                <w:rFonts w:cs="Times New Roman" w:ascii="Times New Roman" w:hAnsi="Times New Roman"/>
                <w:sz w:val="26"/>
                <w:szCs w:val="26"/>
                <w:shd w:fill="FFFFFF" w:val="clear"/>
              </w:rPr>
              <w:t>Спільно із партнерами проведено 4 благодійні ярмарки. Кошти спрямовані благодійному фонду «Фонд громади міста Херсон «Захист» та на Військову пошту (благодійний великодній ярмарок). Також проведено благодійний фотодень в Луцькій Венеції. Організовано та проведено заходи, що сприяють популяризації волонтерського руху: цикл зустрічей «Волонтери. Відомі та невідомі історії» (три зустрічі); триденний майстер-клас з пластилінової анімації із подальшим виготовленням та розповсюдженням анімаційного ролику на тему волонтерства «Волонтери: примножуємо добро».</w:t>
            </w:r>
          </w:p>
          <w:p>
            <w:pPr>
              <w:pStyle w:val="Normal"/>
              <w:widowControl w:val="false"/>
              <w:ind w:firstLine="567"/>
              <w:jc w:val="both"/>
              <w:rPr>
                <w:rFonts w:ascii="Times New Roman" w:hAnsi="Times New Roman"/>
                <w:sz w:val="26"/>
                <w:szCs w:val="26"/>
              </w:rPr>
            </w:pPr>
            <w:r>
              <w:rPr>
                <w:rFonts w:cs="Times New Roman" w:ascii="Times New Roman" w:hAnsi="Times New Roman"/>
                <w:bCs/>
                <w:spacing w:val="-6"/>
                <w:sz w:val="26"/>
                <w:szCs w:val="26"/>
                <w:shd w:fill="FFFFFF" w:val="clear"/>
              </w:rPr>
              <w:t>КЗ «Луцький міський молодіжний центр» активно приєднався до проведення двох масштабних  благодійних ярмарків, успішно залучивши молодь до цієї надзвичайно важливої ініціативи.</w:t>
            </w:r>
          </w:p>
        </w:tc>
      </w:tr>
      <w:tr>
        <w:trPr>
          <w:trHeight w:val="288" w:hRule="atLeast"/>
        </w:trPr>
        <w:tc>
          <w:tcPr>
            <w:tcW w:w="657"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11.</w:t>
            </w:r>
          </w:p>
        </w:tc>
        <w:tc>
          <w:tcPr>
            <w:tcW w:w="4107" w:type="dxa"/>
            <w:tcBorders>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Проведення оцінки потреб осіб/сімей, які належать до вразливих груп населення та/або перебувають у складних життєвих обставинах, у соціальних послугах та забезпечення надання комплексу інтегрованих соціальних послуг на основі адресного підходу.</w:t>
            </w:r>
          </w:p>
        </w:tc>
        <w:tc>
          <w:tcPr>
            <w:tcW w:w="10626"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Станом на 01.07.2023 року на обліку в управлінні соціальних служб для сім’ї, дітей та молоді перебувало 262 сім’ї (в них – 617 дітей), які опинилися в складних життєвих обставинах.</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Протягом звітного періоду соціальною роботою охоплено 11 660 сімей, що потребують особливої соціальної підтримки, в яких виховується 26 712 дітей. Здійснено 734 оцінки потреб дітей та їх сімей. Під соціальним супроводом перебувало 5 сімей/осіб, в яких виховується 12 дітей.</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У межах соціальної роботи спеціалісти управління надавали базові соціальні послуги, а саме: соціальної адаптації, соціальної інтеграції та реінтеграції, екстреного (кризового) втручання, консультування, соціального супроводу, представництва інтересів, посередництва (медіації), соціальної профілактики, натуральної допомоги та інформування.</w:t>
            </w:r>
          </w:p>
        </w:tc>
      </w:tr>
      <w:tr>
        <w:trPr>
          <w:trHeight w:val="288" w:hRule="atLeast"/>
        </w:trPr>
        <w:tc>
          <w:tcPr>
            <w:tcW w:w="657"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12.</w:t>
            </w:r>
          </w:p>
        </w:tc>
        <w:tc>
          <w:tcPr>
            <w:tcW w:w="4107" w:type="dxa"/>
            <w:tcBorders>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Співпраця з громадськими організаціями, благодійними фондами, представниками бізнесу для надання своєчасної та професійної допомоги сім’ям, що опинилися в складних життєвих обставинах, яка спрямована на швидкий вихід із кризи та подолання складних життєвих обставин.</w:t>
            </w:r>
          </w:p>
        </w:tc>
        <w:tc>
          <w:tcPr>
            <w:tcW w:w="10626"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Управлінням соціальних служб для сім’ї, дітей та молоді налагоджено взаємодію та партнерство з благодійними фондами, об’єднаннями громадян та представниками соціально відповідального бізнесу з метою надання комплексних соціальних послуг сім’ям, які опинились в складних життєвих обставинах, проведення благодійних заходів.</w:t>
            </w:r>
          </w:p>
          <w:p>
            <w:pPr>
              <w:pStyle w:val="Normal"/>
              <w:widowControl w:val="false"/>
              <w:ind w:firstLine="567"/>
              <w:jc w:val="both"/>
              <w:rPr/>
            </w:pPr>
            <w:r>
              <w:rPr>
                <w:rFonts w:cs="Times New Roman" w:ascii="Times New Roman" w:hAnsi="Times New Roman"/>
                <w:sz w:val="26"/>
                <w:szCs w:val="26"/>
              </w:rPr>
              <w:t>Також налагоджена співпраця з громадськими організаціями, благодійними фондами (українськими та міжнародними), представниками соціально відповідального бізнесу, волонтерами для надання своєчасної та професійної допомоги сім’ям з дітьми в умовах воєнного стану. Зокрема допомогу від: ГО «</w:t>
            </w:r>
            <w:hyperlink r:id="rId13">
              <w:r>
                <w:rPr>
                  <w:rFonts w:cs="Times New Roman" w:ascii="Times New Roman" w:hAnsi="Times New Roman"/>
                  <w:sz w:val="26"/>
                  <w:szCs w:val="26"/>
                </w:rPr>
                <w:t>Medicine in action</w:t>
              </w:r>
            </w:hyperlink>
            <w:r>
              <w:rPr>
                <w:rFonts w:cs="Times New Roman" w:ascii="Times New Roman" w:hAnsi="Times New Roman"/>
                <w:sz w:val="26"/>
                <w:szCs w:val="26"/>
              </w:rPr>
              <w:t xml:space="preserve">» (Медицина в дії) – 1 312 продуктових та 864 гігієнічних набори, ВОБФ «Дитяча місія. Україна», </w:t>
            </w:r>
            <w:hyperlink r:id="rId14">
              <w:r>
                <w:rPr>
                  <w:rFonts w:cs="Times New Roman" w:ascii="Times New Roman" w:hAnsi="Times New Roman"/>
                  <w:sz w:val="26"/>
                  <w:szCs w:val="26"/>
                </w:rPr>
                <w:t>UNICEF</w:t>
              </w:r>
            </w:hyperlink>
            <w:r>
              <w:rPr>
                <w:rFonts w:cs="Times New Roman" w:ascii="Times New Roman" w:hAnsi="Times New Roman"/>
                <w:sz w:val="26"/>
                <w:szCs w:val="26"/>
              </w:rPr>
              <w:t xml:space="preserve"> (ЮНІСЕФ) – 1 374 коробки нового зимового дитячого одягу, БФ Ігоря Палиці «Тільки разом»».</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Протягом першого півріччя 2023 року проведено 12 благодійних акцій з врученням продуктових наборів, якими охоплено 1 345 сімей. З нагоди новорічно-різдвяних свят подарунки отримали 339 дітей.</w:t>
            </w:r>
          </w:p>
        </w:tc>
      </w:tr>
      <w:tr>
        <w:trPr>
          <w:trHeight w:val="288" w:hRule="atLeast"/>
        </w:trPr>
        <w:tc>
          <w:tcPr>
            <w:tcW w:w="657"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13.</w:t>
            </w:r>
          </w:p>
        </w:tc>
        <w:tc>
          <w:tcPr>
            <w:tcW w:w="4107" w:type="dxa"/>
            <w:tcBorders>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Проведення соціальної роботи з сім’ями, які виховують дітей з інвалідністю, сприяння діяльності та реалізації заходів громадських організацій та об’єднань, вихованцями, яких є діти та молодь з інвалідністю.</w:t>
            </w:r>
          </w:p>
        </w:tc>
        <w:tc>
          <w:tcPr>
            <w:tcW w:w="10626"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Здійснюється соціальна робота з сім’ями, які виховують дітей з інвалідністю та особами з інвалідністю. За звітний період охоплено 284 сім’ї, в яких виховується 302 дитини з інвалідністю.</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Продовжено реалізацію проєкту екстреного реагування на потреби внутрішньо переміщених дітей з інвалідністю, дітей з особливими освітніми потребами та їхніх сімей, які постраждали від збройного конфлікту в Україні. Проєкт функціонує в межах «СПІЛЬНО» – програми реагування на війну Дитячого фонду ООН (ЮНІСЕФ), покликаної об’єднати зусилля з урядом, місцевими органами влади, громадським сектором та бізнес-партнерами, щоб надати мультисекторальну допомогу сім’ям із дітьми. Задача проєкту – виявити дітей з інвалідністю та труднощами розвитку, які були змушені переїхати із рідних міст та потребують допомоги. У межах проєкту допомогу надано 47 дітям з інвалідністю з числа внутрішнього переміщених осіб, які оселились в Луцькій МТГ.</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Також, в рамках реалізації проєкту 11 навчальним закладам Луцької міської територіальної громади було передано комплекти освітніх матеріалів від ЮНІСЕФ «Школа в коробці».</w:t>
            </w:r>
          </w:p>
        </w:tc>
      </w:tr>
      <w:tr>
        <w:trPr>
          <w:trHeight w:val="288" w:hRule="atLeast"/>
        </w:trPr>
        <w:tc>
          <w:tcPr>
            <w:tcW w:w="657"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14.</w:t>
            </w:r>
          </w:p>
        </w:tc>
        <w:tc>
          <w:tcPr>
            <w:tcW w:w="4107" w:type="dxa"/>
            <w:tcBorders>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Підтримка ініціатив та заходів громадських організацій соціального спрямування.</w:t>
            </w:r>
          </w:p>
        </w:tc>
        <w:tc>
          <w:tcPr>
            <w:tcW w:w="10626"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kern w:val="0"/>
                <w:sz w:val="26"/>
                <w:szCs w:val="26"/>
                <w:lang w:eastAsia="ru-RU" w:bidi="ar-SA"/>
              </w:rPr>
              <w:t xml:space="preserve">Проведено Конкурс </w:t>
            </w:r>
            <w:r>
              <w:rPr>
                <w:rFonts w:cs="Times New Roman" w:ascii="Times New Roman" w:hAnsi="Times New Roman"/>
                <w:kern w:val="0"/>
                <w:sz w:val="26"/>
                <w:szCs w:val="26"/>
                <w:shd w:fill="FFFFFF" w:val="clear"/>
                <w:lang w:eastAsia="ru-RU" w:bidi="ar-SA"/>
              </w:rPr>
              <w:t>проєктів соціального спрямування, розроблених інститутами громадянського суспільства</w:t>
            </w:r>
            <w:r>
              <w:rPr>
                <w:rFonts w:cs="Times New Roman" w:ascii="Times New Roman" w:hAnsi="Times New Roman"/>
                <w:kern w:val="0"/>
                <w:sz w:val="26"/>
                <w:szCs w:val="26"/>
                <w:lang w:eastAsia="ru-RU" w:bidi="ar-SA"/>
              </w:rPr>
              <w:t>, з наданням фінансування проєктів з бюджету міської територіальної громади. За результатами якого переможцями визнано 5 проєктів, які подані 5 інститутами громадянського суспільства, а саме:</w:t>
            </w:r>
          </w:p>
          <w:p>
            <w:pPr>
              <w:pStyle w:val="Normal"/>
              <w:widowControl w:val="false"/>
              <w:ind w:firstLine="567"/>
              <w:jc w:val="both"/>
              <w:rPr>
                <w:rFonts w:ascii="Times New Roman" w:hAnsi="Times New Roman"/>
                <w:sz w:val="26"/>
                <w:szCs w:val="26"/>
              </w:rPr>
            </w:pPr>
            <w:r>
              <w:rPr>
                <w:rFonts w:cs="Times New Roman" w:ascii="Times New Roman" w:hAnsi="Times New Roman"/>
                <w:kern w:val="0"/>
                <w:sz w:val="26"/>
                <w:szCs w:val="26"/>
                <w:lang w:eastAsia="ru-RU" w:bidi="ar-SA"/>
              </w:rPr>
              <w:t>1. </w:t>
            </w:r>
            <w:r>
              <w:rPr>
                <w:rFonts w:cs="Times New Roman" w:ascii="Times New Roman" w:hAnsi="Times New Roman"/>
                <w:kern w:val="0"/>
                <w:sz w:val="26"/>
                <w:szCs w:val="26"/>
                <w:lang w:eastAsia="uk-UA" w:bidi="ar-SA"/>
              </w:rPr>
              <w:t xml:space="preserve">Проєкт </w:t>
            </w:r>
            <w:r>
              <w:rPr>
                <w:rFonts w:cs="Times New Roman" w:ascii="Times New Roman" w:hAnsi="Times New Roman"/>
                <w:bCs/>
                <w:sz w:val="26"/>
                <w:szCs w:val="26"/>
              </w:rPr>
              <w:t>«</w:t>
            </w:r>
            <w:r>
              <w:rPr>
                <w:rFonts w:cs="Times New Roman" w:ascii="Times New Roman" w:hAnsi="Times New Roman"/>
                <w:kern w:val="0"/>
                <w:sz w:val="26"/>
                <w:szCs w:val="26"/>
                <w:lang w:eastAsia="en-US" w:bidi="ar-SA"/>
              </w:rPr>
              <w:t>Психоемоційне відновлення вразливих категорій мешканців Луцької громади</w:t>
            </w:r>
            <w:r>
              <w:rPr>
                <w:rFonts w:cs="Times New Roman" w:ascii="Times New Roman" w:hAnsi="Times New Roman"/>
                <w:bCs/>
                <w:sz w:val="26"/>
                <w:szCs w:val="26"/>
              </w:rPr>
              <w:t xml:space="preserve">» </w:t>
            </w:r>
            <w:r>
              <w:rPr>
                <w:rFonts w:cs="Times New Roman" w:ascii="Times New Roman" w:hAnsi="Times New Roman"/>
                <w:bCs/>
                <w:sz w:val="26"/>
                <w:szCs w:val="26"/>
                <w:lang w:eastAsia="ru-RU"/>
              </w:rPr>
              <w:t>громадської організації «</w:t>
            </w:r>
            <w:r>
              <w:rPr>
                <w:rFonts w:cs="Times New Roman" w:ascii="Times New Roman" w:hAnsi="Times New Roman"/>
                <w:kern w:val="0"/>
                <w:sz w:val="26"/>
                <w:szCs w:val="26"/>
                <w:lang w:eastAsia="en-US" w:bidi="ar-SA"/>
              </w:rPr>
              <w:t>«Розвиток Волині»</w:t>
            </w:r>
            <w:r>
              <w:rPr>
                <w:rFonts w:cs="Times New Roman" w:ascii="Times New Roman" w:hAnsi="Times New Roman"/>
                <w:bCs/>
                <w:sz w:val="26"/>
                <w:szCs w:val="26"/>
                <w:lang w:eastAsia="ru-RU"/>
              </w:rPr>
              <w:t>»</w:t>
            </w:r>
            <w:r>
              <w:rPr>
                <w:rFonts w:cs="Times New Roman" w:ascii="Times New Roman" w:hAnsi="Times New Roman"/>
                <w:spacing w:val="3"/>
                <w:sz w:val="26"/>
                <w:szCs w:val="26"/>
                <w:shd w:fill="FFFFFF" w:val="clear"/>
                <w:lang w:eastAsia="ru-RU"/>
              </w:rPr>
              <w:t>.</w:t>
            </w:r>
          </w:p>
          <w:p>
            <w:pPr>
              <w:pStyle w:val="Normal"/>
              <w:widowControl w:val="false"/>
              <w:ind w:firstLine="567"/>
              <w:jc w:val="both"/>
              <w:rPr>
                <w:rFonts w:ascii="Times New Roman" w:hAnsi="Times New Roman"/>
                <w:sz w:val="26"/>
                <w:szCs w:val="26"/>
              </w:rPr>
            </w:pPr>
            <w:r>
              <w:rPr>
                <w:rFonts w:cs="Times New Roman" w:ascii="Times New Roman" w:hAnsi="Times New Roman"/>
                <w:spacing w:val="3"/>
                <w:sz w:val="26"/>
                <w:szCs w:val="26"/>
                <w:shd w:fill="FFFFFF" w:val="clear"/>
                <w:lang w:eastAsia="ru-RU"/>
              </w:rPr>
              <w:t xml:space="preserve">2. Проєкт </w:t>
            </w:r>
            <w:r>
              <w:rPr>
                <w:rFonts w:cs="Times New Roman" w:ascii="Times New Roman" w:hAnsi="Times New Roman"/>
                <w:sz w:val="26"/>
                <w:szCs w:val="26"/>
                <w:shd w:fill="FDFDFD" w:val="clear"/>
              </w:rPr>
              <w:t>«</w:t>
            </w:r>
            <w:r>
              <w:rPr>
                <w:rFonts w:cs="Times New Roman" w:ascii="Times New Roman" w:hAnsi="Times New Roman"/>
                <w:kern w:val="0"/>
                <w:sz w:val="26"/>
                <w:szCs w:val="26"/>
                <w:lang w:eastAsia="ru-RU" w:bidi="ar-SA"/>
              </w:rPr>
              <w:t>Грайся, розвивайся</w:t>
            </w:r>
            <w:r>
              <w:rPr>
                <w:rFonts w:cs="Times New Roman" w:ascii="Times New Roman" w:hAnsi="Times New Roman"/>
                <w:sz w:val="26"/>
                <w:szCs w:val="26"/>
                <w:shd w:fill="FDFDFD" w:val="clear"/>
              </w:rPr>
              <w:t xml:space="preserve">» громадської організації </w:t>
            </w:r>
            <w:r>
              <w:rPr>
                <w:rFonts w:cs="Times New Roman" w:ascii="Times New Roman" w:hAnsi="Times New Roman"/>
                <w:kern w:val="0"/>
                <w:sz w:val="26"/>
                <w:szCs w:val="26"/>
                <w:lang w:eastAsia="ru-RU" w:bidi="ar-SA"/>
              </w:rPr>
              <w:t>«Інтелектуальний розвиток Волині</w:t>
            </w:r>
            <w:r>
              <w:rPr>
                <w:rFonts w:cs="Times New Roman" w:ascii="Times New Roman" w:hAnsi="Times New Roman"/>
                <w:sz w:val="26"/>
                <w:szCs w:val="26"/>
                <w:shd w:fill="FDFDFD" w:val="clear"/>
              </w:rPr>
              <w:t>».</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shd w:fill="FDFDFD" w:val="clear"/>
              </w:rPr>
              <w:t xml:space="preserve">3. Проєкт </w:t>
            </w:r>
            <w:r>
              <w:rPr>
                <w:rFonts w:cs="Times New Roman" w:ascii="Times New Roman" w:hAnsi="Times New Roman"/>
                <w:kern w:val="0"/>
                <w:sz w:val="26"/>
                <w:szCs w:val="26"/>
                <w:lang w:eastAsia="ru-RU" w:bidi="ar-SA"/>
              </w:rPr>
              <w:t>«Радість творення»</w:t>
            </w:r>
            <w:r>
              <w:rPr>
                <w:rFonts w:cs="Times New Roman" w:ascii="Times New Roman" w:hAnsi="Times New Roman"/>
                <w:sz w:val="26"/>
                <w:szCs w:val="26"/>
                <w:shd w:fill="FDFDFD" w:val="clear"/>
              </w:rPr>
              <w:t xml:space="preserve"> громадської організації «Інклюзивні студії»</w:t>
            </w:r>
            <w:r>
              <w:rPr>
                <w:rFonts w:cs="Times New Roman" w:ascii="Times New Roman" w:hAnsi="Times New Roman"/>
                <w:bCs/>
                <w:sz w:val="26"/>
                <w:szCs w:val="26"/>
                <w:shd w:fill="FFFFFF" w:val="clear"/>
                <w:lang w:eastAsia="uk-UA"/>
              </w:rPr>
              <w:t>.</w:t>
            </w:r>
          </w:p>
          <w:p>
            <w:pPr>
              <w:pStyle w:val="Normal"/>
              <w:widowControl w:val="false"/>
              <w:ind w:firstLine="567"/>
              <w:jc w:val="both"/>
              <w:rPr>
                <w:rFonts w:ascii="Times New Roman" w:hAnsi="Times New Roman"/>
                <w:sz w:val="26"/>
                <w:szCs w:val="26"/>
              </w:rPr>
            </w:pPr>
            <w:r>
              <w:rPr>
                <w:rFonts w:cs="Times New Roman" w:ascii="Times New Roman" w:hAnsi="Times New Roman"/>
                <w:bCs/>
                <w:sz w:val="26"/>
                <w:szCs w:val="26"/>
                <w:shd w:fill="FFFFFF" w:val="clear"/>
                <w:lang w:eastAsia="uk-UA"/>
              </w:rPr>
              <w:t>4. Проєкт «</w:t>
            </w:r>
            <w:r>
              <w:rPr>
                <w:rFonts w:cs="Times New Roman" w:ascii="Times New Roman" w:hAnsi="Times New Roman"/>
                <w:kern w:val="0"/>
                <w:sz w:val="26"/>
                <w:szCs w:val="26"/>
                <w:lang w:eastAsia="en-US" w:bidi="ar-SA"/>
              </w:rPr>
              <w:t>Мобільна виставка «Історична та культурна спадщина Древнього Жидичина», як інструмент усвідомлення власної локальної культурної ідентичності»</w:t>
            </w:r>
            <w:r>
              <w:rPr>
                <w:rFonts w:cs="Times New Roman" w:ascii="Times New Roman" w:hAnsi="Times New Roman"/>
                <w:bCs/>
                <w:sz w:val="26"/>
                <w:szCs w:val="26"/>
                <w:shd w:fill="FFFFFF" w:val="clear"/>
                <w:lang w:eastAsia="uk-UA"/>
              </w:rPr>
              <w:t xml:space="preserve"> громадської організації </w:t>
            </w:r>
            <w:r>
              <w:rPr>
                <w:rFonts w:cs="Times New Roman" w:ascii="Times New Roman" w:hAnsi="Times New Roman"/>
                <w:kern w:val="0"/>
                <w:sz w:val="26"/>
                <w:szCs w:val="26"/>
                <w:lang w:eastAsia="en-US" w:bidi="ar-SA"/>
              </w:rPr>
              <w:t>«Спільна справа+»</w:t>
            </w:r>
            <w:r>
              <w:rPr>
                <w:rFonts w:cs="Times New Roman" w:ascii="Times New Roman" w:hAnsi="Times New Roman"/>
                <w:bCs/>
                <w:sz w:val="26"/>
                <w:szCs w:val="26"/>
                <w:shd w:fill="FFFFFF" w:val="clear"/>
                <w:lang w:eastAsia="uk-UA"/>
              </w:rPr>
              <w:t>.</w:t>
            </w:r>
          </w:p>
          <w:p>
            <w:pPr>
              <w:pStyle w:val="Normal"/>
              <w:widowControl w:val="false"/>
              <w:ind w:firstLine="567"/>
              <w:jc w:val="both"/>
              <w:rPr>
                <w:rFonts w:ascii="Times New Roman" w:hAnsi="Times New Roman"/>
                <w:sz w:val="26"/>
                <w:szCs w:val="26"/>
              </w:rPr>
            </w:pPr>
            <w:r>
              <w:rPr>
                <w:rFonts w:cs="Times New Roman" w:ascii="Times New Roman" w:hAnsi="Times New Roman"/>
                <w:kern w:val="0"/>
                <w:sz w:val="26"/>
                <w:szCs w:val="26"/>
                <w:lang w:eastAsia="uk-UA" w:bidi="ar-SA"/>
              </w:rPr>
              <w:t>5. Проєкт «</w:t>
            </w:r>
            <w:r>
              <w:rPr>
                <w:rFonts w:cs="Times New Roman" w:ascii="Times New Roman" w:hAnsi="Times New Roman"/>
                <w:kern w:val="0"/>
                <w:sz w:val="26"/>
                <w:szCs w:val="26"/>
                <w:lang w:eastAsia="en-US" w:bidi="ar-SA"/>
              </w:rPr>
              <w:t>Юридична підтримка ВПО та сімей, які опинились в складних життєвих обставинах в умовах війни</w:t>
            </w:r>
            <w:r>
              <w:rPr>
                <w:rFonts w:cs="Times New Roman" w:ascii="Times New Roman" w:hAnsi="Times New Roman"/>
                <w:kern w:val="0"/>
                <w:sz w:val="26"/>
                <w:szCs w:val="26"/>
                <w:lang w:eastAsia="uk-UA" w:bidi="ar-SA"/>
              </w:rPr>
              <w:t xml:space="preserve">» </w:t>
            </w:r>
            <w:r>
              <w:rPr>
                <w:rFonts w:cs="Times New Roman" w:ascii="Times New Roman" w:hAnsi="Times New Roman"/>
                <w:kern w:val="0"/>
                <w:sz w:val="26"/>
                <w:szCs w:val="26"/>
                <w:lang w:eastAsia="en-US" w:bidi="ar-SA"/>
              </w:rPr>
              <w:t>громадського формування з охорони громадського порядку «ДЕФЕНДЕР»</w:t>
            </w:r>
            <w:r>
              <w:rPr>
                <w:rFonts w:cs="Times New Roman" w:ascii="Times New Roman" w:hAnsi="Times New Roman"/>
                <w:spacing w:val="3"/>
                <w:sz w:val="26"/>
                <w:szCs w:val="26"/>
                <w:shd w:fill="FFFFFF" w:val="clear"/>
                <w:lang w:eastAsia="ru-RU"/>
              </w:rPr>
              <w:t>.</w:t>
            </w:r>
          </w:p>
        </w:tc>
      </w:tr>
      <w:tr>
        <w:trPr>
          <w:trHeight w:val="288" w:hRule="atLeast"/>
        </w:trPr>
        <w:tc>
          <w:tcPr>
            <w:tcW w:w="657"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15.</w:t>
            </w:r>
          </w:p>
        </w:tc>
        <w:tc>
          <w:tcPr>
            <w:tcW w:w="4107" w:type="dxa"/>
            <w:tcBorders>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Соціальна та/або психологічна підтримка сімей військовослужбовців.</w:t>
            </w:r>
          </w:p>
        </w:tc>
        <w:tc>
          <w:tcPr>
            <w:tcW w:w="10626"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Управлінням соціальних служб для сім’ї, дітей та молоді проводиться широка інформаційно-роз’яснювальна робота серед військовослужбовців та членів їх сімей щодо матеріальної, соціальної, юридичної, психологічної підтримки, надаються соціальні послуги. Упродовж звітного періоду роботою охоплено 281 сім’ю.</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На базі управління працює Психологічний штаб. Провідні психологи громади об’єдналися задля того, щоби допомагати тим людям, яким у нинішніх умовах дуже важко і які потребують консультацій, порад психолога. Працює безкоштовна телефонна лінія інформаційної та психологічної підтримки 0 800 400 332.</w:t>
            </w:r>
          </w:p>
        </w:tc>
      </w:tr>
      <w:tr>
        <w:trPr>
          <w:trHeight w:val="288" w:hRule="atLeast"/>
        </w:trPr>
        <w:tc>
          <w:tcPr>
            <w:tcW w:w="657"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16.</w:t>
            </w:r>
          </w:p>
        </w:tc>
        <w:tc>
          <w:tcPr>
            <w:tcW w:w="4107" w:type="dxa"/>
            <w:tcBorders>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Забезпечення роботи «Центру взаємопідтримки внутрішньо переміщених осіб».</w:t>
            </w:r>
          </w:p>
        </w:tc>
        <w:tc>
          <w:tcPr>
            <w:tcW w:w="10626"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В умовах воєнного стану розпочав свою роботу «Центр взаємопідтримки внутрішньо переміщених осіб». Центр згідно визначених потреб надає допомогу (продукти харчування, дитяче харчування, підгузки, одяг, взуття, постіль тощо) сім’ям з дітьми, які поселились у Луцькій міській територіальній громаді, зареєструвались в департаменті соціальної політики як внутрішньо переміщені особи та отримали довідку для отримання допомоги.</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За I півріччя 2023 року в Центрі отримали допомогу 9 885 внутрішньо переміщених осіб. Видано 2 328 продуктових наборів (первинні та повторні звернення).</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Також у Центрі облаштовано три соціальні вітрини, де внутрішньо переміщені особи можуть отримати новий шкільний одяг для дітей, одяг для вагітних та нове взуття.</w:t>
            </w:r>
          </w:p>
        </w:tc>
      </w:tr>
      <w:tr>
        <w:trPr>
          <w:trHeight w:val="288" w:hRule="atLeast"/>
        </w:trPr>
        <w:tc>
          <w:tcPr>
            <w:tcW w:w="657"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17.</w:t>
            </w:r>
          </w:p>
        </w:tc>
        <w:tc>
          <w:tcPr>
            <w:tcW w:w="4107" w:type="dxa"/>
            <w:tcBorders>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Соціальна та психологічна адаптації дітей-сиріт і дітей, позбавлених батьківського піклування, осіб з їх числа з метою підготовки до самостійного життя. Соціальне супроводження прийомних сімей та дитячих будинків сімейного типу.</w:t>
            </w:r>
          </w:p>
        </w:tc>
        <w:tc>
          <w:tcPr>
            <w:tcW w:w="10626" w:type="dxa"/>
            <w:tcBorders>
              <w:left w:val="single" w:sz="4" w:space="0" w:color="000000"/>
              <w:bottom w:val="single" w:sz="4" w:space="0" w:color="000000"/>
              <w:right w:val="single" w:sz="4" w:space="0" w:color="000000"/>
            </w:tcBorders>
          </w:tcPr>
          <w:p>
            <w:pPr>
              <w:pStyle w:val="Normal"/>
              <w:widowControl w:val="false"/>
              <w:tabs>
                <w:tab w:val="clear" w:pos="708"/>
                <w:tab w:val="left" w:pos="567" w:leader="none"/>
              </w:tabs>
              <w:ind w:firstLine="567"/>
              <w:jc w:val="both"/>
              <w:rPr>
                <w:rFonts w:ascii="Times New Roman" w:hAnsi="Times New Roman" w:cs="Times New Roman"/>
                <w:sz w:val="26"/>
                <w:szCs w:val="26"/>
                <w:lang w:eastAsia="ru-RU"/>
              </w:rPr>
            </w:pPr>
            <w:r>
              <w:rPr>
                <w:rFonts w:cs="Times New Roman" w:ascii="Times New Roman" w:hAnsi="Times New Roman"/>
                <w:kern w:val="0"/>
                <w:sz w:val="26"/>
                <w:szCs w:val="26"/>
                <w:lang w:eastAsia="ru-RU" w:bidi="ar-SA"/>
              </w:rPr>
              <w:t>У звітному періоді здійснювалася соціальна робота з 48 опікунськими сім’ями, в яких виховується 110 дітей-сиріт та дітей, позбавлених батьківського піклування. Основні питання таких родин – адаптаційний період, дозвілля дитини, особливості підліткового віку, конфлікт поколінь. Здійснювалася соціальна робота із 15 особами з числа дітей-сиріт, дітей, позбавлених батьківського піклування.</w:t>
            </w:r>
          </w:p>
          <w:p>
            <w:pPr>
              <w:pStyle w:val="Normal"/>
              <w:widowControl w:val="false"/>
              <w:shd w:val="clear" w:color="auto" w:fill="FFFFFF"/>
              <w:ind w:firstLine="567"/>
              <w:jc w:val="both"/>
              <w:rPr>
                <w:rFonts w:ascii="Times New Roman" w:hAnsi="Times New Roman"/>
                <w:sz w:val="26"/>
                <w:szCs w:val="26"/>
              </w:rPr>
            </w:pPr>
            <w:r>
              <w:rPr>
                <w:rFonts w:cs="Times New Roman" w:ascii="Times New Roman" w:hAnsi="Times New Roman"/>
                <w:kern w:val="0"/>
                <w:sz w:val="26"/>
                <w:szCs w:val="26"/>
                <w:lang w:eastAsia="en-US" w:bidi="ar-SA"/>
              </w:rPr>
              <w:t xml:space="preserve">Проведено серію тренінгів «Соціальна компетентність», а також </w:t>
            </w:r>
            <w:r>
              <w:rPr>
                <w:rFonts w:cs="Times New Roman" w:ascii="Times New Roman" w:hAnsi="Times New Roman"/>
                <w:kern w:val="0"/>
                <w:sz w:val="26"/>
                <w:szCs w:val="26"/>
                <w:lang w:eastAsia="ru-RU" w:bidi="ar-SA"/>
              </w:rPr>
              <w:t>«Фінансова грамотність»</w:t>
            </w:r>
            <w:r>
              <w:rPr>
                <w:rFonts w:cs="Times New Roman" w:ascii="Times New Roman" w:hAnsi="Times New Roman"/>
                <w:kern w:val="0"/>
                <w:sz w:val="26"/>
                <w:szCs w:val="26"/>
                <w:lang w:eastAsia="en-US" w:bidi="ar-SA"/>
              </w:rPr>
              <w:t xml:space="preserve">, якими охоплено 80 дітей-сиріт та дітей, позбавлених батьківського піклування. </w:t>
            </w:r>
            <w:r>
              <w:rPr>
                <w:rFonts w:cs="Times New Roman" w:ascii="Times New Roman" w:hAnsi="Times New Roman"/>
                <w:kern w:val="0"/>
                <w:sz w:val="26"/>
                <w:szCs w:val="26"/>
                <w:lang w:eastAsia="ru-RU" w:bidi="ar-SA"/>
              </w:rPr>
              <w:t>Під час гри кожен з учасників покращив своє фінансове мислення і набув досвіду реагування на критичні ситуації.</w:t>
            </w:r>
          </w:p>
          <w:p>
            <w:pPr>
              <w:pStyle w:val="Normal"/>
              <w:widowControl w:val="false"/>
              <w:ind w:firstLine="567"/>
              <w:jc w:val="both"/>
              <w:rPr>
                <w:rFonts w:ascii="Times New Roman" w:hAnsi="Times New Roman"/>
                <w:sz w:val="26"/>
                <w:szCs w:val="26"/>
              </w:rPr>
            </w:pPr>
            <w:r>
              <w:rPr>
                <w:rFonts w:cs="Times New Roman" w:ascii="Times New Roman" w:hAnsi="Times New Roman"/>
                <w:kern w:val="0"/>
                <w:sz w:val="26"/>
                <w:szCs w:val="26"/>
                <w:lang w:eastAsia="ru-RU" w:bidi="ar-SA"/>
              </w:rPr>
              <w:t>Упродовж звітного періоду здійснювалося соціальне супроводження 3 дитячих будинків сімейного типу та 7 прийомних сімей, у яких виховується 18 дітей-сиріт та дітей, позбавлених батьківського піклування.</w:t>
            </w:r>
          </w:p>
        </w:tc>
      </w:tr>
      <w:tr>
        <w:trPr>
          <w:trHeight w:val="288" w:hRule="atLeast"/>
        </w:trPr>
        <w:tc>
          <w:tcPr>
            <w:tcW w:w="657"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18.</w:t>
            </w:r>
          </w:p>
        </w:tc>
        <w:tc>
          <w:tcPr>
            <w:tcW w:w="4107" w:type="dxa"/>
            <w:tcBorders>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Проведення загальноміських заходів та благодійних акцій для сімей, дітей та молоді з нагоди державних, релігійних та міжнародних свят.</w:t>
            </w:r>
          </w:p>
        </w:tc>
        <w:tc>
          <w:tcPr>
            <w:tcW w:w="10626"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kern w:val="0"/>
                <w:sz w:val="26"/>
                <w:szCs w:val="26"/>
                <w:shd w:fill="FFFFFF" w:val="clear"/>
                <w:lang w:eastAsia="en-US" w:bidi="ar-SA"/>
              </w:rPr>
              <w:t>З нагоди Великодня проведено благодійну акцію, кулінарний майстер-клас «Великдень у Луцьку, по-луцьки» у партнерстві з БФ Ігоря Палиці «Тільки разом». Метою заходу було випікання 300 традиційних та європейських пасок, які передали на фронт українським військовослужбовцям, а також бійцям, які перебувають у медичних закладах Луцька.</w:t>
            </w:r>
          </w:p>
          <w:p>
            <w:pPr>
              <w:pStyle w:val="Normal"/>
              <w:widowControl w:val="false"/>
              <w:ind w:firstLine="567"/>
              <w:jc w:val="both"/>
              <w:rPr>
                <w:rFonts w:ascii="Times New Roman" w:hAnsi="Times New Roman"/>
                <w:sz w:val="26"/>
                <w:szCs w:val="26"/>
              </w:rPr>
            </w:pPr>
            <w:r>
              <w:rPr>
                <w:rFonts w:cs="Times New Roman" w:ascii="Times New Roman" w:hAnsi="Times New Roman"/>
                <w:kern w:val="0"/>
                <w:sz w:val="26"/>
                <w:szCs w:val="26"/>
                <w:shd w:fill="FFFFFF" w:val="clear"/>
                <w:lang w:eastAsia="en-US" w:bidi="ar-SA"/>
              </w:rPr>
              <w:t xml:space="preserve">Також </w:t>
            </w:r>
            <w:r>
              <w:rPr>
                <w:rFonts w:cs="Times New Roman" w:ascii="Times New Roman" w:hAnsi="Times New Roman"/>
                <w:kern w:val="0"/>
                <w:sz w:val="26"/>
                <w:szCs w:val="26"/>
                <w:lang w:eastAsia="ru-RU" w:bidi="ar-SA"/>
              </w:rPr>
              <w:t xml:space="preserve">з нагоди Великодня та Міжнародного дня захисту дітей з метою відродження українських традицій проведено на площі Героїв Майдану загальноміські благодійні заходи «Україна. Воля. Діти!» на підтримку Збройних Cил України. Дитячим творчим колективам Луцька випала </w:t>
            </w:r>
            <w:r>
              <w:rPr>
                <w:rFonts w:cs="Times New Roman" w:ascii="Times New Roman" w:hAnsi="Times New Roman"/>
                <w:kern w:val="0"/>
                <w:sz w:val="26"/>
                <w:szCs w:val="26"/>
                <w:shd w:fill="FFFFFF" w:val="clear"/>
                <w:lang w:eastAsia="en-US" w:bidi="ar-SA"/>
              </w:rPr>
              <w:t>почесна місія представити усю Україну на фестивалі «Україна. Воля. Діти!» в грецькому місті Лептокарія.</w:t>
            </w:r>
          </w:p>
        </w:tc>
      </w:tr>
      <w:tr>
        <w:trPr>
          <w:trHeight w:val="288" w:hRule="atLeast"/>
        </w:trPr>
        <w:tc>
          <w:tcPr>
            <w:tcW w:w="657"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19.</w:t>
            </w:r>
          </w:p>
        </w:tc>
        <w:tc>
          <w:tcPr>
            <w:tcW w:w="4107" w:type="dxa"/>
            <w:tcBorders>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Забезпечення діяльності Денного центру соціально-психологічної допомоги особам, які постраждали від домашнього насильства та насильства за ознакою статі та «кризової кімнати».</w:t>
            </w:r>
          </w:p>
        </w:tc>
        <w:tc>
          <w:tcPr>
            <w:tcW w:w="10626"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bCs/>
                <w:kern w:val="0"/>
                <w:sz w:val="26"/>
                <w:szCs w:val="26"/>
                <w:lang w:bidi="ar-SA"/>
              </w:rPr>
              <w:t>В межах підписаного Меморандуму про співпрацю між Луцькою міською радою і Фондом ООН у галузі народонаселення при управлінні соціальних служб для сім’ї, дітей та молоді діє спеціалізоване формування «</w:t>
            </w:r>
            <w:r>
              <w:rPr>
                <w:rFonts w:cs="Times New Roman" w:ascii="Times New Roman" w:hAnsi="Times New Roman"/>
                <w:kern w:val="0"/>
                <w:sz w:val="26"/>
                <w:szCs w:val="26"/>
                <w:lang w:bidi="ar-SA"/>
              </w:rPr>
              <w:t>Денний центр соціально-психологічної допомоги</w:t>
            </w:r>
            <w:r>
              <w:rPr>
                <w:rFonts w:cs="Times New Roman" w:ascii="Times New Roman" w:hAnsi="Times New Roman"/>
                <w:bCs/>
                <w:kern w:val="0"/>
                <w:sz w:val="26"/>
                <w:szCs w:val="26"/>
                <w:lang w:bidi="ar-SA"/>
              </w:rPr>
              <w:t xml:space="preserve"> особам постраждалим від домашнього насильства та/або насильства за ознакою статі». </w:t>
            </w:r>
            <w:r>
              <w:rPr>
                <w:rFonts w:cs="Times New Roman" w:ascii="Times New Roman" w:hAnsi="Times New Roman"/>
                <w:kern w:val="0"/>
                <w:sz w:val="26"/>
                <w:szCs w:val="26"/>
                <w:lang w:bidi="ar-SA"/>
              </w:rPr>
              <w:t xml:space="preserve">За звітний період </w:t>
            </w:r>
            <w:r>
              <w:rPr>
                <w:rFonts w:cs="Times New Roman" w:ascii="Times New Roman" w:hAnsi="Times New Roman"/>
                <w:kern w:val="0"/>
                <w:sz w:val="26"/>
                <w:szCs w:val="26"/>
                <w:lang w:eastAsia="en-US" w:bidi="ar-SA"/>
              </w:rPr>
              <w:t>послугами денного центру скористались 176 осіб. Клієнтам була надана комплексна соціально-психологічна та первинна правова допомога; проведена соціально-профілактична робота, спрямована на запобігання повторним випадкам насильства щодо постраждалої особи. При денному центрі функціонує «кризова кімната». Упродовж I півріччя 2023 року в зазначеній кімнаті перебувало 20 осіб. Для кожної постраждалої особи фахівці визначали індивідуально, залежно від потреб клієнтів, зміст та обсяг соціальних послуг.</w:t>
            </w:r>
          </w:p>
        </w:tc>
      </w:tr>
      <w:tr>
        <w:trPr>
          <w:trHeight w:val="288" w:hRule="atLeast"/>
        </w:trPr>
        <w:tc>
          <w:tcPr>
            <w:tcW w:w="657"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20.</w:t>
            </w:r>
          </w:p>
        </w:tc>
        <w:tc>
          <w:tcPr>
            <w:tcW w:w="4107" w:type="dxa"/>
            <w:tcBorders>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Розвиток системи надання спеціалізованих послуг в громаді: мобільні бригади соціально-психологічної допомоги, «ВОНА хаб. Луцьк».</w:t>
            </w:r>
          </w:p>
        </w:tc>
        <w:tc>
          <w:tcPr>
            <w:tcW w:w="10626"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kern w:val="0"/>
                <w:sz w:val="26"/>
                <w:szCs w:val="26"/>
                <w:lang w:eastAsia="en-US" w:bidi="ar-SA"/>
              </w:rPr>
              <w:t>Для розбудови системи надання спеціалізованих послуг з питань запобігання домашнього насильства за підтримки Фонду ООН у галузі народонаселення в Україні (UNFPA) та БФ «</w:t>
            </w:r>
            <w:r>
              <w:rPr>
                <w:rFonts w:cs="Times New Roman" w:ascii="Times New Roman" w:hAnsi="Times New Roman"/>
                <w:kern w:val="0"/>
                <w:sz w:val="26"/>
                <w:szCs w:val="26"/>
                <w:lang w:val="en-US" w:eastAsia="en-US" w:bidi="ar-SA"/>
              </w:rPr>
              <w:t>Butterfly</w:t>
            </w:r>
            <w:r>
              <w:rPr>
                <w:rFonts w:cs="Times New Roman" w:ascii="Times New Roman" w:hAnsi="Times New Roman"/>
                <w:kern w:val="0"/>
                <w:sz w:val="26"/>
                <w:szCs w:val="26"/>
                <w:lang w:eastAsia="en-US" w:bidi="ar-SA"/>
              </w:rPr>
              <w:t xml:space="preserve">» Луцька МТГ отримала спеціалізовані автомобілі </w:t>
            </w:r>
            <w:r>
              <w:rPr>
                <w:rFonts w:cs="Times New Roman" w:ascii="Times New Roman" w:hAnsi="Times New Roman"/>
                <w:kern w:val="0"/>
                <w:sz w:val="26"/>
                <w:szCs w:val="26"/>
                <w:lang w:val="en-US" w:eastAsia="en-US" w:bidi="ar-SA"/>
              </w:rPr>
              <w:t xml:space="preserve">Ford Transit Kombi 350 L3H2 </w:t>
            </w:r>
            <w:r>
              <w:rPr>
                <w:rFonts w:cs="Times New Roman" w:ascii="Times New Roman" w:hAnsi="Times New Roman"/>
                <w:kern w:val="0"/>
                <w:sz w:val="26"/>
                <w:szCs w:val="26"/>
                <w:lang w:eastAsia="en-US" w:bidi="ar-SA"/>
              </w:rPr>
              <w:t>на базі яких створені та функціонують дві мобільні бригади соціально-психологічної допомоги особам, які постраждали від домашнього насильства та/або насильства за ознакою статі. До складу кожної з мобільних бригад входять психолог, соціальний працівник та кейс менеджер. За I півріччя 2023 року бригадою здійснено 282 виїзди та охоплено соціальними послугами 775 осіб.</w:t>
            </w:r>
          </w:p>
          <w:p>
            <w:pPr>
              <w:pStyle w:val="Normal"/>
              <w:widowControl w:val="false"/>
              <w:ind w:firstLine="567"/>
              <w:jc w:val="both"/>
              <w:rPr>
                <w:rFonts w:ascii="Times New Roman" w:hAnsi="Times New Roman"/>
                <w:sz w:val="26"/>
                <w:szCs w:val="26"/>
                <w:u w:val="none" w:color="000000"/>
              </w:rPr>
            </w:pPr>
            <w:r>
              <w:rPr>
                <w:rFonts w:cs="Times New Roman" w:ascii="Times New Roman" w:hAnsi="Times New Roman"/>
                <w:kern w:val="0"/>
                <w:sz w:val="26"/>
                <w:szCs w:val="26"/>
                <w:u w:val="none" w:color="000000"/>
                <w:lang w:eastAsia="ru-RU" w:bidi="ar-SA"/>
              </w:rPr>
              <w:t xml:space="preserve">Наприкінці минулого року відбулося відкриття кар’єрного хабу </w:t>
            </w:r>
            <w:r>
              <w:rPr>
                <w:rFonts w:cs="Times New Roman" w:ascii="Times New Roman" w:hAnsi="Times New Roman"/>
                <w:bCs/>
                <w:kern w:val="0"/>
                <w:sz w:val="26"/>
                <w:szCs w:val="26"/>
                <w:u w:val="none" w:color="000000"/>
                <w:lang w:eastAsia="ru-RU" w:bidi="ar-SA"/>
              </w:rPr>
              <w:t>«ВОНА хаб.</w:t>
            </w:r>
            <w:r>
              <w:rPr>
                <w:rFonts w:cs="Times New Roman" w:ascii="Times New Roman" w:hAnsi="Times New Roman"/>
                <w:kern w:val="0"/>
                <w:sz w:val="26"/>
                <w:szCs w:val="26"/>
                <w:u w:val="none" w:color="000000"/>
                <w:lang w:eastAsia="ru-RU" w:bidi="ar-SA"/>
              </w:rPr>
              <w:t xml:space="preserve"> Луцьк» </w:t>
            </w:r>
            <w:r>
              <w:rPr>
                <w:rFonts w:cs="Times New Roman" w:ascii="Times New Roman" w:hAnsi="Times New Roman"/>
                <w:kern w:val="0"/>
                <w:sz w:val="26"/>
                <w:szCs w:val="26"/>
                <w:u w:val="none" w:color="000000"/>
                <w:shd w:fill="FFFFFF" w:val="clear"/>
                <w:lang w:eastAsia="ru-RU" w:bidi="ar-SA"/>
              </w:rPr>
              <w:t>для жінок, що постраждали від домашнього/гендерно зумовленого насильства або знаходяться у групі ризику.</w:t>
            </w:r>
            <w:r>
              <w:rPr>
                <w:rFonts w:cs="Times New Roman" w:ascii="Times New Roman" w:hAnsi="Times New Roman"/>
                <w:kern w:val="0"/>
                <w:sz w:val="26"/>
                <w:szCs w:val="26"/>
                <w:u w:val="none" w:color="000000"/>
                <w:lang w:eastAsia="ru-RU" w:bidi="ar-SA"/>
              </w:rPr>
              <w:t xml:space="preserve"> «ВОНА хаб» – проєкт, що реалізується UNFPA, Фондом ООН у галузі народонаселення в Україні, за фінансової підтримки Бюро гуманітарної допомоги USAID. </w:t>
            </w:r>
            <w:r>
              <w:rPr>
                <w:rFonts w:cs="Times New Roman" w:ascii="Times New Roman" w:hAnsi="Times New Roman"/>
                <w:kern w:val="0"/>
                <w:sz w:val="26"/>
                <w:szCs w:val="26"/>
                <w:u w:val="none" w:color="000000"/>
                <w:shd w:fill="FFFFFF" w:val="clear"/>
                <w:lang w:eastAsia="ru-RU" w:bidi="ar-SA"/>
              </w:rPr>
              <w:t>У хабі жінки можуть безкоштовно отримати індивідуальну конфіденційну консультацію кар’єрної радниці та допомогу на всіх етапах пошуку роботи або започаткування власного бізнесу, підтримку психологині проєкту, можливість пройти професійні курси, які допоможуть здобути нові знання, навички чи навіть професію.</w:t>
            </w:r>
          </w:p>
          <w:p>
            <w:pPr>
              <w:pStyle w:val="Normal"/>
              <w:widowControl w:val="false"/>
              <w:tabs>
                <w:tab w:val="clear" w:pos="708"/>
                <w:tab w:val="left" w:pos="0" w:leader="none"/>
              </w:tabs>
              <w:ind w:firstLine="567"/>
              <w:jc w:val="both"/>
              <w:rPr>
                <w:rFonts w:ascii="Times New Roman" w:hAnsi="Times New Roman"/>
                <w:sz w:val="26"/>
                <w:szCs w:val="26"/>
              </w:rPr>
            </w:pPr>
            <w:r>
              <w:rPr>
                <w:rFonts w:cs="Times New Roman" w:ascii="Times New Roman" w:hAnsi="Times New Roman"/>
                <w:bCs/>
                <w:sz w:val="26"/>
                <w:szCs w:val="26"/>
                <w:lang w:eastAsia="ru-RU" w:bidi="ar-SA"/>
              </w:rPr>
              <w:t xml:space="preserve">За час роботи хабу організовано та проведено ряд короткострокових професійних курсів: </w:t>
            </w:r>
            <w:r>
              <w:rPr>
                <w:rFonts w:cs="Times New Roman" w:ascii="Times New Roman" w:hAnsi="Times New Roman"/>
                <w:kern w:val="0"/>
                <w:sz w:val="26"/>
                <w:szCs w:val="26"/>
                <w:shd w:fill="FFFFFF" w:val="clear"/>
                <w:lang w:eastAsia="ru-RU" w:bidi="ar-SA"/>
              </w:rPr>
              <w:t xml:space="preserve">«Основи бухгалтерського обліку самозайнятих жінок та фінансова грамотність», «Графічний дизайн», «Бізнес від А до Я», «Флористика та дизайн», «Кулінарна майстерність», «Перукарська майстерність», «Манікюр та педикюр», «Основи масажу». Всього курсами охоплено 64 жінки. </w:t>
            </w:r>
            <w:r>
              <w:rPr>
                <w:rFonts w:cs="Times New Roman" w:ascii="Times New Roman" w:hAnsi="Times New Roman"/>
                <w:bCs/>
                <w:sz w:val="26"/>
                <w:szCs w:val="26"/>
                <w:lang w:eastAsia="ru-RU" w:bidi="ar-SA"/>
              </w:rPr>
              <w:t xml:space="preserve">Для жінок, </w:t>
            </w:r>
            <w:r>
              <w:rPr>
                <w:rFonts w:cs="Times New Roman" w:ascii="Times New Roman" w:hAnsi="Times New Roman"/>
                <w:kern w:val="0"/>
                <w:sz w:val="26"/>
                <w:szCs w:val="26"/>
                <w:lang w:eastAsia="ru-RU" w:bidi="ar-SA"/>
              </w:rPr>
              <w:t>які хочуть створити та розвивати власний бізнес проведено навчання у</w:t>
            </w:r>
            <w:r>
              <w:rPr>
                <w:rFonts w:cs="Times New Roman" w:ascii="Times New Roman" w:hAnsi="Times New Roman"/>
                <w:bCs/>
                <w:sz w:val="26"/>
                <w:szCs w:val="26"/>
                <w:lang w:eastAsia="ru-RU" w:bidi="ar-SA"/>
              </w:rPr>
              <w:t xml:space="preserve"> школі стартапів «ВОНА». </w:t>
            </w:r>
            <w:r>
              <w:rPr>
                <w:rFonts w:cs="Times New Roman" w:ascii="Times New Roman" w:hAnsi="Times New Roman"/>
                <w:sz w:val="26"/>
                <w:szCs w:val="26"/>
                <w:lang w:eastAsia="en-US" w:bidi="ar-SA"/>
              </w:rPr>
              <w:t>Проведено конкурс бізнес-проєктів для бенефіціарок проєкту кар’єрний хаб «ВОНА», три перможниці якого отримали по 37 тис. грн на реалізацію своїх бізнес-проєктів.</w:t>
            </w:r>
          </w:p>
          <w:p>
            <w:pPr>
              <w:pStyle w:val="Normal"/>
              <w:widowControl w:val="false"/>
              <w:ind w:firstLine="567"/>
              <w:jc w:val="both"/>
              <w:rPr/>
            </w:pPr>
            <w:r>
              <w:rPr>
                <w:rFonts w:cs="Times New Roman" w:ascii="Times New Roman" w:hAnsi="Times New Roman"/>
                <w:kern w:val="0"/>
                <w:sz w:val="26"/>
                <w:szCs w:val="26"/>
                <w:lang w:eastAsia="ru-RU" w:bidi="ar-SA"/>
              </w:rPr>
              <w:t xml:space="preserve">Спільно </w:t>
            </w:r>
            <w:hyperlink r:id="rId15">
              <w:r>
                <w:rPr>
                  <w:rFonts w:cs="Times New Roman" w:ascii="Times New Roman" w:hAnsi="Times New Roman"/>
                  <w:sz w:val="26"/>
                  <w:szCs w:val="26"/>
                  <w:lang w:bidi="ar-SA"/>
                </w:rPr>
                <w:t>з Медичним центром «Благоме</w:t>
              </w:r>
            </w:hyperlink>
            <w:r>
              <w:rPr>
                <w:rFonts w:cs="Times New Roman" w:ascii="Times New Roman" w:hAnsi="Times New Roman"/>
                <w:kern w:val="0"/>
                <w:sz w:val="26"/>
                <w:szCs w:val="26"/>
                <w:lang w:eastAsia="ru-RU" w:bidi="ar-SA"/>
              </w:rPr>
              <w:t>д» реалізовується проєкт «health mentor» (наставник зі здоровʼя). Щотижня жінки мають можливість відвідати зустріч з різними практикуючими лікарками задля діалогу про здоровʼя жінки. Проведено 8 зустрічей, які відвідали 96 жінок.</w:t>
            </w:r>
          </w:p>
        </w:tc>
      </w:tr>
    </w:tbl>
    <w:p>
      <w:pPr>
        <w:pStyle w:val="Normal"/>
        <w:spacing w:lineRule="auto" w:line="360"/>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spacing w:lineRule="auto" w:line="360"/>
        <w:jc w:val="center"/>
        <w:rPr>
          <w:rFonts w:ascii="Times New Roman" w:hAnsi="Times New Roman"/>
          <w:sz w:val="26"/>
          <w:szCs w:val="26"/>
        </w:rPr>
      </w:pPr>
      <w:r>
        <w:rPr>
          <w:rFonts w:cs="Times New Roman" w:ascii="Times New Roman" w:hAnsi="Times New Roman"/>
          <w:b/>
          <w:bCs/>
          <w:sz w:val="26"/>
          <w:szCs w:val="26"/>
        </w:rPr>
        <w:t>3.3.6. Культура</w:t>
      </w:r>
    </w:p>
    <w:tbl>
      <w:tblPr>
        <w:tblW w:w="15405" w:type="dxa"/>
        <w:jc w:val="left"/>
        <w:tblInd w:w="98" w:type="dxa"/>
        <w:tblLayout w:type="fixed"/>
        <w:tblCellMar>
          <w:top w:w="0" w:type="dxa"/>
          <w:left w:w="108" w:type="dxa"/>
          <w:bottom w:w="0" w:type="dxa"/>
          <w:right w:w="108" w:type="dxa"/>
        </w:tblCellMar>
        <w:tblLook w:firstRow="0" w:noVBand="0" w:lastRow="0" w:firstColumn="0" w:lastColumn="0" w:noHBand="0" w:val="0000"/>
      </w:tblPr>
      <w:tblGrid>
        <w:gridCol w:w="671"/>
        <w:gridCol w:w="3867"/>
        <w:gridCol w:w="10867"/>
      </w:tblGrid>
      <w:tr>
        <w:trPr>
          <w:trHeight w:val="615"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bCs/>
                <w:sz w:val="26"/>
                <w:szCs w:val="26"/>
              </w:rPr>
              <w:t xml:space="preserve">№ </w:t>
            </w:r>
            <w:r>
              <w:rPr>
                <w:rFonts w:cs="Times New Roman" w:ascii="Times New Roman" w:hAnsi="Times New Roman"/>
                <w:bCs/>
                <w:sz w:val="26"/>
                <w:szCs w:val="26"/>
              </w:rPr>
              <w:t>з/п</w:t>
            </w:r>
          </w:p>
        </w:tc>
        <w:tc>
          <w:tcPr>
            <w:tcW w:w="3867"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Назва заходів</w:t>
            </w:r>
          </w:p>
        </w:tc>
        <w:tc>
          <w:tcPr>
            <w:tcW w:w="1086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Стан виконання заходів</w:t>
            </w:r>
          </w:p>
        </w:tc>
      </w:tr>
      <w:tr>
        <w:trPr>
          <w:trHeight w:val="615"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t>1.</w:t>
            </w:r>
          </w:p>
        </w:tc>
        <w:tc>
          <w:tcPr>
            <w:tcW w:w="3867"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Забезпечення ефективної роботи закладів культури, їх трансформація в осередки громадської активності та єдності.</w:t>
            </w:r>
          </w:p>
        </w:tc>
        <w:tc>
          <w:tcPr>
            <w:tcW w:w="10867" w:type="dxa"/>
            <w:tcBorders>
              <w:top w:val="single" w:sz="4" w:space="0" w:color="000000"/>
              <w:left w:val="single" w:sz="4" w:space="0" w:color="000000"/>
              <w:bottom w:val="single" w:sz="4" w:space="0" w:color="000000"/>
              <w:right w:val="single" w:sz="4" w:space="0" w:color="000000"/>
            </w:tcBorders>
          </w:tcPr>
          <w:p>
            <w:pPr>
              <w:pStyle w:val="Style23"/>
              <w:widowControl w:val="false"/>
              <w:spacing w:lineRule="auto" w:line="240" w:before="0" w:after="0"/>
              <w:ind w:firstLine="567"/>
              <w:jc w:val="both"/>
              <w:rPr>
                <w:rFonts w:ascii="Times New Roman" w:hAnsi="Times New Roman"/>
                <w:sz w:val="26"/>
                <w:szCs w:val="26"/>
              </w:rPr>
            </w:pPr>
            <w:r>
              <w:rPr>
                <w:rFonts w:cs="Times New Roman" w:ascii="Times New Roman" w:hAnsi="Times New Roman"/>
                <w:kern w:val="0"/>
                <w:sz w:val="26"/>
                <w:szCs w:val="26"/>
                <w:lang w:eastAsia="en-US" w:bidi="ar-SA"/>
              </w:rPr>
              <w:t>Перелік закладів культури базової мережі Луцької міської територіальної громади затверджено рішенням міської ради від 26.04.2023 № 44/64. У</w:t>
            </w:r>
            <w:r>
              <w:rPr>
                <w:rFonts w:cs="Times New Roman" w:ascii="Times New Roman" w:hAnsi="Times New Roman"/>
                <w:spacing w:val="38"/>
                <w:kern w:val="0"/>
                <w:sz w:val="26"/>
                <w:szCs w:val="26"/>
                <w:lang w:eastAsia="en-US" w:bidi="ar-SA"/>
              </w:rPr>
              <w:t xml:space="preserve"> </w:t>
            </w:r>
            <w:r>
              <w:rPr>
                <w:rFonts w:cs="Times New Roman" w:ascii="Times New Roman" w:hAnsi="Times New Roman"/>
                <w:spacing w:val="-2"/>
                <w:kern w:val="0"/>
                <w:sz w:val="26"/>
                <w:szCs w:val="26"/>
                <w:lang w:eastAsia="en-US" w:bidi="ar-SA"/>
              </w:rPr>
              <w:t>час</w:t>
            </w:r>
            <w:r>
              <w:rPr>
                <w:rFonts w:cs="Times New Roman" w:ascii="Times New Roman" w:hAnsi="Times New Roman"/>
                <w:spacing w:val="38"/>
                <w:kern w:val="0"/>
                <w:sz w:val="26"/>
                <w:szCs w:val="26"/>
                <w:lang w:eastAsia="en-US" w:bidi="ar-SA"/>
              </w:rPr>
              <w:t xml:space="preserve"> </w:t>
            </w:r>
            <w:r>
              <w:rPr>
                <w:rFonts w:cs="Times New Roman" w:ascii="Times New Roman" w:hAnsi="Times New Roman"/>
                <w:spacing w:val="-2"/>
                <w:kern w:val="0"/>
                <w:sz w:val="26"/>
                <w:szCs w:val="26"/>
                <w:lang w:eastAsia="en-US" w:bidi="ar-SA"/>
              </w:rPr>
              <w:t>особливого</w:t>
            </w:r>
            <w:r>
              <w:rPr>
                <w:rFonts w:cs="Times New Roman" w:ascii="Times New Roman" w:hAnsi="Times New Roman"/>
                <w:spacing w:val="38"/>
                <w:kern w:val="0"/>
                <w:sz w:val="26"/>
                <w:szCs w:val="26"/>
                <w:lang w:eastAsia="en-US" w:bidi="ar-SA"/>
              </w:rPr>
              <w:t xml:space="preserve"> </w:t>
            </w:r>
            <w:r>
              <w:rPr>
                <w:rFonts w:cs="Times New Roman" w:ascii="Times New Roman" w:hAnsi="Times New Roman"/>
                <w:spacing w:val="-2"/>
                <w:kern w:val="0"/>
                <w:sz w:val="26"/>
                <w:szCs w:val="26"/>
                <w:lang w:eastAsia="en-US" w:bidi="ar-SA"/>
              </w:rPr>
              <w:t>режиму</w:t>
            </w:r>
            <w:r>
              <w:rPr>
                <w:rFonts w:cs="Times New Roman" w:ascii="Times New Roman" w:hAnsi="Times New Roman"/>
                <w:spacing w:val="38"/>
                <w:kern w:val="0"/>
                <w:sz w:val="26"/>
                <w:szCs w:val="26"/>
                <w:lang w:eastAsia="en-US" w:bidi="ar-SA"/>
              </w:rPr>
              <w:t xml:space="preserve"> </w:t>
            </w:r>
            <w:r>
              <w:rPr>
                <w:rFonts w:cs="Times New Roman" w:ascii="Times New Roman" w:hAnsi="Times New Roman"/>
                <w:spacing w:val="-2"/>
                <w:kern w:val="0"/>
                <w:sz w:val="26"/>
                <w:szCs w:val="26"/>
                <w:lang w:eastAsia="en-US" w:bidi="ar-SA"/>
              </w:rPr>
              <w:t>воєнного</w:t>
            </w:r>
            <w:r>
              <w:rPr>
                <w:rFonts w:cs="Times New Roman" w:ascii="Times New Roman" w:hAnsi="Times New Roman"/>
                <w:spacing w:val="38"/>
                <w:kern w:val="0"/>
                <w:sz w:val="26"/>
                <w:szCs w:val="26"/>
                <w:lang w:eastAsia="en-US" w:bidi="ar-SA"/>
              </w:rPr>
              <w:t xml:space="preserve"> </w:t>
            </w:r>
            <w:r>
              <w:rPr>
                <w:rFonts w:cs="Times New Roman" w:ascii="Times New Roman" w:hAnsi="Times New Roman"/>
                <w:spacing w:val="-2"/>
                <w:kern w:val="0"/>
                <w:sz w:val="26"/>
                <w:szCs w:val="26"/>
                <w:lang w:eastAsia="en-US" w:bidi="ar-SA"/>
              </w:rPr>
              <w:t>стану</w:t>
            </w:r>
            <w:r>
              <w:rPr>
                <w:rFonts w:cs="Times New Roman" w:ascii="Times New Roman" w:hAnsi="Times New Roman"/>
                <w:spacing w:val="38"/>
                <w:kern w:val="0"/>
                <w:sz w:val="26"/>
                <w:szCs w:val="26"/>
                <w:lang w:eastAsia="en-US" w:bidi="ar-SA"/>
              </w:rPr>
              <w:t xml:space="preserve"> </w:t>
            </w:r>
            <w:r>
              <w:rPr>
                <w:rFonts w:cs="Times New Roman" w:ascii="Times New Roman" w:hAnsi="Times New Roman"/>
                <w:spacing w:val="-2"/>
                <w:kern w:val="0"/>
                <w:sz w:val="26"/>
                <w:szCs w:val="26"/>
                <w:lang w:eastAsia="en-US" w:bidi="ar-SA"/>
              </w:rPr>
              <w:t>комунальні</w:t>
            </w:r>
            <w:r>
              <w:rPr>
                <w:rFonts w:cs="Times New Roman" w:ascii="Times New Roman" w:hAnsi="Times New Roman"/>
                <w:spacing w:val="38"/>
                <w:kern w:val="0"/>
                <w:sz w:val="26"/>
                <w:szCs w:val="26"/>
                <w:lang w:eastAsia="en-US" w:bidi="ar-SA"/>
              </w:rPr>
              <w:t xml:space="preserve"> </w:t>
            </w:r>
            <w:r>
              <w:rPr>
                <w:rFonts w:cs="Times New Roman" w:ascii="Times New Roman" w:hAnsi="Times New Roman"/>
                <w:spacing w:val="-2"/>
                <w:kern w:val="0"/>
                <w:sz w:val="26"/>
                <w:szCs w:val="26"/>
                <w:lang w:eastAsia="en-US" w:bidi="ar-SA"/>
              </w:rPr>
              <w:t>заклади</w:t>
            </w:r>
            <w:r>
              <w:rPr>
                <w:rFonts w:cs="Times New Roman" w:ascii="Times New Roman" w:hAnsi="Times New Roman"/>
                <w:spacing w:val="30"/>
                <w:kern w:val="0"/>
                <w:sz w:val="26"/>
                <w:szCs w:val="26"/>
                <w:lang w:eastAsia="en-US" w:bidi="ar-SA"/>
              </w:rPr>
              <w:t xml:space="preserve"> </w:t>
            </w:r>
            <w:r>
              <w:rPr>
                <w:rFonts w:cs="Times New Roman" w:ascii="Times New Roman" w:hAnsi="Times New Roman"/>
                <w:spacing w:val="-2"/>
                <w:kern w:val="0"/>
                <w:sz w:val="26"/>
                <w:szCs w:val="26"/>
                <w:lang w:eastAsia="en-US" w:bidi="ar-SA"/>
              </w:rPr>
              <w:t>культури</w:t>
            </w:r>
            <w:r>
              <w:rPr>
                <w:rFonts w:cs="Times New Roman" w:ascii="Times New Roman" w:hAnsi="Times New Roman"/>
                <w:spacing w:val="63"/>
                <w:kern w:val="0"/>
                <w:sz w:val="26"/>
                <w:szCs w:val="26"/>
                <w:lang w:eastAsia="en-US" w:bidi="ar-SA"/>
              </w:rPr>
              <w:t xml:space="preserve"> </w:t>
            </w:r>
            <w:r>
              <w:rPr>
                <w:rFonts w:cs="Times New Roman" w:ascii="Times New Roman" w:hAnsi="Times New Roman"/>
                <w:spacing w:val="-2"/>
                <w:kern w:val="0"/>
                <w:sz w:val="26"/>
                <w:szCs w:val="26"/>
                <w:lang w:eastAsia="en-US" w:bidi="ar-SA"/>
              </w:rPr>
              <w:t>довели</w:t>
            </w:r>
            <w:r>
              <w:rPr>
                <w:rFonts w:cs="Times New Roman" w:ascii="Times New Roman" w:hAnsi="Times New Roman"/>
                <w:spacing w:val="63"/>
                <w:kern w:val="0"/>
                <w:sz w:val="26"/>
                <w:szCs w:val="26"/>
                <w:lang w:eastAsia="en-US" w:bidi="ar-SA"/>
              </w:rPr>
              <w:t xml:space="preserve"> </w:t>
            </w:r>
            <w:r>
              <w:rPr>
                <w:rFonts w:cs="Times New Roman" w:ascii="Times New Roman" w:hAnsi="Times New Roman"/>
                <w:spacing w:val="-2"/>
                <w:kern w:val="0"/>
                <w:sz w:val="26"/>
                <w:szCs w:val="26"/>
                <w:lang w:eastAsia="en-US" w:bidi="ar-SA"/>
              </w:rPr>
              <w:t>свою</w:t>
            </w:r>
            <w:r>
              <w:rPr>
                <w:rFonts w:cs="Times New Roman" w:ascii="Times New Roman" w:hAnsi="Times New Roman"/>
                <w:spacing w:val="63"/>
                <w:kern w:val="0"/>
                <w:sz w:val="26"/>
                <w:szCs w:val="26"/>
                <w:lang w:eastAsia="en-US" w:bidi="ar-SA"/>
              </w:rPr>
              <w:t xml:space="preserve"> </w:t>
            </w:r>
            <w:r>
              <w:rPr>
                <w:rFonts w:cs="Times New Roman" w:ascii="Times New Roman" w:hAnsi="Times New Roman"/>
                <w:spacing w:val="-2"/>
                <w:kern w:val="0"/>
                <w:sz w:val="26"/>
                <w:szCs w:val="26"/>
                <w:lang w:eastAsia="en-US" w:bidi="ar-SA"/>
              </w:rPr>
              <w:t>спроможність</w:t>
            </w:r>
            <w:r>
              <w:rPr>
                <w:rFonts w:cs="Times New Roman" w:ascii="Times New Roman" w:hAnsi="Times New Roman"/>
                <w:spacing w:val="63"/>
                <w:kern w:val="0"/>
                <w:sz w:val="26"/>
                <w:szCs w:val="26"/>
                <w:lang w:eastAsia="en-US" w:bidi="ar-SA"/>
              </w:rPr>
              <w:t xml:space="preserve"> </w:t>
            </w:r>
            <w:r>
              <w:rPr>
                <w:rFonts w:cs="Times New Roman" w:ascii="Times New Roman" w:hAnsi="Times New Roman"/>
                <w:spacing w:val="-1"/>
                <w:kern w:val="0"/>
                <w:sz w:val="26"/>
                <w:szCs w:val="26"/>
                <w:lang w:eastAsia="en-US" w:bidi="ar-SA"/>
              </w:rPr>
              <w:t>та</w:t>
            </w:r>
            <w:r>
              <w:rPr>
                <w:rFonts w:cs="Times New Roman" w:ascii="Times New Roman" w:hAnsi="Times New Roman"/>
                <w:spacing w:val="63"/>
                <w:kern w:val="0"/>
                <w:sz w:val="26"/>
                <w:szCs w:val="26"/>
                <w:lang w:eastAsia="en-US" w:bidi="ar-SA"/>
              </w:rPr>
              <w:t xml:space="preserve"> </w:t>
            </w:r>
            <w:r>
              <w:rPr>
                <w:rFonts w:cs="Times New Roman" w:ascii="Times New Roman" w:hAnsi="Times New Roman"/>
                <w:spacing w:val="-2"/>
                <w:kern w:val="0"/>
                <w:sz w:val="26"/>
                <w:szCs w:val="26"/>
                <w:lang w:eastAsia="en-US" w:bidi="ar-SA"/>
              </w:rPr>
              <w:t>важливість</w:t>
            </w:r>
            <w:r>
              <w:rPr>
                <w:rFonts w:cs="Times New Roman" w:ascii="Times New Roman" w:hAnsi="Times New Roman"/>
                <w:spacing w:val="63"/>
                <w:kern w:val="0"/>
                <w:sz w:val="26"/>
                <w:szCs w:val="26"/>
                <w:lang w:eastAsia="en-US" w:bidi="ar-SA"/>
              </w:rPr>
              <w:t xml:space="preserve"> </w:t>
            </w:r>
            <w:r>
              <w:rPr>
                <w:rFonts w:cs="Times New Roman" w:ascii="Times New Roman" w:hAnsi="Times New Roman"/>
                <w:spacing w:val="-2"/>
                <w:kern w:val="0"/>
                <w:sz w:val="26"/>
                <w:szCs w:val="26"/>
                <w:lang w:eastAsia="en-US" w:bidi="ar-SA"/>
              </w:rPr>
              <w:t>для</w:t>
            </w:r>
            <w:r>
              <w:rPr>
                <w:rFonts w:cs="Times New Roman" w:ascii="Times New Roman" w:hAnsi="Times New Roman"/>
                <w:spacing w:val="63"/>
                <w:kern w:val="0"/>
                <w:sz w:val="26"/>
                <w:szCs w:val="26"/>
                <w:lang w:eastAsia="en-US" w:bidi="ar-SA"/>
              </w:rPr>
              <w:t xml:space="preserve"> </w:t>
            </w:r>
            <w:r>
              <w:rPr>
                <w:rFonts w:cs="Times New Roman" w:ascii="Times New Roman" w:hAnsi="Times New Roman"/>
                <w:spacing w:val="-2"/>
                <w:kern w:val="0"/>
                <w:sz w:val="26"/>
                <w:szCs w:val="26"/>
                <w:lang w:eastAsia="en-US" w:bidi="ar-SA"/>
              </w:rPr>
              <w:t>громади</w:t>
            </w:r>
            <w:r>
              <w:rPr>
                <w:rFonts w:cs="Times New Roman" w:ascii="Times New Roman" w:hAnsi="Times New Roman"/>
                <w:spacing w:val="63"/>
                <w:kern w:val="0"/>
                <w:sz w:val="26"/>
                <w:szCs w:val="26"/>
                <w:lang w:eastAsia="en-US" w:bidi="ar-SA"/>
              </w:rPr>
              <w:t xml:space="preserve"> </w:t>
            </w:r>
            <w:r>
              <w:rPr>
                <w:rFonts w:cs="Times New Roman" w:ascii="Times New Roman" w:hAnsi="Times New Roman"/>
                <w:spacing w:val="-2"/>
                <w:kern w:val="0"/>
                <w:sz w:val="26"/>
                <w:szCs w:val="26"/>
                <w:lang w:eastAsia="en-US" w:bidi="ar-SA"/>
              </w:rPr>
              <w:t>шляхом</w:t>
            </w:r>
            <w:r>
              <w:rPr>
                <w:rFonts w:cs="Times New Roman" w:ascii="Times New Roman" w:hAnsi="Times New Roman"/>
                <w:spacing w:val="28"/>
                <w:kern w:val="0"/>
                <w:sz w:val="26"/>
                <w:szCs w:val="26"/>
                <w:lang w:eastAsia="en-US" w:bidi="ar-SA"/>
              </w:rPr>
              <w:t xml:space="preserve"> </w:t>
            </w:r>
            <w:r>
              <w:rPr>
                <w:rFonts w:cs="Times New Roman" w:ascii="Times New Roman" w:hAnsi="Times New Roman"/>
                <w:spacing w:val="-2"/>
                <w:kern w:val="0"/>
                <w:sz w:val="26"/>
                <w:szCs w:val="26"/>
                <w:lang w:eastAsia="en-US" w:bidi="ar-SA"/>
              </w:rPr>
              <w:t>упровадження</w:t>
            </w:r>
            <w:r>
              <w:rPr>
                <w:rFonts w:cs="Times New Roman" w:ascii="Times New Roman" w:hAnsi="Times New Roman"/>
                <w:spacing w:val="32"/>
                <w:kern w:val="0"/>
                <w:sz w:val="26"/>
                <w:szCs w:val="26"/>
                <w:lang w:eastAsia="en-US" w:bidi="ar-SA"/>
              </w:rPr>
              <w:t xml:space="preserve"> </w:t>
            </w:r>
            <w:r>
              <w:rPr>
                <w:rFonts w:cs="Times New Roman" w:ascii="Times New Roman" w:hAnsi="Times New Roman"/>
                <w:spacing w:val="-2"/>
                <w:kern w:val="0"/>
                <w:sz w:val="26"/>
                <w:szCs w:val="26"/>
                <w:lang w:eastAsia="en-US" w:bidi="ar-SA"/>
              </w:rPr>
              <w:t>різнопланових</w:t>
            </w:r>
            <w:r>
              <w:rPr>
                <w:rFonts w:cs="Times New Roman" w:ascii="Times New Roman" w:hAnsi="Times New Roman"/>
                <w:spacing w:val="32"/>
                <w:kern w:val="0"/>
                <w:sz w:val="26"/>
                <w:szCs w:val="26"/>
                <w:lang w:eastAsia="en-US" w:bidi="ar-SA"/>
              </w:rPr>
              <w:t xml:space="preserve"> </w:t>
            </w:r>
            <w:r>
              <w:rPr>
                <w:rFonts w:cs="Times New Roman" w:ascii="Times New Roman" w:hAnsi="Times New Roman"/>
                <w:spacing w:val="-2"/>
                <w:kern w:val="0"/>
                <w:sz w:val="26"/>
                <w:szCs w:val="26"/>
                <w:lang w:eastAsia="en-US" w:bidi="ar-SA"/>
              </w:rPr>
              <w:t>актуальних</w:t>
            </w:r>
            <w:r>
              <w:rPr>
                <w:rFonts w:cs="Times New Roman" w:ascii="Times New Roman" w:hAnsi="Times New Roman"/>
                <w:spacing w:val="26"/>
                <w:kern w:val="0"/>
                <w:sz w:val="26"/>
                <w:szCs w:val="26"/>
                <w:lang w:eastAsia="en-US" w:bidi="ar-SA"/>
              </w:rPr>
              <w:t xml:space="preserve"> </w:t>
            </w:r>
            <w:r>
              <w:rPr>
                <w:rFonts w:cs="Times New Roman" w:ascii="Times New Roman" w:hAnsi="Times New Roman"/>
                <w:spacing w:val="-2"/>
                <w:kern w:val="0"/>
                <w:sz w:val="26"/>
                <w:szCs w:val="26"/>
                <w:lang w:eastAsia="en-US" w:bidi="ar-SA"/>
              </w:rPr>
              <w:t>методів</w:t>
            </w:r>
            <w:r>
              <w:rPr>
                <w:rFonts w:cs="Times New Roman" w:ascii="Times New Roman" w:hAnsi="Times New Roman"/>
                <w:spacing w:val="18"/>
                <w:kern w:val="0"/>
                <w:sz w:val="26"/>
                <w:szCs w:val="26"/>
                <w:lang w:eastAsia="en-US" w:bidi="ar-SA"/>
              </w:rPr>
              <w:t xml:space="preserve"> </w:t>
            </w:r>
            <w:r>
              <w:rPr>
                <w:rFonts w:cs="Times New Roman" w:ascii="Times New Roman" w:hAnsi="Times New Roman"/>
                <w:spacing w:val="-2"/>
                <w:kern w:val="0"/>
                <w:sz w:val="26"/>
                <w:szCs w:val="26"/>
                <w:lang w:eastAsia="en-US" w:bidi="ar-SA"/>
              </w:rPr>
              <w:t>роботи,</w:t>
            </w:r>
            <w:r>
              <w:rPr>
                <w:rFonts w:cs="Times New Roman" w:ascii="Times New Roman" w:hAnsi="Times New Roman"/>
                <w:spacing w:val="18"/>
                <w:kern w:val="0"/>
                <w:sz w:val="26"/>
                <w:szCs w:val="26"/>
                <w:lang w:eastAsia="en-US" w:bidi="ar-SA"/>
              </w:rPr>
              <w:t xml:space="preserve"> </w:t>
            </w:r>
            <w:r>
              <w:rPr>
                <w:rFonts w:cs="Times New Roman" w:ascii="Times New Roman" w:hAnsi="Times New Roman"/>
                <w:spacing w:val="-2"/>
                <w:kern w:val="0"/>
                <w:sz w:val="26"/>
                <w:szCs w:val="26"/>
                <w:lang w:eastAsia="en-US" w:bidi="ar-SA"/>
              </w:rPr>
              <w:t>участі</w:t>
            </w:r>
            <w:r>
              <w:rPr>
                <w:rFonts w:cs="Times New Roman" w:ascii="Times New Roman" w:hAnsi="Times New Roman"/>
                <w:spacing w:val="17"/>
                <w:kern w:val="0"/>
                <w:sz w:val="26"/>
                <w:szCs w:val="26"/>
                <w:lang w:eastAsia="en-US" w:bidi="ar-SA"/>
              </w:rPr>
              <w:t xml:space="preserve"> </w:t>
            </w:r>
            <w:r>
              <w:rPr>
                <w:rFonts w:cs="Times New Roman" w:ascii="Times New Roman" w:hAnsi="Times New Roman"/>
                <w:kern w:val="0"/>
                <w:sz w:val="26"/>
                <w:szCs w:val="26"/>
                <w:lang w:eastAsia="en-US" w:bidi="ar-SA"/>
              </w:rPr>
              <w:t>у</w:t>
            </w:r>
            <w:r>
              <w:rPr>
                <w:rFonts w:cs="Times New Roman" w:ascii="Times New Roman" w:hAnsi="Times New Roman"/>
                <w:spacing w:val="18"/>
                <w:kern w:val="0"/>
                <w:sz w:val="26"/>
                <w:szCs w:val="26"/>
                <w:lang w:eastAsia="en-US" w:bidi="ar-SA"/>
              </w:rPr>
              <w:t xml:space="preserve"> </w:t>
            </w:r>
            <w:r>
              <w:rPr>
                <w:rFonts w:cs="Times New Roman" w:ascii="Times New Roman" w:hAnsi="Times New Roman"/>
                <w:spacing w:val="-2"/>
                <w:kern w:val="0"/>
                <w:sz w:val="26"/>
                <w:szCs w:val="26"/>
                <w:lang w:eastAsia="en-US" w:bidi="ar-SA"/>
              </w:rPr>
              <w:t>волонтерських</w:t>
            </w:r>
            <w:r>
              <w:rPr>
                <w:rFonts w:cs="Times New Roman" w:ascii="Times New Roman" w:hAnsi="Times New Roman"/>
                <w:spacing w:val="18"/>
                <w:kern w:val="0"/>
                <w:sz w:val="26"/>
                <w:szCs w:val="26"/>
                <w:lang w:eastAsia="en-US" w:bidi="ar-SA"/>
              </w:rPr>
              <w:t xml:space="preserve"> </w:t>
            </w:r>
            <w:r>
              <w:rPr>
                <w:rFonts w:cs="Times New Roman" w:ascii="Times New Roman" w:hAnsi="Times New Roman"/>
                <w:spacing w:val="-2"/>
                <w:kern w:val="0"/>
                <w:sz w:val="26"/>
                <w:szCs w:val="26"/>
                <w:lang w:eastAsia="en-US" w:bidi="ar-SA"/>
              </w:rPr>
              <w:t>рухах,</w:t>
            </w:r>
            <w:r>
              <w:rPr>
                <w:rFonts w:cs="Times New Roman" w:ascii="Times New Roman" w:hAnsi="Times New Roman"/>
                <w:spacing w:val="18"/>
                <w:kern w:val="0"/>
                <w:sz w:val="26"/>
                <w:szCs w:val="26"/>
                <w:lang w:eastAsia="en-US" w:bidi="ar-SA"/>
              </w:rPr>
              <w:t xml:space="preserve"> </w:t>
            </w:r>
            <w:r>
              <w:rPr>
                <w:rFonts w:cs="Times New Roman" w:ascii="Times New Roman" w:hAnsi="Times New Roman"/>
                <w:spacing w:val="-1"/>
                <w:kern w:val="0"/>
                <w:sz w:val="26"/>
                <w:szCs w:val="26"/>
                <w:lang w:eastAsia="en-US" w:bidi="ar-SA"/>
              </w:rPr>
              <w:t>що</w:t>
            </w:r>
            <w:r>
              <w:rPr>
                <w:rFonts w:cs="Times New Roman" w:ascii="Times New Roman" w:hAnsi="Times New Roman"/>
                <w:spacing w:val="17"/>
                <w:kern w:val="0"/>
                <w:sz w:val="26"/>
                <w:szCs w:val="26"/>
                <w:lang w:eastAsia="en-US" w:bidi="ar-SA"/>
              </w:rPr>
              <w:t xml:space="preserve"> </w:t>
            </w:r>
            <w:r>
              <w:rPr>
                <w:rFonts w:cs="Times New Roman" w:ascii="Times New Roman" w:hAnsi="Times New Roman"/>
                <w:spacing w:val="-2"/>
                <w:kern w:val="0"/>
                <w:sz w:val="26"/>
                <w:szCs w:val="26"/>
                <w:lang w:eastAsia="en-US" w:bidi="ar-SA"/>
              </w:rPr>
              <w:t>сприяє</w:t>
            </w:r>
            <w:r>
              <w:rPr>
                <w:rFonts w:cs="Times New Roman" w:ascii="Times New Roman" w:hAnsi="Times New Roman"/>
                <w:spacing w:val="18"/>
                <w:kern w:val="0"/>
                <w:sz w:val="26"/>
                <w:szCs w:val="26"/>
                <w:lang w:eastAsia="en-US" w:bidi="ar-SA"/>
              </w:rPr>
              <w:t xml:space="preserve"> </w:t>
            </w:r>
            <w:r>
              <w:rPr>
                <w:rFonts w:cs="Times New Roman" w:ascii="Times New Roman" w:hAnsi="Times New Roman"/>
                <w:spacing w:val="-2"/>
                <w:kern w:val="0"/>
                <w:sz w:val="26"/>
                <w:szCs w:val="26"/>
                <w:lang w:eastAsia="en-US" w:bidi="ar-SA"/>
              </w:rPr>
              <w:t>згуртованості,</w:t>
            </w:r>
            <w:r>
              <w:rPr>
                <w:rFonts w:cs="Times New Roman" w:ascii="Times New Roman" w:hAnsi="Times New Roman"/>
                <w:spacing w:val="17"/>
                <w:kern w:val="0"/>
                <w:sz w:val="26"/>
                <w:szCs w:val="26"/>
                <w:lang w:eastAsia="en-US" w:bidi="ar-SA"/>
              </w:rPr>
              <w:t xml:space="preserve"> </w:t>
            </w:r>
            <w:r>
              <w:rPr>
                <w:rFonts w:cs="Times New Roman" w:ascii="Times New Roman" w:hAnsi="Times New Roman"/>
                <w:spacing w:val="-2"/>
                <w:kern w:val="0"/>
                <w:sz w:val="26"/>
                <w:szCs w:val="26"/>
                <w:lang w:eastAsia="en-US" w:bidi="ar-SA"/>
              </w:rPr>
              <w:t>єдності</w:t>
            </w:r>
            <w:r>
              <w:rPr>
                <w:rFonts w:cs="Times New Roman" w:ascii="Times New Roman" w:hAnsi="Times New Roman"/>
                <w:spacing w:val="27"/>
                <w:kern w:val="0"/>
                <w:sz w:val="26"/>
                <w:szCs w:val="26"/>
                <w:lang w:eastAsia="en-US" w:bidi="ar-SA"/>
              </w:rPr>
              <w:t xml:space="preserve"> </w:t>
            </w:r>
            <w:r>
              <w:rPr>
                <w:rFonts w:cs="Times New Roman" w:ascii="Times New Roman" w:hAnsi="Times New Roman"/>
                <w:spacing w:val="-2"/>
                <w:kern w:val="0"/>
                <w:sz w:val="26"/>
                <w:szCs w:val="26"/>
                <w:lang w:eastAsia="en-US" w:bidi="ar-SA"/>
              </w:rPr>
              <w:t>мешканців</w:t>
            </w:r>
            <w:r>
              <w:rPr>
                <w:rFonts w:cs="Times New Roman" w:ascii="Times New Roman" w:hAnsi="Times New Roman"/>
                <w:spacing w:val="-4"/>
                <w:kern w:val="0"/>
                <w:sz w:val="26"/>
                <w:szCs w:val="26"/>
                <w:lang w:eastAsia="en-US" w:bidi="ar-SA"/>
              </w:rPr>
              <w:t xml:space="preserve"> </w:t>
            </w:r>
            <w:r>
              <w:rPr>
                <w:rFonts w:cs="Times New Roman" w:ascii="Times New Roman" w:hAnsi="Times New Roman"/>
                <w:spacing w:val="-2"/>
                <w:kern w:val="0"/>
                <w:sz w:val="26"/>
                <w:szCs w:val="26"/>
                <w:lang w:eastAsia="en-US" w:bidi="ar-SA"/>
              </w:rPr>
              <w:t>громади</w:t>
            </w:r>
            <w:r>
              <w:rPr>
                <w:rFonts w:cs="Times New Roman" w:ascii="Times New Roman" w:hAnsi="Times New Roman"/>
                <w:spacing w:val="-4"/>
                <w:kern w:val="0"/>
                <w:sz w:val="26"/>
                <w:szCs w:val="26"/>
                <w:lang w:eastAsia="en-US" w:bidi="ar-SA"/>
              </w:rPr>
              <w:t xml:space="preserve"> </w:t>
            </w:r>
            <w:r>
              <w:rPr>
                <w:rFonts w:cs="Times New Roman" w:ascii="Times New Roman" w:hAnsi="Times New Roman"/>
                <w:spacing w:val="-1"/>
                <w:kern w:val="0"/>
                <w:sz w:val="26"/>
                <w:szCs w:val="26"/>
                <w:lang w:eastAsia="en-US" w:bidi="ar-SA"/>
              </w:rPr>
              <w:t>та</w:t>
            </w:r>
            <w:r>
              <w:rPr>
                <w:rFonts w:cs="Times New Roman" w:ascii="Times New Roman" w:hAnsi="Times New Roman"/>
                <w:spacing w:val="-5"/>
                <w:kern w:val="0"/>
                <w:sz w:val="26"/>
                <w:szCs w:val="26"/>
                <w:lang w:eastAsia="en-US" w:bidi="ar-SA"/>
              </w:rPr>
              <w:t xml:space="preserve"> </w:t>
            </w:r>
            <w:r>
              <w:rPr>
                <w:rFonts w:cs="Times New Roman" w:ascii="Times New Roman" w:hAnsi="Times New Roman"/>
                <w:spacing w:val="-2"/>
                <w:kern w:val="0"/>
                <w:sz w:val="26"/>
                <w:szCs w:val="26"/>
                <w:lang w:eastAsia="en-US" w:bidi="ar-SA"/>
              </w:rPr>
              <w:t>наближенню</w:t>
            </w:r>
            <w:r>
              <w:rPr>
                <w:rFonts w:cs="Times New Roman" w:ascii="Times New Roman" w:hAnsi="Times New Roman"/>
                <w:spacing w:val="-4"/>
                <w:kern w:val="0"/>
                <w:sz w:val="26"/>
                <w:szCs w:val="26"/>
                <w:lang w:eastAsia="en-US" w:bidi="ar-SA"/>
              </w:rPr>
              <w:t xml:space="preserve"> </w:t>
            </w:r>
            <w:r>
              <w:rPr>
                <w:rFonts w:cs="Times New Roman" w:ascii="Times New Roman" w:hAnsi="Times New Roman"/>
                <w:spacing w:val="-2"/>
                <w:kern w:val="0"/>
                <w:sz w:val="26"/>
                <w:szCs w:val="26"/>
                <w:lang w:eastAsia="en-US" w:bidi="ar-SA"/>
              </w:rPr>
              <w:t>перемоги.</w:t>
            </w:r>
          </w:p>
          <w:p>
            <w:pPr>
              <w:pStyle w:val="Style23"/>
              <w:widowControl w:val="false"/>
              <w:spacing w:lineRule="auto" w:line="240" w:before="0" w:after="0"/>
              <w:ind w:firstLine="567"/>
              <w:jc w:val="both"/>
              <w:rPr>
                <w:rFonts w:ascii="Times New Roman" w:hAnsi="Times New Roman"/>
                <w:sz w:val="26"/>
                <w:szCs w:val="26"/>
              </w:rPr>
            </w:pPr>
            <w:r>
              <w:rPr>
                <w:rFonts w:cs="Times New Roman" w:ascii="Times New Roman" w:hAnsi="Times New Roman"/>
                <w:kern w:val="0"/>
                <w:sz w:val="26"/>
                <w:szCs w:val="26"/>
                <w:lang w:eastAsia="en-US" w:bidi="ar-SA"/>
              </w:rPr>
              <w:t>У поточному році продовжили роботу створені на базі закладів культури з початку війни 12 Центрів арт-терапії</w:t>
            </w:r>
            <w:r>
              <w:rPr>
                <w:rFonts w:cs="Times New Roman" w:ascii="Times New Roman" w:hAnsi="Times New Roman"/>
                <w:spacing w:val="-2"/>
                <w:kern w:val="0"/>
                <w:sz w:val="26"/>
                <w:szCs w:val="26"/>
                <w:lang w:eastAsia="en-US" w:bidi="ar-SA"/>
              </w:rPr>
              <w:t xml:space="preserve">. </w:t>
            </w:r>
            <w:r>
              <w:rPr>
                <w:rFonts w:cs="Times New Roman" w:ascii="Times New Roman" w:hAnsi="Times New Roman"/>
                <w:kern w:val="0"/>
                <w:sz w:val="26"/>
                <w:szCs w:val="26"/>
                <w:lang w:eastAsia="en-US" w:bidi="ar-SA"/>
              </w:rPr>
              <w:t xml:space="preserve">У закладах діють волонтерські центри із залученням мешканців громади для проведення заходів, спрямованих на підтримку ЗСУ. </w:t>
            </w:r>
            <w:r>
              <w:rPr>
                <w:rFonts w:cs="Times New Roman" w:ascii="Times New Roman" w:hAnsi="Times New Roman"/>
                <w:kern w:val="0"/>
                <w:sz w:val="26"/>
                <w:szCs w:val="26"/>
                <w:lang w:val="ru-RU" w:bidi="ar-SA"/>
              </w:rPr>
              <w:t>Аматорські</w:t>
            </w:r>
            <w:r>
              <w:rPr>
                <w:rFonts w:cs="Times New Roman" w:ascii="Times New Roman" w:hAnsi="Times New Roman"/>
                <w:spacing w:val="23"/>
                <w:kern w:val="0"/>
                <w:sz w:val="26"/>
                <w:szCs w:val="26"/>
                <w:lang w:val="ru-RU" w:bidi="ar-SA"/>
              </w:rPr>
              <w:t xml:space="preserve"> </w:t>
            </w:r>
            <w:r>
              <w:rPr>
                <w:rFonts w:cs="Times New Roman" w:ascii="Times New Roman" w:hAnsi="Times New Roman"/>
                <w:kern w:val="0"/>
                <w:sz w:val="26"/>
                <w:szCs w:val="26"/>
                <w:lang w:val="ru-RU" w:bidi="ar-SA"/>
              </w:rPr>
              <w:t>колективи та</w:t>
            </w:r>
            <w:r>
              <w:rPr>
                <w:rFonts w:cs="Times New Roman" w:ascii="Times New Roman" w:hAnsi="Times New Roman"/>
                <w:spacing w:val="23"/>
                <w:kern w:val="0"/>
                <w:sz w:val="26"/>
                <w:szCs w:val="26"/>
                <w:lang w:val="ru-RU" w:bidi="ar-SA"/>
              </w:rPr>
              <w:t xml:space="preserve"> </w:t>
            </w:r>
            <w:r>
              <w:rPr>
                <w:rFonts w:cs="Times New Roman" w:ascii="Times New Roman" w:hAnsi="Times New Roman"/>
                <w:spacing w:val="-2"/>
                <w:kern w:val="0"/>
                <w:sz w:val="26"/>
                <w:szCs w:val="26"/>
                <w:lang w:val="ru-RU" w:bidi="ar-SA"/>
              </w:rPr>
              <w:t>окремі</w:t>
            </w:r>
            <w:r>
              <w:rPr>
                <w:rFonts w:cs="Times New Roman" w:ascii="Times New Roman" w:hAnsi="Times New Roman"/>
                <w:spacing w:val="1"/>
                <w:kern w:val="0"/>
                <w:sz w:val="26"/>
                <w:szCs w:val="26"/>
                <w:lang w:val="ru-RU" w:bidi="ar-SA"/>
              </w:rPr>
              <w:t xml:space="preserve"> </w:t>
            </w:r>
            <w:r>
              <w:rPr>
                <w:rFonts w:cs="Times New Roman" w:ascii="Times New Roman" w:hAnsi="Times New Roman"/>
                <w:kern w:val="0"/>
                <w:sz w:val="26"/>
                <w:szCs w:val="26"/>
                <w:lang w:val="ru-RU" w:bidi="ar-SA"/>
              </w:rPr>
              <w:t>виконавці</w:t>
            </w:r>
            <w:r>
              <w:rPr>
                <w:rFonts w:cs="Times New Roman" w:ascii="Times New Roman" w:hAnsi="Times New Roman"/>
                <w:spacing w:val="2"/>
                <w:kern w:val="0"/>
                <w:sz w:val="26"/>
                <w:szCs w:val="26"/>
                <w:lang w:val="ru-RU" w:bidi="ar-SA"/>
              </w:rPr>
              <w:t xml:space="preserve"> </w:t>
            </w:r>
            <w:r>
              <w:rPr>
                <w:rFonts w:cs="Times New Roman" w:ascii="Times New Roman" w:hAnsi="Times New Roman"/>
                <w:spacing w:val="-1"/>
                <w:kern w:val="0"/>
                <w:sz w:val="26"/>
                <w:szCs w:val="26"/>
                <w:lang w:val="ru-RU" w:bidi="ar-SA"/>
              </w:rPr>
              <w:t>включилися</w:t>
            </w:r>
            <w:r>
              <w:rPr>
                <w:rFonts w:cs="Times New Roman" w:ascii="Times New Roman" w:hAnsi="Times New Roman"/>
                <w:spacing w:val="23"/>
                <w:kern w:val="0"/>
                <w:sz w:val="26"/>
                <w:szCs w:val="26"/>
                <w:lang w:val="ru-RU" w:bidi="ar-SA"/>
              </w:rPr>
              <w:t xml:space="preserve"> </w:t>
            </w:r>
            <w:r>
              <w:rPr>
                <w:rFonts w:cs="Times New Roman" w:ascii="Times New Roman" w:hAnsi="Times New Roman"/>
                <w:kern w:val="0"/>
                <w:sz w:val="26"/>
                <w:szCs w:val="26"/>
                <w:lang w:val="ru-RU" w:bidi="ar-SA"/>
              </w:rPr>
              <w:t>в</w:t>
            </w:r>
            <w:r>
              <w:rPr>
                <w:rFonts w:cs="Times New Roman" w:ascii="Times New Roman" w:hAnsi="Times New Roman"/>
                <w:spacing w:val="23"/>
                <w:kern w:val="0"/>
                <w:sz w:val="26"/>
                <w:szCs w:val="26"/>
                <w:lang w:val="ru-RU" w:bidi="ar-SA"/>
              </w:rPr>
              <w:t xml:space="preserve"> </w:t>
            </w:r>
            <w:r>
              <w:rPr>
                <w:rFonts w:cs="Times New Roman" w:ascii="Times New Roman" w:hAnsi="Times New Roman"/>
                <w:kern w:val="0"/>
                <w:sz w:val="26"/>
                <w:szCs w:val="26"/>
                <w:lang w:val="ru-RU" w:bidi="ar-SA"/>
              </w:rPr>
              <w:t>процес</w:t>
            </w:r>
            <w:r>
              <w:rPr>
                <w:rFonts w:cs="Times New Roman" w:ascii="Times New Roman" w:hAnsi="Times New Roman"/>
                <w:spacing w:val="23"/>
                <w:kern w:val="0"/>
                <w:sz w:val="26"/>
                <w:szCs w:val="26"/>
                <w:lang w:val="ru-RU" w:bidi="ar-SA"/>
              </w:rPr>
              <w:t xml:space="preserve"> </w:t>
            </w:r>
            <w:r>
              <w:rPr>
                <w:rFonts w:cs="Times New Roman" w:ascii="Times New Roman" w:hAnsi="Times New Roman"/>
                <w:kern w:val="0"/>
                <w:sz w:val="26"/>
                <w:szCs w:val="26"/>
                <w:lang w:val="ru-RU" w:bidi="ar-SA"/>
              </w:rPr>
              <w:t>оновлення</w:t>
            </w:r>
            <w:r>
              <w:rPr>
                <w:rFonts w:cs="Times New Roman" w:ascii="Times New Roman" w:hAnsi="Times New Roman"/>
                <w:spacing w:val="25"/>
                <w:kern w:val="0"/>
                <w:sz w:val="26"/>
                <w:szCs w:val="26"/>
                <w:lang w:val="ru-RU" w:bidi="ar-SA"/>
              </w:rPr>
              <w:t xml:space="preserve"> </w:t>
            </w:r>
            <w:r>
              <w:rPr>
                <w:rFonts w:cs="Times New Roman" w:ascii="Times New Roman" w:hAnsi="Times New Roman"/>
                <w:kern w:val="0"/>
                <w:sz w:val="26"/>
                <w:szCs w:val="26"/>
                <w:lang w:val="ru-RU" w:bidi="ar-SA"/>
              </w:rPr>
              <w:t>та</w:t>
            </w:r>
            <w:r>
              <w:rPr>
                <w:rFonts w:cs="Times New Roman" w:ascii="Times New Roman" w:hAnsi="Times New Roman"/>
                <w:spacing w:val="46"/>
                <w:kern w:val="0"/>
                <w:sz w:val="26"/>
                <w:szCs w:val="26"/>
                <w:lang w:val="ru-RU" w:bidi="ar-SA"/>
              </w:rPr>
              <w:t xml:space="preserve"> </w:t>
            </w:r>
            <w:r>
              <w:rPr>
                <w:rFonts w:cs="Times New Roman" w:ascii="Times New Roman" w:hAnsi="Times New Roman"/>
                <w:kern w:val="0"/>
                <w:sz w:val="26"/>
                <w:szCs w:val="26"/>
                <w:lang w:val="ru-RU" w:bidi="ar-SA"/>
              </w:rPr>
              <w:t>актуалізації</w:t>
            </w:r>
            <w:r>
              <w:rPr>
                <w:rFonts w:cs="Times New Roman" w:ascii="Times New Roman" w:hAnsi="Times New Roman"/>
                <w:spacing w:val="46"/>
                <w:kern w:val="0"/>
                <w:sz w:val="26"/>
                <w:szCs w:val="26"/>
                <w:lang w:val="ru-RU" w:bidi="ar-SA"/>
              </w:rPr>
              <w:t xml:space="preserve"> </w:t>
            </w:r>
            <w:r>
              <w:rPr>
                <w:rFonts w:cs="Times New Roman" w:ascii="Times New Roman" w:hAnsi="Times New Roman"/>
                <w:kern w:val="0"/>
                <w:sz w:val="26"/>
                <w:szCs w:val="26"/>
                <w:lang w:val="ru-RU" w:bidi="ar-SA"/>
              </w:rPr>
              <w:t>репертуару,</w:t>
            </w:r>
            <w:r>
              <w:rPr>
                <w:rFonts w:cs="Times New Roman" w:ascii="Times New Roman" w:hAnsi="Times New Roman"/>
                <w:spacing w:val="46"/>
                <w:kern w:val="0"/>
                <w:sz w:val="26"/>
                <w:szCs w:val="26"/>
                <w:lang w:val="ru-RU" w:bidi="ar-SA"/>
              </w:rPr>
              <w:t xml:space="preserve"> </w:t>
            </w:r>
            <w:r>
              <w:rPr>
                <w:rFonts w:cs="Times New Roman" w:ascii="Times New Roman" w:hAnsi="Times New Roman"/>
                <w:kern w:val="0"/>
                <w:sz w:val="26"/>
                <w:szCs w:val="26"/>
                <w:lang w:val="ru-RU" w:bidi="ar-SA"/>
              </w:rPr>
              <w:t>активно</w:t>
            </w:r>
            <w:r>
              <w:rPr>
                <w:rFonts w:cs="Times New Roman" w:ascii="Times New Roman" w:hAnsi="Times New Roman"/>
                <w:spacing w:val="38"/>
                <w:kern w:val="0"/>
                <w:sz w:val="26"/>
                <w:szCs w:val="26"/>
                <w:lang w:val="ru-RU" w:bidi="ar-SA"/>
              </w:rPr>
              <w:t xml:space="preserve"> </w:t>
            </w:r>
            <w:r>
              <w:rPr>
                <w:rFonts w:cs="Times New Roman" w:ascii="Times New Roman" w:hAnsi="Times New Roman"/>
                <w:kern w:val="0"/>
                <w:sz w:val="26"/>
                <w:szCs w:val="26"/>
                <w:lang w:val="ru-RU" w:bidi="ar-SA"/>
              </w:rPr>
              <w:t>долучаються</w:t>
            </w:r>
            <w:r>
              <w:rPr>
                <w:rFonts w:cs="Times New Roman" w:ascii="Times New Roman" w:hAnsi="Times New Roman"/>
                <w:spacing w:val="38"/>
                <w:kern w:val="0"/>
                <w:sz w:val="26"/>
                <w:szCs w:val="26"/>
                <w:lang w:val="ru-RU" w:bidi="ar-SA"/>
              </w:rPr>
              <w:t xml:space="preserve"> </w:t>
            </w:r>
            <w:r>
              <w:rPr>
                <w:rFonts w:cs="Times New Roman" w:ascii="Times New Roman" w:hAnsi="Times New Roman"/>
                <w:spacing w:val="-1"/>
                <w:kern w:val="0"/>
                <w:sz w:val="26"/>
                <w:szCs w:val="26"/>
                <w:lang w:val="ru-RU" w:bidi="ar-SA"/>
              </w:rPr>
              <w:t>до</w:t>
            </w:r>
            <w:r>
              <w:rPr>
                <w:rFonts w:cs="Times New Roman" w:ascii="Times New Roman" w:hAnsi="Times New Roman"/>
                <w:spacing w:val="38"/>
                <w:kern w:val="0"/>
                <w:sz w:val="26"/>
                <w:szCs w:val="26"/>
                <w:lang w:val="ru-RU" w:bidi="ar-SA"/>
              </w:rPr>
              <w:t xml:space="preserve"> </w:t>
            </w:r>
            <w:r>
              <w:rPr>
                <w:rFonts w:cs="Times New Roman" w:ascii="Times New Roman" w:hAnsi="Times New Roman"/>
                <w:kern w:val="0"/>
                <w:sz w:val="26"/>
                <w:szCs w:val="26"/>
                <w:lang w:bidi="ar-SA"/>
              </w:rPr>
              <w:t>благодійних мистецьких проєктів, творчих акцій на підтримку ЗСУ, серед яких «Артбатальйон», «Крок до перемоги», «Весна, що наближає перемогу», «Разом переможемо», «Сильні РАЗОМ» тощо.</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kern w:val="0"/>
                <w:sz w:val="26"/>
                <w:szCs w:val="26"/>
                <w:lang w:eastAsia="en-US" w:bidi="ar-SA"/>
              </w:rPr>
              <w:t>Здійснено зміцнення матеріально-технічної бази закладів культури на суму 410,2 тис. грн, зокрема:</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kern w:val="0"/>
                <w:sz w:val="26"/>
                <w:szCs w:val="26"/>
                <w:lang w:eastAsia="en-US" w:bidi="ar-SA"/>
              </w:rPr>
              <w:t>придбано 5 сканерів для бібліотек (7,8 тис.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kern w:val="0"/>
                <w:sz w:val="26"/>
                <w:szCs w:val="26"/>
                <w:lang w:eastAsia="en-US" w:bidi="ar-SA"/>
              </w:rPr>
              <w:t>виготовлено ПКД на поточний ремонт фасаду бібліотеки-філії № 4 (19,5 тис.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kern w:val="0"/>
                <w:sz w:val="26"/>
                <w:szCs w:val="26"/>
                <w:lang w:eastAsia="en-US" w:bidi="ar-SA"/>
              </w:rPr>
              <w:t>здійснено поточний ремонт аварійних приміщень БК Жидичин (199,9 тис. грн), утеплення фасаду та ремонт класів музичної школи № 3 (97,1 тис.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kern w:val="0"/>
                <w:sz w:val="26"/>
                <w:szCs w:val="26"/>
                <w:lang w:eastAsia="en-US" w:bidi="ar-SA"/>
              </w:rPr>
              <w:t>Триває поточний ремонт пам’яток дерев’яної архітектури (повітки, дахи хат) в музеї історії сільського господарства Волині-скансені (85,9 тис. грн).</w:t>
            </w:r>
          </w:p>
          <w:p>
            <w:pPr>
              <w:pStyle w:val="Western"/>
              <w:widowControl w:val="false"/>
              <w:suppressAutoHyphens w:val="true"/>
              <w:spacing w:lineRule="auto" w:line="240" w:beforeAutospacing="0" w:before="0" w:after="0"/>
              <w:ind w:firstLine="567"/>
              <w:jc w:val="both"/>
              <w:rPr>
                <w:rFonts w:ascii="Times New Roman" w:hAnsi="Times New Roman"/>
                <w:sz w:val="26"/>
                <w:szCs w:val="26"/>
              </w:rPr>
            </w:pPr>
            <w:r>
              <w:rPr>
                <w:rFonts w:ascii="Times New Roman" w:hAnsi="Times New Roman"/>
                <w:iCs/>
                <w:sz w:val="26"/>
                <w:szCs w:val="26"/>
                <w:shd w:fill="FFFFFF" w:val="clear"/>
              </w:rPr>
              <w:t>Удосконалено функціонування зведеного електронного каталогу централізованої бібліотечної системи</w:t>
            </w:r>
            <w:r>
              <w:rPr>
                <w:rFonts w:ascii="Times New Roman" w:hAnsi="Times New Roman"/>
                <w:iCs/>
                <w:sz w:val="26"/>
                <w:szCs w:val="26"/>
              </w:rPr>
              <w:t>, систематизовано бібліотечні фонди в електронній програмі «УФД/Бібліотека».</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2.</w:t>
            </w:r>
          </w:p>
        </w:tc>
        <w:tc>
          <w:tcPr>
            <w:tcW w:w="3867"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Адаптація культурних послуг до умов сьогодення, підтримка творчих об’єднань та формувань.</w:t>
            </w:r>
          </w:p>
        </w:tc>
        <w:tc>
          <w:tcPr>
            <w:tcW w:w="1086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На базі закладів культури клубного типу діє 140 клубних формувань, в яких займається близько 3 000 учасників. При бібліотеках громади працює 7 лялькових гуртків; діє 6 клубів за інтересами для дорослих і дітей.</w:t>
            </w:r>
          </w:p>
          <w:p>
            <w:pPr>
              <w:pStyle w:val="Normal"/>
              <w:widowControl w:val="false"/>
              <w:ind w:firstLine="567"/>
              <w:jc w:val="both"/>
              <w:rPr/>
            </w:pPr>
            <w:r>
              <w:rPr>
                <w:rFonts w:cs="Times New Roman" w:ascii="Times New Roman" w:hAnsi="Times New Roman"/>
                <w:sz w:val="26"/>
                <w:szCs w:val="26"/>
              </w:rPr>
              <w:t xml:space="preserve">В межах проєкту «Дія. Цифрова освіта» у бібліотечних закладах діють цифрові хаби, де усі охочі можуть безкоштовно пройти навчання з цифрової грамотності. Працюють у бібліотеках Пункти складання іспитів на визначення рівня володіння державною мовою на підставі Меморандуму про співпрацю між </w:t>
            </w:r>
            <w:hyperlink r:id="rId16" w:tgtFrame="_blank">
              <w:r>
                <w:rPr>
                  <w:rFonts w:cs="Times New Roman" w:ascii="Times New Roman" w:hAnsi="Times New Roman"/>
                  <w:sz w:val="26"/>
                  <w:szCs w:val="26"/>
                </w:rPr>
                <w:t>Національною комісією зі стандартів державної мови</w:t>
              </w:r>
            </w:hyperlink>
            <w:r>
              <w:rPr>
                <w:rFonts w:cs="Times New Roman" w:ascii="Times New Roman" w:hAnsi="Times New Roman"/>
                <w:sz w:val="26"/>
                <w:szCs w:val="26"/>
              </w:rPr>
              <w:t xml:space="preserve"> та </w:t>
            </w:r>
            <w:hyperlink r:id="rId17" w:tgtFrame="_blank">
              <w:r>
                <w:rPr>
                  <w:rFonts w:cs="Times New Roman" w:ascii="Times New Roman" w:hAnsi="Times New Roman"/>
                  <w:sz w:val="26"/>
                  <w:szCs w:val="26"/>
                </w:rPr>
                <w:t>ВГО «Українська бібліотечна асоціація</w:t>
              </w:r>
            </w:hyperlink>
            <w:r>
              <w:rPr>
                <w:rFonts w:cs="Times New Roman" w:ascii="Times New Roman" w:hAnsi="Times New Roman"/>
                <w:sz w:val="26"/>
                <w:szCs w:val="26"/>
              </w:rPr>
              <w:t>», розмовний клуб вивчення та удосконалення знань української мови «Мовний Експрес Тур» в межах проведення україномовних розмовних клубів Всеукраїнського проєкту «Єдині», реалізовується волонтерський проєкт «Психологічна допомога в кризових ситуаціях».</w:t>
            </w:r>
          </w:p>
          <w:p>
            <w:pPr>
              <w:pStyle w:val="Normal"/>
              <w:widowControl w:val="false"/>
              <w:ind w:firstLine="567"/>
              <w:jc w:val="both"/>
              <w:rPr/>
            </w:pPr>
            <w:r>
              <w:rPr>
                <w:rFonts w:cs="Times New Roman" w:ascii="Times New Roman" w:hAnsi="Times New Roman"/>
                <w:kern w:val="0"/>
                <w:sz w:val="26"/>
                <w:szCs w:val="26"/>
                <w:lang w:eastAsia="en-US" w:bidi="ar-SA"/>
              </w:rPr>
              <w:t xml:space="preserve">У закладах культури активно упроваджується арттерапевтична робота. Особлива увага приділяється дітям військовослужбовців, ВПО, соціально-вразливим категоріям населення. В межах проєктів «Творче літо», «Бібліотека-територія дитинства» відбуваються </w:t>
            </w:r>
            <w:r>
              <w:rPr>
                <w:rStyle w:val="1934"/>
                <w:rFonts w:ascii="Times New Roman" w:hAnsi="Times New Roman"/>
                <w:kern w:val="0"/>
                <w:sz w:val="26"/>
                <w:szCs w:val="26"/>
                <w:lang w:eastAsia="en-US" w:bidi="ar-SA"/>
              </w:rPr>
              <w:t>арт-терапевтичні</w:t>
            </w:r>
            <w:r>
              <w:rPr>
                <w:rFonts w:cs="Times New Roman" w:ascii="Times New Roman" w:hAnsi="Times New Roman"/>
                <w:kern w:val="0"/>
                <w:sz w:val="26"/>
                <w:szCs w:val="26"/>
                <w:lang w:eastAsia="en-US" w:bidi="ar-SA"/>
              </w:rPr>
              <w:t xml:space="preserve"> заняття, різножанрові майстер-класи (пісочна терапія, легоконструювання, паперопластика, ігрова терапія, заняття з живопису, еко-майстер-класи, патріотичні акції, фольклорні руханки, хореографічні розминки, уроки емоційної грамотності, театральна майстерня, художнє слово, пазлотерапія).</w:t>
            </w:r>
          </w:p>
          <w:p>
            <w:pPr>
              <w:pStyle w:val="Normal"/>
              <w:widowControl w:val="false"/>
              <w:ind w:firstLine="567"/>
              <w:jc w:val="both"/>
              <w:rPr>
                <w:rFonts w:ascii="Times New Roman" w:hAnsi="Times New Roman"/>
                <w:sz w:val="26"/>
                <w:szCs w:val="26"/>
              </w:rPr>
            </w:pPr>
            <w:r>
              <w:rPr>
                <w:rFonts w:cs="Times New Roman" w:ascii="Times New Roman" w:hAnsi="Times New Roman"/>
                <w:kern w:val="0"/>
                <w:sz w:val="26"/>
                <w:szCs w:val="26"/>
                <w:lang w:eastAsia="en-US" w:bidi="ar-SA"/>
              </w:rPr>
              <w:t>З метою забезпечення безперебійної роботи та належного рівня надання послуг в умовах воєнного стану, заклади культури забезпечено генераторами</w:t>
            </w:r>
            <w:r>
              <w:rPr>
                <w:rFonts w:cs="Times New Roman" w:ascii="Times New Roman" w:hAnsi="Times New Roman"/>
                <w:kern w:val="0"/>
                <w:sz w:val="26"/>
                <w:szCs w:val="26"/>
                <w:lang w:eastAsia="en-US"/>
              </w:rPr>
              <w:t>.</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3.</w:t>
            </w:r>
          </w:p>
        </w:tc>
        <w:tc>
          <w:tcPr>
            <w:tcW w:w="3867"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sz w:val="26"/>
                <w:szCs w:val="26"/>
              </w:rPr>
            </w:pPr>
            <w:r>
              <w:rPr>
                <w:rFonts w:ascii="Times New Roman" w:hAnsi="Times New Roman"/>
                <w:color w:val="auto"/>
                <w:sz w:val="26"/>
                <w:szCs w:val="26"/>
              </w:rPr>
              <w:t>Придбання звукового обладнання для КЗ «Палац культури міста Луцька» та акустичних систем для будинків культури с. Сирники та с. Іванчиці, а також придбання оргтехніки для історичного музею КЗ «Центр культури Княгининок».</w:t>
            </w:r>
          </w:p>
        </w:tc>
        <w:tc>
          <w:tcPr>
            <w:tcW w:w="1086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bCs/>
                <w:kern w:val="0"/>
                <w:sz w:val="26"/>
                <w:szCs w:val="26"/>
                <w:lang w:eastAsia="en-US" w:bidi="ar-SA"/>
              </w:rPr>
              <w:t>Виконання передбачено у ІІ півріччі.</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4.</w:t>
            </w:r>
          </w:p>
        </w:tc>
        <w:tc>
          <w:tcPr>
            <w:tcW w:w="3867"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sz w:val="26"/>
                <w:szCs w:val="26"/>
              </w:rPr>
            </w:pPr>
            <w:r>
              <w:rPr>
                <w:rFonts w:ascii="Times New Roman" w:hAnsi="Times New Roman"/>
                <w:color w:val="auto"/>
                <w:sz w:val="26"/>
                <w:szCs w:val="26"/>
              </w:rPr>
              <w:t>Реалізація культурно-освітніх, мистецьких проєктів, спрямованих на збереження та популяризацію культурної спадщини, утвердження духовності, національної ідентичності та європейських цінностей.</w:t>
            </w:r>
          </w:p>
        </w:tc>
        <w:tc>
          <w:tcPr>
            <w:tcW w:w="1086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kern w:val="0"/>
                <w:sz w:val="26"/>
                <w:szCs w:val="26"/>
                <w:lang w:eastAsia="en-US" w:bidi="ar-SA"/>
              </w:rPr>
              <w:t>На реалізацію культурно-мистецьких заходів у звітному періоді використано 327,1 тис. грн.</w:t>
            </w:r>
          </w:p>
          <w:p>
            <w:pPr>
              <w:pStyle w:val="NoSpacing"/>
              <w:widowControl w:val="false"/>
              <w:ind w:firstLine="567"/>
              <w:jc w:val="both"/>
              <w:rPr/>
            </w:pPr>
            <w:r>
              <w:rPr>
                <w:rFonts w:ascii="Times New Roman" w:hAnsi="Times New Roman"/>
                <w:sz w:val="26"/>
                <w:szCs w:val="26"/>
              </w:rPr>
              <w:t xml:space="preserve">З метою збереження та популяризації культурної спадщини, утвердження духовності, національної ідентичності реалізовано творчий проєкт «Великодня майстерня» за участі майстрів народної творчості; артпроєкт «Великоднє диво», в межах якого на Театральному майдані презентовано артінсталяції «І розквітне Україна» (мапа України), «Писанкове диво», «Воскрес Христос, воскресне Україна!» та галерею просто неба «Писанки Великої Волині. Сонячна колекція»; проєкти «Різдво Разом» та «Великдень разом», до участі в яких залучено родини захисників та внутрішньо-переміщених осіб; проведено традиційну виставку-конкурс «Писанковий дивосвіт», де було представлено близько 1 000 писанок, виконаних дітьми луцької громади та ВПО. У співпраці з </w:t>
            </w:r>
            <w:hyperlink r:id="rId18">
              <w:r>
                <w:rPr>
                  <w:rFonts w:ascii="Times New Roman" w:hAnsi="Times New Roman"/>
                  <w:sz w:val="26"/>
                  <w:szCs w:val="26"/>
                </w:rPr>
                <w:t>КП «Парки та сквери м. Луцька»</w:t>
              </w:r>
            </w:hyperlink>
            <w:r>
              <w:rPr>
                <w:rFonts w:ascii="Times New Roman" w:hAnsi="Times New Roman"/>
                <w:sz w:val="26"/>
                <w:szCs w:val="26"/>
              </w:rPr>
              <w:t xml:space="preserve">  та департаментом освіти міської ради започатковано проєкт «Парк писанок» (близько 100 макетів писанок, розписаних дітьми, упродовж Великодня прикрашали парк культури та відпочинку імені Лесі Українки). Більше 50 заходів проведено у закладах культури з нагоди Дня вишиванки.</w:t>
            </w:r>
          </w:p>
          <w:p>
            <w:pPr>
              <w:pStyle w:val="Style29"/>
              <w:widowControl w:val="false"/>
              <w:ind w:firstLine="567"/>
              <w:jc w:val="both"/>
              <w:rPr/>
            </w:pPr>
            <w:r>
              <w:rPr>
                <w:rFonts w:ascii="Times New Roman" w:hAnsi="Times New Roman"/>
                <w:b w:val="false"/>
                <w:sz w:val="26"/>
                <w:szCs w:val="26"/>
                <w:lang w:val="uk-UA"/>
              </w:rPr>
              <w:t xml:space="preserve">В межах реалізації проєкту </w:t>
            </w:r>
            <w:r>
              <w:rPr>
                <w:rFonts w:ascii="Times New Roman" w:hAnsi="Times New Roman"/>
                <w:b w:val="false"/>
                <w:spacing w:val="-1"/>
                <w:sz w:val="26"/>
                <w:szCs w:val="26"/>
                <w:lang w:val="uk-UA"/>
              </w:rPr>
              <w:t>«Спільна</w:t>
            </w:r>
            <w:r>
              <w:rPr>
                <w:rFonts w:ascii="Times New Roman" w:hAnsi="Times New Roman"/>
                <w:b w:val="false"/>
                <w:spacing w:val="39"/>
                <w:sz w:val="26"/>
                <w:szCs w:val="26"/>
                <w:lang w:val="uk-UA"/>
              </w:rPr>
              <w:t xml:space="preserve"> </w:t>
            </w:r>
            <w:r>
              <w:rPr>
                <w:rFonts w:ascii="Times New Roman" w:hAnsi="Times New Roman"/>
                <w:b w:val="false"/>
                <w:sz w:val="26"/>
                <w:szCs w:val="26"/>
                <w:lang w:val="uk-UA"/>
              </w:rPr>
              <w:t>культурна</w:t>
            </w:r>
            <w:r>
              <w:rPr>
                <w:rFonts w:ascii="Times New Roman" w:hAnsi="Times New Roman"/>
                <w:b w:val="false"/>
                <w:spacing w:val="39"/>
                <w:sz w:val="26"/>
                <w:szCs w:val="26"/>
                <w:lang w:val="uk-UA"/>
              </w:rPr>
              <w:t xml:space="preserve"> </w:t>
            </w:r>
            <w:r>
              <w:rPr>
                <w:rFonts w:ascii="Times New Roman" w:hAnsi="Times New Roman"/>
                <w:b w:val="false"/>
                <w:sz w:val="26"/>
                <w:szCs w:val="26"/>
                <w:lang w:val="uk-UA"/>
              </w:rPr>
              <w:t>спадщина:</w:t>
            </w:r>
            <w:r>
              <w:rPr>
                <w:rFonts w:ascii="Times New Roman" w:hAnsi="Times New Roman"/>
                <w:b w:val="false"/>
                <w:spacing w:val="39"/>
                <w:sz w:val="26"/>
                <w:szCs w:val="26"/>
                <w:lang w:val="uk-UA"/>
              </w:rPr>
              <w:t xml:space="preserve"> </w:t>
            </w:r>
            <w:r>
              <w:rPr>
                <w:rFonts w:ascii="Times New Roman" w:hAnsi="Times New Roman"/>
                <w:b w:val="false"/>
                <w:spacing w:val="-1"/>
                <w:sz w:val="26"/>
                <w:szCs w:val="26"/>
                <w:lang w:val="uk-UA"/>
              </w:rPr>
              <w:t>відродження</w:t>
            </w:r>
            <w:r>
              <w:rPr>
                <w:rFonts w:ascii="Times New Roman" w:hAnsi="Times New Roman"/>
                <w:b w:val="false"/>
                <w:spacing w:val="34"/>
                <w:sz w:val="26"/>
                <w:szCs w:val="26"/>
                <w:lang w:val="uk-UA"/>
              </w:rPr>
              <w:t xml:space="preserve"> </w:t>
            </w:r>
            <w:r>
              <w:rPr>
                <w:rFonts w:ascii="Times New Roman" w:hAnsi="Times New Roman"/>
                <w:b w:val="false"/>
                <w:sz w:val="26"/>
                <w:szCs w:val="26"/>
                <w:lang w:val="uk-UA"/>
              </w:rPr>
              <w:t>фольклору</w:t>
            </w:r>
            <w:r>
              <w:rPr>
                <w:rFonts w:ascii="Times New Roman" w:hAnsi="Times New Roman"/>
                <w:b w:val="false"/>
                <w:spacing w:val="19"/>
                <w:sz w:val="26"/>
                <w:szCs w:val="26"/>
                <w:lang w:val="uk-UA"/>
              </w:rPr>
              <w:t xml:space="preserve"> </w:t>
            </w:r>
            <w:r>
              <w:rPr>
                <w:rFonts w:ascii="Times New Roman" w:hAnsi="Times New Roman"/>
                <w:b w:val="false"/>
                <w:spacing w:val="-1"/>
                <w:sz w:val="26"/>
                <w:szCs w:val="26"/>
                <w:lang w:val="uk-UA"/>
              </w:rPr>
              <w:t>українсько-польського</w:t>
            </w:r>
            <w:r>
              <w:rPr>
                <w:rFonts w:ascii="Times New Roman" w:hAnsi="Times New Roman"/>
                <w:b w:val="false"/>
                <w:spacing w:val="19"/>
                <w:sz w:val="26"/>
                <w:szCs w:val="26"/>
                <w:lang w:val="uk-UA"/>
              </w:rPr>
              <w:t xml:space="preserve"> </w:t>
            </w:r>
            <w:r>
              <w:rPr>
                <w:rFonts w:ascii="Times New Roman" w:hAnsi="Times New Roman"/>
                <w:b w:val="false"/>
                <w:sz w:val="26"/>
                <w:szCs w:val="26"/>
                <w:lang w:val="uk-UA"/>
              </w:rPr>
              <w:t>прикордоння»</w:t>
            </w:r>
            <w:r>
              <w:rPr>
                <w:rFonts w:ascii="Times New Roman" w:hAnsi="Times New Roman"/>
                <w:b w:val="false"/>
                <w:spacing w:val="19"/>
                <w:sz w:val="26"/>
                <w:szCs w:val="26"/>
                <w:lang w:val="uk-UA"/>
              </w:rPr>
              <w:t xml:space="preserve"> </w:t>
            </w:r>
            <w:r>
              <w:rPr>
                <w:rFonts w:ascii="Times New Roman" w:hAnsi="Times New Roman"/>
                <w:b w:val="false"/>
                <w:sz w:val="26"/>
                <w:szCs w:val="26"/>
                <w:lang w:val="uk-UA"/>
              </w:rPr>
              <w:t>в</w:t>
            </w:r>
            <w:r>
              <w:rPr>
                <w:rFonts w:ascii="Times New Roman" w:hAnsi="Times New Roman"/>
                <w:b w:val="false"/>
                <w:spacing w:val="19"/>
                <w:sz w:val="26"/>
                <w:szCs w:val="26"/>
                <w:lang w:val="uk-UA"/>
              </w:rPr>
              <w:t xml:space="preserve"> </w:t>
            </w:r>
            <w:r>
              <w:rPr>
                <w:rFonts w:ascii="Times New Roman" w:hAnsi="Times New Roman"/>
                <w:b w:val="false"/>
                <w:sz w:val="26"/>
                <w:szCs w:val="26"/>
                <w:lang w:val="uk-UA"/>
              </w:rPr>
              <w:t>рамках</w:t>
            </w:r>
            <w:r>
              <w:rPr>
                <w:rFonts w:ascii="Times New Roman" w:hAnsi="Times New Roman"/>
                <w:b w:val="false"/>
                <w:spacing w:val="38"/>
                <w:sz w:val="26"/>
                <w:szCs w:val="26"/>
                <w:lang w:val="uk-UA"/>
              </w:rPr>
              <w:t xml:space="preserve"> </w:t>
            </w:r>
            <w:r>
              <w:rPr>
                <w:rFonts w:ascii="Times New Roman" w:hAnsi="Times New Roman"/>
                <w:b w:val="false"/>
                <w:sz w:val="26"/>
                <w:szCs w:val="26"/>
                <w:lang w:val="uk-UA"/>
              </w:rPr>
              <w:t>Програми</w:t>
            </w:r>
            <w:r>
              <w:rPr>
                <w:rFonts w:ascii="Times New Roman" w:hAnsi="Times New Roman"/>
                <w:b w:val="false"/>
                <w:spacing w:val="15"/>
                <w:sz w:val="26"/>
                <w:szCs w:val="26"/>
                <w:lang w:val="uk-UA"/>
              </w:rPr>
              <w:t xml:space="preserve"> </w:t>
            </w:r>
            <w:r>
              <w:rPr>
                <w:rFonts w:ascii="Times New Roman" w:hAnsi="Times New Roman"/>
                <w:b w:val="false"/>
                <w:spacing w:val="-1"/>
                <w:sz w:val="26"/>
                <w:szCs w:val="26"/>
                <w:lang w:val="uk-UA"/>
              </w:rPr>
              <w:t>транскордонного</w:t>
            </w:r>
            <w:r>
              <w:rPr>
                <w:rFonts w:ascii="Times New Roman" w:hAnsi="Times New Roman"/>
                <w:b w:val="false"/>
                <w:spacing w:val="15"/>
                <w:sz w:val="26"/>
                <w:szCs w:val="26"/>
                <w:lang w:val="uk-UA"/>
              </w:rPr>
              <w:t xml:space="preserve"> </w:t>
            </w:r>
            <w:r>
              <w:rPr>
                <w:rFonts w:ascii="Times New Roman" w:hAnsi="Times New Roman"/>
                <w:b w:val="false"/>
                <w:sz w:val="26"/>
                <w:szCs w:val="26"/>
                <w:lang w:val="uk-UA"/>
              </w:rPr>
              <w:t>співробітництва</w:t>
            </w:r>
            <w:r>
              <w:rPr>
                <w:rFonts w:ascii="Times New Roman" w:hAnsi="Times New Roman"/>
                <w:b w:val="false"/>
                <w:spacing w:val="15"/>
                <w:sz w:val="26"/>
                <w:szCs w:val="26"/>
                <w:lang w:val="uk-UA"/>
              </w:rPr>
              <w:t xml:space="preserve"> </w:t>
            </w:r>
            <w:r>
              <w:rPr>
                <w:rFonts w:ascii="Times New Roman" w:hAnsi="Times New Roman"/>
                <w:b w:val="false"/>
                <w:sz w:val="26"/>
                <w:szCs w:val="26"/>
                <w:lang w:val="uk-UA"/>
              </w:rPr>
              <w:t xml:space="preserve">«Польща-Білорусь-Україна 2014 - 2020» проведено фестиваль «Етнокультурна – сила, що єднає» за участі творчих колективів луцької громади, що </w:t>
            </w:r>
            <w:r>
              <w:rPr>
                <w:rStyle w:val="5yl5"/>
                <w:rFonts w:ascii="Times New Roman" w:hAnsi="Times New Roman"/>
                <w:b w:val="false"/>
                <w:bCs/>
                <w:sz w:val="26"/>
                <w:szCs w:val="26"/>
                <w:lang w:val="uk-UA"/>
              </w:rPr>
              <w:t>зібрав етнографів, фольклористів, шанувальників народного мистецтва, які досліджують, відроджують, популяризують та зберігають унікальну культурну спадщину України.</w:t>
            </w:r>
          </w:p>
          <w:p>
            <w:pPr>
              <w:pStyle w:val="Normal"/>
              <w:widowControl w:val="false"/>
              <w:ind w:firstLine="567"/>
              <w:jc w:val="both"/>
              <w:rPr>
                <w:rFonts w:ascii="Times New Roman" w:hAnsi="Times New Roman"/>
                <w:sz w:val="26"/>
                <w:szCs w:val="26"/>
              </w:rPr>
            </w:pPr>
            <w:r>
              <w:rPr>
                <w:rFonts w:cs="Times New Roman" w:ascii="Times New Roman" w:hAnsi="Times New Roman"/>
                <w:bCs/>
                <w:kern w:val="0"/>
                <w:sz w:val="26"/>
                <w:szCs w:val="26"/>
                <w:lang w:eastAsia="uk-UA" w:bidi="ar-SA"/>
              </w:rPr>
              <w:t>З метою утвердження почуття патріотизму, гідності та згуртованості мешканців громади</w:t>
            </w:r>
            <w:r>
              <w:rPr>
                <w:rFonts w:cs="Times New Roman" w:ascii="Times New Roman" w:hAnsi="Times New Roman"/>
                <w:kern w:val="0"/>
                <w:sz w:val="26"/>
                <w:szCs w:val="26"/>
                <w:lang w:eastAsia="en-US" w:bidi="ar-SA"/>
              </w:rPr>
              <w:t xml:space="preserve"> проведено низку заходів в межах благодійних проєктів, під час яких було організовано збір коштів на потреби ЗСУ. Серед таких: марафон «Разом переможемо», </w:t>
            </w:r>
            <w:r>
              <w:rPr>
                <w:rFonts w:cs="Times New Roman" w:ascii="Times New Roman" w:hAnsi="Times New Roman"/>
                <w:kern w:val="0"/>
                <w:sz w:val="26"/>
                <w:szCs w:val="26"/>
                <w:lang w:val="ru-RU" w:eastAsia="en-US" w:bidi="ar-SA"/>
              </w:rPr>
              <w:t>проєкти</w:t>
            </w:r>
            <w:r>
              <w:rPr>
                <w:rFonts w:cs="Times New Roman" w:ascii="Times New Roman" w:hAnsi="Times New Roman"/>
                <w:spacing w:val="45"/>
                <w:kern w:val="0"/>
                <w:sz w:val="26"/>
                <w:szCs w:val="26"/>
                <w:lang w:val="ru-RU" w:eastAsia="en-US" w:bidi="ar-SA"/>
              </w:rPr>
              <w:t xml:space="preserve"> </w:t>
            </w:r>
            <w:r>
              <w:rPr>
                <w:rFonts w:cs="Times New Roman" w:ascii="Times New Roman" w:hAnsi="Times New Roman"/>
                <w:kern w:val="0"/>
                <w:sz w:val="26"/>
                <w:szCs w:val="26"/>
                <w:lang w:val="ru-RU" w:eastAsia="en-US" w:bidi="ar-SA"/>
              </w:rPr>
              <w:t>«Весна,</w:t>
            </w:r>
            <w:r>
              <w:rPr>
                <w:rFonts w:cs="Times New Roman" w:ascii="Times New Roman" w:hAnsi="Times New Roman"/>
                <w:spacing w:val="45"/>
                <w:kern w:val="0"/>
                <w:sz w:val="26"/>
                <w:szCs w:val="26"/>
                <w:lang w:val="ru-RU" w:eastAsia="en-US" w:bidi="ar-SA"/>
              </w:rPr>
              <w:t xml:space="preserve"> </w:t>
            </w:r>
            <w:r>
              <w:rPr>
                <w:rFonts w:cs="Times New Roman" w:ascii="Times New Roman" w:hAnsi="Times New Roman"/>
                <w:kern w:val="0"/>
                <w:sz w:val="26"/>
                <w:szCs w:val="26"/>
                <w:lang w:val="ru-RU" w:eastAsia="en-US" w:bidi="ar-SA"/>
              </w:rPr>
              <w:t>що</w:t>
            </w:r>
            <w:r>
              <w:rPr>
                <w:rFonts w:cs="Times New Roman" w:ascii="Times New Roman" w:hAnsi="Times New Roman"/>
                <w:spacing w:val="45"/>
                <w:kern w:val="0"/>
                <w:sz w:val="26"/>
                <w:szCs w:val="26"/>
                <w:lang w:val="ru-RU" w:eastAsia="en-US" w:bidi="ar-SA"/>
              </w:rPr>
              <w:t xml:space="preserve"> </w:t>
            </w:r>
            <w:r>
              <w:rPr>
                <w:rFonts w:cs="Times New Roman" w:ascii="Times New Roman" w:hAnsi="Times New Roman"/>
                <w:kern w:val="0"/>
                <w:sz w:val="26"/>
                <w:szCs w:val="26"/>
                <w:lang w:val="ru-RU" w:eastAsia="en-US" w:bidi="ar-SA"/>
              </w:rPr>
              <w:t>наближає Перемогу!», «Культурний фронт на захисті кордонів», «Культура має значення», «Разом до Перемоги!» тощо.</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5.</w:t>
            </w:r>
          </w:p>
        </w:tc>
        <w:tc>
          <w:tcPr>
            <w:tcW w:w="3867"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sz w:val="26"/>
                <w:szCs w:val="26"/>
              </w:rPr>
            </w:pPr>
            <w:r>
              <w:rPr>
                <w:rFonts w:ascii="Times New Roman" w:hAnsi="Times New Roman"/>
                <w:color w:val="auto"/>
                <w:sz w:val="26"/>
                <w:szCs w:val="26"/>
              </w:rPr>
              <w:t>Організація заходів для підтримки творчо-обдарованих дітей та молоді, митців, співпраця з громадськими організаціями та іншими суб’єктами культурного процесу.</w:t>
            </w:r>
          </w:p>
        </w:tc>
        <w:tc>
          <w:tcPr>
            <w:tcW w:w="1086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kern w:val="0"/>
                <w:sz w:val="26"/>
                <w:szCs w:val="26"/>
                <w:lang w:bidi="ar-SA"/>
              </w:rPr>
            </w:pPr>
            <w:r>
              <w:rPr>
                <w:rFonts w:cs="Times New Roman" w:ascii="Times New Roman" w:hAnsi="Times New Roman"/>
                <w:kern w:val="0"/>
                <w:sz w:val="26"/>
                <w:szCs w:val="26"/>
                <w:lang w:bidi="ar-SA"/>
              </w:rPr>
              <w:t>У мистецьких освітніх закладах громади початкову мистецьку освіту здобувають близько 2 500 дітей, більше 700 з яких відповідно до рішення виконавчого комітету міської ради від 20.10.2021 № 830-1 «Про плату за навчання у мистецьких школах» користуються пільгами в оплаті за навчання. У закладах культури клубного типу діє 92 творчих формування (ансамблі, студії, гурти), учасниками яких є діти та молодь (близько 2 000 осіб).</w:t>
            </w:r>
          </w:p>
          <w:p>
            <w:pPr>
              <w:pStyle w:val="Normal"/>
              <w:widowControl w:val="false"/>
              <w:ind w:firstLine="567"/>
              <w:jc w:val="both"/>
              <w:rPr/>
            </w:pPr>
            <w:r>
              <w:rPr>
                <w:rFonts w:cs="Times New Roman" w:ascii="Times New Roman" w:hAnsi="Times New Roman"/>
                <w:kern w:val="0"/>
                <w:sz w:val="26"/>
                <w:szCs w:val="26"/>
                <w:lang w:bidi="ar-SA"/>
              </w:rPr>
              <w:t xml:space="preserve">Надано організаційну та фінансову підтримку (99,5 тис. грн) для участі творчих колективів та окремих виконавців у міжнародних мистецьких конкурсах і фестивалях. Зокрема: зразковий </w:t>
            </w:r>
            <w:r>
              <w:rPr>
                <w:rFonts w:cs="Times New Roman" w:ascii="Times New Roman" w:hAnsi="Times New Roman"/>
                <w:spacing w:val="-1"/>
                <w:kern w:val="0"/>
                <w:sz w:val="26"/>
                <w:szCs w:val="26"/>
                <w:lang w:bidi="ar-SA"/>
              </w:rPr>
              <w:t xml:space="preserve">ансамбль </w:t>
            </w:r>
            <w:r>
              <w:rPr>
                <w:rFonts w:cs="Times New Roman" w:ascii="Times New Roman" w:hAnsi="Times New Roman"/>
                <w:kern w:val="0"/>
                <w:sz w:val="26"/>
                <w:szCs w:val="26"/>
                <w:lang w:bidi="ar-SA"/>
              </w:rPr>
              <w:t>народного танцю «Волиняночка»</w:t>
            </w:r>
            <w:r>
              <w:rPr>
                <w:rFonts w:cs="Times New Roman" w:ascii="Times New Roman" w:hAnsi="Times New Roman"/>
                <w:spacing w:val="48"/>
                <w:kern w:val="0"/>
                <w:sz w:val="26"/>
                <w:szCs w:val="26"/>
                <w:lang w:bidi="ar-SA"/>
              </w:rPr>
              <w:t xml:space="preserve"> </w:t>
            </w:r>
            <w:r>
              <w:rPr>
                <w:rFonts w:cs="Times New Roman" w:ascii="Times New Roman" w:hAnsi="Times New Roman"/>
                <w:kern w:val="0"/>
                <w:sz w:val="26"/>
                <w:szCs w:val="26"/>
                <w:lang w:bidi="ar-SA"/>
              </w:rPr>
              <w:t>Палацу</w:t>
            </w:r>
            <w:r>
              <w:rPr>
                <w:rFonts w:cs="Times New Roman" w:ascii="Times New Roman" w:hAnsi="Times New Roman"/>
                <w:spacing w:val="48"/>
                <w:kern w:val="0"/>
                <w:sz w:val="26"/>
                <w:szCs w:val="26"/>
                <w:lang w:bidi="ar-SA"/>
              </w:rPr>
              <w:t xml:space="preserve"> </w:t>
            </w:r>
            <w:r>
              <w:rPr>
                <w:rFonts w:cs="Times New Roman" w:ascii="Times New Roman" w:hAnsi="Times New Roman"/>
                <w:kern w:val="0"/>
                <w:sz w:val="26"/>
                <w:szCs w:val="26"/>
                <w:lang w:bidi="ar-SA"/>
              </w:rPr>
              <w:t>культури</w:t>
            </w:r>
            <w:r>
              <w:rPr>
                <w:rFonts w:cs="Times New Roman" w:ascii="Times New Roman" w:hAnsi="Times New Roman"/>
                <w:spacing w:val="48"/>
                <w:kern w:val="0"/>
                <w:sz w:val="26"/>
                <w:szCs w:val="26"/>
                <w:lang w:bidi="ar-SA"/>
              </w:rPr>
              <w:t xml:space="preserve"> </w:t>
            </w:r>
            <w:r>
              <w:rPr>
                <w:rFonts w:cs="Times New Roman" w:ascii="Times New Roman" w:hAnsi="Times New Roman"/>
                <w:kern w:val="0"/>
                <w:sz w:val="26"/>
                <w:szCs w:val="26"/>
                <w:lang w:bidi="ar-SA"/>
              </w:rPr>
              <w:t>міста Луцька  став</w:t>
            </w:r>
            <w:r>
              <w:rPr>
                <w:rFonts w:cs="Times New Roman" w:ascii="Times New Roman" w:hAnsi="Times New Roman"/>
                <w:spacing w:val="10"/>
                <w:kern w:val="0"/>
                <w:sz w:val="26"/>
                <w:szCs w:val="26"/>
                <w:lang w:bidi="ar-SA"/>
              </w:rPr>
              <w:t xml:space="preserve"> </w:t>
            </w:r>
            <w:r>
              <w:rPr>
                <w:rFonts w:cs="Times New Roman" w:ascii="Times New Roman" w:hAnsi="Times New Roman"/>
                <w:spacing w:val="-1"/>
                <w:kern w:val="0"/>
                <w:sz w:val="26"/>
                <w:szCs w:val="26"/>
                <w:lang w:bidi="ar-SA"/>
              </w:rPr>
              <w:t>учасником</w:t>
            </w:r>
            <w:r>
              <w:rPr>
                <w:rFonts w:cs="Times New Roman" w:ascii="Times New Roman" w:hAnsi="Times New Roman"/>
                <w:kern w:val="0"/>
                <w:sz w:val="26"/>
                <w:szCs w:val="26"/>
                <w:lang w:bidi="ar-SA"/>
              </w:rPr>
              <w:t xml:space="preserve"> фестивалю </w:t>
            </w:r>
            <w:r>
              <w:rPr>
                <w:rFonts w:cs="Times New Roman" w:ascii="Times New Roman" w:hAnsi="Times New Roman"/>
                <w:spacing w:val="-1"/>
                <w:kern w:val="0"/>
                <w:sz w:val="26"/>
                <w:szCs w:val="26"/>
                <w:lang w:bidi="ar-SA"/>
              </w:rPr>
              <w:t>«Bentornata</w:t>
            </w:r>
            <w:r>
              <w:rPr>
                <w:rFonts w:cs="Times New Roman" w:ascii="Times New Roman" w:hAnsi="Times New Roman"/>
                <w:spacing w:val="1"/>
                <w:kern w:val="0"/>
                <w:sz w:val="26"/>
                <w:szCs w:val="26"/>
                <w:lang w:bidi="ar-SA"/>
              </w:rPr>
              <w:t xml:space="preserve"> </w:t>
            </w:r>
            <w:r>
              <w:rPr>
                <w:rFonts w:cs="Times New Roman" w:ascii="Times New Roman" w:hAnsi="Times New Roman"/>
                <w:spacing w:val="-1"/>
                <w:kern w:val="0"/>
                <w:sz w:val="26"/>
                <w:szCs w:val="26"/>
                <w:lang w:bidi="ar-SA"/>
              </w:rPr>
              <w:t>Ucraina»</w:t>
            </w:r>
            <w:r>
              <w:rPr>
                <w:rFonts w:cs="Times New Roman" w:ascii="Times New Roman" w:hAnsi="Times New Roman"/>
                <w:spacing w:val="2"/>
                <w:kern w:val="0"/>
                <w:sz w:val="26"/>
                <w:szCs w:val="26"/>
                <w:lang w:bidi="ar-SA"/>
              </w:rPr>
              <w:t xml:space="preserve"> </w:t>
            </w:r>
            <w:r>
              <w:rPr>
                <w:rFonts w:cs="Times New Roman" w:ascii="Times New Roman" w:hAnsi="Times New Roman"/>
                <w:kern w:val="0"/>
                <w:sz w:val="26"/>
                <w:szCs w:val="26"/>
                <w:lang w:bidi="ar-SA"/>
              </w:rPr>
              <w:t>у</w:t>
            </w:r>
            <w:r>
              <w:rPr>
                <w:rFonts w:cs="Times New Roman" w:ascii="Times New Roman" w:hAnsi="Times New Roman"/>
                <w:spacing w:val="1"/>
                <w:kern w:val="0"/>
                <w:sz w:val="26"/>
                <w:szCs w:val="26"/>
                <w:lang w:bidi="ar-SA"/>
              </w:rPr>
              <w:t xml:space="preserve"> </w:t>
            </w:r>
            <w:r>
              <w:rPr>
                <w:rFonts w:cs="Times New Roman" w:ascii="Times New Roman" w:hAnsi="Times New Roman"/>
                <w:spacing w:val="-1"/>
                <w:kern w:val="0"/>
                <w:sz w:val="26"/>
                <w:szCs w:val="26"/>
                <w:lang w:bidi="ar-SA"/>
              </w:rPr>
              <w:t>місті</w:t>
            </w:r>
            <w:r>
              <w:rPr>
                <w:rFonts w:cs="Times New Roman" w:ascii="Times New Roman" w:hAnsi="Times New Roman"/>
                <w:spacing w:val="2"/>
                <w:kern w:val="0"/>
                <w:sz w:val="26"/>
                <w:szCs w:val="26"/>
                <w:lang w:bidi="ar-SA"/>
              </w:rPr>
              <w:t xml:space="preserve"> </w:t>
            </w:r>
            <w:r>
              <w:rPr>
                <w:rFonts w:cs="Times New Roman" w:ascii="Times New Roman" w:hAnsi="Times New Roman"/>
                <w:kern w:val="0"/>
                <w:sz w:val="26"/>
                <w:szCs w:val="26"/>
                <w:lang w:bidi="ar-SA"/>
              </w:rPr>
              <w:t>Пезаро</w:t>
            </w:r>
            <w:r>
              <w:rPr>
                <w:rFonts w:cs="Times New Roman" w:ascii="Times New Roman" w:hAnsi="Times New Roman"/>
                <w:spacing w:val="33"/>
                <w:kern w:val="0"/>
                <w:sz w:val="26"/>
                <w:szCs w:val="26"/>
                <w:lang w:bidi="ar-SA"/>
              </w:rPr>
              <w:t xml:space="preserve"> </w:t>
            </w:r>
            <w:r>
              <w:rPr>
                <w:rFonts w:cs="Times New Roman" w:ascii="Times New Roman" w:hAnsi="Times New Roman"/>
                <w:kern w:val="0"/>
                <w:sz w:val="26"/>
                <w:szCs w:val="26"/>
                <w:lang w:bidi="ar-SA"/>
              </w:rPr>
              <w:t>(Італія)</w:t>
            </w:r>
            <w:r>
              <w:rPr>
                <w:rFonts w:cs="Times New Roman" w:ascii="Times New Roman" w:hAnsi="Times New Roman"/>
                <w:spacing w:val="-1"/>
                <w:kern w:val="0"/>
                <w:sz w:val="26"/>
                <w:szCs w:val="26"/>
                <w:lang w:bidi="ar-SA"/>
              </w:rPr>
              <w:t xml:space="preserve">. </w:t>
            </w:r>
            <w:r>
              <w:rPr>
                <w:rFonts w:cs="Times New Roman" w:ascii="Times New Roman" w:hAnsi="Times New Roman"/>
                <w:kern w:val="0"/>
                <w:sz w:val="26"/>
                <w:szCs w:val="26"/>
                <w:lang w:bidi="ar-SA"/>
              </w:rPr>
              <w:t>Цей же колектив</w:t>
            </w:r>
            <w:r>
              <w:rPr>
                <w:rFonts w:cs="Times New Roman" w:ascii="Times New Roman" w:hAnsi="Times New Roman"/>
                <w:spacing w:val="48"/>
                <w:kern w:val="0"/>
                <w:sz w:val="26"/>
                <w:szCs w:val="26"/>
                <w:lang w:bidi="ar-SA"/>
              </w:rPr>
              <w:t xml:space="preserve"> </w:t>
            </w:r>
            <w:r>
              <w:rPr>
                <w:rFonts w:cs="Times New Roman" w:ascii="Times New Roman" w:hAnsi="Times New Roman"/>
                <w:kern w:val="0"/>
                <w:sz w:val="26"/>
                <w:szCs w:val="26"/>
                <w:lang w:bidi="ar-SA"/>
              </w:rPr>
              <w:t>та</w:t>
            </w:r>
            <w:r>
              <w:rPr>
                <w:rFonts w:cs="Times New Roman" w:ascii="Times New Roman" w:hAnsi="Times New Roman"/>
                <w:spacing w:val="31"/>
                <w:kern w:val="0"/>
                <w:sz w:val="26"/>
                <w:szCs w:val="26"/>
                <w:lang w:bidi="ar-SA"/>
              </w:rPr>
              <w:t xml:space="preserve"> </w:t>
            </w:r>
            <w:r>
              <w:rPr>
                <w:rFonts w:cs="Times New Roman" w:ascii="Times New Roman" w:hAnsi="Times New Roman"/>
                <w:kern w:val="0"/>
                <w:sz w:val="26"/>
                <w:szCs w:val="26"/>
                <w:lang w:bidi="ar-SA"/>
              </w:rPr>
              <w:t>зразковий</w:t>
            </w:r>
            <w:r>
              <w:rPr>
                <w:rFonts w:cs="Times New Roman" w:ascii="Times New Roman" w:hAnsi="Times New Roman"/>
                <w:spacing w:val="31"/>
                <w:kern w:val="0"/>
                <w:sz w:val="26"/>
                <w:szCs w:val="26"/>
                <w:lang w:bidi="ar-SA"/>
              </w:rPr>
              <w:t xml:space="preserve"> </w:t>
            </w:r>
            <w:r>
              <w:rPr>
                <w:rFonts w:cs="Times New Roman" w:ascii="Times New Roman" w:hAnsi="Times New Roman"/>
                <w:spacing w:val="-1"/>
                <w:kern w:val="0"/>
                <w:sz w:val="26"/>
                <w:szCs w:val="26"/>
                <w:lang w:bidi="ar-SA"/>
              </w:rPr>
              <w:t>фольклорний</w:t>
            </w:r>
            <w:r>
              <w:rPr>
                <w:rFonts w:cs="Times New Roman" w:ascii="Times New Roman" w:hAnsi="Times New Roman"/>
                <w:spacing w:val="31"/>
                <w:kern w:val="0"/>
                <w:sz w:val="26"/>
                <w:szCs w:val="26"/>
                <w:lang w:bidi="ar-SA"/>
              </w:rPr>
              <w:t xml:space="preserve"> </w:t>
            </w:r>
            <w:r>
              <w:rPr>
                <w:rFonts w:cs="Times New Roman" w:ascii="Times New Roman" w:hAnsi="Times New Roman"/>
                <w:kern w:val="0"/>
                <w:sz w:val="26"/>
                <w:szCs w:val="26"/>
                <w:lang w:bidi="ar-SA"/>
              </w:rPr>
              <w:t xml:space="preserve">гурт </w:t>
            </w:r>
            <w:r>
              <w:rPr>
                <w:rFonts w:cs="Times New Roman" w:ascii="Times New Roman" w:hAnsi="Times New Roman"/>
                <w:spacing w:val="-1"/>
                <w:kern w:val="0"/>
                <w:sz w:val="26"/>
                <w:szCs w:val="26"/>
                <w:lang w:bidi="ar-SA"/>
              </w:rPr>
              <w:t>«Вервечка» культурно-мистецького центру «Красне»</w:t>
            </w:r>
            <w:r>
              <w:rPr>
                <w:rFonts w:cs="Times New Roman" w:ascii="Times New Roman" w:hAnsi="Times New Roman"/>
                <w:spacing w:val="23"/>
                <w:kern w:val="0"/>
                <w:sz w:val="26"/>
                <w:szCs w:val="26"/>
                <w:lang w:bidi="ar-SA"/>
              </w:rPr>
              <w:t xml:space="preserve"> </w:t>
            </w:r>
            <w:r>
              <w:rPr>
                <w:rFonts w:cs="Times New Roman" w:ascii="Times New Roman" w:hAnsi="Times New Roman"/>
                <w:kern w:val="0"/>
                <w:sz w:val="26"/>
                <w:szCs w:val="26"/>
                <w:lang w:bidi="ar-SA"/>
              </w:rPr>
              <w:t>взяли участь у 1 Міжнародному українсько-грецькому фестивалі</w:t>
            </w:r>
            <w:r>
              <w:rPr>
                <w:rFonts w:cs="Times New Roman" w:ascii="Times New Roman" w:hAnsi="Times New Roman"/>
                <w:spacing w:val="40"/>
                <w:kern w:val="0"/>
                <w:sz w:val="26"/>
                <w:szCs w:val="26"/>
                <w:lang w:bidi="ar-SA"/>
              </w:rPr>
              <w:t xml:space="preserve"> </w:t>
            </w:r>
            <w:r>
              <w:rPr>
                <w:rFonts w:cs="Times New Roman" w:ascii="Times New Roman" w:hAnsi="Times New Roman"/>
                <w:kern w:val="0"/>
                <w:sz w:val="26"/>
                <w:szCs w:val="26"/>
                <w:lang w:bidi="ar-SA"/>
              </w:rPr>
              <w:t>«Lutsk-Edipsos</w:t>
            </w:r>
            <w:r>
              <w:rPr>
                <w:rFonts w:cs="Times New Roman" w:ascii="Times New Roman" w:hAnsi="Times New Roman"/>
                <w:spacing w:val="41"/>
                <w:kern w:val="0"/>
                <w:sz w:val="26"/>
                <w:szCs w:val="26"/>
                <w:lang w:bidi="ar-SA"/>
              </w:rPr>
              <w:t xml:space="preserve"> </w:t>
            </w:r>
            <w:r>
              <w:rPr>
                <w:rFonts w:cs="Times New Roman" w:ascii="Times New Roman" w:hAnsi="Times New Roman"/>
                <w:spacing w:val="-1"/>
                <w:kern w:val="0"/>
                <w:sz w:val="26"/>
                <w:szCs w:val="26"/>
                <w:lang w:bidi="ar-SA"/>
              </w:rPr>
              <w:t>Art</w:t>
            </w:r>
            <w:r>
              <w:rPr>
                <w:rFonts w:cs="Times New Roman" w:ascii="Times New Roman" w:hAnsi="Times New Roman"/>
                <w:spacing w:val="41"/>
                <w:kern w:val="0"/>
                <w:sz w:val="26"/>
                <w:szCs w:val="26"/>
                <w:lang w:bidi="ar-SA"/>
              </w:rPr>
              <w:t xml:space="preserve"> </w:t>
            </w:r>
            <w:r>
              <w:rPr>
                <w:rFonts w:cs="Times New Roman" w:ascii="Times New Roman" w:hAnsi="Times New Roman"/>
                <w:spacing w:val="-1"/>
                <w:kern w:val="0"/>
                <w:sz w:val="26"/>
                <w:szCs w:val="26"/>
                <w:lang w:bidi="ar-SA"/>
              </w:rPr>
              <w:t>Festival»</w:t>
            </w:r>
            <w:r>
              <w:rPr>
                <w:rFonts w:cs="Times New Roman" w:ascii="Times New Roman" w:hAnsi="Times New Roman"/>
                <w:spacing w:val="21"/>
                <w:w w:val="99"/>
                <w:kern w:val="0"/>
                <w:sz w:val="26"/>
                <w:szCs w:val="26"/>
                <w:lang w:bidi="ar-SA"/>
              </w:rPr>
              <w:t xml:space="preserve"> </w:t>
            </w:r>
            <w:r>
              <w:rPr>
                <w:rFonts w:cs="Times New Roman" w:ascii="Times New Roman" w:hAnsi="Times New Roman"/>
                <w:kern w:val="0"/>
                <w:sz w:val="26"/>
                <w:szCs w:val="26"/>
                <w:lang w:bidi="ar-SA"/>
              </w:rPr>
              <w:t>(Греція);</w:t>
            </w:r>
            <w:r>
              <w:rPr>
                <w:rStyle w:val="X193iq5w"/>
                <w:rFonts w:cs="Times New Roman" w:ascii="Times New Roman" w:hAnsi="Times New Roman"/>
                <w:kern w:val="0"/>
                <w:sz w:val="26"/>
                <w:szCs w:val="26"/>
                <w:lang w:bidi="ar-SA"/>
              </w:rPr>
              <w:t xml:space="preserve"> колектив «Вервечка» побував і на </w:t>
            </w:r>
            <w:r>
              <w:rPr>
                <w:rFonts w:cs="Times New Roman" w:ascii="Times New Roman" w:hAnsi="Times New Roman"/>
                <w:kern w:val="0"/>
                <w:sz w:val="26"/>
                <w:szCs w:val="26"/>
                <w:lang w:bidi="ar-SA"/>
              </w:rPr>
              <w:t xml:space="preserve">Міжнародному фестивалі східнослов’янських колядок у м. Тересполь (Польща); </w:t>
            </w:r>
            <w:r>
              <w:rPr>
                <w:rStyle w:val="X193iq5w"/>
                <w:rFonts w:cs="Times New Roman" w:ascii="Times New Roman" w:hAnsi="Times New Roman"/>
                <w:kern w:val="0"/>
                <w:sz w:val="26"/>
                <w:szCs w:val="26"/>
                <w:lang w:bidi="ar-SA"/>
              </w:rPr>
              <w:t>ансабль народної музики «Волиняни» Луцької музичної школи № 3 презентував народне мистецтво на Міжнародному фольклорному фестивалі «Atataria Lamzdziai» у місті Каунас (Литва);</w:t>
            </w:r>
            <w:r>
              <w:rPr>
                <w:rFonts w:cs="Times New Roman" w:ascii="Times New Roman" w:hAnsi="Times New Roman"/>
                <w:kern w:val="0"/>
                <w:sz w:val="26"/>
                <w:szCs w:val="26"/>
                <w:lang w:bidi="ar-SA"/>
              </w:rPr>
              <w:t xml:space="preserve"> фольклорний колектив «Волинські забавлянки» Луцької музичної школи № 2 побував на Міжнародному фестивалі «Слов'янський вінець»  (Болгарія).</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Талановиті діти-виконавці фортепіанної музики мали змогу взяти участь у Міжнародному конкурсі піаністів «Шопенівська весна», що цьогоріч через війну в Україні організований департаментом культури у Польщі. 40 учнів мистецьких шкіл взяли участь у Літній мистецькій етношколі, що проведена у Польщі в межах реалізації  проєкту «Спільна культурна спадщина: відродження фольклору українсько-польського прикордоння» в рамках Програми транскордонного співробітництва.</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Налагоджено активну співпрацю з громадськими організаціями «Перспективи Волині», «Новий рівень», Волинським обласним осередком Національної спілки майстрів народного мистецтва України, Міжнародною Благодійною Організацією «Ромський Жіночий Фонд «Чіріклі», Благодійним фондом «Сучасна Україна». Спільно організовано низку заходів у закладах культури в межах роботи Центрів арт-терапії, реалізовано грантові проєкти «Культура має значення», «Різдво разом», «Великдень разом», благодійні проєкти на підтримку ЗСУ тощо.</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6.</w:t>
            </w:r>
          </w:p>
        </w:tc>
        <w:tc>
          <w:tcPr>
            <w:tcW w:w="3867"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Встановлення пожежної сигналізації КЗ «Луцька музична школа № 2».</w:t>
            </w:r>
          </w:p>
        </w:tc>
        <w:tc>
          <w:tcPr>
            <w:tcW w:w="1086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bCs/>
                <w:kern w:val="0"/>
                <w:sz w:val="26"/>
                <w:szCs w:val="26"/>
                <w:lang w:eastAsia="en-US" w:bidi="ar-SA"/>
              </w:rPr>
              <w:t>Виконання передбачено у ІІ півріччі.</w:t>
            </w:r>
          </w:p>
        </w:tc>
      </w:tr>
      <w:tr>
        <w:trPr>
          <w:trHeight w:val="288" w:hRule="atLeast"/>
        </w:trPr>
        <w:tc>
          <w:tcPr>
            <w:tcW w:w="671"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7.</w:t>
            </w:r>
          </w:p>
        </w:tc>
        <w:tc>
          <w:tcPr>
            <w:tcW w:w="3867"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ascii="Times New Roman" w:hAnsi="Times New Roman"/>
                <w:color w:val="auto"/>
                <w:sz w:val="26"/>
                <w:szCs w:val="26"/>
              </w:rPr>
              <w:t>Реалізація заходів у рамках міжнародних проєктів та програм, підготовка проєктних заявок на конкурси грантодавців, залучення донорських коштів.</w:t>
            </w:r>
          </w:p>
        </w:tc>
        <w:tc>
          <w:tcPr>
            <w:tcW w:w="1086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pPr>
            <w:r>
              <w:rPr>
                <w:rFonts w:cs="Times New Roman" w:ascii="Times New Roman" w:hAnsi="Times New Roman"/>
                <w:kern w:val="0"/>
                <w:sz w:val="26"/>
                <w:szCs w:val="26"/>
                <w:lang w:eastAsia="en-US" w:bidi="ar-SA"/>
              </w:rPr>
              <w:t xml:space="preserve">Упродовж звітного періоду тривала реалізація проєкту </w:t>
            </w:r>
            <w:r>
              <w:rPr>
                <w:rFonts w:cs="Times New Roman" w:ascii="Times New Roman" w:hAnsi="Times New Roman"/>
                <w:spacing w:val="-1"/>
                <w:kern w:val="0"/>
                <w:sz w:val="26"/>
                <w:szCs w:val="26"/>
                <w:lang w:eastAsia="en-US" w:bidi="ar-SA"/>
              </w:rPr>
              <w:t>«Спільна</w:t>
            </w:r>
            <w:r>
              <w:rPr>
                <w:rFonts w:cs="Times New Roman" w:ascii="Times New Roman" w:hAnsi="Times New Roman"/>
                <w:spacing w:val="39"/>
                <w:kern w:val="0"/>
                <w:sz w:val="26"/>
                <w:szCs w:val="26"/>
                <w:lang w:eastAsia="en-US" w:bidi="ar-SA"/>
              </w:rPr>
              <w:t xml:space="preserve"> </w:t>
            </w:r>
            <w:r>
              <w:rPr>
                <w:rFonts w:cs="Times New Roman" w:ascii="Times New Roman" w:hAnsi="Times New Roman"/>
                <w:kern w:val="0"/>
                <w:sz w:val="26"/>
                <w:szCs w:val="26"/>
                <w:lang w:eastAsia="en-US" w:bidi="ar-SA"/>
              </w:rPr>
              <w:t>культурна</w:t>
            </w:r>
            <w:r>
              <w:rPr>
                <w:rFonts w:cs="Times New Roman" w:ascii="Times New Roman" w:hAnsi="Times New Roman"/>
                <w:spacing w:val="39"/>
                <w:kern w:val="0"/>
                <w:sz w:val="26"/>
                <w:szCs w:val="26"/>
                <w:lang w:eastAsia="en-US" w:bidi="ar-SA"/>
              </w:rPr>
              <w:t xml:space="preserve"> </w:t>
            </w:r>
            <w:r>
              <w:rPr>
                <w:rFonts w:cs="Times New Roman" w:ascii="Times New Roman" w:hAnsi="Times New Roman"/>
                <w:kern w:val="0"/>
                <w:sz w:val="26"/>
                <w:szCs w:val="26"/>
                <w:lang w:eastAsia="en-US" w:bidi="ar-SA"/>
              </w:rPr>
              <w:t>спадщина:</w:t>
            </w:r>
            <w:r>
              <w:rPr>
                <w:rFonts w:cs="Times New Roman" w:ascii="Times New Roman" w:hAnsi="Times New Roman"/>
                <w:spacing w:val="39"/>
                <w:kern w:val="0"/>
                <w:sz w:val="26"/>
                <w:szCs w:val="26"/>
                <w:lang w:eastAsia="en-US" w:bidi="ar-SA"/>
              </w:rPr>
              <w:t xml:space="preserve"> </w:t>
            </w:r>
            <w:r>
              <w:rPr>
                <w:rFonts w:cs="Times New Roman" w:ascii="Times New Roman" w:hAnsi="Times New Roman"/>
                <w:spacing w:val="-1"/>
                <w:kern w:val="0"/>
                <w:sz w:val="26"/>
                <w:szCs w:val="26"/>
                <w:lang w:eastAsia="en-US" w:bidi="ar-SA"/>
              </w:rPr>
              <w:t>відродження</w:t>
            </w:r>
            <w:r>
              <w:rPr>
                <w:rFonts w:cs="Times New Roman" w:ascii="Times New Roman" w:hAnsi="Times New Roman"/>
                <w:spacing w:val="34"/>
                <w:kern w:val="0"/>
                <w:sz w:val="26"/>
                <w:szCs w:val="26"/>
                <w:lang w:eastAsia="en-US" w:bidi="ar-SA"/>
              </w:rPr>
              <w:t xml:space="preserve"> </w:t>
            </w:r>
            <w:r>
              <w:rPr>
                <w:rFonts w:cs="Times New Roman" w:ascii="Times New Roman" w:hAnsi="Times New Roman"/>
                <w:kern w:val="0"/>
                <w:sz w:val="26"/>
                <w:szCs w:val="26"/>
                <w:lang w:eastAsia="en-US" w:bidi="ar-SA"/>
              </w:rPr>
              <w:t>фольклору</w:t>
            </w:r>
            <w:r>
              <w:rPr>
                <w:rFonts w:cs="Times New Roman" w:ascii="Times New Roman" w:hAnsi="Times New Roman"/>
                <w:spacing w:val="19"/>
                <w:kern w:val="0"/>
                <w:sz w:val="26"/>
                <w:szCs w:val="26"/>
                <w:lang w:eastAsia="en-US" w:bidi="ar-SA"/>
              </w:rPr>
              <w:t xml:space="preserve"> </w:t>
            </w:r>
            <w:r>
              <w:rPr>
                <w:rFonts w:cs="Times New Roman" w:ascii="Times New Roman" w:hAnsi="Times New Roman"/>
                <w:spacing w:val="-1"/>
                <w:kern w:val="0"/>
                <w:sz w:val="26"/>
                <w:szCs w:val="26"/>
                <w:lang w:eastAsia="en-US" w:bidi="ar-SA"/>
              </w:rPr>
              <w:t>українсько-польського</w:t>
            </w:r>
            <w:r>
              <w:rPr>
                <w:rFonts w:cs="Times New Roman" w:ascii="Times New Roman" w:hAnsi="Times New Roman"/>
                <w:spacing w:val="19"/>
                <w:kern w:val="0"/>
                <w:sz w:val="26"/>
                <w:szCs w:val="26"/>
                <w:lang w:eastAsia="en-US" w:bidi="ar-SA"/>
              </w:rPr>
              <w:t xml:space="preserve"> </w:t>
            </w:r>
            <w:r>
              <w:rPr>
                <w:rFonts w:cs="Times New Roman" w:ascii="Times New Roman" w:hAnsi="Times New Roman"/>
                <w:kern w:val="0"/>
                <w:sz w:val="26"/>
                <w:szCs w:val="26"/>
                <w:lang w:eastAsia="en-US" w:bidi="ar-SA"/>
              </w:rPr>
              <w:t>прикордоння»</w:t>
            </w:r>
            <w:r>
              <w:rPr>
                <w:rFonts w:cs="Times New Roman" w:ascii="Times New Roman" w:hAnsi="Times New Roman"/>
                <w:spacing w:val="19"/>
                <w:kern w:val="0"/>
                <w:sz w:val="26"/>
                <w:szCs w:val="26"/>
                <w:lang w:eastAsia="en-US" w:bidi="ar-SA"/>
              </w:rPr>
              <w:t xml:space="preserve"> </w:t>
            </w:r>
            <w:r>
              <w:rPr>
                <w:rFonts w:cs="Times New Roman" w:ascii="Times New Roman" w:hAnsi="Times New Roman"/>
                <w:kern w:val="0"/>
                <w:sz w:val="26"/>
                <w:szCs w:val="26"/>
                <w:lang w:eastAsia="en-US" w:bidi="ar-SA"/>
              </w:rPr>
              <w:t>в</w:t>
            </w:r>
            <w:r>
              <w:rPr>
                <w:rFonts w:cs="Times New Roman" w:ascii="Times New Roman" w:hAnsi="Times New Roman"/>
                <w:spacing w:val="19"/>
                <w:kern w:val="0"/>
                <w:sz w:val="26"/>
                <w:szCs w:val="26"/>
                <w:lang w:eastAsia="en-US" w:bidi="ar-SA"/>
              </w:rPr>
              <w:t xml:space="preserve"> </w:t>
            </w:r>
            <w:r>
              <w:rPr>
                <w:rFonts w:cs="Times New Roman" w:ascii="Times New Roman" w:hAnsi="Times New Roman"/>
                <w:kern w:val="0"/>
                <w:sz w:val="26"/>
                <w:szCs w:val="26"/>
                <w:lang w:eastAsia="en-US" w:bidi="ar-SA"/>
              </w:rPr>
              <w:t>рамках</w:t>
            </w:r>
            <w:r>
              <w:rPr>
                <w:rFonts w:cs="Times New Roman" w:ascii="Times New Roman" w:hAnsi="Times New Roman"/>
                <w:spacing w:val="38"/>
                <w:kern w:val="0"/>
                <w:sz w:val="26"/>
                <w:szCs w:val="26"/>
                <w:lang w:eastAsia="en-US" w:bidi="ar-SA"/>
              </w:rPr>
              <w:t xml:space="preserve"> </w:t>
            </w:r>
            <w:r>
              <w:rPr>
                <w:rFonts w:cs="Times New Roman" w:ascii="Times New Roman" w:hAnsi="Times New Roman"/>
                <w:kern w:val="0"/>
                <w:sz w:val="26"/>
                <w:szCs w:val="26"/>
                <w:lang w:eastAsia="en-US" w:bidi="ar-SA"/>
              </w:rPr>
              <w:t>Програми</w:t>
            </w:r>
            <w:r>
              <w:rPr>
                <w:rFonts w:cs="Times New Roman" w:ascii="Times New Roman" w:hAnsi="Times New Roman"/>
                <w:spacing w:val="15"/>
                <w:kern w:val="0"/>
                <w:sz w:val="26"/>
                <w:szCs w:val="26"/>
                <w:lang w:eastAsia="en-US" w:bidi="ar-SA"/>
              </w:rPr>
              <w:t xml:space="preserve"> </w:t>
            </w:r>
            <w:r>
              <w:rPr>
                <w:rFonts w:cs="Times New Roman" w:ascii="Times New Roman" w:hAnsi="Times New Roman"/>
                <w:spacing w:val="-1"/>
                <w:kern w:val="0"/>
                <w:sz w:val="26"/>
                <w:szCs w:val="26"/>
                <w:lang w:eastAsia="en-US" w:bidi="ar-SA"/>
              </w:rPr>
              <w:t>транскордонного</w:t>
            </w:r>
            <w:r>
              <w:rPr>
                <w:rFonts w:cs="Times New Roman" w:ascii="Times New Roman" w:hAnsi="Times New Roman"/>
                <w:spacing w:val="15"/>
                <w:kern w:val="0"/>
                <w:sz w:val="26"/>
                <w:szCs w:val="26"/>
                <w:lang w:eastAsia="en-US" w:bidi="ar-SA"/>
              </w:rPr>
              <w:t xml:space="preserve"> </w:t>
            </w:r>
            <w:r>
              <w:rPr>
                <w:rFonts w:cs="Times New Roman" w:ascii="Times New Roman" w:hAnsi="Times New Roman"/>
                <w:kern w:val="0"/>
                <w:sz w:val="26"/>
                <w:szCs w:val="26"/>
                <w:lang w:eastAsia="en-US" w:bidi="ar-SA"/>
              </w:rPr>
              <w:t>співробітництва</w:t>
            </w:r>
            <w:r>
              <w:rPr>
                <w:rFonts w:cs="Times New Roman" w:ascii="Times New Roman" w:hAnsi="Times New Roman"/>
                <w:spacing w:val="15"/>
                <w:kern w:val="0"/>
                <w:sz w:val="26"/>
                <w:szCs w:val="26"/>
                <w:lang w:eastAsia="en-US" w:bidi="ar-SA"/>
              </w:rPr>
              <w:t xml:space="preserve"> </w:t>
            </w:r>
            <w:r>
              <w:rPr>
                <w:rFonts w:cs="Times New Roman" w:ascii="Times New Roman" w:hAnsi="Times New Roman"/>
                <w:kern w:val="0"/>
                <w:sz w:val="26"/>
                <w:szCs w:val="26"/>
                <w:lang w:eastAsia="en-US" w:bidi="ar-SA"/>
              </w:rPr>
              <w:t xml:space="preserve">«Польща-Білорусь-Україна 2014 - 2020» Європейського </w:t>
            </w:r>
            <w:r>
              <w:rPr>
                <w:rFonts w:cs="Times New Roman" w:ascii="Times New Roman" w:hAnsi="Times New Roman"/>
                <w:spacing w:val="-1"/>
                <w:kern w:val="0"/>
                <w:sz w:val="26"/>
                <w:szCs w:val="26"/>
                <w:lang w:eastAsia="en-US" w:bidi="ar-SA"/>
              </w:rPr>
              <w:t>інструменту</w:t>
            </w:r>
            <w:r>
              <w:rPr>
                <w:rFonts w:cs="Times New Roman" w:ascii="Times New Roman" w:hAnsi="Times New Roman"/>
                <w:kern w:val="0"/>
                <w:sz w:val="26"/>
                <w:szCs w:val="26"/>
                <w:lang w:eastAsia="en-US" w:bidi="ar-SA"/>
              </w:rPr>
              <w:t xml:space="preserve"> </w:t>
            </w:r>
            <w:r>
              <w:rPr>
                <w:rFonts w:cs="Times New Roman" w:ascii="Times New Roman" w:hAnsi="Times New Roman"/>
                <w:spacing w:val="-1"/>
                <w:kern w:val="0"/>
                <w:sz w:val="26"/>
                <w:szCs w:val="26"/>
                <w:lang w:eastAsia="en-US" w:bidi="ar-SA"/>
              </w:rPr>
              <w:t xml:space="preserve">сусідства. </w:t>
            </w:r>
            <w:r>
              <w:rPr>
                <w:rStyle w:val="5yl5"/>
                <w:rFonts w:cs="Times New Roman" w:ascii="Times New Roman" w:hAnsi="Times New Roman"/>
                <w:bCs/>
                <w:kern w:val="0"/>
                <w:sz w:val="26"/>
                <w:szCs w:val="26"/>
                <w:lang w:eastAsia="en-US" w:bidi="ar-SA"/>
              </w:rPr>
              <w:t>Загальний бюджет проєкту – </w:t>
            </w:r>
            <w:r>
              <w:rPr>
                <w:rFonts w:cs="Times New Roman" w:ascii="Times New Roman" w:hAnsi="Times New Roman"/>
                <w:bCs/>
                <w:kern w:val="0"/>
                <w:sz w:val="26"/>
                <w:szCs w:val="26"/>
                <w:lang w:eastAsia="en-US" w:bidi="ar-SA"/>
              </w:rPr>
              <w:t>55,6 тис. євро, б</w:t>
            </w:r>
            <w:r>
              <w:rPr>
                <w:rStyle w:val="5yl5"/>
                <w:rFonts w:cs="Times New Roman" w:ascii="Times New Roman" w:hAnsi="Times New Roman"/>
                <w:bCs/>
                <w:kern w:val="0"/>
                <w:sz w:val="26"/>
                <w:szCs w:val="26"/>
                <w:lang w:eastAsia="en-US" w:bidi="ar-SA"/>
              </w:rPr>
              <w:t xml:space="preserve">юджет української сторони – 22,6 тис. євро. </w:t>
            </w:r>
            <w:r>
              <w:rPr>
                <w:rFonts w:cs="Times New Roman" w:ascii="Times New Roman" w:hAnsi="Times New Roman"/>
                <w:bCs/>
                <w:kern w:val="0"/>
                <w:sz w:val="26"/>
                <w:szCs w:val="26"/>
                <w:lang w:eastAsia="en-US" w:bidi="ar-SA"/>
              </w:rPr>
              <w:t>Проєкт реалізовується д</w:t>
            </w:r>
            <w:r>
              <w:rPr>
                <w:rFonts w:cs="Times New Roman" w:ascii="Times New Roman" w:hAnsi="Times New Roman"/>
                <w:kern w:val="0"/>
                <w:sz w:val="26"/>
                <w:szCs w:val="26"/>
                <w:lang w:eastAsia="en-US" w:bidi="ar-SA"/>
              </w:rPr>
              <w:t>епартаментом культури Луцької міської ради у партнерстві з</w:t>
            </w:r>
            <w:r>
              <w:rPr>
                <w:rFonts w:cs="Times New Roman" w:ascii="Times New Roman" w:hAnsi="Times New Roman"/>
                <w:bCs/>
                <w:kern w:val="0"/>
                <w:sz w:val="26"/>
                <w:szCs w:val="26"/>
                <w:lang w:eastAsia="en-US" w:bidi="ar-SA"/>
              </w:rPr>
              <w:t xml:space="preserve"> Школою у Волі Ухруській (Польща) та </w:t>
            </w:r>
            <w:hyperlink r:id="rId19">
              <w:r>
                <w:rPr>
                  <w:rFonts w:cs="Times New Roman" w:ascii="Times New Roman" w:hAnsi="Times New Roman"/>
                  <w:bCs/>
                  <w:sz w:val="26"/>
                  <w:szCs w:val="26"/>
                  <w:lang w:bidi="ar-SA"/>
                </w:rPr>
                <w:t>Луцькою музичною школою № 1 імені Фридерика Шопена</w:t>
              </w:r>
            </w:hyperlink>
            <w:r>
              <w:rPr>
                <w:rFonts w:cs="Times New Roman" w:ascii="Times New Roman" w:hAnsi="Times New Roman"/>
                <w:bCs/>
                <w:kern w:val="0"/>
                <w:sz w:val="26"/>
                <w:szCs w:val="26"/>
                <w:lang w:eastAsia="en-US" w:bidi="ar-SA"/>
              </w:rPr>
              <w:t xml:space="preserve">. </w:t>
            </w:r>
            <w:r>
              <w:rPr>
                <w:rFonts w:cs="Times New Roman" w:ascii="Times New Roman" w:hAnsi="Times New Roman"/>
                <w:kern w:val="0"/>
                <w:sz w:val="26"/>
                <w:szCs w:val="26"/>
                <w:lang w:eastAsia="en-US" w:bidi="ar-SA"/>
              </w:rPr>
              <w:t xml:space="preserve">У процесі реалізації проєкту організовано роботу етнографів, які здійснювали збір та опрацювання фольклору </w:t>
            </w:r>
            <w:r>
              <w:rPr>
                <w:rFonts w:cs="Times New Roman" w:ascii="Times New Roman" w:hAnsi="Times New Roman"/>
                <w:spacing w:val="-1"/>
                <w:kern w:val="0"/>
                <w:sz w:val="26"/>
                <w:szCs w:val="26"/>
                <w:lang w:eastAsia="en-US" w:bidi="ar-SA"/>
              </w:rPr>
              <w:t>українсько-польського</w:t>
            </w:r>
            <w:r>
              <w:rPr>
                <w:rFonts w:cs="Times New Roman" w:ascii="Times New Roman" w:hAnsi="Times New Roman"/>
                <w:spacing w:val="19"/>
                <w:kern w:val="0"/>
                <w:sz w:val="26"/>
                <w:szCs w:val="26"/>
                <w:lang w:eastAsia="en-US" w:bidi="ar-SA"/>
              </w:rPr>
              <w:t xml:space="preserve"> </w:t>
            </w:r>
            <w:r>
              <w:rPr>
                <w:rFonts w:cs="Times New Roman" w:ascii="Times New Roman" w:hAnsi="Times New Roman"/>
                <w:kern w:val="0"/>
                <w:sz w:val="26"/>
                <w:szCs w:val="26"/>
                <w:lang w:eastAsia="en-US" w:bidi="ar-SA"/>
              </w:rPr>
              <w:t>прикордоння, у Волі Ухруській (Польща) проведено літню мистецьку етношколу для творчообдарованих учнів мистецьких шкіл Луцької міської територіальної громади та Волі Ухруської, де діти  займалися в художніх майстернях та вивчали фольклор. Напрацювання презентували під час транскордонного фестивалю у Волі Ухруській. Аналогічний фестиваль «Етнокультура – сила, що єднає» за участі творчих колективів луцької громади проведено у Палаці культури м. Луцька.</w:t>
            </w:r>
          </w:p>
          <w:p>
            <w:pPr>
              <w:pStyle w:val="Style29"/>
              <w:widowControl w:val="false"/>
              <w:ind w:firstLine="567"/>
              <w:jc w:val="both"/>
              <w:rPr>
                <w:rFonts w:ascii="Times New Roman" w:hAnsi="Times New Roman"/>
                <w:sz w:val="26"/>
                <w:szCs w:val="26"/>
                <w:lang w:val="uk-UA"/>
              </w:rPr>
            </w:pPr>
            <w:r>
              <w:rPr>
                <w:rFonts w:ascii="Times New Roman" w:hAnsi="Times New Roman"/>
                <w:b w:val="false"/>
                <w:sz w:val="26"/>
                <w:szCs w:val="26"/>
                <w:lang w:val="uk-UA"/>
              </w:rPr>
              <w:t xml:space="preserve">У червні спільно з Регіональним Центром Курпійовської культури імені В. Скєрковського (Польща) та комунальним закладом «Палац культури міста Луцька» завершилася реалізація проєкту «Розвиток польсько-українського співробітництва на основі культурної спадщини» у рамках зазначеної вище Програми. Бюджет української сторони – близько 22 тис. євро. Основні продукти проєкту: онлайн фестиваль «Зникаючі професії», двомовне видання про культурну та історичну спадщину, CD диск </w:t>
            </w:r>
            <w:r>
              <w:rPr>
                <w:rFonts w:ascii="Times New Roman" w:hAnsi="Times New Roman"/>
                <w:b w:val="false"/>
                <w:sz w:val="26"/>
                <w:szCs w:val="26"/>
                <w:lang w:val="uk-UA" w:eastAsia="ru-RU"/>
              </w:rPr>
              <w:t>Волинського та Курпійовського фольклору.</w:t>
            </w:r>
          </w:p>
          <w:p>
            <w:pPr>
              <w:pStyle w:val="17"/>
              <w:widowControl w:val="false"/>
              <w:tabs>
                <w:tab w:val="clear" w:pos="708"/>
                <w:tab w:val="left" w:pos="607" w:leader="none"/>
              </w:tabs>
              <w:spacing w:lineRule="auto" w:line="240" w:before="0" w:after="0"/>
              <w:ind w:left="0" w:firstLine="567"/>
              <w:jc w:val="both"/>
              <w:rPr/>
            </w:pPr>
            <w:r>
              <w:rPr>
                <w:rStyle w:val="Strong"/>
                <w:rFonts w:ascii="Times New Roman" w:hAnsi="Times New Roman"/>
                <w:b w:val="false"/>
                <w:sz w:val="26"/>
                <w:szCs w:val="26"/>
                <w:lang w:val="uk-UA"/>
              </w:rPr>
              <w:t>В межах заходів програми Ради Європи «Інтеркультурні міста»</w:t>
            </w:r>
            <w:r>
              <w:rPr>
                <w:rStyle w:val="Strong"/>
                <w:rFonts w:ascii="Times New Roman" w:hAnsi="Times New Roman"/>
                <w:sz w:val="26"/>
                <w:szCs w:val="26"/>
                <w:lang w:val="uk-UA"/>
              </w:rPr>
              <w:t xml:space="preserve"> </w:t>
            </w:r>
            <w:r>
              <w:rPr>
                <w:rFonts w:ascii="Times New Roman" w:hAnsi="Times New Roman"/>
                <w:sz w:val="26"/>
                <w:szCs w:val="26"/>
                <w:shd w:fill="FFFFFF" w:val="clear"/>
                <w:lang w:val="uk-UA"/>
              </w:rPr>
              <w:t xml:space="preserve">реалізовано етнопроєкт «Різдво разом» </w:t>
            </w:r>
            <w:r>
              <w:rPr>
                <w:rFonts w:ascii="Times New Roman" w:hAnsi="Times New Roman"/>
                <w:sz w:val="26"/>
                <w:szCs w:val="26"/>
                <w:lang w:val="uk-UA"/>
              </w:rPr>
              <w:t xml:space="preserve">за підтримки Міжнародної благодійної організації «Ромський жіночий фонд «Чіріклі» та Helsinki Deaconess Institute Foundation in Finland (HDI). </w:t>
            </w:r>
            <w:r>
              <w:rPr>
                <w:rFonts w:ascii="Times New Roman" w:hAnsi="Times New Roman"/>
                <w:sz w:val="26"/>
                <w:szCs w:val="26"/>
                <w:lang w:val="uk-UA" w:eastAsia="uk-UA"/>
              </w:rPr>
              <w:t xml:space="preserve">Діти, представники різних національних спільнот, серед яких і роми, спільно з учасниками фольклорного гурту «Волиняни» Луцької музичної школи № 3 виконували автентичні колядки, щедрували, вивчали народні танці, грали традиційні ігри, брали участь у відтворенні елементів різдвяних обрядів. Відбулися </w:t>
            </w:r>
            <w:r>
              <w:rPr>
                <w:rFonts w:ascii="Times New Roman" w:hAnsi="Times New Roman"/>
                <w:sz w:val="26"/>
                <w:szCs w:val="26"/>
                <w:shd w:fill="FFFFFF" w:val="clear"/>
                <w:lang w:val="uk-UA"/>
              </w:rPr>
              <w:t xml:space="preserve">заходи </w:t>
            </w:r>
            <w:r>
              <w:rPr>
                <w:rFonts w:ascii="Times New Roman" w:hAnsi="Times New Roman"/>
                <w:sz w:val="26"/>
                <w:szCs w:val="26"/>
                <w:lang w:val="uk-UA"/>
              </w:rPr>
              <w:t>до Дня пам’яті жертв депортації кримських татар,</w:t>
            </w:r>
            <w:r>
              <w:rPr>
                <w:rFonts w:ascii="Times New Roman" w:hAnsi="Times New Roman"/>
                <w:sz w:val="26"/>
                <w:szCs w:val="26"/>
                <w:shd w:fill="FFFFFF" w:val="clear"/>
                <w:lang w:val="uk-UA"/>
              </w:rPr>
              <w:t xml:space="preserve"> </w:t>
            </w:r>
            <w:r>
              <w:rPr>
                <w:rStyle w:val="Strong"/>
                <w:rFonts w:ascii="Times New Roman" w:hAnsi="Times New Roman"/>
                <w:b w:val="false"/>
                <w:sz w:val="26"/>
                <w:szCs w:val="26"/>
                <w:lang w:val="uk-UA"/>
              </w:rPr>
              <w:t xml:space="preserve">тренінг </w:t>
            </w:r>
            <w:r>
              <w:rPr>
                <w:rFonts w:ascii="Times New Roman" w:hAnsi="Times New Roman"/>
                <w:sz w:val="26"/>
                <w:szCs w:val="26"/>
                <w:lang w:val="uk-UA"/>
              </w:rPr>
              <w:t xml:space="preserve">«Колегіальна супервізія: теорія, модель і практика» </w:t>
            </w:r>
            <w:r>
              <w:rPr>
                <w:rStyle w:val="Strong"/>
                <w:rFonts w:ascii="Times New Roman" w:hAnsi="Times New Roman"/>
                <w:b w:val="false"/>
                <w:sz w:val="26"/>
                <w:szCs w:val="26"/>
                <w:lang w:val="uk-UA"/>
              </w:rPr>
              <w:t>в межах шведсько-українського</w:t>
            </w:r>
            <w:r>
              <w:rPr>
                <w:rStyle w:val="Strong"/>
                <w:rFonts w:ascii="Times New Roman" w:hAnsi="Times New Roman"/>
                <w:sz w:val="26"/>
                <w:szCs w:val="26"/>
                <w:lang w:val="uk-UA"/>
              </w:rPr>
              <w:t xml:space="preserve"> </w:t>
            </w:r>
            <w:r>
              <w:rPr>
                <w:rStyle w:val="Strong"/>
                <w:rFonts w:ascii="Times New Roman" w:hAnsi="Times New Roman"/>
                <w:b w:val="false"/>
                <w:sz w:val="26"/>
                <w:szCs w:val="26"/>
                <w:lang w:val="uk-UA"/>
              </w:rPr>
              <w:t>проєкту</w:t>
            </w:r>
            <w:r>
              <w:rPr>
                <w:rStyle w:val="Strong"/>
                <w:rFonts w:ascii="Times New Roman" w:hAnsi="Times New Roman"/>
                <w:sz w:val="26"/>
                <w:szCs w:val="26"/>
                <w:lang w:val="uk-UA"/>
              </w:rPr>
              <w:t xml:space="preserve"> </w:t>
            </w:r>
            <w:r>
              <w:rPr>
                <w:rFonts w:ascii="Times New Roman" w:hAnsi="Times New Roman"/>
                <w:sz w:val="26"/>
                <w:szCs w:val="26"/>
                <w:lang w:val="uk-UA" w:eastAsia="uk-UA"/>
              </w:rPr>
              <w:t>«</w:t>
            </w:r>
            <w:r>
              <w:rPr>
                <w:rFonts w:ascii="Times New Roman" w:hAnsi="Times New Roman"/>
                <w:sz w:val="26"/>
                <w:szCs w:val="26"/>
                <w:shd w:fill="FFFFFF" w:val="clear"/>
                <w:lang w:val="uk-UA"/>
              </w:rPr>
              <w:t>Подолання стереотипів – побудова довіри та надії»</w:t>
            </w:r>
            <w:r>
              <w:rPr>
                <w:rFonts w:ascii="Times New Roman" w:hAnsi="Times New Roman"/>
                <w:sz w:val="26"/>
                <w:szCs w:val="26"/>
                <w:lang w:val="uk-UA" w:eastAsia="uk-UA"/>
              </w:rPr>
              <w:t xml:space="preserve">, який впроваджується Центром розвитку «Демократія через культуру» спільно та за підтримки Муніципалітету Ботчирка (Швеція). </w:t>
            </w:r>
            <w:r>
              <w:rPr>
                <w:rFonts w:ascii="Times New Roman" w:hAnsi="Times New Roman"/>
                <w:sz w:val="26"/>
                <w:szCs w:val="26"/>
                <w:lang w:val="uk-UA"/>
              </w:rPr>
              <w:t>В межах цієї програми для закладів культури передано 4 генератори з інтеркультурних міст Монреаль (Канада) та Люблін (Польща).</w:t>
            </w:r>
          </w:p>
          <w:p>
            <w:pPr>
              <w:pStyle w:val="17"/>
              <w:widowControl w:val="false"/>
              <w:tabs>
                <w:tab w:val="clear" w:pos="708"/>
                <w:tab w:val="left" w:pos="851" w:leader="none"/>
              </w:tabs>
              <w:spacing w:lineRule="auto" w:line="240" w:before="0" w:after="0"/>
              <w:ind w:left="0" w:firstLine="567"/>
              <w:jc w:val="both"/>
              <w:rPr>
                <w:rFonts w:ascii="Times New Roman" w:hAnsi="Times New Roman"/>
                <w:sz w:val="26"/>
                <w:szCs w:val="26"/>
              </w:rPr>
            </w:pPr>
            <w:r>
              <w:rPr>
                <w:rFonts w:ascii="Times New Roman" w:hAnsi="Times New Roman"/>
                <w:sz w:val="26"/>
                <w:szCs w:val="26"/>
                <w:lang w:val="uk-UA" w:eastAsia="uk-UA"/>
              </w:rPr>
              <w:t>Упроваджено мікропроєкт «Великдень РАЗОМ» за фінансової підтримки міста Ставангер</w:t>
            </w:r>
            <w:r>
              <w:rPr>
                <w:rFonts w:ascii="Times New Roman" w:hAnsi="Times New Roman"/>
                <w:b/>
                <w:sz w:val="26"/>
                <w:szCs w:val="26"/>
                <w:lang w:val="uk-UA" w:eastAsia="uk-UA"/>
              </w:rPr>
              <w:t xml:space="preserve"> </w:t>
            </w:r>
            <w:r>
              <w:rPr>
                <w:rFonts w:ascii="Times New Roman" w:hAnsi="Times New Roman"/>
                <w:sz w:val="26"/>
                <w:szCs w:val="26"/>
                <w:lang w:val="uk-UA" w:eastAsia="uk-UA"/>
              </w:rPr>
              <w:t>(Норвегія).</w:t>
            </w:r>
            <w:r>
              <w:rPr>
                <w:rFonts w:ascii="Times New Roman" w:hAnsi="Times New Roman"/>
                <w:b/>
                <w:sz w:val="26"/>
                <w:szCs w:val="26"/>
                <w:lang w:val="uk-UA" w:eastAsia="uk-UA"/>
              </w:rPr>
              <w:t xml:space="preserve"> </w:t>
            </w:r>
            <w:r>
              <w:rPr>
                <w:rFonts w:ascii="Times New Roman" w:hAnsi="Times New Roman"/>
                <w:sz w:val="26"/>
                <w:szCs w:val="26"/>
                <w:lang w:val="uk-UA" w:eastAsia="uk-UA"/>
              </w:rPr>
              <w:t>В межах проєкту проведено майстер-класи із декоративно-прикладного мистецтва для дітей і підлітків громади, зокрема з числа ВПО та представників національних спільнот, а також створено спільний культурний продукт-артінсталяції на Великодню тематику (бюджет: 33,3 тис. грн).</w:t>
            </w:r>
          </w:p>
          <w:p>
            <w:pPr>
              <w:pStyle w:val="17"/>
              <w:widowControl w:val="false"/>
              <w:tabs>
                <w:tab w:val="clear" w:pos="708"/>
                <w:tab w:val="left" w:pos="851" w:leader="none"/>
              </w:tabs>
              <w:spacing w:lineRule="auto" w:line="240" w:before="0" w:after="0"/>
              <w:ind w:left="0" w:firstLine="567"/>
              <w:jc w:val="both"/>
              <w:rPr>
                <w:rFonts w:ascii="Times New Roman" w:hAnsi="Times New Roman"/>
                <w:sz w:val="26"/>
                <w:szCs w:val="26"/>
              </w:rPr>
            </w:pPr>
            <w:r>
              <w:rPr>
                <w:rFonts w:ascii="Times New Roman" w:hAnsi="Times New Roman"/>
                <w:sz w:val="26"/>
                <w:szCs w:val="26"/>
                <w:lang w:val="uk-UA"/>
              </w:rPr>
              <w:t>Реалізовано проєкт «Від мрії до дії» для дівчат та жінок національних спільнот та ВПО, в межах програми та за фінансової підтримки Міжнародної благодійної організації «Ромський Жіночий Фонд «Чіріклі» (бюджет: 62 тис. грн).</w:t>
            </w:r>
          </w:p>
          <w:p>
            <w:pPr>
              <w:pStyle w:val="17"/>
              <w:widowControl w:val="false"/>
              <w:tabs>
                <w:tab w:val="clear" w:pos="708"/>
                <w:tab w:val="left" w:pos="540" w:leader="none"/>
              </w:tabs>
              <w:spacing w:lineRule="auto" w:line="240" w:before="0" w:after="0"/>
              <w:ind w:left="0" w:firstLine="567"/>
              <w:jc w:val="both"/>
              <w:rPr>
                <w:rFonts w:ascii="Times New Roman" w:hAnsi="Times New Roman"/>
                <w:sz w:val="26"/>
                <w:szCs w:val="26"/>
              </w:rPr>
            </w:pPr>
            <w:r>
              <w:rPr>
                <w:rFonts w:ascii="Times New Roman" w:hAnsi="Times New Roman"/>
                <w:sz w:val="26"/>
                <w:szCs w:val="26"/>
                <w:shd w:fill="FFFFFF" w:val="clear"/>
                <w:lang w:val="uk-UA"/>
              </w:rPr>
              <w:t xml:space="preserve">Бібліотеки громади активно долучалися до </w:t>
            </w:r>
            <w:r>
              <w:rPr>
                <w:rFonts w:ascii="Times New Roman" w:hAnsi="Times New Roman"/>
                <w:sz w:val="26"/>
                <w:szCs w:val="26"/>
                <w:shd w:fill="FFFFFF" w:val="clear"/>
              </w:rPr>
              <w:t> </w:t>
            </w:r>
            <w:r>
              <w:rPr>
                <w:rFonts w:ascii="Times New Roman" w:hAnsi="Times New Roman"/>
                <w:sz w:val="26"/>
                <w:szCs w:val="26"/>
                <w:shd w:fill="FFFFFF" w:val="clear"/>
                <w:lang w:val="uk-UA"/>
              </w:rPr>
              <w:t>проєкту «СпівДія заради Дітей», що реалізується командою благодійного фонду «СпівДія» за підтримки Дитячого фонду ООН (</w:t>
            </w:r>
            <w:r>
              <w:rPr>
                <w:rFonts w:ascii="Times New Roman" w:hAnsi="Times New Roman"/>
                <w:sz w:val="26"/>
                <w:szCs w:val="26"/>
                <w:shd w:fill="FFFFFF" w:val="clear"/>
              </w:rPr>
              <w:t>UNICEF</w:t>
            </w:r>
            <w:r>
              <w:rPr>
                <w:rFonts w:ascii="Times New Roman" w:hAnsi="Times New Roman"/>
                <w:sz w:val="26"/>
                <w:szCs w:val="26"/>
                <w:shd w:fill="FFFFFF" w:val="clear"/>
                <w:lang w:val="uk-UA"/>
              </w:rPr>
              <w:t xml:space="preserve"> </w:t>
            </w:r>
            <w:r>
              <w:rPr>
                <w:rFonts w:ascii="Times New Roman" w:hAnsi="Times New Roman"/>
                <w:sz w:val="26"/>
                <w:szCs w:val="26"/>
                <w:shd w:fill="FFFFFF" w:val="clear"/>
              </w:rPr>
              <w:t>Ukraine</w:t>
            </w:r>
            <w:r>
              <w:rPr>
                <w:rFonts w:ascii="Times New Roman" w:hAnsi="Times New Roman"/>
                <w:sz w:val="26"/>
                <w:szCs w:val="26"/>
                <w:shd w:fill="FFFFFF" w:val="clear"/>
                <w:lang w:val="uk-UA"/>
              </w:rPr>
              <w:t>).</w:t>
            </w:r>
            <w:r>
              <w:rPr>
                <w:rFonts w:ascii="Times New Roman" w:hAnsi="Times New Roman"/>
                <w:sz w:val="26"/>
                <w:szCs w:val="26"/>
                <w:lang w:val="uk-UA" w:eastAsia="uk-UA"/>
              </w:rPr>
              <w:t xml:space="preserve"> В межах проєкту організовано більше 50 заходів</w:t>
            </w:r>
            <w:r>
              <w:rPr>
                <w:rFonts w:ascii="Times New Roman" w:hAnsi="Times New Roman"/>
                <w:sz w:val="26"/>
                <w:szCs w:val="26"/>
                <w:shd w:fill="FFFFFF" w:val="clear"/>
                <w:lang w:val="uk-UA"/>
              </w:rPr>
              <w:t xml:space="preserve"> для дітей ВПО з</w:t>
            </w:r>
            <w:r>
              <w:rPr>
                <w:rFonts w:ascii="Times New Roman" w:hAnsi="Times New Roman"/>
                <w:b/>
                <w:sz w:val="26"/>
                <w:szCs w:val="26"/>
                <w:shd w:fill="FFFFFF" w:val="clear"/>
                <w:lang w:val="uk-UA"/>
              </w:rPr>
              <w:t xml:space="preserve"> </w:t>
            </w:r>
            <w:r>
              <w:rPr>
                <w:rFonts w:ascii="Times New Roman" w:hAnsi="Times New Roman"/>
                <w:sz w:val="26"/>
                <w:szCs w:val="26"/>
                <w:shd w:fill="FFFFFF" w:val="clear"/>
                <w:lang w:val="uk-UA"/>
              </w:rPr>
              <w:t>Бахмута, Бердянська, Харкова, Луганська та інших міст, де проводяться активні бойові дії.</w:t>
            </w:r>
          </w:p>
          <w:p>
            <w:pPr>
              <w:pStyle w:val="17"/>
              <w:widowControl w:val="false"/>
              <w:tabs>
                <w:tab w:val="clear" w:pos="708"/>
                <w:tab w:val="left" w:pos="540" w:leader="none"/>
              </w:tabs>
              <w:spacing w:lineRule="auto" w:line="240" w:before="0" w:after="0"/>
              <w:ind w:left="0" w:firstLine="567"/>
              <w:jc w:val="both"/>
              <w:rPr>
                <w:rFonts w:ascii="Times New Roman" w:hAnsi="Times New Roman"/>
                <w:sz w:val="26"/>
                <w:szCs w:val="26"/>
              </w:rPr>
            </w:pPr>
            <w:r>
              <w:rPr>
                <w:rFonts w:ascii="Times New Roman" w:hAnsi="Times New Roman"/>
                <w:sz w:val="26"/>
                <w:szCs w:val="26"/>
                <w:lang w:val="uk-UA"/>
              </w:rPr>
              <w:t>Роботи учнів Луцької художньої школи презентувалися на благодійній виставці «200 картин дітей незламної України» в межах Міжнародної мистецької програми «</w:t>
            </w:r>
            <w:r>
              <w:rPr>
                <w:rFonts w:ascii="Times New Roman" w:hAnsi="Times New Roman"/>
                <w:sz w:val="26"/>
                <w:szCs w:val="26"/>
              </w:rPr>
              <w:t>KIDS</w:t>
            </w:r>
            <w:r>
              <w:rPr>
                <w:rFonts w:ascii="Times New Roman" w:hAnsi="Times New Roman"/>
                <w:sz w:val="26"/>
                <w:szCs w:val="26"/>
                <w:lang w:val="uk-UA"/>
              </w:rPr>
              <w:t xml:space="preserve"> </w:t>
            </w:r>
            <w:r>
              <w:rPr>
                <w:rFonts w:ascii="Times New Roman" w:hAnsi="Times New Roman"/>
                <w:sz w:val="26"/>
                <w:szCs w:val="26"/>
              </w:rPr>
              <w:t>and</w:t>
            </w:r>
            <w:r>
              <w:rPr>
                <w:rFonts w:ascii="Times New Roman" w:hAnsi="Times New Roman"/>
                <w:sz w:val="26"/>
                <w:szCs w:val="26"/>
                <w:lang w:val="uk-UA"/>
              </w:rPr>
              <w:t xml:space="preserve"> </w:t>
            </w:r>
            <w:r>
              <w:rPr>
                <w:rFonts w:ascii="Times New Roman" w:hAnsi="Times New Roman"/>
                <w:sz w:val="26"/>
                <w:szCs w:val="26"/>
              </w:rPr>
              <w:t>ART</w:t>
            </w:r>
            <w:r>
              <w:rPr>
                <w:rFonts w:ascii="Times New Roman" w:hAnsi="Times New Roman"/>
                <w:sz w:val="26"/>
                <w:szCs w:val="26"/>
                <w:lang w:val="uk-UA"/>
              </w:rPr>
              <w:t xml:space="preserve"> </w:t>
            </w:r>
            <w:r>
              <w:rPr>
                <w:rFonts w:ascii="Times New Roman" w:hAnsi="Times New Roman"/>
                <w:sz w:val="26"/>
                <w:szCs w:val="26"/>
              </w:rPr>
              <w:t>for</w:t>
            </w:r>
            <w:r>
              <w:rPr>
                <w:rFonts w:ascii="Times New Roman" w:hAnsi="Times New Roman"/>
                <w:b/>
                <w:sz w:val="26"/>
                <w:szCs w:val="26"/>
                <w:lang w:val="uk-UA"/>
              </w:rPr>
              <w:t xml:space="preserve"> </w:t>
            </w:r>
            <w:r>
              <w:rPr>
                <w:rFonts w:ascii="Times New Roman" w:hAnsi="Times New Roman"/>
                <w:sz w:val="26"/>
                <w:szCs w:val="26"/>
              </w:rPr>
              <w:t>UKRAINE</w:t>
            </w:r>
            <w:r>
              <w:rPr>
                <w:rFonts w:ascii="Times New Roman" w:hAnsi="Times New Roman"/>
                <w:sz w:val="26"/>
                <w:szCs w:val="26"/>
                <w:lang w:val="uk-UA"/>
              </w:rPr>
              <w:t>»</w:t>
            </w:r>
            <w:r>
              <w:rPr>
                <w:rFonts w:ascii="Times New Roman" w:hAnsi="Times New Roman"/>
                <w:b/>
                <w:sz w:val="26"/>
                <w:szCs w:val="26"/>
                <w:lang w:val="uk-UA"/>
              </w:rPr>
              <w:t xml:space="preserve"> </w:t>
            </w:r>
            <w:r>
              <w:rPr>
                <w:rFonts w:ascii="Times New Roman" w:hAnsi="Times New Roman"/>
                <w:sz w:val="26"/>
                <w:szCs w:val="26"/>
                <w:lang w:val="uk-UA"/>
              </w:rPr>
              <w:t>(Великобританія). За кошти цієї програми придбано 72 лінійних світлодіодних світильники загальною вартістю 1 600,0 фунтів для покращення освітлення у 18 навчальних класах школи.</w:t>
            </w:r>
          </w:p>
          <w:p>
            <w:pPr>
              <w:pStyle w:val="17"/>
              <w:widowControl w:val="false"/>
              <w:tabs>
                <w:tab w:val="clear" w:pos="708"/>
                <w:tab w:val="left" w:pos="851" w:leader="none"/>
              </w:tabs>
              <w:spacing w:lineRule="auto" w:line="240" w:before="0" w:after="0"/>
              <w:ind w:left="0" w:firstLine="567"/>
              <w:jc w:val="both"/>
              <w:rPr>
                <w:rFonts w:ascii="Times New Roman" w:hAnsi="Times New Roman"/>
                <w:sz w:val="26"/>
                <w:szCs w:val="26"/>
                <w:lang w:val="uk-UA"/>
              </w:rPr>
            </w:pPr>
            <w:r>
              <w:rPr>
                <w:rFonts w:ascii="Times New Roman" w:hAnsi="Times New Roman"/>
                <w:sz w:val="26"/>
                <w:szCs w:val="26"/>
                <w:lang w:val="uk-UA"/>
              </w:rPr>
              <w:t>В межах проєкту Ради Європи «Підтримка реформування законодавчої бази щодо національних меншин та зміцнення стійкості національних меншин і ромів в Україні» організовано воркшоп із нейрографіки для представників національних спільнот та ВПО.</w:t>
            </w:r>
          </w:p>
          <w:p>
            <w:pPr>
              <w:pStyle w:val="17"/>
              <w:widowControl w:val="false"/>
              <w:tabs>
                <w:tab w:val="clear" w:pos="708"/>
                <w:tab w:val="left" w:pos="851" w:leader="none"/>
              </w:tabs>
              <w:spacing w:lineRule="auto" w:line="240" w:before="0" w:after="0"/>
              <w:ind w:left="0" w:firstLine="567"/>
              <w:jc w:val="both"/>
              <w:rPr>
                <w:rFonts w:ascii="Times New Roman" w:hAnsi="Times New Roman"/>
                <w:sz w:val="26"/>
                <w:szCs w:val="26"/>
                <w:lang w:val="uk-UA"/>
              </w:rPr>
            </w:pPr>
            <w:r>
              <w:rPr>
                <w:rFonts w:ascii="Times New Roman" w:hAnsi="Times New Roman"/>
                <w:sz w:val="26"/>
                <w:szCs w:val="26"/>
                <w:lang w:val="uk-UA"/>
              </w:rPr>
              <w:t>Підготовлено проєктні заявки:</w:t>
            </w:r>
          </w:p>
          <w:p>
            <w:pPr>
              <w:pStyle w:val="Style29"/>
              <w:widowControl w:val="false"/>
              <w:ind w:firstLine="567"/>
              <w:jc w:val="both"/>
              <w:rPr>
                <w:rFonts w:ascii="Times New Roman" w:hAnsi="Times New Roman"/>
                <w:sz w:val="26"/>
                <w:szCs w:val="26"/>
                <w:lang w:val="uk-UA"/>
              </w:rPr>
            </w:pPr>
            <w:r>
              <w:rPr>
                <w:rFonts w:ascii="Times New Roman" w:hAnsi="Times New Roman"/>
                <w:b w:val="false"/>
                <w:sz w:val="26"/>
                <w:szCs w:val="26"/>
                <w:lang w:val="uk-UA"/>
              </w:rPr>
              <w:t>«Інтеграція через культуру: створення Центру соціальної згуртованості для дітей та підлітків</w:t>
            </w:r>
            <w:r>
              <w:rPr>
                <w:rFonts w:ascii="Times New Roman" w:hAnsi="Times New Roman"/>
                <w:b w:val="false"/>
                <w:sz w:val="26"/>
                <w:szCs w:val="26"/>
                <w:shd w:fill="FFFFFF" w:val="clear"/>
                <w:lang w:val="uk-UA"/>
              </w:rPr>
              <w:t>», що передбачає створення інтеграційних арт-просторів на базі закладів культури міської територіальної громади;</w:t>
            </w:r>
          </w:p>
          <w:p>
            <w:pPr>
              <w:pStyle w:val="Style29"/>
              <w:widowControl w:val="false"/>
              <w:ind w:firstLine="567"/>
              <w:jc w:val="both"/>
              <w:rPr>
                <w:rFonts w:ascii="Times New Roman" w:hAnsi="Times New Roman"/>
                <w:sz w:val="26"/>
                <w:szCs w:val="26"/>
                <w:lang w:val="uk-UA"/>
              </w:rPr>
            </w:pPr>
            <w:r>
              <w:rPr>
                <w:rFonts w:ascii="Times New Roman" w:hAnsi="Times New Roman"/>
                <w:b w:val="false"/>
                <w:sz w:val="26"/>
                <w:szCs w:val="26"/>
                <w:lang w:val="uk-UA" w:eastAsia="uk-UA"/>
              </w:rPr>
              <w:t xml:space="preserve">«Навчаємось-перемагаємо!» </w:t>
            </w:r>
            <w:r>
              <w:rPr>
                <w:rFonts w:ascii="Times New Roman" w:hAnsi="Times New Roman"/>
                <w:b w:val="false"/>
                <w:sz w:val="26"/>
                <w:szCs w:val="26"/>
                <w:shd w:fill="FFFFFF" w:val="clear"/>
                <w:lang w:val="uk-UA"/>
              </w:rPr>
              <w:t xml:space="preserve">в межах проєкту «Шлях до локалізації механізмів захисту дітей в контексті гуманітарного реагування в Україні», що реалізується Ресурсним центром НДО у співпраці з Українським Гуманітарним Фондом. </w:t>
            </w:r>
            <w:r>
              <w:rPr>
                <w:rFonts w:ascii="Times New Roman" w:hAnsi="Times New Roman"/>
                <w:b w:val="false"/>
                <w:sz w:val="26"/>
                <w:szCs w:val="26"/>
                <w:lang w:val="uk-UA" w:eastAsia="uk-UA"/>
              </w:rPr>
              <w:t>Проєктом передбачено проведення серії освітніх тренінгів для менеджерів культури з проєктного менеджменту, інформаційної гігієни та кібербезпеки, взаємодії із соціальними мережами.</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kern w:val="0"/>
                <w:sz w:val="26"/>
                <w:szCs w:val="26"/>
                <w:shd w:fill="FFFFFF" w:val="clear"/>
                <w:lang w:eastAsia="en-US" w:bidi="ar-SA"/>
              </w:rPr>
              <w:t>З метою організації роботи щодо соціальної та психологічної адаптації сімей ВПО, зокрема дітей та підлітків, для їх повноцінної інтеграції в життя громади шляхом проведення освітніх та культурно-мистецьких заходів підготовлено заявки:</w:t>
            </w:r>
          </w:p>
          <w:p>
            <w:pPr>
              <w:pStyle w:val="Normal"/>
              <w:widowControl w:val="false"/>
              <w:ind w:firstLine="567"/>
              <w:jc w:val="both"/>
              <w:rPr>
                <w:rFonts w:ascii="Times New Roman" w:hAnsi="Times New Roman"/>
                <w:sz w:val="26"/>
                <w:szCs w:val="26"/>
              </w:rPr>
            </w:pPr>
            <w:r>
              <w:rPr>
                <w:rFonts w:cs="Times New Roman" w:ascii="Times New Roman" w:hAnsi="Times New Roman"/>
                <w:kern w:val="0"/>
                <w:sz w:val="26"/>
                <w:szCs w:val="26"/>
                <w:lang w:eastAsia="en-US" w:bidi="ar-SA"/>
              </w:rPr>
              <w:t>«Єдина громада – єдина Україна: інтеграція ВПО у</w:t>
            </w:r>
            <w:r>
              <w:rPr>
                <w:rFonts w:cs="Times New Roman" w:ascii="Times New Roman" w:hAnsi="Times New Roman"/>
                <w:kern w:val="0"/>
                <w:sz w:val="26"/>
                <w:szCs w:val="26"/>
                <w:shd w:fill="FAFAFA" w:val="clear"/>
                <w:lang w:eastAsia="en-US" w:bidi="ar-SA"/>
              </w:rPr>
              <w:t xml:space="preserve"> </w:t>
            </w:r>
            <w:r>
              <w:rPr>
                <w:rFonts w:cs="Times New Roman" w:ascii="Times New Roman" w:hAnsi="Times New Roman"/>
                <w:kern w:val="0"/>
                <w:sz w:val="26"/>
                <w:szCs w:val="26"/>
                <w:lang w:eastAsia="en-US" w:bidi="ar-SA"/>
              </w:rPr>
              <w:t xml:space="preserve">Луцьку родину» </w:t>
            </w:r>
            <w:r>
              <w:rPr>
                <w:rFonts w:cs="Times New Roman" w:ascii="Times New Roman" w:hAnsi="Times New Roman"/>
                <w:spacing w:val="-12"/>
                <w:kern w:val="0"/>
                <w:sz w:val="26"/>
                <w:szCs w:val="26"/>
                <w:lang w:eastAsia="en-US" w:bidi="ar-SA"/>
              </w:rPr>
              <w:t>конкурсу «Сприяння інтеграції ВПО та використанню інструментів місцевої демократії на рівні громад»</w:t>
            </w:r>
            <w:r>
              <w:rPr>
                <w:rFonts w:cs="Times New Roman" w:ascii="Times New Roman" w:hAnsi="Times New Roman"/>
                <w:kern w:val="0"/>
                <w:sz w:val="26"/>
                <w:szCs w:val="26"/>
                <w:lang w:eastAsia="en-US" w:bidi="ar-SA"/>
              </w:rPr>
              <w:t xml:space="preserve"> Міжнародного фонду «Відродження»</w:t>
            </w:r>
            <w:r>
              <w:rPr>
                <w:rFonts w:cs="Times New Roman" w:ascii="Times New Roman" w:hAnsi="Times New Roman"/>
                <w:spacing w:val="-12"/>
                <w:kern w:val="0"/>
                <w:sz w:val="26"/>
                <w:szCs w:val="26"/>
                <w:lang w:eastAsia="en-US" w:bidi="ar-SA"/>
              </w:rPr>
              <w:t>;</w:t>
            </w:r>
          </w:p>
          <w:p>
            <w:pPr>
              <w:pStyle w:val="Normal"/>
              <w:widowControl w:val="false"/>
              <w:ind w:firstLine="567"/>
              <w:jc w:val="both"/>
              <w:rPr>
                <w:rFonts w:ascii="Times New Roman" w:hAnsi="Times New Roman" w:cs="Times New Roman"/>
                <w:sz w:val="26"/>
                <w:szCs w:val="26"/>
                <w:lang w:eastAsia="en-US"/>
              </w:rPr>
            </w:pPr>
            <w:r>
              <w:rPr>
                <w:rFonts w:cs="Times New Roman" w:ascii="Times New Roman" w:hAnsi="Times New Roman"/>
                <w:kern w:val="0"/>
                <w:sz w:val="26"/>
                <w:szCs w:val="26"/>
                <w:shd w:fill="FFFFFF" w:val="clear"/>
                <w:lang w:eastAsia="en-US" w:bidi="ar-SA"/>
              </w:rPr>
              <w:t>«Творче літо: арт пікніки» у межах Програми «Culture Helps / Культура допомагає» за фінансової підтримки Європейського Союзу.</w:t>
            </w:r>
          </w:p>
          <w:p>
            <w:pPr>
              <w:pStyle w:val="Normal"/>
              <w:widowControl w:val="false"/>
              <w:ind w:firstLine="567"/>
              <w:jc w:val="both"/>
              <w:rPr>
                <w:rFonts w:ascii="Times New Roman" w:hAnsi="Times New Roman"/>
                <w:sz w:val="26"/>
                <w:szCs w:val="26"/>
              </w:rPr>
            </w:pPr>
            <w:r>
              <w:rPr>
                <w:rFonts w:cs="Times New Roman" w:ascii="Times New Roman" w:hAnsi="Times New Roman"/>
                <w:kern w:val="0"/>
                <w:sz w:val="26"/>
                <w:szCs w:val="26"/>
                <w:lang w:eastAsia="uk-UA" w:bidi="ar-SA"/>
              </w:rPr>
              <w:t xml:space="preserve">Підготовлено також 3 </w:t>
            </w:r>
            <w:r>
              <w:rPr>
                <w:rFonts w:cs="Times New Roman" w:ascii="Times New Roman" w:hAnsi="Times New Roman"/>
                <w:kern w:val="0"/>
                <w:sz w:val="26"/>
                <w:szCs w:val="26"/>
                <w:lang w:eastAsia="en-US" w:bidi="ar-SA"/>
              </w:rPr>
              <w:t>заявки для участі бібліотек у проєкті  «СпівДія Ноут», що реалізується в межах програми USAID «Мріємо та діємо».</w:t>
            </w:r>
          </w:p>
        </w:tc>
      </w:tr>
    </w:tbl>
    <w:p>
      <w:pPr>
        <w:pStyle w:val="Normal"/>
        <w:spacing w:lineRule="auto" w:line="360"/>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spacing w:lineRule="auto" w:line="360"/>
        <w:jc w:val="center"/>
        <w:rPr>
          <w:rFonts w:ascii="Times New Roman" w:hAnsi="Times New Roman"/>
          <w:sz w:val="26"/>
          <w:szCs w:val="26"/>
        </w:rPr>
      </w:pPr>
      <w:r>
        <w:rPr>
          <w:rFonts w:cs="Times New Roman" w:ascii="Times New Roman" w:hAnsi="Times New Roman"/>
          <w:b/>
          <w:bCs/>
          <w:sz w:val="26"/>
          <w:szCs w:val="26"/>
        </w:rPr>
        <w:t>3.3.7. Фізична культура та спорт</w:t>
      </w:r>
    </w:p>
    <w:tbl>
      <w:tblPr>
        <w:tblW w:w="15435" w:type="dxa"/>
        <w:jc w:val="left"/>
        <w:tblInd w:w="113" w:type="dxa"/>
        <w:tblLayout w:type="fixed"/>
        <w:tblCellMar>
          <w:top w:w="0" w:type="dxa"/>
          <w:left w:w="108" w:type="dxa"/>
          <w:bottom w:w="0" w:type="dxa"/>
          <w:right w:w="108" w:type="dxa"/>
        </w:tblCellMar>
        <w:tblLook w:firstRow="0" w:noVBand="0" w:lastRow="0" w:firstColumn="0" w:lastColumn="0" w:noHBand="0" w:val="0000"/>
      </w:tblPr>
      <w:tblGrid>
        <w:gridCol w:w="626"/>
        <w:gridCol w:w="4319"/>
        <w:gridCol w:w="10490"/>
      </w:tblGrid>
      <w:tr>
        <w:trPr>
          <w:trHeight w:val="615"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bCs/>
                <w:sz w:val="26"/>
                <w:szCs w:val="26"/>
              </w:rPr>
              <w:t xml:space="preserve">№ </w:t>
            </w:r>
            <w:r>
              <w:rPr>
                <w:rFonts w:cs="Times New Roman" w:ascii="Times New Roman" w:hAnsi="Times New Roman"/>
                <w:bCs/>
                <w:sz w:val="26"/>
                <w:szCs w:val="26"/>
              </w:rPr>
              <w:t>з/п</w:t>
            </w:r>
          </w:p>
        </w:tc>
        <w:tc>
          <w:tcPr>
            <w:tcW w:w="4319"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Назва заходів</w:t>
            </w:r>
          </w:p>
        </w:tc>
        <w:tc>
          <w:tcPr>
            <w:tcW w:w="104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Стан виконання заходів</w:t>
            </w:r>
          </w:p>
        </w:tc>
      </w:tr>
      <w:tr>
        <w:trPr>
          <w:trHeight w:val="615"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t>1.</w:t>
            </w:r>
          </w:p>
        </w:tc>
        <w:tc>
          <w:tcPr>
            <w:tcW w:w="4319"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Організація та проведення змагань з видів спорту (в т. ч. на підтримку ЗСУ, ТРО, ВПО), навчально-тренувальних зборів для збірних команд та окремих спортсменів, забезпечення участі спортсменів та збірних команд у змаганнях різних рівнів з урахуванням вимог та обмежень воєнного стану.</w:t>
            </w:r>
          </w:p>
        </w:tc>
        <w:tc>
          <w:tcPr>
            <w:tcW w:w="1049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40" w:leader="none"/>
              </w:tabs>
              <w:ind w:firstLine="567"/>
              <w:jc w:val="both"/>
              <w:rPr>
                <w:rFonts w:ascii="Times New Roman" w:hAnsi="Times New Roman" w:cs="Times New Roman"/>
                <w:spacing w:val="-4"/>
                <w:sz w:val="26"/>
                <w:szCs w:val="26"/>
              </w:rPr>
            </w:pPr>
            <w:r>
              <w:rPr>
                <w:rFonts w:cs="Times New Roman" w:ascii="Times New Roman" w:hAnsi="Times New Roman"/>
                <w:spacing w:val="-4"/>
                <w:sz w:val="26"/>
                <w:szCs w:val="26"/>
              </w:rPr>
              <w:t>За перше півріччя 2023 року було проведено 93 заходи (зокрема: козацький турнір «Шлях до перемоги», відкритий чемпіонат КЗ «ДЮСШ № 3 ЛМР» з гімнастики художньої «Зимова Казка», серія турнірів з тенісу настільного «Луцька серія – open», ІХ благодійний турніру з гімнастики художньої пам’яті Миколи Романюка в поміч дітям з обмеженими можливостями, серія дитячих фестивалів з футзалу «Наближаємо перемогу», турнір з волейболу серед чоловічних команд «Луцька студентська ліга – 2023», ХХХ Всеукраїнський турнір з волейболу «Волинь зустрічає друзів», всеукраїнський турнір з Шотокан карате – до (версія JKA), відкриті змагання з тхеквондо (ВТФ) «Кубок Любарта», чемпіонат ЛМТГ з футболу 2023 року, всеукраїнський турнір з дзюдо на призи ЗМСУ Руслана Машуренка серед молоді до 23 років, турнір з міні-футболу серед команд ЛМТГ «Кубок міського голови – 2023», турніри з тенісу, стрільби з лука, боротьби вільної, шахів, шашок, карате, спортивного орієнтування, спортивної акробатики та інші змагання). Спільно з партнерами було проведено більше 10 благодійних заходів на підтримку ЗСУ. Проведено 23 навчально-тренувальні збори.</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pacing w:val="-4"/>
                <w:sz w:val="26"/>
                <w:szCs w:val="26"/>
              </w:rPr>
              <w:t>Збірні команди Луцької МТГ взяли участь у 13 змаганнях різного рівня (з волейболу, боротьби вільної, тенісу настільного, легкої атлетики, гандболу, дзюдо, веслування на байдарках та каное).</w:t>
            </w:r>
          </w:p>
        </w:tc>
      </w:tr>
      <w:tr>
        <w:trPr>
          <w:trHeight w:val="288"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2.</w:t>
            </w:r>
          </w:p>
        </w:tc>
        <w:tc>
          <w:tcPr>
            <w:tcW w:w="4319"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Проведення фізкультурно-оздоровчих та спортивно-масових заходів за місцем проживання та у місцях масового відпочинку громадян серед різних вікових категорій та соціальних груп (в т.ч. ВПО, УБД) з урахуванням вимог та обмежень воєнного стану.</w:t>
            </w:r>
          </w:p>
        </w:tc>
        <w:tc>
          <w:tcPr>
            <w:tcW w:w="1049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Протягом звітного періоду працівники КЗ «Луцький МЦФЗН “Спорт для всіх”» провели 1 127 заходів: фестивалі спорту в різних мікрорайонах міста за місцем проживання; спортивно-масові заходи в рамках акції «Спортивна зима-2023», турніри з шахів та шашок; змагання з тенісу настільного, спортивно-патріотичні свята; ігри «Шкіряний м`яч – 2023»; «Веселі старти» до Дня захисту дітей для осіб з інвалідністю; заходи до Дня Європи; заходи до Дня Матері; заходи до дня Конституції України, «Веселі старти» для ВПО, змагання для Луцької територіальної громади (Сирники, Милуші, Забороль); спортивно-безпеково-пізнавальний квест у рамках проєкту Всеукраїнської фундації Захист Прав Дітей «Психологічна підтримка дітей, постраждалих від збройного конфлікту в Україні» тощо. Для проведення заходів було залучено кошти БФ «Тільки разом» на суму 39,2 тис. грн.</w:t>
            </w:r>
          </w:p>
        </w:tc>
      </w:tr>
      <w:tr>
        <w:trPr>
          <w:trHeight w:val="288"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3.</w:t>
            </w:r>
          </w:p>
        </w:tc>
        <w:tc>
          <w:tcPr>
            <w:tcW w:w="4319"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Придбання спортивного обладнання та інвентарю для КЗ «ДЮСШ № 3», комп’ютерної техніки, гірських велосипедів та гвинтівки для КЗ «ДЮСШ № 4».</w:t>
            </w:r>
          </w:p>
        </w:tc>
        <w:tc>
          <w:tcPr>
            <w:tcW w:w="1049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Оголошено тендер на придбання 6 велосипедів для маунтенбайку.</w:t>
            </w:r>
          </w:p>
        </w:tc>
      </w:tr>
      <w:tr>
        <w:trPr>
          <w:trHeight w:val="288"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4.</w:t>
            </w:r>
          </w:p>
        </w:tc>
        <w:tc>
          <w:tcPr>
            <w:tcW w:w="4319"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Фінансова підтримка міських федерацій з видів спорту, спортивних клубів, команд з ігрових видів спорту – учасників вищих ліг, суперліг, Прем'єрліг та дивізіонів чемпіонатів України з видів спорту.</w:t>
            </w:r>
          </w:p>
        </w:tc>
        <w:tc>
          <w:tcPr>
            <w:tcW w:w="1049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За перше півріччя 2023 року було підтримано спортивні громадські організації на суму 1 073,5 тис. грн («Федерація важкої атлетики міста Луцька», баскетбольний клуб «Старий Луцьк», хокейний клуб «Спарта», «Федерація рукопашного бою міста Луцька»).</w:t>
            </w:r>
          </w:p>
        </w:tc>
      </w:tr>
      <w:tr>
        <w:trPr>
          <w:trHeight w:val="1359"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5.</w:t>
            </w:r>
          </w:p>
        </w:tc>
        <w:tc>
          <w:tcPr>
            <w:tcW w:w="4319"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Надання необхідної допомоги кращим спортсменам та тренерам громади (виплата щомісячних стипендій та одноразових грошових винагород; поліпшення житлово-побутових умов)</w:t>
            </w:r>
          </w:p>
          <w:p>
            <w:pPr>
              <w:pStyle w:val="Normal"/>
              <w:widowControl w:val="false"/>
              <w:jc w:val="both"/>
              <w:rPr>
                <w:rFonts w:ascii="Times New Roman" w:hAnsi="Times New Roman" w:cs="Times New Roman"/>
                <w:sz w:val="26"/>
                <w:szCs w:val="26"/>
              </w:rPr>
            </w:pPr>
            <w:r>
              <w:rPr>
                <w:rFonts w:cs="Times New Roman" w:ascii="Times New Roman" w:hAnsi="Times New Roman"/>
                <w:sz w:val="26"/>
                <w:szCs w:val="26"/>
              </w:rPr>
            </w:r>
          </w:p>
        </w:tc>
        <w:tc>
          <w:tcPr>
            <w:tcW w:w="1049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Протягом звітного періоду були виплачені щомісячні стипендії 49 кращим спортсменам територіальної громади на загальну суму 940,8 тис. грн.</w:t>
            </w:r>
          </w:p>
        </w:tc>
      </w:tr>
      <w:tr>
        <w:trPr>
          <w:trHeight w:val="288" w:hRule="atLeast"/>
        </w:trPr>
        <w:tc>
          <w:tcPr>
            <w:tcW w:w="626"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6.</w:t>
            </w:r>
          </w:p>
        </w:tc>
        <w:tc>
          <w:tcPr>
            <w:tcW w:w="4319" w:type="dxa"/>
            <w:tcBorders>
              <w:top w:val="single" w:sz="4" w:space="0" w:color="000000"/>
              <w:left w:val="single" w:sz="4" w:space="0" w:color="000000"/>
              <w:bottom w:val="single" w:sz="4" w:space="0" w:color="000000"/>
            </w:tcBorders>
          </w:tcPr>
          <w:p>
            <w:pPr>
              <w:pStyle w:val="Standard"/>
              <w:widowControl w:val="false"/>
              <w:jc w:val="both"/>
              <w:rPr>
                <w:rFonts w:ascii="Times New Roman" w:hAnsi="Times New Roman"/>
                <w:color w:val="auto"/>
                <w:sz w:val="26"/>
                <w:szCs w:val="26"/>
              </w:rPr>
            </w:pPr>
            <w:r>
              <w:rPr>
                <w:rFonts w:cs="Times New Roman" w:ascii="Times New Roman" w:hAnsi="Times New Roman"/>
                <w:color w:val="auto"/>
                <w:sz w:val="26"/>
                <w:szCs w:val="26"/>
              </w:rPr>
              <w:t>Модернізація, реконструкція, капітальний ремонт та будівництво спортивних об'єктів (у т. ч. за місцем проживання та у місцях масового відпочинку громадян), облаштування необхідним обладнанням та інвентарем.</w:t>
            </w:r>
          </w:p>
        </w:tc>
        <w:tc>
          <w:tcPr>
            <w:tcW w:w="1049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bCs/>
                <w:sz w:val="26"/>
                <w:szCs w:val="26"/>
              </w:rPr>
              <w:t>У зв’язку з обмеженнями воєнного стану у комунальних закладах проводяться поточні ремонти господарським способом.</w:t>
            </w:r>
          </w:p>
        </w:tc>
      </w:tr>
    </w:tbl>
    <w:p>
      <w:pPr>
        <w:pStyle w:val="Normal"/>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jc w:val="center"/>
        <w:rPr>
          <w:rFonts w:ascii="Times New Roman" w:hAnsi="Times New Roman" w:cs="Times New Roman"/>
          <w:b/>
          <w:b/>
          <w:bCs/>
          <w:sz w:val="26"/>
          <w:szCs w:val="26"/>
        </w:rPr>
      </w:pPr>
      <w:r>
        <w:rPr>
          <w:rFonts w:cs="Times New Roman" w:ascii="Times New Roman" w:hAnsi="Times New Roman"/>
          <w:b/>
          <w:bCs/>
          <w:sz w:val="26"/>
          <w:szCs w:val="26"/>
        </w:rPr>
      </w:r>
    </w:p>
    <w:p>
      <w:pPr>
        <w:pStyle w:val="Normal"/>
        <w:jc w:val="center"/>
        <w:rPr>
          <w:rFonts w:ascii="Times New Roman" w:hAnsi="Times New Roman"/>
          <w:sz w:val="26"/>
          <w:szCs w:val="26"/>
        </w:rPr>
      </w:pPr>
      <w:r>
        <w:rPr>
          <w:rFonts w:cs="Times New Roman" w:ascii="Times New Roman" w:hAnsi="Times New Roman"/>
          <w:b/>
          <w:bCs/>
          <w:sz w:val="26"/>
          <w:szCs w:val="26"/>
        </w:rPr>
        <w:t>3.4. СТВОРЕННЯ УМОВ ДЛЯ ПОКРАЩЕННЯ ДОВКІЛЛЯ</w:t>
      </w:r>
    </w:p>
    <w:p>
      <w:pPr>
        <w:pStyle w:val="Normal"/>
        <w:spacing w:lineRule="auto" w:line="360"/>
        <w:jc w:val="center"/>
        <w:rPr>
          <w:rFonts w:ascii="Times New Roman" w:hAnsi="Times New Roman"/>
          <w:sz w:val="26"/>
          <w:szCs w:val="26"/>
        </w:rPr>
      </w:pPr>
      <w:r>
        <w:rPr>
          <w:rFonts w:cs="Times New Roman" w:ascii="Times New Roman" w:hAnsi="Times New Roman"/>
          <w:b/>
          <w:bCs/>
          <w:sz w:val="26"/>
          <w:szCs w:val="26"/>
        </w:rPr>
        <w:t>ТА РЕСУРСОЗБЕРЕЖЕННЯ</w:t>
      </w:r>
    </w:p>
    <w:p>
      <w:pPr>
        <w:pStyle w:val="Normal"/>
        <w:spacing w:lineRule="auto" w:line="360"/>
        <w:jc w:val="center"/>
        <w:rPr>
          <w:rFonts w:ascii="Times New Roman" w:hAnsi="Times New Roman"/>
          <w:sz w:val="26"/>
          <w:szCs w:val="26"/>
        </w:rPr>
      </w:pPr>
      <w:r>
        <w:rPr>
          <w:rFonts w:cs="Times New Roman" w:ascii="Times New Roman" w:hAnsi="Times New Roman"/>
          <w:b/>
          <w:bCs/>
          <w:sz w:val="26"/>
          <w:szCs w:val="26"/>
        </w:rPr>
        <w:t>3.4.1. Охорона навколишнього природного середовища</w:t>
      </w:r>
    </w:p>
    <w:tbl>
      <w:tblPr>
        <w:tblW w:w="15405" w:type="dxa"/>
        <w:jc w:val="left"/>
        <w:tblInd w:w="143" w:type="dxa"/>
        <w:tblLayout w:type="fixed"/>
        <w:tblCellMar>
          <w:top w:w="0" w:type="dxa"/>
          <w:left w:w="108" w:type="dxa"/>
          <w:bottom w:w="0" w:type="dxa"/>
          <w:right w:w="108" w:type="dxa"/>
        </w:tblCellMar>
        <w:tblLook w:firstRow="0" w:noVBand="0" w:lastRow="0" w:firstColumn="0" w:lastColumn="0" w:noHBand="0" w:val="0000"/>
      </w:tblPr>
      <w:tblGrid>
        <w:gridCol w:w="625"/>
        <w:gridCol w:w="4994"/>
        <w:gridCol w:w="9786"/>
      </w:tblGrid>
      <w:tr>
        <w:trPr>
          <w:trHeight w:val="615"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bCs/>
                <w:sz w:val="26"/>
                <w:szCs w:val="26"/>
              </w:rPr>
              <w:t xml:space="preserve">№ </w:t>
            </w:r>
            <w:r>
              <w:rPr>
                <w:rFonts w:cs="Times New Roman" w:ascii="Times New Roman" w:hAnsi="Times New Roman"/>
                <w:bCs/>
                <w:sz w:val="26"/>
                <w:szCs w:val="26"/>
              </w:rPr>
              <w:t>з/п</w:t>
            </w:r>
          </w:p>
        </w:tc>
        <w:tc>
          <w:tcPr>
            <w:tcW w:w="4994"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Назва заходів</w:t>
            </w:r>
          </w:p>
        </w:tc>
        <w:tc>
          <w:tcPr>
            <w:tcW w:w="978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Стан виконання заходів</w:t>
            </w:r>
          </w:p>
        </w:tc>
      </w:tr>
      <w:tr>
        <w:trPr>
          <w:trHeight w:val="615"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t>1.</w:t>
            </w:r>
          </w:p>
        </w:tc>
        <w:tc>
          <w:tcPr>
            <w:tcW w:w="4994" w:type="dxa"/>
            <w:tcBorders>
              <w:top w:val="single" w:sz="4" w:space="0" w:color="000000"/>
              <w:left w:val="single" w:sz="4" w:space="0" w:color="000000"/>
              <w:bottom w:val="single" w:sz="4" w:space="0" w:color="000000"/>
            </w:tcBorders>
          </w:tcPr>
          <w:p>
            <w:pPr>
              <w:pStyle w:val="Standard"/>
              <w:widowControl w:val="false"/>
              <w:tabs>
                <w:tab w:val="clear" w:pos="708"/>
                <w:tab w:val="left" w:pos="570" w:leader="none"/>
              </w:tabs>
              <w:jc w:val="both"/>
              <w:rPr>
                <w:rFonts w:ascii="Times New Roman" w:hAnsi="Times New Roman"/>
                <w:color w:val="auto"/>
                <w:sz w:val="26"/>
                <w:szCs w:val="26"/>
              </w:rPr>
            </w:pPr>
            <w:r>
              <w:rPr>
                <w:rFonts w:cs="Times New Roman" w:ascii="Times New Roman" w:hAnsi="Times New Roman"/>
                <w:color w:val="auto"/>
                <w:sz w:val="26"/>
                <w:szCs w:val="26"/>
              </w:rPr>
              <w:t>Утилізація промислових відходів, облаштування та вдосконалення наявних майданчиків для тимчасового зберігання відходів.</w:t>
            </w:r>
          </w:p>
        </w:tc>
        <w:tc>
          <w:tcPr>
            <w:tcW w:w="9786"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ПрАТ «СКФ Україна» проведено робіт з передачі на утилізацію спеціалізованим підприємства виробничих відходів на суму 484,1 тис. грн; ТзОВ «Бас Мотор» на суму 8,1 тис. грн.</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2.</w:t>
            </w:r>
          </w:p>
        </w:tc>
        <w:tc>
          <w:tcPr>
            <w:tcW w:w="4994" w:type="dxa"/>
            <w:tcBorders>
              <w:top w:val="single" w:sz="4" w:space="0" w:color="000000"/>
              <w:left w:val="single" w:sz="4" w:space="0" w:color="000000"/>
              <w:bottom w:val="single" w:sz="4" w:space="0" w:color="000000"/>
            </w:tcBorders>
          </w:tcPr>
          <w:p>
            <w:pPr>
              <w:pStyle w:val="Standard"/>
              <w:widowControl w:val="false"/>
              <w:tabs>
                <w:tab w:val="clear" w:pos="708"/>
                <w:tab w:val="left" w:pos="570" w:leader="none"/>
              </w:tabs>
              <w:jc w:val="both"/>
              <w:rPr>
                <w:rFonts w:ascii="Times New Roman" w:hAnsi="Times New Roman" w:cs="Times New Roman"/>
                <w:color w:val="auto"/>
                <w:sz w:val="26"/>
                <w:szCs w:val="26"/>
              </w:rPr>
            </w:pPr>
            <w:r>
              <w:rPr>
                <w:rFonts w:cs="Times New Roman" w:ascii="Times New Roman" w:hAnsi="Times New Roman"/>
                <w:color w:val="auto"/>
                <w:sz w:val="26"/>
                <w:szCs w:val="26"/>
              </w:rPr>
              <w:t>Проведення налагоджувальних робіт на газоспалювальному обладнанні місцевих підприємств.</w:t>
            </w:r>
          </w:p>
        </w:tc>
        <w:tc>
          <w:tcPr>
            <w:tcW w:w="9786"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ДКП «Луцьктепло» проведено налагоджувальних робіт на газоспалювальному обладнанні вартістю 181,5 тис. грн.</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3.</w:t>
            </w:r>
          </w:p>
        </w:tc>
        <w:tc>
          <w:tcPr>
            <w:tcW w:w="4994" w:type="dxa"/>
            <w:tcBorders>
              <w:top w:val="single" w:sz="4" w:space="0" w:color="000000"/>
              <w:left w:val="single" w:sz="4" w:space="0" w:color="000000"/>
              <w:bottom w:val="single" w:sz="4" w:space="0" w:color="000000"/>
            </w:tcBorders>
          </w:tcPr>
          <w:p>
            <w:pPr>
              <w:pStyle w:val="Standard"/>
              <w:widowControl w:val="false"/>
              <w:tabs>
                <w:tab w:val="clear" w:pos="708"/>
                <w:tab w:val="left" w:pos="570" w:leader="none"/>
              </w:tabs>
              <w:jc w:val="both"/>
              <w:rPr>
                <w:rFonts w:ascii="Times New Roman" w:hAnsi="Times New Roman"/>
                <w:color w:val="auto"/>
                <w:sz w:val="26"/>
                <w:szCs w:val="26"/>
              </w:rPr>
            </w:pPr>
            <w:r>
              <w:rPr>
                <w:rFonts w:cs="Times New Roman" w:ascii="Times New Roman" w:hAnsi="Times New Roman"/>
                <w:color w:val="auto"/>
                <w:sz w:val="26"/>
                <w:szCs w:val="26"/>
              </w:rPr>
              <w:t>Проведення інвентаризації викидів забруднюючих речовин в атмосферне повітря стаціонарними джерелами місцевих підприємств.</w:t>
            </w:r>
          </w:p>
        </w:tc>
        <w:tc>
          <w:tcPr>
            <w:tcW w:w="9786"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В першому півріччі заходи не проводились</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4.</w:t>
            </w:r>
          </w:p>
        </w:tc>
        <w:tc>
          <w:tcPr>
            <w:tcW w:w="4994" w:type="dxa"/>
            <w:tcBorders>
              <w:top w:val="single" w:sz="4" w:space="0" w:color="000000"/>
              <w:left w:val="single" w:sz="4" w:space="0" w:color="000000"/>
              <w:bottom w:val="single" w:sz="4" w:space="0" w:color="000000"/>
            </w:tcBorders>
          </w:tcPr>
          <w:p>
            <w:pPr>
              <w:pStyle w:val="Standard"/>
              <w:widowControl w:val="false"/>
              <w:tabs>
                <w:tab w:val="clear" w:pos="708"/>
                <w:tab w:val="left" w:pos="570" w:leader="none"/>
              </w:tabs>
              <w:jc w:val="both"/>
              <w:rPr>
                <w:rFonts w:ascii="Times New Roman" w:hAnsi="Times New Roman"/>
                <w:sz w:val="26"/>
                <w:szCs w:val="26"/>
              </w:rPr>
            </w:pPr>
            <w:r>
              <w:rPr>
                <w:rFonts w:cs="Times New Roman" w:ascii="Times New Roman" w:hAnsi="Times New Roman"/>
                <w:color w:val="auto"/>
                <w:sz w:val="26"/>
                <w:szCs w:val="26"/>
              </w:rPr>
              <w:t>Ведення моніторингу показників вмісту небезпечних речовин в атмосферному повітрі від стаціонарних та пересувних джерел</w:t>
            </w:r>
            <w:r>
              <w:rPr>
                <w:rFonts w:cs="Times New Roman" w:ascii="Times New Roman" w:hAnsi="Times New Roman"/>
                <w:bCs/>
                <w:color w:val="auto"/>
                <w:sz w:val="26"/>
                <w:szCs w:val="26"/>
              </w:rPr>
              <w:t xml:space="preserve"> забруднення.</w:t>
            </w:r>
          </w:p>
        </w:tc>
        <w:tc>
          <w:tcPr>
            <w:tcW w:w="9786"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На виконання регіональної Програми моніторингу повітря Волинської зони ДУ «Волинський ОЦКПХ МОЗ України» проводяться щомісячні дослідження якості атмосферного повітря в м. Луцьку в районі вул. Станіславського, станом на 01.07.2023 року виконано робіт на суму 44,5 тис. грн. Здійснюється автоматизований моніторинг якості атмосферного повітря на 13 міських постах, результати моніторингу доступні у додатку Eco-city Луцьк та на сайті міської ради. За звітний період перевищення допустимих концентрацій забруднюючих речовин не було. Відомчою лабораторією ТзОВ “Бас Мотор” проводиться моніторинг якості стічних вод та викидів в атмосферне повітря від стаціонарних джерел забруднення. Обслуговування систем здійснено на суму 2,8 тис. грн. Розпочато встановлення моніторингових станцій г/о ЛУН у дитячих садочках громади (подано 24 заявки на встановлення обладнання).</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5.</w:t>
            </w:r>
          </w:p>
        </w:tc>
        <w:tc>
          <w:tcPr>
            <w:tcW w:w="4994" w:type="dxa"/>
            <w:tcBorders>
              <w:top w:val="single" w:sz="4" w:space="0" w:color="000000"/>
              <w:left w:val="single" w:sz="4" w:space="0" w:color="000000"/>
              <w:bottom w:val="single" w:sz="4" w:space="0" w:color="000000"/>
            </w:tcBorders>
          </w:tcPr>
          <w:p>
            <w:pPr>
              <w:pStyle w:val="Standard"/>
              <w:widowControl w:val="false"/>
              <w:tabs>
                <w:tab w:val="clear" w:pos="708"/>
                <w:tab w:val="left" w:pos="570" w:leader="none"/>
              </w:tabs>
              <w:jc w:val="both"/>
              <w:rPr>
                <w:rFonts w:ascii="Times New Roman" w:hAnsi="Times New Roman"/>
                <w:sz w:val="26"/>
                <w:szCs w:val="26"/>
              </w:rPr>
            </w:pPr>
            <w:r>
              <w:rPr>
                <w:rFonts w:cs="Times New Roman" w:ascii="Times New Roman" w:hAnsi="Times New Roman"/>
                <w:bCs/>
                <w:color w:val="auto"/>
                <w:sz w:val="26"/>
                <w:szCs w:val="26"/>
              </w:rPr>
              <w:t>П</w:t>
            </w:r>
            <w:r>
              <w:rPr>
                <w:rFonts w:cs="Times New Roman" w:ascii="Times New Roman" w:hAnsi="Times New Roman"/>
                <w:color w:val="auto"/>
                <w:sz w:val="26"/>
                <w:szCs w:val="26"/>
              </w:rPr>
              <w:t>роведення заходів щодо екологічно безпечного збирання, перевезення, зберігання, утилізації і знешкодження відходів.</w:t>
            </w:r>
          </w:p>
        </w:tc>
        <w:tc>
          <w:tcPr>
            <w:tcW w:w="9786"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Здійснено збір та вивезення відпрацьованих автомобільних шин з територій ЗДО міської громади в кількості 2 900 шт.</w:t>
            </w:r>
          </w:p>
        </w:tc>
      </w:tr>
      <w:tr>
        <w:trPr>
          <w:trHeight w:val="288" w:hRule="atLeast"/>
        </w:trPr>
        <w:tc>
          <w:tcPr>
            <w:tcW w:w="625"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6.</w:t>
            </w:r>
          </w:p>
        </w:tc>
        <w:tc>
          <w:tcPr>
            <w:tcW w:w="4994" w:type="dxa"/>
            <w:tcBorders>
              <w:left w:val="single" w:sz="4" w:space="0" w:color="000000"/>
              <w:bottom w:val="single" w:sz="4" w:space="0" w:color="000000"/>
            </w:tcBorders>
          </w:tcPr>
          <w:p>
            <w:pPr>
              <w:pStyle w:val="Standard"/>
              <w:widowControl w:val="false"/>
              <w:tabs>
                <w:tab w:val="clear" w:pos="708"/>
                <w:tab w:val="left" w:pos="570" w:leader="none"/>
              </w:tabs>
              <w:jc w:val="both"/>
              <w:rPr>
                <w:rFonts w:ascii="Times New Roman" w:hAnsi="Times New Roman"/>
                <w:color w:val="auto"/>
                <w:sz w:val="26"/>
                <w:szCs w:val="26"/>
              </w:rPr>
            </w:pPr>
            <w:r>
              <w:rPr>
                <w:rFonts w:cs="Times New Roman" w:ascii="Times New Roman" w:hAnsi="Times New Roman"/>
                <w:color w:val="auto"/>
                <w:sz w:val="26"/>
                <w:szCs w:val="26"/>
              </w:rPr>
              <w:t>Придбання компостерів для організації переробки органічних відходів на територіях комунальних закладів освіти.</w:t>
            </w:r>
          </w:p>
        </w:tc>
        <w:tc>
          <w:tcPr>
            <w:tcW w:w="9786"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Закуплено 16 компостерів для утилізації органічних відходів у закладах освіти територіальної громади, вартість закупівлі 79,5 тис. грн.</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7.</w:t>
            </w:r>
          </w:p>
        </w:tc>
        <w:tc>
          <w:tcPr>
            <w:tcW w:w="4994" w:type="dxa"/>
            <w:tcBorders>
              <w:top w:val="single" w:sz="4" w:space="0" w:color="000000"/>
              <w:left w:val="single" w:sz="4" w:space="0" w:color="000000"/>
              <w:bottom w:val="single" w:sz="4" w:space="0" w:color="000000"/>
            </w:tcBorders>
          </w:tcPr>
          <w:p>
            <w:pPr>
              <w:pStyle w:val="Standard"/>
              <w:widowControl w:val="false"/>
              <w:tabs>
                <w:tab w:val="clear" w:pos="708"/>
                <w:tab w:val="left" w:pos="570" w:leader="none"/>
              </w:tabs>
              <w:jc w:val="both"/>
              <w:rPr>
                <w:rFonts w:ascii="Times New Roman" w:hAnsi="Times New Roman"/>
                <w:sz w:val="26"/>
                <w:szCs w:val="26"/>
              </w:rPr>
            </w:pPr>
            <w:r>
              <w:rPr>
                <w:rFonts w:cs="Times New Roman" w:ascii="Times New Roman" w:hAnsi="Times New Roman"/>
                <w:color w:val="auto"/>
                <w:sz w:val="26"/>
                <w:szCs w:val="26"/>
              </w:rPr>
              <w:t>Поліпшення санітарного стану та гідрологічного режиму водойм (</w:t>
            </w:r>
            <w:r>
              <w:rPr>
                <w:rFonts w:cs="Times New Roman" w:ascii="Times New Roman" w:hAnsi="Times New Roman"/>
                <w:bCs/>
                <w:color w:val="auto"/>
                <w:sz w:val="26"/>
                <w:szCs w:val="26"/>
              </w:rPr>
              <w:t xml:space="preserve">очищення від мулу </w:t>
            </w:r>
            <w:r>
              <w:rPr>
                <w:rFonts w:cs="Times New Roman" w:ascii="Times New Roman" w:hAnsi="Times New Roman"/>
                <w:color w:val="auto"/>
                <w:sz w:val="26"/>
                <w:szCs w:val="26"/>
              </w:rPr>
              <w:t>заплави р. Стир</w:t>
            </w:r>
            <w:r>
              <w:rPr>
                <w:rFonts w:cs="Times New Roman" w:ascii="Times New Roman" w:hAnsi="Times New Roman"/>
                <w:bCs/>
                <w:color w:val="auto"/>
                <w:sz w:val="26"/>
                <w:szCs w:val="26"/>
              </w:rPr>
              <w:t xml:space="preserve"> в районі вулиць Гнідавська-Ковельська).</w:t>
            </w:r>
          </w:p>
        </w:tc>
        <w:tc>
          <w:tcPr>
            <w:tcW w:w="9786"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Роботи не проводились</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8.</w:t>
            </w:r>
          </w:p>
        </w:tc>
        <w:tc>
          <w:tcPr>
            <w:tcW w:w="4994" w:type="dxa"/>
            <w:tcBorders>
              <w:top w:val="single" w:sz="4" w:space="0" w:color="000000"/>
              <w:left w:val="single" w:sz="4" w:space="0" w:color="000000"/>
              <w:bottom w:val="single" w:sz="4" w:space="0" w:color="000000"/>
            </w:tcBorders>
          </w:tcPr>
          <w:p>
            <w:pPr>
              <w:pStyle w:val="Standard"/>
              <w:widowControl w:val="false"/>
              <w:tabs>
                <w:tab w:val="clear" w:pos="708"/>
                <w:tab w:val="left" w:pos="570" w:leader="none"/>
              </w:tabs>
              <w:jc w:val="both"/>
              <w:rPr>
                <w:rFonts w:ascii="Times New Roman" w:hAnsi="Times New Roman"/>
                <w:sz w:val="26"/>
                <w:szCs w:val="26"/>
              </w:rPr>
            </w:pPr>
            <w:r>
              <w:rPr>
                <w:rFonts w:cs="Times New Roman" w:ascii="Times New Roman" w:hAnsi="Times New Roman"/>
                <w:bCs/>
                <w:color w:val="auto"/>
                <w:sz w:val="26"/>
                <w:szCs w:val="26"/>
              </w:rPr>
              <w:t>Утримання в належному стані прибережних захисних смуг та русел малих річок та інших водойм (очищення берегів від порослі, самонасіву, аварійних дерев).</w:t>
            </w:r>
          </w:p>
        </w:tc>
        <w:tc>
          <w:tcPr>
            <w:tcW w:w="9786"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Проведено розчистку порослі та самонасівуу прибережної смуги р. Сапалаївка на відрізку вулиць Потапова-Винниченка на суму 48,9 тис. грн. Розпочато роботи по розчистці порослі та самонасіву у прибережній смузі р. Сапалаївка на відрізку від вул. І.Франка та р. Жидувка вздовж вул. Боженка. Виготовлено проєкт встановлення прибережної захисної смуги і водоохоронної зони р. Стир (коригування проєкту) для перенесення електропідстанції, вартість робіт 21,9 тис. грн.</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9.</w:t>
            </w:r>
          </w:p>
        </w:tc>
        <w:tc>
          <w:tcPr>
            <w:tcW w:w="4994" w:type="dxa"/>
            <w:tcBorders>
              <w:top w:val="single" w:sz="4" w:space="0" w:color="000000"/>
              <w:left w:val="single" w:sz="4" w:space="0" w:color="000000"/>
              <w:bottom w:val="single" w:sz="4" w:space="0" w:color="000000"/>
            </w:tcBorders>
          </w:tcPr>
          <w:p>
            <w:pPr>
              <w:pStyle w:val="Standard"/>
              <w:widowControl w:val="false"/>
              <w:tabs>
                <w:tab w:val="clear" w:pos="708"/>
                <w:tab w:val="left" w:pos="570" w:leader="none"/>
              </w:tabs>
              <w:jc w:val="both"/>
              <w:rPr>
                <w:rFonts w:ascii="Times New Roman" w:hAnsi="Times New Roman"/>
                <w:color w:val="auto"/>
                <w:sz w:val="26"/>
                <w:szCs w:val="26"/>
              </w:rPr>
            </w:pPr>
            <w:r>
              <w:rPr>
                <w:rFonts w:cs="Times New Roman" w:ascii="Times New Roman" w:hAnsi="Times New Roman"/>
                <w:bCs/>
                <w:color w:val="auto"/>
                <w:sz w:val="26"/>
                <w:szCs w:val="26"/>
              </w:rPr>
              <w:t>Реконструкція міських каналізаційно-очисних споруд.</w:t>
            </w:r>
          </w:p>
        </w:tc>
        <w:tc>
          <w:tcPr>
            <w:tcW w:w="9786"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Розпочато підготовку тендерної документації.</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10.</w:t>
            </w:r>
          </w:p>
        </w:tc>
        <w:tc>
          <w:tcPr>
            <w:tcW w:w="4994" w:type="dxa"/>
            <w:tcBorders>
              <w:top w:val="single" w:sz="4" w:space="0" w:color="000000"/>
              <w:left w:val="single" w:sz="4" w:space="0" w:color="000000"/>
              <w:bottom w:val="single" w:sz="4" w:space="0" w:color="000000"/>
            </w:tcBorders>
          </w:tcPr>
          <w:p>
            <w:pPr>
              <w:pStyle w:val="Standard"/>
              <w:widowControl w:val="false"/>
              <w:tabs>
                <w:tab w:val="clear" w:pos="708"/>
                <w:tab w:val="left" w:pos="570" w:leader="none"/>
              </w:tabs>
              <w:jc w:val="both"/>
              <w:rPr>
                <w:rFonts w:ascii="Times New Roman" w:hAnsi="Times New Roman"/>
                <w:sz w:val="26"/>
                <w:szCs w:val="26"/>
              </w:rPr>
            </w:pPr>
            <w:r>
              <w:rPr>
                <w:rFonts w:cs="Times New Roman" w:ascii="Times New Roman" w:hAnsi="Times New Roman"/>
                <w:bCs/>
                <w:color w:val="auto"/>
                <w:sz w:val="26"/>
                <w:szCs w:val="26"/>
              </w:rPr>
              <w:t>Б</w:t>
            </w:r>
            <w:r>
              <w:rPr>
                <w:rFonts w:cs="Times New Roman" w:ascii="Times New Roman" w:hAnsi="Times New Roman"/>
                <w:color w:val="auto"/>
                <w:sz w:val="26"/>
                <w:szCs w:val="26"/>
              </w:rPr>
              <w:t>іологічна меліорація (зариблення) водойм.</w:t>
            </w:r>
          </w:p>
        </w:tc>
        <w:tc>
          <w:tcPr>
            <w:tcW w:w="9786"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Оплачено послуги із зариблення водойм міської громади на суму 50,0 тис. грн. (погашення кредиторської заборгованості за 2022 рік).</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11.</w:t>
            </w:r>
          </w:p>
        </w:tc>
        <w:tc>
          <w:tcPr>
            <w:tcW w:w="4994" w:type="dxa"/>
            <w:tcBorders>
              <w:top w:val="single" w:sz="4" w:space="0" w:color="000000"/>
              <w:left w:val="single" w:sz="4" w:space="0" w:color="000000"/>
              <w:bottom w:val="single" w:sz="4" w:space="0" w:color="000000"/>
            </w:tcBorders>
          </w:tcPr>
          <w:p>
            <w:pPr>
              <w:pStyle w:val="Standard"/>
              <w:widowControl w:val="false"/>
              <w:tabs>
                <w:tab w:val="clear" w:pos="708"/>
                <w:tab w:val="left" w:pos="570" w:leader="none"/>
              </w:tabs>
              <w:jc w:val="both"/>
              <w:rPr>
                <w:rFonts w:ascii="Times New Roman" w:hAnsi="Times New Roman"/>
                <w:color w:val="auto"/>
                <w:sz w:val="26"/>
                <w:szCs w:val="26"/>
              </w:rPr>
            </w:pPr>
            <w:r>
              <w:rPr>
                <w:rFonts w:cs="Times New Roman" w:ascii="Times New Roman" w:hAnsi="Times New Roman"/>
                <w:color w:val="auto"/>
                <w:sz w:val="26"/>
                <w:szCs w:val="26"/>
              </w:rPr>
              <w:t>Заходи з озеленення міста.</w:t>
            </w:r>
          </w:p>
        </w:tc>
        <w:tc>
          <w:tcPr>
            <w:tcW w:w="9786"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На міських територіях у весняний період висаджено 75 дерев, виконано ландшафтне озеленення на територіях ЗДО № 7 та № 8; проведено роботи зі знесення аварійних перестійних насаджень та розчищення самонасіву у прибережній смузі р. Сапалаївка на загальну суму 162,4 тис. грн; на території міських підприємств СКФ Україна та ТзОВ “Бас Мотор” проведено заходів з озеленення на суму 97,9 тис. грн.</w:t>
            </w:r>
          </w:p>
        </w:tc>
      </w:tr>
      <w:tr>
        <w:trPr>
          <w:trHeight w:val="288" w:hRule="atLeast"/>
        </w:trPr>
        <w:tc>
          <w:tcPr>
            <w:tcW w:w="625"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12.</w:t>
            </w:r>
          </w:p>
        </w:tc>
        <w:tc>
          <w:tcPr>
            <w:tcW w:w="4994" w:type="dxa"/>
            <w:tcBorders>
              <w:left w:val="single" w:sz="4" w:space="0" w:color="000000"/>
              <w:bottom w:val="single" w:sz="4" w:space="0" w:color="000000"/>
            </w:tcBorders>
          </w:tcPr>
          <w:p>
            <w:pPr>
              <w:pStyle w:val="Standard"/>
              <w:widowControl w:val="false"/>
              <w:tabs>
                <w:tab w:val="clear" w:pos="708"/>
                <w:tab w:val="left" w:pos="570" w:leader="none"/>
              </w:tabs>
              <w:jc w:val="both"/>
              <w:rPr>
                <w:rFonts w:ascii="Times New Roman" w:hAnsi="Times New Roman"/>
                <w:color w:val="auto"/>
                <w:sz w:val="26"/>
                <w:szCs w:val="26"/>
              </w:rPr>
            </w:pPr>
            <w:r>
              <w:rPr>
                <w:rFonts w:cs="Times New Roman" w:ascii="Times New Roman" w:hAnsi="Times New Roman"/>
                <w:color w:val="auto"/>
                <w:sz w:val="26"/>
                <w:szCs w:val="26"/>
              </w:rPr>
              <w:t>Проведення обліку та інвентаризації зелених насаджень.</w:t>
            </w:r>
          </w:p>
        </w:tc>
        <w:tc>
          <w:tcPr>
            <w:tcW w:w="9786"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На виконання рішення виконавчого комітету від 13.07.2022 № 342-1 «Про облік та проведення інвентаризації зелених насаджень на території Луцької міської територіальної громади”, тривають роботи з обліку та інвентаризації зелених насаджень загального користування та спеціального призначення. Станом на 01.07.2023 в систему обліку зелених насаджень Inspektree занесено дані про 7 117 дерев.</w:t>
            </w:r>
          </w:p>
        </w:tc>
      </w:tr>
      <w:tr>
        <w:trPr>
          <w:trHeight w:val="288" w:hRule="atLeast"/>
        </w:trPr>
        <w:tc>
          <w:tcPr>
            <w:tcW w:w="625"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13.</w:t>
            </w:r>
          </w:p>
        </w:tc>
        <w:tc>
          <w:tcPr>
            <w:tcW w:w="4994" w:type="dxa"/>
            <w:tcBorders>
              <w:left w:val="single" w:sz="4" w:space="0" w:color="000000"/>
              <w:bottom w:val="single" w:sz="4" w:space="0" w:color="000000"/>
            </w:tcBorders>
          </w:tcPr>
          <w:p>
            <w:pPr>
              <w:pStyle w:val="Standard"/>
              <w:widowControl w:val="false"/>
              <w:tabs>
                <w:tab w:val="clear" w:pos="708"/>
                <w:tab w:val="left" w:pos="570" w:leader="none"/>
              </w:tabs>
              <w:jc w:val="both"/>
              <w:rPr>
                <w:rFonts w:ascii="Times New Roman" w:hAnsi="Times New Roman"/>
                <w:color w:val="auto"/>
                <w:sz w:val="26"/>
                <w:szCs w:val="26"/>
              </w:rPr>
            </w:pPr>
            <w:r>
              <w:rPr>
                <w:rFonts w:cs="Times New Roman" w:ascii="Times New Roman" w:hAnsi="Times New Roman"/>
                <w:color w:val="auto"/>
                <w:sz w:val="26"/>
                <w:szCs w:val="26"/>
              </w:rPr>
              <w:t>Збереження та утримання територій і об'єктів природно-заповідного фонду (виготовлення землевпорядних документів, виготовлення та встановлення ознакування, підготовка висновків та наукових обґрунтувань, поточний догляд).</w:t>
            </w:r>
          </w:p>
        </w:tc>
        <w:tc>
          <w:tcPr>
            <w:tcW w:w="9786"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Проведено санітарну обрізку та лікування об’єктів природно-заповідного фонду ботанічних пам’яток природи місцевого значення «Липи звичайні» на території с. Іванчиці на суму 100,0 тис. грн, виконавець ФОП Леоненко В. В.</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Розпочато розроблення документації із землеустрою із занесенням на публічну кадастрову карту наступних об’єктів природно-заповідного фонду: «Гнідавське болото», «Меморіал», «Дубовий гай», «Пташиний гай».</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ПП «Науково-екологічна фірма «Світ птахів» розпочато наукові дослідження видового складу рослинного та тваринного світів на території ПЗФ «Шепель» та «Рокині» (оплачено I етап досліджень на суму 25,0 тис. грн).</w:t>
            </w:r>
          </w:p>
        </w:tc>
      </w:tr>
      <w:tr>
        <w:trPr>
          <w:trHeight w:val="288" w:hRule="atLeast"/>
        </w:trPr>
        <w:tc>
          <w:tcPr>
            <w:tcW w:w="625" w:type="dxa"/>
            <w:tcBorders>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14.</w:t>
            </w:r>
          </w:p>
        </w:tc>
        <w:tc>
          <w:tcPr>
            <w:tcW w:w="4994" w:type="dxa"/>
            <w:tcBorders>
              <w:left w:val="single" w:sz="4" w:space="0" w:color="000000"/>
              <w:bottom w:val="single" w:sz="4" w:space="0" w:color="000000"/>
            </w:tcBorders>
          </w:tcPr>
          <w:p>
            <w:pPr>
              <w:pStyle w:val="Standard"/>
              <w:widowControl w:val="false"/>
              <w:tabs>
                <w:tab w:val="clear" w:pos="708"/>
                <w:tab w:val="left" w:pos="570" w:leader="none"/>
              </w:tabs>
              <w:jc w:val="both"/>
              <w:rPr>
                <w:rFonts w:ascii="Times New Roman" w:hAnsi="Times New Roman"/>
                <w:sz w:val="26"/>
                <w:szCs w:val="26"/>
              </w:rPr>
            </w:pPr>
            <w:r>
              <w:rPr>
                <w:rFonts w:cs="Times New Roman" w:ascii="Times New Roman" w:hAnsi="Times New Roman"/>
                <w:color w:val="auto"/>
                <w:sz w:val="26"/>
                <w:szCs w:val="26"/>
              </w:rPr>
              <w:t>Проведення заходів по боротьбі з небезпечними інвазійними</w:t>
            </w:r>
            <w:r>
              <w:rPr>
                <w:rFonts w:cs="Times New Roman" w:ascii="Times New Roman" w:hAnsi="Times New Roman"/>
                <w:sz w:val="26"/>
                <w:szCs w:val="26"/>
                <w:shd w:fill="FFFFFF" w:val="clear"/>
              </w:rPr>
              <w:t xml:space="preserve"> рослинами</w:t>
            </w:r>
            <w:r>
              <w:rPr>
                <w:rFonts w:cs="Times New Roman" w:ascii="Times New Roman" w:hAnsi="Times New Roman"/>
                <w:color w:val="auto"/>
                <w:sz w:val="26"/>
                <w:szCs w:val="26"/>
              </w:rPr>
              <w:t xml:space="preserve">, </w:t>
            </w:r>
            <w:r>
              <w:rPr>
                <w:rFonts w:cs="Times New Roman" w:ascii="Times New Roman" w:hAnsi="Times New Roman"/>
                <w:sz w:val="26"/>
                <w:szCs w:val="26"/>
                <w:shd w:fill="FFFFFF" w:val="clear"/>
              </w:rPr>
              <w:t xml:space="preserve">хворобами рослин </w:t>
            </w:r>
            <w:r>
              <w:rPr>
                <w:rFonts w:cs="Times New Roman" w:ascii="Times New Roman" w:hAnsi="Times New Roman"/>
                <w:color w:val="auto"/>
                <w:sz w:val="26"/>
                <w:szCs w:val="26"/>
              </w:rPr>
              <w:t>(амброзія, борщівник, омела, мінуюча каштанова міль тощо), обробка територій від паразитних комах.</w:t>
            </w:r>
          </w:p>
        </w:tc>
        <w:tc>
          <w:tcPr>
            <w:tcW w:w="9786"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У звітному періоді головним розпорядником коштів та замовником робіт із проведення заходів по боротьбі з небезпечними інвазійними</w:t>
            </w:r>
            <w:r>
              <w:rPr>
                <w:rFonts w:cs="Times New Roman" w:ascii="Times New Roman" w:hAnsi="Times New Roman"/>
                <w:sz w:val="26"/>
                <w:szCs w:val="26"/>
                <w:shd w:fill="FFFFFF" w:val="clear"/>
              </w:rPr>
              <w:t xml:space="preserve"> рослинами</w:t>
            </w:r>
            <w:r>
              <w:rPr>
                <w:rFonts w:cs="Times New Roman" w:ascii="Times New Roman" w:hAnsi="Times New Roman"/>
                <w:sz w:val="26"/>
                <w:szCs w:val="26"/>
              </w:rPr>
              <w:t xml:space="preserve"> визначено ДЖКГ. На даний час укладено угоди на виконання робіт по косінню борщівника та обробці територій парків і пляжів від комарів та кліщів. Проведено оплату робіт за обробку територій від паразитних комах на суму 38,8 тис. грн.</w:t>
            </w:r>
          </w:p>
        </w:tc>
      </w:tr>
      <w:tr>
        <w:trPr>
          <w:trHeight w:val="288" w:hRule="atLeast"/>
        </w:trPr>
        <w:tc>
          <w:tcPr>
            <w:tcW w:w="62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15.</w:t>
            </w:r>
          </w:p>
        </w:tc>
        <w:tc>
          <w:tcPr>
            <w:tcW w:w="4994" w:type="dxa"/>
            <w:tcBorders>
              <w:top w:val="single" w:sz="4" w:space="0" w:color="000000"/>
              <w:left w:val="single" w:sz="4" w:space="0" w:color="000000"/>
              <w:bottom w:val="single" w:sz="4" w:space="0" w:color="000000"/>
              <w:right w:val="single" w:sz="4" w:space="0" w:color="000000"/>
            </w:tcBorders>
          </w:tcPr>
          <w:p>
            <w:pPr>
              <w:pStyle w:val="Standard"/>
              <w:widowControl w:val="false"/>
              <w:tabs>
                <w:tab w:val="clear" w:pos="708"/>
                <w:tab w:val="left" w:pos="570" w:leader="none"/>
              </w:tabs>
              <w:jc w:val="both"/>
              <w:rPr>
                <w:rFonts w:ascii="Times New Roman" w:hAnsi="Times New Roman"/>
                <w:color w:val="auto"/>
                <w:sz w:val="26"/>
                <w:szCs w:val="26"/>
              </w:rPr>
            </w:pPr>
            <w:r>
              <w:rPr>
                <w:rFonts w:cs="Times New Roman" w:ascii="Times New Roman" w:hAnsi="Times New Roman"/>
                <w:color w:val="auto"/>
                <w:sz w:val="26"/>
                <w:szCs w:val="26"/>
              </w:rPr>
              <w:t>Придбання засобів та обладнання для контролю за дотриманням природоохоронного законодавства.</w:t>
            </w:r>
          </w:p>
        </w:tc>
        <w:tc>
          <w:tcPr>
            <w:tcW w:w="9786"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У звітний період закупівлі не проводилась</w:t>
            </w:r>
          </w:p>
        </w:tc>
      </w:tr>
      <w:tr>
        <w:trPr>
          <w:trHeight w:val="288" w:hRule="atLeast"/>
        </w:trPr>
        <w:tc>
          <w:tcPr>
            <w:tcW w:w="62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16.</w:t>
            </w:r>
          </w:p>
        </w:tc>
        <w:tc>
          <w:tcPr>
            <w:tcW w:w="4994" w:type="dxa"/>
            <w:tcBorders>
              <w:top w:val="single" w:sz="4" w:space="0" w:color="000000"/>
              <w:left w:val="single" w:sz="4" w:space="0" w:color="000000"/>
              <w:bottom w:val="single" w:sz="4" w:space="0" w:color="000000"/>
              <w:right w:val="single" w:sz="4" w:space="0" w:color="000000"/>
            </w:tcBorders>
          </w:tcPr>
          <w:p>
            <w:pPr>
              <w:pStyle w:val="Standard"/>
              <w:widowControl w:val="false"/>
              <w:tabs>
                <w:tab w:val="clear" w:pos="708"/>
                <w:tab w:val="left" w:pos="570" w:leader="none"/>
              </w:tabs>
              <w:jc w:val="both"/>
              <w:rPr>
                <w:rFonts w:ascii="Times New Roman" w:hAnsi="Times New Roman"/>
                <w:color w:val="auto"/>
                <w:sz w:val="26"/>
                <w:szCs w:val="26"/>
              </w:rPr>
            </w:pPr>
            <w:r>
              <w:rPr>
                <w:rFonts w:cs="Times New Roman" w:ascii="Times New Roman" w:hAnsi="Times New Roman"/>
                <w:color w:val="auto"/>
                <w:sz w:val="26"/>
                <w:szCs w:val="26"/>
              </w:rPr>
              <w:t>Проведення загальноміських заходів та акцій щодо охорони навколишнього природного середовища, виготовлення поліграфічної продукції екологічної тематики.</w:t>
            </w:r>
          </w:p>
        </w:tc>
        <w:tc>
          <w:tcPr>
            <w:tcW w:w="9786"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Протягом І півріччя було проведено:</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загальноміську екологічну толоку «Весна на Дії», закуплено інвентар для санітарного прибирання на суму 15,9 тис. грн.</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тренінги з організації та запровадження компостування органічних відходів; екологічні акції у ЗДО № 7 та № 8;</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еколого-просвітницькі заходи в ЗСО «Рокинівський ліцей № 38» та ЗСО «Одерадівський ліцей № 37»;</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заходи із відзначення кращих колективів та осіб за підсумками природоохоронної роботи під час урочистостей з нагоди відзначення Всесвітнього дня охорони навколишнього природного середовища;</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відкриту дискусію з громадськістю щодо утримання зелених насаджень та проведення формувальної обрізки дерев у громаді.</w:t>
            </w:r>
          </w:p>
        </w:tc>
      </w:tr>
    </w:tbl>
    <w:p>
      <w:pPr>
        <w:pStyle w:val="Normal"/>
        <w:widowControl w:val="false"/>
        <w:rPr>
          <w:rFonts w:ascii="Times New Roman" w:hAnsi="Times New Roman" w:cs="Times New Roman"/>
          <w:b/>
          <w:b/>
          <w:bCs/>
          <w:sz w:val="26"/>
          <w:szCs w:val="26"/>
        </w:rPr>
      </w:pPr>
      <w:r>
        <w:rPr>
          <w:rFonts w:cs="Times New Roman" w:ascii="Times New Roman" w:hAnsi="Times New Roman"/>
          <w:b/>
          <w:bCs/>
          <w:sz w:val="26"/>
          <w:szCs w:val="26"/>
        </w:rPr>
      </w:r>
    </w:p>
    <w:p>
      <w:pPr>
        <w:pStyle w:val="Normal"/>
        <w:widowControl w:val="false"/>
        <w:spacing w:lineRule="auto" w:line="360"/>
        <w:jc w:val="center"/>
        <w:rPr>
          <w:rFonts w:ascii="Times New Roman" w:hAnsi="Times New Roman"/>
          <w:sz w:val="26"/>
          <w:szCs w:val="26"/>
        </w:rPr>
      </w:pPr>
      <w:r>
        <w:rPr>
          <w:rFonts w:cs="Times New Roman" w:ascii="Times New Roman" w:hAnsi="Times New Roman"/>
          <w:b/>
          <w:bCs/>
          <w:sz w:val="26"/>
          <w:szCs w:val="26"/>
        </w:rPr>
        <w:t>3.4.2. Розвиток ресурсоощадної та енергоефективної системи життєзабезпечення міста</w:t>
      </w:r>
    </w:p>
    <w:tbl>
      <w:tblPr>
        <w:tblW w:w="15405" w:type="dxa"/>
        <w:jc w:val="left"/>
        <w:tblInd w:w="143" w:type="dxa"/>
        <w:tblLayout w:type="fixed"/>
        <w:tblCellMar>
          <w:top w:w="0" w:type="dxa"/>
          <w:left w:w="108" w:type="dxa"/>
          <w:bottom w:w="0" w:type="dxa"/>
          <w:right w:w="108" w:type="dxa"/>
        </w:tblCellMar>
        <w:tblLook w:firstRow="0" w:noVBand="0" w:lastRow="0" w:firstColumn="0" w:lastColumn="0" w:noHBand="0" w:val="0000"/>
      </w:tblPr>
      <w:tblGrid>
        <w:gridCol w:w="625"/>
        <w:gridCol w:w="4708"/>
        <w:gridCol w:w="10072"/>
      </w:tblGrid>
      <w:tr>
        <w:trPr>
          <w:trHeight w:val="615"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bCs/>
                <w:sz w:val="26"/>
                <w:szCs w:val="26"/>
              </w:rPr>
              <w:t xml:space="preserve">№ </w:t>
            </w:r>
            <w:r>
              <w:rPr>
                <w:rFonts w:cs="Times New Roman" w:ascii="Times New Roman" w:hAnsi="Times New Roman"/>
                <w:bCs/>
                <w:sz w:val="26"/>
                <w:szCs w:val="26"/>
              </w:rPr>
              <w:t>з/п</w:t>
            </w:r>
          </w:p>
        </w:tc>
        <w:tc>
          <w:tcPr>
            <w:tcW w:w="4708"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Назва заходів</w:t>
            </w:r>
          </w:p>
        </w:tc>
        <w:tc>
          <w:tcPr>
            <w:tcW w:w="1007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Стан виконання заходів</w:t>
            </w:r>
          </w:p>
        </w:tc>
      </w:tr>
      <w:tr>
        <w:trPr>
          <w:trHeight w:val="615"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t>1.</w:t>
            </w:r>
          </w:p>
        </w:tc>
        <w:tc>
          <w:tcPr>
            <w:tcW w:w="4708" w:type="dxa"/>
            <w:tcBorders>
              <w:top w:val="single" w:sz="4" w:space="0" w:color="000000"/>
              <w:left w:val="single" w:sz="4" w:space="0" w:color="000000"/>
              <w:bottom w:val="single" w:sz="4" w:space="0" w:color="000000"/>
            </w:tcBorders>
          </w:tcPr>
          <w:p>
            <w:pPr>
              <w:pStyle w:val="Standard"/>
              <w:widowControl w:val="false"/>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rPr>
              <w:t>Розробка місцевого енергетичного плану, узгодженого з національною ціллю з енергоефективності та Національним планом дій з енергоефективності.</w:t>
            </w:r>
          </w:p>
        </w:tc>
        <w:tc>
          <w:tcPr>
            <w:tcW w:w="100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900" w:leader="none"/>
              </w:tabs>
              <w:ind w:firstLine="567"/>
              <w:jc w:val="both"/>
              <w:rPr>
                <w:rFonts w:ascii="Times New Roman" w:hAnsi="Times New Roman"/>
                <w:sz w:val="26"/>
                <w:szCs w:val="26"/>
              </w:rPr>
            </w:pPr>
            <w:r>
              <w:rPr>
                <w:rFonts w:ascii="Times New Roman" w:hAnsi="Times New Roman"/>
                <w:sz w:val="26"/>
                <w:szCs w:val="26"/>
              </w:rPr>
              <w:t>Рішенням Луцької міської ради від 30.11.2022 № 37/48 «Про приєднання до європейської ініціативи «Угода мерів – Схід»» надано згоду про участь у цій ініціативі. З квітня 2023 Луцька ТМГ є офіційним учасником ініціативи «Угода мерів – Схід».</w:t>
            </w:r>
          </w:p>
          <w:p>
            <w:pPr>
              <w:pStyle w:val="Normal"/>
              <w:widowControl w:val="false"/>
              <w:tabs>
                <w:tab w:val="clear" w:pos="708"/>
                <w:tab w:val="left" w:pos="900" w:leader="none"/>
              </w:tabs>
              <w:ind w:firstLine="567"/>
              <w:jc w:val="both"/>
              <w:rPr>
                <w:rFonts w:ascii="Times New Roman" w:hAnsi="Times New Roman"/>
                <w:sz w:val="26"/>
                <w:szCs w:val="26"/>
              </w:rPr>
            </w:pPr>
            <w:r>
              <w:rPr>
                <w:rFonts w:ascii="Times New Roman" w:hAnsi="Times New Roman"/>
                <w:sz w:val="26"/>
                <w:szCs w:val="26"/>
              </w:rPr>
              <w:t>План дій зі сталого енергетичного розвитку міста Луцька на 2012-2025 роки (оновлена версія 2015 року), затверджений рішенням міської ради від 06.10.2015 № 79/2, включає Інвестиційну стратегію ПДСЕР міста Луцька та Каталог інвестиційних проєктів. Цей документ узгоджено з Національним планом дій з енергоефективності.</w:t>
            </w:r>
          </w:p>
          <w:p>
            <w:pPr>
              <w:pStyle w:val="Normal"/>
              <w:widowControl w:val="false"/>
              <w:tabs>
                <w:tab w:val="clear" w:pos="708"/>
                <w:tab w:val="left" w:pos="900" w:leader="none"/>
              </w:tabs>
              <w:ind w:firstLine="567"/>
              <w:jc w:val="both"/>
              <w:rPr>
                <w:rFonts w:ascii="Times New Roman" w:hAnsi="Times New Roman"/>
                <w:sz w:val="26"/>
                <w:szCs w:val="26"/>
              </w:rPr>
            </w:pPr>
            <w:r>
              <w:rPr>
                <w:rFonts w:ascii="Times New Roman" w:hAnsi="Times New Roman"/>
                <w:sz w:val="26"/>
                <w:szCs w:val="26"/>
              </w:rPr>
              <w:t>На цей час департаментом економічної політики ведеться розробка Плану дій сталого енергетичного розвитку та клімату Луцької міської територіальної громади до 2030 року.</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2.</w:t>
            </w:r>
          </w:p>
        </w:tc>
        <w:tc>
          <w:tcPr>
            <w:tcW w:w="4708" w:type="dxa"/>
            <w:tcBorders>
              <w:top w:val="single" w:sz="4" w:space="0" w:color="000000"/>
              <w:left w:val="single" w:sz="4" w:space="0" w:color="000000"/>
              <w:bottom w:val="single" w:sz="4" w:space="0" w:color="000000"/>
            </w:tcBorders>
          </w:tcPr>
          <w:p>
            <w:pPr>
              <w:pStyle w:val="Standard"/>
              <w:widowControl w:val="false"/>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rPr>
              <w:t>Моніторинг результатів упровадження енергоефективних заходів.</w:t>
            </w:r>
          </w:p>
        </w:tc>
        <w:tc>
          <w:tcPr>
            <w:tcW w:w="10072"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color w:val="000000"/>
                <w:sz w:val="26"/>
                <w:szCs w:val="26"/>
              </w:rPr>
            </w:pPr>
            <w:r>
              <w:rPr>
                <w:rFonts w:cs="Times New Roman" w:ascii="Times New Roman" w:hAnsi="Times New Roman"/>
                <w:color w:val="000000"/>
                <w:sz w:val="26"/>
                <w:szCs w:val="26"/>
              </w:rPr>
              <w:t>З метою підвищення енергоефективності протягом звітного періоду ДКП «Луцьктепло» впроваджено 2 енергозберігаючих заходи на суму 6,735 млн. грн за рахунок власних коштів підприємства, а саме здійснено:</w:t>
            </w:r>
          </w:p>
          <w:p>
            <w:pPr>
              <w:pStyle w:val="Normal"/>
              <w:widowControl w:val="false"/>
              <w:ind w:firstLine="567"/>
              <w:jc w:val="both"/>
              <w:rPr>
                <w:rFonts w:ascii="Times New Roman" w:hAnsi="Times New Roman" w:cs="Times New Roman"/>
                <w:color w:val="000000"/>
                <w:sz w:val="26"/>
                <w:szCs w:val="26"/>
              </w:rPr>
            </w:pPr>
            <w:r>
              <w:rPr>
                <w:rFonts w:cs="Times New Roman" w:ascii="Times New Roman" w:hAnsi="Times New Roman"/>
                <w:color w:val="000000"/>
                <w:sz w:val="26"/>
                <w:szCs w:val="26"/>
              </w:rPr>
              <w:t>теплотехнічні випробування 79 котлоагрегатів 26 котелень з видачею режимних карт;</w:t>
            </w:r>
          </w:p>
          <w:p>
            <w:pPr>
              <w:pStyle w:val="Normal"/>
              <w:widowControl w:val="false"/>
              <w:ind w:firstLine="567"/>
              <w:jc w:val="both"/>
              <w:rPr>
                <w:rFonts w:ascii="Times New Roman" w:hAnsi="Times New Roman" w:cs="Times New Roman"/>
                <w:color w:val="000000"/>
                <w:sz w:val="26"/>
                <w:szCs w:val="26"/>
              </w:rPr>
            </w:pPr>
            <w:r>
              <w:rPr>
                <w:rFonts w:cs="Times New Roman" w:ascii="Times New Roman" w:hAnsi="Times New Roman"/>
                <w:color w:val="000000"/>
                <w:sz w:val="26"/>
                <w:szCs w:val="26"/>
              </w:rPr>
              <w:t>заміну трубопроводів теплових мереж на попередньоізольовані  протяжністю 1003 м.</w:t>
            </w:r>
          </w:p>
          <w:p>
            <w:pPr>
              <w:pStyle w:val="Normal"/>
              <w:widowControl w:val="false"/>
              <w:ind w:firstLine="567"/>
              <w:jc w:val="both"/>
              <w:rPr>
                <w:rFonts w:ascii="Times New Roman" w:hAnsi="Times New Roman" w:cs="Times New Roman"/>
                <w:color w:val="000000"/>
                <w:sz w:val="26"/>
                <w:szCs w:val="26"/>
              </w:rPr>
            </w:pPr>
            <w:r>
              <w:rPr>
                <w:rFonts w:cs="Times New Roman" w:ascii="Times New Roman" w:hAnsi="Times New Roman"/>
                <w:color w:val="000000"/>
                <w:sz w:val="26"/>
                <w:szCs w:val="26"/>
              </w:rPr>
              <w:t>Фактична очікувана економія паливно-енергетичних ресурсів, а саме природного газу становить 0,2002 млн. куб. м. Розрахунковий економічний ефект від впровадження цих заходів становить 1,806 млн. грн.</w:t>
            </w:r>
          </w:p>
          <w:p>
            <w:pPr>
              <w:pStyle w:val="Normal"/>
              <w:widowControl w:val="false"/>
              <w:ind w:firstLine="567"/>
              <w:jc w:val="both"/>
              <w:rPr>
                <w:rFonts w:ascii="Times New Roman" w:hAnsi="Times New Roman" w:cs="Times New Roman"/>
                <w:color w:val="000000"/>
                <w:sz w:val="26"/>
                <w:szCs w:val="26"/>
              </w:rPr>
            </w:pPr>
            <w:r>
              <w:rPr>
                <w:rFonts w:cs="Times New Roman" w:ascii="Times New Roman" w:hAnsi="Times New Roman"/>
                <w:color w:val="000000"/>
                <w:sz w:val="26"/>
                <w:szCs w:val="26"/>
              </w:rPr>
              <w:t>З метою зниження питомих витрат електроенергії КП «Луцькводоканал» проведено реконструкцію двох ділянок водогону на території міста Луцька на суму 1,918 млн. грн, що розрахунково призведе до зменшення річних витрат на суму 1 152,0 тис. грн.</w:t>
            </w:r>
          </w:p>
          <w:p>
            <w:pPr>
              <w:pStyle w:val="Normal"/>
              <w:widowControl w:val="false"/>
              <w:ind w:firstLine="567"/>
              <w:jc w:val="both"/>
              <w:rPr>
                <w:rFonts w:ascii="Times New Roman" w:hAnsi="Times New Roman" w:cs="Times New Roman"/>
                <w:color w:val="000000"/>
                <w:sz w:val="26"/>
                <w:szCs w:val="26"/>
              </w:rPr>
            </w:pPr>
            <w:r>
              <w:rPr>
                <w:rFonts w:cs="Times New Roman" w:ascii="Times New Roman" w:hAnsi="Times New Roman"/>
                <w:color w:val="000000"/>
                <w:sz w:val="26"/>
                <w:szCs w:val="26"/>
              </w:rPr>
              <w:t>З метою скорочення споживання енергоресурсів та/або комунальних послуг в закладах освіти відповідно до 35 укладених енергосервісних договорів впроваджуються такі енергоефективні заходи: встановлення системи автоматичного регулювання теплового потоку в залежності від температури зовнішнього повітря (ІТП) із системою диспетчеризації та віддаленого управління і контролю (аналізу) енергоспоживання на об'єкті енергосервісу, встановлення альтернативного джерела опалення (теплового насоса), модернізація внутрішньої системи опалення, утеплення фасадів та горищних перекриттів.</w:t>
            </w:r>
          </w:p>
          <w:p>
            <w:pPr>
              <w:pStyle w:val="Normal"/>
              <w:widowControl w:val="false"/>
              <w:ind w:firstLine="567"/>
              <w:jc w:val="both"/>
              <w:rPr>
                <w:rFonts w:ascii="Times New Roman" w:hAnsi="Times New Roman" w:cs="Times New Roman"/>
                <w:color w:val="000000"/>
                <w:sz w:val="26"/>
                <w:szCs w:val="26"/>
              </w:rPr>
            </w:pPr>
            <w:r>
              <w:rPr>
                <w:rFonts w:cs="Times New Roman" w:ascii="Times New Roman" w:hAnsi="Times New Roman"/>
                <w:color w:val="000000"/>
                <w:sz w:val="26"/>
                <w:szCs w:val="26"/>
              </w:rPr>
              <w:t>Бюджетними закладами та установами Луцької громади на постійній основі проводиться:</w:t>
            </w:r>
          </w:p>
          <w:p>
            <w:pPr>
              <w:pStyle w:val="Normal"/>
              <w:widowControl w:val="false"/>
              <w:ind w:firstLine="567"/>
              <w:jc w:val="both"/>
              <w:rPr>
                <w:rFonts w:ascii="Times New Roman" w:hAnsi="Times New Roman" w:cs="Times New Roman"/>
                <w:color w:val="000000"/>
                <w:sz w:val="26"/>
                <w:szCs w:val="26"/>
              </w:rPr>
            </w:pPr>
            <w:r>
              <w:rPr>
                <w:rFonts w:cs="Times New Roman" w:ascii="Times New Roman" w:hAnsi="Times New Roman"/>
                <w:color w:val="000000"/>
                <w:sz w:val="26"/>
                <w:szCs w:val="26"/>
              </w:rPr>
              <w:t>вдосконалення теплоізоляції приміщень, шляхом ремонту, регулювання та профілактики пластикових вікон у місцях загального користування та службових кабінетах;</w:t>
            </w:r>
          </w:p>
          <w:p>
            <w:pPr>
              <w:pStyle w:val="Normal"/>
              <w:widowControl w:val="false"/>
              <w:ind w:firstLine="567"/>
              <w:jc w:val="both"/>
              <w:rPr>
                <w:rFonts w:ascii="Times New Roman" w:hAnsi="Times New Roman" w:cs="Times New Roman"/>
                <w:color w:val="000000"/>
                <w:sz w:val="26"/>
                <w:szCs w:val="26"/>
              </w:rPr>
            </w:pPr>
            <w:r>
              <w:rPr>
                <w:rFonts w:cs="Times New Roman" w:ascii="Times New Roman" w:hAnsi="Times New Roman"/>
                <w:color w:val="000000"/>
                <w:sz w:val="26"/>
                <w:szCs w:val="26"/>
              </w:rPr>
              <w:t>забезпечення безперебійної роботи приладів обліку, проведення своєчасної повірки лічильників теплової енергії, водопостачання і водовідведення;</w:t>
            </w:r>
          </w:p>
          <w:p>
            <w:pPr>
              <w:pStyle w:val="Normal"/>
              <w:widowControl w:val="false"/>
              <w:ind w:firstLine="567"/>
              <w:jc w:val="both"/>
              <w:rPr>
                <w:rFonts w:ascii="Times New Roman" w:hAnsi="Times New Roman" w:cs="Times New Roman"/>
                <w:color w:val="000000"/>
                <w:sz w:val="26"/>
                <w:szCs w:val="26"/>
              </w:rPr>
            </w:pPr>
            <w:r>
              <w:rPr>
                <w:rFonts w:cs="Times New Roman" w:ascii="Times New Roman" w:hAnsi="Times New Roman"/>
                <w:color w:val="000000"/>
                <w:sz w:val="26"/>
                <w:szCs w:val="26"/>
              </w:rPr>
              <w:t>забезпечення контролю за обліком показників спожитої теплової та електроенергії, водопостачання та водовідведення із залученням профільних спеціалістів;</w:t>
            </w:r>
          </w:p>
          <w:p>
            <w:pPr>
              <w:pStyle w:val="Normal"/>
              <w:widowControl w:val="false"/>
              <w:ind w:firstLine="567"/>
              <w:jc w:val="both"/>
              <w:rPr>
                <w:rFonts w:ascii="Times New Roman" w:hAnsi="Times New Roman" w:cs="Times New Roman"/>
                <w:color w:val="000000"/>
                <w:sz w:val="26"/>
                <w:szCs w:val="26"/>
              </w:rPr>
            </w:pPr>
            <w:r>
              <w:rPr>
                <w:rFonts w:cs="Times New Roman" w:ascii="Times New Roman" w:hAnsi="Times New Roman"/>
                <w:color w:val="000000"/>
                <w:sz w:val="26"/>
                <w:szCs w:val="26"/>
              </w:rPr>
              <w:t>впровадження використання енергоефективних освітлювальних приладів шляхом заміни, по мірі виходу з ладу, люмінесцентних та ламп розжарення на світлодіодні;</w:t>
            </w:r>
          </w:p>
          <w:p>
            <w:pPr>
              <w:pStyle w:val="Normal"/>
              <w:widowControl w:val="false"/>
              <w:ind w:firstLine="567"/>
              <w:jc w:val="both"/>
              <w:rPr>
                <w:rFonts w:ascii="Times New Roman" w:hAnsi="Times New Roman" w:cs="Times New Roman"/>
                <w:color w:val="000000"/>
                <w:sz w:val="26"/>
                <w:szCs w:val="26"/>
              </w:rPr>
            </w:pPr>
            <w:r>
              <w:rPr>
                <w:rFonts w:cs="Times New Roman" w:ascii="Times New Roman" w:hAnsi="Times New Roman"/>
                <w:color w:val="000000"/>
                <w:sz w:val="26"/>
                <w:szCs w:val="26"/>
              </w:rPr>
              <w:t>здійснення постійного контролю за раціональним використанням води та електроенергії шляхом вчасного вимкнення електроприладів, дбайливого використання сантехнічного обладнання.</w:t>
            </w:r>
          </w:p>
          <w:p>
            <w:pPr>
              <w:pStyle w:val="Normal"/>
              <w:widowControl w:val="false"/>
              <w:ind w:firstLine="567"/>
              <w:jc w:val="both"/>
              <w:rPr>
                <w:rFonts w:ascii="Times New Roman" w:hAnsi="Times New Roman" w:cs="Times New Roman"/>
                <w:color w:val="000000"/>
                <w:sz w:val="26"/>
                <w:szCs w:val="26"/>
              </w:rPr>
            </w:pPr>
            <w:r>
              <w:rPr>
                <w:rFonts w:cs="Times New Roman" w:ascii="Times New Roman" w:hAnsi="Times New Roman"/>
                <w:color w:val="000000"/>
                <w:sz w:val="26"/>
                <w:szCs w:val="26"/>
              </w:rPr>
              <w:t>Враховуючи впровадження енергоефективних заходів в бюджетних установах та закладах громади та воєнний стан, середнє питоме споживання енергоресурсів (без води) за звітний період становить 70,92 кВт/кв.м, що на 23,2% менше ніж у відповідному періоді 2021 року.</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3.</w:t>
            </w:r>
          </w:p>
        </w:tc>
        <w:tc>
          <w:tcPr>
            <w:tcW w:w="4708" w:type="dxa"/>
            <w:tcBorders>
              <w:top w:val="single" w:sz="4" w:space="0" w:color="000000"/>
              <w:left w:val="single" w:sz="4" w:space="0" w:color="000000"/>
              <w:bottom w:val="single" w:sz="4" w:space="0" w:color="000000"/>
            </w:tcBorders>
          </w:tcPr>
          <w:p>
            <w:pPr>
              <w:pStyle w:val="Standard"/>
              <w:widowControl w:val="false"/>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rPr>
              <w:t>Розширення переліку енергоощадних об’єктів, модернізованих із використанням механізму енергосервісних контрактів, пошук та залучення нових енергосервісних компаній.</w:t>
            </w:r>
          </w:p>
        </w:tc>
        <w:tc>
          <w:tcPr>
            <w:tcW w:w="10072"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color w:val="000000"/>
                <w:sz w:val="26"/>
                <w:szCs w:val="26"/>
              </w:rPr>
              <w:t>Станом на 01.07.2023 в стадії реалізації знаходиться 35 енергосервісних договорів, укладених між департаментом освіти Луцької міської ради та ТОВ «ЕСКО ЦЕНТРАЛЬ», ТОВ «ЕСКО ЮА», ТОВ «ЕЛТЕК ЛАЙТ»</w:t>
            </w:r>
            <w:bookmarkStart w:id="8" w:name="_GoBack"/>
            <w:bookmarkEnd w:id="8"/>
            <w:r>
              <w:rPr>
                <w:rFonts w:cs="Times New Roman" w:ascii="Times New Roman" w:hAnsi="Times New Roman"/>
                <w:color w:val="000000"/>
                <w:sz w:val="26"/>
                <w:szCs w:val="26"/>
              </w:rPr>
              <w:t xml:space="preserve"> щодо скорочення споживання енергоресурсів та/або комунальних послуг закладами освіти на загальну суму 211 636,79 тис. грн.</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4.</w:t>
            </w:r>
          </w:p>
        </w:tc>
        <w:tc>
          <w:tcPr>
            <w:tcW w:w="4708" w:type="dxa"/>
            <w:tcBorders>
              <w:top w:val="single" w:sz="4" w:space="0" w:color="000000"/>
              <w:left w:val="single" w:sz="4" w:space="0" w:color="000000"/>
              <w:bottom w:val="single" w:sz="4" w:space="0" w:color="000000"/>
            </w:tcBorders>
          </w:tcPr>
          <w:p>
            <w:pPr>
              <w:pStyle w:val="Standard"/>
              <w:widowControl w:val="false"/>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rPr>
              <w:t>Включення до системи онлайн моніторингу «ЕнергоПлан» бюджетних будівель новоприєднаних територіальних громад та впровадження в них системи енергоменеджменту.</w:t>
            </w:r>
          </w:p>
        </w:tc>
        <w:tc>
          <w:tcPr>
            <w:tcW w:w="10072"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color w:val="000000"/>
                <w:sz w:val="26"/>
                <w:szCs w:val="26"/>
              </w:rPr>
              <w:t xml:space="preserve">Відповідно до Закону України «Про енергетичну ефективність», постанови Кабінету Міністрів України від 23.12.2021 № 1460 «Про впровадження систем енергетичного менеджменту» та розпорядження міського голови від 17.03.2023 № 74 «Про систему моніторингу споживання енергоносіїв», за допомогою </w:t>
            </w:r>
            <w:r>
              <w:rPr>
                <w:rFonts w:cs="Times New Roman" w:ascii="Times New Roman" w:hAnsi="Times New Roman"/>
                <w:sz w:val="26"/>
                <w:szCs w:val="26"/>
              </w:rPr>
              <w:t xml:space="preserve">системи онлайн-моніторингу «ЕнергоПлан» Луцькою міською радою щомісячно проводиться </w:t>
            </w:r>
            <w:r>
              <w:rPr>
                <w:rFonts w:cs="Times New Roman" w:ascii="Times New Roman" w:hAnsi="Times New Roman"/>
                <w:color w:val="000000"/>
                <w:sz w:val="26"/>
                <w:szCs w:val="26"/>
              </w:rPr>
              <w:t>аналіз стану споживання енергоресурсів бюджетними установами/закладами Луцької міської територіальної громади з розбивкою за будівлями та видами енергоресурсів із ранжуванням установ/закладів за обсягами питомого споживання. Результати аналізу доводяться до керівників установ/закладів для прийняття обґрунтованих рішень та вжиття відповідних заходів.</w:t>
            </w:r>
          </w:p>
          <w:p>
            <w:pPr>
              <w:pStyle w:val="Normal"/>
              <w:widowControl w:val="false"/>
              <w:ind w:firstLine="573"/>
              <w:jc w:val="both"/>
              <w:rPr>
                <w:rFonts w:ascii="Times New Roman" w:hAnsi="Times New Roman"/>
                <w:sz w:val="26"/>
                <w:szCs w:val="26"/>
              </w:rPr>
            </w:pPr>
            <w:r>
              <w:rPr>
                <w:rFonts w:cs="Times New Roman" w:ascii="Times New Roman" w:hAnsi="Times New Roman"/>
                <w:sz w:val="26"/>
                <w:szCs w:val="26"/>
              </w:rPr>
              <w:t>Системою онлайн моніторингу «ЕнергоПлан» двічі на тиждень охоплено 177 установ та закладів, що мають в своєму володінні та/або користуванні 258 будівель. В процесі адміністрування програмного продукту «ЕнергоПлан» здійснюється постійний контроль щодо регулярного, своєчасного та правильного подання інформації виконавцями, редагування існуючої бази у випадку встановлення нових приладів обліку або їх демонтажу, уточнення та зміни вхідних даних щодо об</w:t>
            </w:r>
            <w:r>
              <w:rPr>
                <w:rFonts w:cs="Times New Roman" w:ascii="Times New Roman" w:hAnsi="Times New Roman"/>
                <w:sz w:val="26"/>
                <w:szCs w:val="26"/>
                <w:lang w:val="en-US"/>
              </w:rPr>
              <w:t>’</w:t>
            </w:r>
            <w:r>
              <w:rPr>
                <w:rFonts w:cs="Times New Roman" w:ascii="Times New Roman" w:hAnsi="Times New Roman"/>
                <w:sz w:val="26"/>
                <w:szCs w:val="26"/>
              </w:rPr>
              <w:t>єктів. У звітному періоді до бази об’єктів моніторингу цієї системи додано 21 заклад бюджетної сфери приєднаних територіальних громад.</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5.</w:t>
            </w:r>
          </w:p>
        </w:tc>
        <w:tc>
          <w:tcPr>
            <w:tcW w:w="4708" w:type="dxa"/>
            <w:tcBorders>
              <w:top w:val="single" w:sz="4" w:space="0" w:color="000000"/>
              <w:left w:val="single" w:sz="4" w:space="0" w:color="000000"/>
              <w:bottom w:val="single" w:sz="4" w:space="0" w:color="000000"/>
            </w:tcBorders>
          </w:tcPr>
          <w:p>
            <w:pPr>
              <w:pStyle w:val="Standard"/>
              <w:widowControl w:val="false"/>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rPr>
              <w:t>Розробка адаптованого Плану дій сталого енергетичного розвитку та клімату Луцької міської територіальної громади.</w:t>
            </w:r>
          </w:p>
        </w:tc>
        <w:tc>
          <w:tcPr>
            <w:tcW w:w="100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firstLine="567"/>
              <w:jc w:val="both"/>
              <w:rPr>
                <w:rFonts w:ascii="Times New Roman" w:hAnsi="Times New Roman"/>
                <w:sz w:val="26"/>
                <w:szCs w:val="26"/>
              </w:rPr>
            </w:pPr>
            <w:r>
              <w:rPr>
                <w:rFonts w:ascii="Times New Roman" w:hAnsi="Times New Roman"/>
                <w:sz w:val="26"/>
                <w:szCs w:val="26"/>
              </w:rPr>
              <w:t>Триває розробка Плану дій сталого енергетичного розвитку та клімату Луцької міської територіальної громади до 2030 року (розпорядження міського голови від 05.05.2023 № 132 «</w:t>
            </w:r>
            <w:r>
              <w:rPr>
                <w:rFonts w:cs="Times New Roman" w:ascii="Times New Roman" w:hAnsi="Times New Roman"/>
                <w:spacing w:val="3"/>
                <w:sz w:val="26"/>
                <w:szCs w:val="26"/>
                <w:shd w:fill="FFFFFF" w:val="clear"/>
              </w:rPr>
              <w:t>Про створення Робочої групи з формування Плану дій сталого енергетичного розвитку та клімату Луцької міської територіальної громади до 2030/2050 року»).</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6.</w:t>
            </w:r>
          </w:p>
        </w:tc>
        <w:tc>
          <w:tcPr>
            <w:tcW w:w="4708" w:type="dxa"/>
            <w:tcBorders>
              <w:top w:val="single" w:sz="4" w:space="0" w:color="000000"/>
              <w:left w:val="single" w:sz="4" w:space="0" w:color="000000"/>
              <w:bottom w:val="single" w:sz="4" w:space="0" w:color="000000"/>
            </w:tcBorders>
          </w:tcPr>
          <w:p>
            <w:pPr>
              <w:pStyle w:val="Standard"/>
              <w:widowControl w:val="false"/>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rPr>
              <w:t>Проведення інструментальних обстежень будівель бюджетних закладів міської територіальної громади, в яких були впроваджені заходи з енергозбереження та закладів з високим питомим споживанням енергії.</w:t>
            </w:r>
          </w:p>
        </w:tc>
        <w:tc>
          <w:tcPr>
            <w:tcW w:w="10072"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color w:val="000000"/>
                <w:sz w:val="26"/>
                <w:szCs w:val="26"/>
              </w:rPr>
            </w:pPr>
            <w:r>
              <w:rPr>
                <w:rFonts w:cs="Times New Roman" w:ascii="Times New Roman" w:hAnsi="Times New Roman"/>
                <w:color w:val="000000"/>
                <w:sz w:val="26"/>
                <w:szCs w:val="26"/>
              </w:rPr>
              <w:t>Проведення інструментальних обстежень будівель бюджетних закладів Луцької міської територіальної громади тимчасово призупинено у зв’язку з введенням воєнного стану.</w:t>
            </w:r>
          </w:p>
          <w:p>
            <w:pPr>
              <w:pStyle w:val="Normal"/>
              <w:widowControl w:val="false"/>
              <w:ind w:firstLine="567"/>
              <w:jc w:val="both"/>
              <w:rPr>
                <w:rFonts w:ascii="Times New Roman" w:hAnsi="Times New Roman"/>
                <w:sz w:val="26"/>
                <w:szCs w:val="26"/>
              </w:rPr>
            </w:pPr>
            <w:r>
              <w:rPr>
                <w:rFonts w:cs="Times New Roman" w:ascii="Times New Roman" w:hAnsi="Times New Roman"/>
                <w:color w:val="000000"/>
                <w:sz w:val="26"/>
                <w:szCs w:val="26"/>
              </w:rPr>
              <w:t>Водночас за результатами аналізу споживання енергоресурсів бюджетними установами/закладами Луцької міської територіальної громади, з метою раціонального їх використання та врегулювання питомого споживання, міською радою вживаються контрольні заходи до згаданих об</w:t>
            </w:r>
            <w:r>
              <w:rPr>
                <w:rFonts w:cs="Times New Roman" w:ascii="Times New Roman" w:hAnsi="Times New Roman"/>
                <w:color w:val="000000"/>
                <w:sz w:val="26"/>
                <w:szCs w:val="26"/>
                <w:lang w:val="en-US"/>
              </w:rPr>
              <w:t>’</w:t>
            </w:r>
            <w:r>
              <w:rPr>
                <w:rFonts w:cs="Times New Roman" w:ascii="Times New Roman" w:hAnsi="Times New Roman"/>
                <w:color w:val="000000"/>
                <w:sz w:val="26"/>
                <w:szCs w:val="26"/>
              </w:rPr>
              <w:t>єктів. У разі значних відхилень рівня використання енергетичних ресурсів проводиться інформаційно - роз</w:t>
            </w:r>
            <w:r>
              <w:rPr>
                <w:rFonts w:cs="Times New Roman" w:ascii="Times New Roman" w:hAnsi="Times New Roman"/>
                <w:color w:val="000000"/>
                <w:sz w:val="26"/>
                <w:szCs w:val="26"/>
                <w:lang w:val="en-US"/>
              </w:rPr>
              <w:t>’</w:t>
            </w:r>
            <w:r>
              <w:rPr>
                <w:rFonts w:cs="Times New Roman" w:ascii="Times New Roman" w:hAnsi="Times New Roman"/>
                <w:color w:val="000000"/>
                <w:sz w:val="26"/>
                <w:szCs w:val="26"/>
              </w:rPr>
              <w:t>яснювальна робота щодо впровадженням енергоефективних заходів.</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7.</w:t>
            </w:r>
          </w:p>
        </w:tc>
        <w:tc>
          <w:tcPr>
            <w:tcW w:w="4708" w:type="dxa"/>
            <w:tcBorders>
              <w:top w:val="single" w:sz="4" w:space="0" w:color="000000"/>
              <w:left w:val="single" w:sz="4" w:space="0" w:color="000000"/>
              <w:bottom w:val="single" w:sz="4" w:space="0" w:color="000000"/>
            </w:tcBorders>
          </w:tcPr>
          <w:p>
            <w:pPr>
              <w:pStyle w:val="Standard"/>
              <w:widowControl w:val="false"/>
              <w:tabs>
                <w:tab w:val="clear" w:pos="708"/>
                <w:tab w:val="left" w:pos="900" w:leader="none"/>
              </w:tabs>
              <w:jc w:val="both"/>
              <w:rPr>
                <w:rFonts w:ascii="Times New Roman" w:hAnsi="Times New Roman" w:cs="Times New Roman"/>
                <w:color w:val="auto"/>
                <w:sz w:val="26"/>
                <w:szCs w:val="26"/>
              </w:rPr>
            </w:pPr>
            <w:r>
              <w:rPr>
                <w:rFonts w:cs="Times New Roman" w:ascii="Times New Roman" w:hAnsi="Times New Roman"/>
                <w:color w:val="auto"/>
                <w:sz w:val="26"/>
                <w:szCs w:val="26"/>
              </w:rPr>
              <w:t>Реалізація у співпраці з НЕФКО проєкту «Підвищення енергоефективності та надійності системи водопостачання та водовідведення м. Луцька» (заміна технологічного обладнання на 43 підвищувальних станціях, розташованих у місті Луцьку, а саме заміна насосного обладнання, заміна запірної арматури, диспетчеризація, організація обліку води та електричної енергії, а також організація комерційного обліку водопостачання в багатоквартирних житлових будинках, технічне переоснащення каналізаційних насосних станцій).</w:t>
            </w:r>
          </w:p>
        </w:tc>
        <w:tc>
          <w:tcPr>
            <w:tcW w:w="10072"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color w:val="000000"/>
                <w:sz w:val="26"/>
                <w:szCs w:val="26"/>
              </w:rPr>
            </w:pPr>
            <w:r>
              <w:rPr>
                <w:rFonts w:cs="Times New Roman" w:ascii="Times New Roman" w:hAnsi="Times New Roman"/>
                <w:color w:val="000000"/>
                <w:sz w:val="26"/>
                <w:szCs w:val="26"/>
              </w:rPr>
              <w:t>Продовжується впровадження проєкту «Підвищення енергоефективності та надійності системи водопостачання та водовідведення м. Луцька».</w:t>
            </w:r>
          </w:p>
          <w:p>
            <w:pPr>
              <w:pStyle w:val="Normal"/>
              <w:widowControl w:val="false"/>
              <w:ind w:firstLine="567"/>
              <w:jc w:val="both"/>
              <w:rPr>
                <w:rFonts w:ascii="Times New Roman" w:hAnsi="Times New Roman"/>
                <w:color w:val="000000"/>
                <w:sz w:val="26"/>
                <w:szCs w:val="26"/>
              </w:rPr>
            </w:pPr>
            <w:r>
              <w:rPr>
                <w:rFonts w:cs="Times New Roman" w:ascii="Times New Roman" w:hAnsi="Times New Roman"/>
                <w:color w:val="000000"/>
                <w:sz w:val="26"/>
                <w:szCs w:val="26"/>
              </w:rPr>
              <w:t>На заміну технологічного обладнання підвищувальних станцій міста Луцька, організацію комерційного обліку водопостачання в багатоквартирних житлових будинках та технічне переоснащення каналізаційних насосних станцій у I півріччі 2023 року КП «Луцькводо</w:t>
            </w:r>
            <w:r>
              <w:rPr>
                <w:rFonts w:cs="Times New Roman" w:ascii="Times New Roman" w:hAnsi="Times New Roman"/>
                <w:color w:val="000000"/>
                <w:sz w:val="26"/>
                <w:szCs w:val="26"/>
                <w:lang w:val="en-US"/>
              </w:rPr>
              <w:t>к</w:t>
            </w:r>
            <w:r>
              <w:rPr>
                <w:rFonts w:cs="Times New Roman" w:ascii="Times New Roman" w:hAnsi="Times New Roman"/>
                <w:color w:val="000000"/>
                <w:sz w:val="26"/>
                <w:szCs w:val="26"/>
              </w:rPr>
              <w:t>анал» перераховано 16,899745 млн. грн. з бюджету громади, з них освоєно 11,950002 млн. грн.</w:t>
            </w:r>
          </w:p>
          <w:p>
            <w:pPr>
              <w:pStyle w:val="Normal"/>
              <w:widowControl w:val="false"/>
              <w:ind w:firstLine="567"/>
              <w:jc w:val="both"/>
              <w:rPr>
                <w:rFonts w:ascii="Times New Roman" w:hAnsi="Times New Roman" w:cs="Times New Roman"/>
                <w:color w:val="000000"/>
                <w:sz w:val="26"/>
                <w:szCs w:val="26"/>
              </w:rPr>
            </w:pPr>
            <w:r>
              <w:rPr>
                <w:rFonts w:cs="Times New Roman" w:ascii="Times New Roman" w:hAnsi="Times New Roman"/>
                <w:color w:val="000000"/>
                <w:sz w:val="26"/>
                <w:szCs w:val="26"/>
              </w:rPr>
              <w:t>Рішенням міської ради від 22.02.2023 № 41/78 збільшено суму залученого гранту НЕФКО для фінансування цього інвестиційного проєкту на 500 000 євро (загальна сума гранту – 700 000 євро).</w:t>
            </w:r>
          </w:p>
          <w:p>
            <w:pPr>
              <w:pStyle w:val="Normal"/>
              <w:widowControl w:val="false"/>
              <w:tabs>
                <w:tab w:val="clear" w:pos="708"/>
                <w:tab w:val="left" w:pos="900" w:leader="none"/>
              </w:tabs>
              <w:ind w:firstLine="567"/>
              <w:jc w:val="both"/>
              <w:rPr>
                <w:rFonts w:ascii="Times New Roman" w:hAnsi="Times New Roman"/>
                <w:sz w:val="26"/>
                <w:szCs w:val="26"/>
              </w:rPr>
            </w:pPr>
            <w:r>
              <w:rPr>
                <w:rFonts w:cs="Times New Roman" w:ascii="Times New Roman" w:hAnsi="Times New Roman"/>
                <w:color w:val="000000"/>
                <w:sz w:val="26"/>
                <w:szCs w:val="26"/>
              </w:rPr>
              <w:t xml:space="preserve">У звітному періоді міською радою зроблено запит до </w:t>
            </w:r>
            <w:r>
              <w:rPr>
                <w:rFonts w:cs="Times New Roman" w:ascii="Times New Roman" w:hAnsi="Times New Roman"/>
                <w:sz w:val="26"/>
                <w:szCs w:val="26"/>
              </w:rPr>
              <w:t>НЕФКО</w:t>
            </w:r>
            <w:r>
              <w:rPr>
                <w:rFonts w:cs="Times New Roman" w:ascii="Times New Roman" w:hAnsi="Times New Roman"/>
                <w:color w:val="000000"/>
                <w:sz w:val="26"/>
                <w:szCs w:val="26"/>
              </w:rPr>
              <w:t xml:space="preserve"> на виплату грантових коштів у сумі 52 332,02 євро за проведені роботи ПП «Ремводпласт-Плюс».</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8.</w:t>
            </w:r>
          </w:p>
        </w:tc>
        <w:tc>
          <w:tcPr>
            <w:tcW w:w="4708" w:type="dxa"/>
            <w:tcBorders>
              <w:top w:val="single" w:sz="4" w:space="0" w:color="000000"/>
              <w:left w:val="single" w:sz="4" w:space="0" w:color="000000"/>
              <w:bottom w:val="single" w:sz="4" w:space="0" w:color="000000"/>
            </w:tcBorders>
          </w:tcPr>
          <w:p>
            <w:pPr>
              <w:pStyle w:val="Standard"/>
              <w:widowControl w:val="false"/>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rPr>
              <w:t>У співпраці з Державним агентством з енергоефективності та енергозбереження України виконання положень: «Меморандуму про партнерство щодо запровадження енергосервісу»; «Меморандуму про партнерство щодо запровадження систем енергетичного менеджменту для підвищення енергетичної ефективності будівель бюджетних установ» та «Меморандуму про партнерство у сфері енергоефективності житлових будинків».</w:t>
            </w:r>
          </w:p>
        </w:tc>
        <w:tc>
          <w:tcPr>
            <w:tcW w:w="10072"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color w:val="000000"/>
                <w:sz w:val="26"/>
                <w:szCs w:val="26"/>
              </w:rPr>
            </w:pPr>
            <w:r>
              <w:rPr>
                <w:rFonts w:cs="Times New Roman" w:ascii="Times New Roman" w:hAnsi="Times New Roman"/>
                <w:color w:val="000000"/>
                <w:sz w:val="26"/>
                <w:szCs w:val="26"/>
              </w:rPr>
              <w:t>З метою підвищення енергоефективності бюджетних будівель у Луцькій міській територіальній громаді активно застосовується механізм енергосервісних контрактів, функціонує автоматизована система енергоменеджменту «Енергоплан» щодо моніторингу використання енергоресурсів бюджетними установами.</w:t>
            </w:r>
          </w:p>
          <w:p>
            <w:pPr>
              <w:pStyle w:val="Normal"/>
              <w:widowControl w:val="false"/>
              <w:ind w:firstLine="567"/>
              <w:jc w:val="both"/>
              <w:rPr>
                <w:rFonts w:ascii="Times New Roman" w:hAnsi="Times New Roman"/>
                <w:color w:val="000000"/>
                <w:sz w:val="26"/>
                <w:szCs w:val="26"/>
              </w:rPr>
            </w:pPr>
            <w:r>
              <w:rPr>
                <w:rFonts w:cs="Times New Roman" w:ascii="Times New Roman" w:hAnsi="Times New Roman"/>
                <w:color w:val="000000"/>
                <w:sz w:val="26"/>
                <w:szCs w:val="26"/>
              </w:rPr>
              <w:t>З метою забезпечення якісного моніторингу стану споживання енергоресурсів Луцькою міською радою подано заявку на участь в проєкті ПРООН «Усунення бар</w:t>
            </w:r>
            <w:r>
              <w:rPr>
                <w:rFonts w:cs="Times New Roman" w:ascii="Times New Roman" w:hAnsi="Times New Roman"/>
                <w:color w:val="000000"/>
                <w:sz w:val="26"/>
                <w:szCs w:val="26"/>
                <w:lang w:val="en-US"/>
              </w:rPr>
              <w:t>’</w:t>
            </w:r>
            <w:r>
              <w:rPr>
                <w:rFonts w:cs="Times New Roman" w:ascii="Times New Roman" w:hAnsi="Times New Roman"/>
                <w:color w:val="000000"/>
                <w:sz w:val="26"/>
                <w:szCs w:val="26"/>
              </w:rPr>
              <w:t>єрів для сприяння інвестиціям в енергоефективність громадських будівель в малих і середніх містах України» з підготовленими анкетними даними про прилади обліку 258 бюджетних будівель щодо впровадження системи автоматизованого моніторингу споживання енергетичних ресурсів разом з вузлами обліку, які надають можливість віддаленої передачі даних у бюджетних будівлях.</w:t>
            </w:r>
          </w:p>
          <w:p>
            <w:pPr>
              <w:pStyle w:val="Normal"/>
              <w:widowControl w:val="false"/>
              <w:ind w:firstLine="567"/>
              <w:jc w:val="both"/>
              <w:rPr>
                <w:rFonts w:ascii="Times New Roman" w:hAnsi="Times New Roman"/>
                <w:color w:val="000000"/>
                <w:sz w:val="26"/>
                <w:szCs w:val="26"/>
              </w:rPr>
            </w:pPr>
            <w:r>
              <w:rPr>
                <w:rFonts w:cs="Times New Roman" w:ascii="Times New Roman" w:hAnsi="Times New Roman"/>
                <w:color w:val="000000"/>
                <w:sz w:val="26"/>
                <w:szCs w:val="26"/>
              </w:rPr>
              <w:t>Стосовно енергоефективності житлових будинків відповідно до Програми капітального ремонту житлового фонду Луцької міської територіальної громади на 2020-2024 роки, затвердженої рішенням міської ради від 29.01.2020 № 69/87, (зі змінами) для експлуатації та технічного обслуговування житлового фонду з бюджету громади виділено 483,0 тис. грн. на капітальний ремонт та  реконструкцію житлового фонду.</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9.</w:t>
            </w:r>
          </w:p>
        </w:tc>
        <w:tc>
          <w:tcPr>
            <w:tcW w:w="4708" w:type="dxa"/>
            <w:tcBorders>
              <w:top w:val="single" w:sz="4" w:space="0" w:color="000000"/>
              <w:left w:val="single" w:sz="4" w:space="0" w:color="000000"/>
              <w:bottom w:val="single" w:sz="4" w:space="0" w:color="000000"/>
            </w:tcBorders>
          </w:tcPr>
          <w:p>
            <w:pPr>
              <w:pStyle w:val="Standard"/>
              <w:widowControl w:val="false"/>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rPr>
              <w:t>Реалізація положень «Меморандуму про взаєморозуміння між Північною Екологічною Фінансовою Корпорацією НЕФКО та Виконавчим комітетом Луцької міської ради».</w:t>
            </w:r>
          </w:p>
        </w:tc>
        <w:tc>
          <w:tcPr>
            <w:tcW w:w="10072"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color w:val="000000"/>
                <w:sz w:val="26"/>
                <w:szCs w:val="26"/>
              </w:rPr>
            </w:pPr>
            <w:r>
              <w:rPr>
                <w:rFonts w:cs="Times New Roman" w:ascii="Times New Roman" w:hAnsi="Times New Roman"/>
                <w:color w:val="000000"/>
                <w:sz w:val="26"/>
                <w:szCs w:val="26"/>
              </w:rPr>
              <w:t>Інвестиційною платформою сусідства Європейського Союзу затверджено грант на підтримку програми «Підтримка ЄС для нагальних потреб розміщення ВПО в Україні».</w:t>
            </w:r>
          </w:p>
          <w:p>
            <w:pPr>
              <w:pStyle w:val="Normal"/>
              <w:widowControl w:val="false"/>
              <w:ind w:firstLine="567"/>
              <w:jc w:val="both"/>
              <w:rPr>
                <w:rFonts w:ascii="Times New Roman" w:hAnsi="Times New Roman"/>
                <w:sz w:val="26"/>
                <w:szCs w:val="26"/>
              </w:rPr>
            </w:pPr>
            <w:r>
              <w:rPr>
                <w:rFonts w:cs="Times New Roman" w:ascii="Times New Roman" w:hAnsi="Times New Roman"/>
                <w:color w:val="000000"/>
                <w:sz w:val="26"/>
                <w:szCs w:val="26"/>
              </w:rPr>
              <w:t>В рамках вищезазначеного, у звітному періоді тривають роботи над проєктом з НЕФКО «Реконструкція учбово-лабораторного корпусу Луцького національного технічного університету під гуртожиток для внутрішньо переміщених осіб». Мета проєкту – покращення умов проживання та забезпечення житлом внутрішньо переміщених осіб, а також зменшення споживання енергії, та, як наслідок, скорочення викидів парникових газів.</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10.</w:t>
            </w:r>
          </w:p>
        </w:tc>
        <w:tc>
          <w:tcPr>
            <w:tcW w:w="4708" w:type="dxa"/>
            <w:tcBorders>
              <w:top w:val="single" w:sz="4" w:space="0" w:color="000000"/>
              <w:left w:val="single" w:sz="4" w:space="0" w:color="000000"/>
              <w:bottom w:val="single" w:sz="4" w:space="0" w:color="000000"/>
            </w:tcBorders>
          </w:tcPr>
          <w:p>
            <w:pPr>
              <w:pStyle w:val="Standard"/>
              <w:widowControl w:val="false"/>
              <w:tabs>
                <w:tab w:val="clear" w:pos="708"/>
                <w:tab w:val="left" w:pos="900" w:leader="none"/>
              </w:tabs>
              <w:jc w:val="both"/>
              <w:rPr>
                <w:rFonts w:ascii="Times New Roman" w:hAnsi="Times New Roman"/>
                <w:sz w:val="26"/>
                <w:szCs w:val="26"/>
              </w:rPr>
            </w:pPr>
            <w:r>
              <w:rPr>
                <w:rFonts w:ascii="Times New Roman" w:hAnsi="Times New Roman"/>
                <w:sz w:val="26"/>
                <w:szCs w:val="26"/>
              </w:rPr>
              <w:t>Виконання положень «Меморандуму про співпрацю з державною установою «Фонд енергоефективності» та Луцькою міською радою».</w:t>
            </w:r>
          </w:p>
        </w:tc>
        <w:tc>
          <w:tcPr>
            <w:tcW w:w="10072"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color w:val="000000"/>
                <w:sz w:val="26"/>
                <w:szCs w:val="26"/>
              </w:rPr>
            </w:pPr>
            <w:r>
              <w:rPr>
                <w:rFonts w:cs="Times New Roman" w:ascii="Times New Roman" w:hAnsi="Times New Roman"/>
                <w:color w:val="000000"/>
                <w:sz w:val="26"/>
                <w:szCs w:val="26"/>
              </w:rPr>
              <w:t>В Луцькій міській територіальній громаді проводиться співфінансування в рамках державної програми «Енергодім» щодо впровадження заходів енергозбереження в житлових будинках ОСББ та ЖБК.</w:t>
            </w:r>
          </w:p>
          <w:p>
            <w:pPr>
              <w:pStyle w:val="Normal"/>
              <w:widowControl w:val="false"/>
              <w:ind w:firstLine="567"/>
              <w:jc w:val="both"/>
              <w:rPr>
                <w:rFonts w:ascii="Times New Roman" w:hAnsi="Times New Roman" w:cs="Times New Roman"/>
                <w:color w:val="000000"/>
                <w:sz w:val="26"/>
                <w:szCs w:val="26"/>
              </w:rPr>
            </w:pPr>
            <w:r>
              <w:rPr>
                <w:rFonts w:cs="Times New Roman" w:ascii="Times New Roman" w:hAnsi="Times New Roman"/>
                <w:color w:val="000000"/>
                <w:sz w:val="26"/>
                <w:szCs w:val="26"/>
              </w:rPr>
              <w:t>Відшкодування частини тіла кредиту та відсотків за залученими кредитами для ОСББ та ЖБК нашого міста відбувається в межах дії Програми відшкодування частини суми кредитів ОСББ Луцької міської територіальної громади, залучених на впровадження в будинках енергоефективних заходів на 2021-2023 роки, затвердженої рішенням міської ради від 27.01.2021 № 5/105, (зі змінами).</w:t>
            </w:r>
          </w:p>
          <w:p>
            <w:pPr>
              <w:pStyle w:val="Normal"/>
              <w:widowControl w:val="false"/>
              <w:ind w:firstLine="567"/>
              <w:jc w:val="both"/>
              <w:rPr>
                <w:rFonts w:ascii="Times New Roman" w:hAnsi="Times New Roman" w:cs="Times New Roman"/>
                <w:color w:val="000000"/>
                <w:sz w:val="26"/>
                <w:szCs w:val="26"/>
              </w:rPr>
            </w:pPr>
            <w:r>
              <w:rPr>
                <w:rFonts w:cs="Times New Roman" w:ascii="Times New Roman" w:hAnsi="Times New Roman"/>
                <w:color w:val="000000"/>
                <w:sz w:val="26"/>
                <w:szCs w:val="26"/>
              </w:rPr>
              <w:t>Згідно з цією Програмою у звітному періоді здійснено відшкодування з бюджету громади:</w:t>
            </w:r>
          </w:p>
          <w:p>
            <w:pPr>
              <w:pStyle w:val="Normal"/>
              <w:widowControl w:val="false"/>
              <w:ind w:firstLine="567"/>
              <w:jc w:val="both"/>
              <w:rPr>
                <w:rFonts w:ascii="Times New Roman" w:hAnsi="Times New Roman" w:cs="Times New Roman"/>
                <w:color w:val="000000"/>
                <w:sz w:val="26"/>
                <w:szCs w:val="26"/>
              </w:rPr>
            </w:pPr>
            <w:r>
              <w:rPr>
                <w:rFonts w:cs="Times New Roman" w:ascii="Times New Roman" w:hAnsi="Times New Roman"/>
                <w:color w:val="000000"/>
                <w:sz w:val="26"/>
                <w:szCs w:val="26"/>
              </w:rPr>
              <w:t>відсоткових ставок за залученими ОСББ кредитами у 2013-2020 роках по 7 кредитних договорах на суму 662 063,0 грн.</w:t>
            </w:r>
          </w:p>
          <w:p>
            <w:pPr>
              <w:pStyle w:val="Normal"/>
              <w:widowControl w:val="false"/>
              <w:ind w:firstLine="567"/>
              <w:jc w:val="both"/>
              <w:rPr>
                <w:rFonts w:ascii="Times New Roman" w:hAnsi="Times New Roman"/>
                <w:sz w:val="26"/>
                <w:szCs w:val="26"/>
              </w:rPr>
            </w:pPr>
            <w:r>
              <w:rPr>
                <w:rFonts w:cs="Times New Roman" w:ascii="Times New Roman" w:hAnsi="Times New Roman"/>
                <w:color w:val="000000"/>
                <w:sz w:val="26"/>
                <w:szCs w:val="26"/>
              </w:rPr>
              <w:t>коштів на погашення сум кредитних договорів для 7 ОСББ на суму 6 336 748,00 грн.</w:t>
            </w:r>
          </w:p>
        </w:tc>
      </w:tr>
    </w:tbl>
    <w:p>
      <w:pPr>
        <w:pStyle w:val="Normal"/>
        <w:rPr>
          <w:rFonts w:ascii="Times New Roman" w:hAnsi="Times New Roman" w:cs="Times New Roman"/>
          <w:b/>
          <w:b/>
          <w:bCs/>
          <w:sz w:val="26"/>
          <w:szCs w:val="26"/>
        </w:rPr>
      </w:pPr>
      <w:r>
        <w:rPr>
          <w:rFonts w:cs="Times New Roman" w:ascii="Times New Roman" w:hAnsi="Times New Roman"/>
          <w:b/>
          <w:bCs/>
          <w:sz w:val="26"/>
          <w:szCs w:val="26"/>
        </w:rPr>
      </w:r>
    </w:p>
    <w:p>
      <w:pPr>
        <w:pStyle w:val="Normal"/>
        <w:spacing w:lineRule="auto" w:line="360"/>
        <w:jc w:val="center"/>
        <w:rPr>
          <w:rFonts w:ascii="Times New Roman" w:hAnsi="Times New Roman"/>
          <w:sz w:val="26"/>
          <w:szCs w:val="26"/>
        </w:rPr>
      </w:pPr>
      <w:r>
        <w:rPr>
          <w:rFonts w:cs="Times New Roman" w:ascii="Times New Roman" w:hAnsi="Times New Roman"/>
          <w:b/>
          <w:bCs/>
          <w:sz w:val="26"/>
          <w:szCs w:val="26"/>
        </w:rPr>
        <w:t>3.4.3. Техногенна безпека</w:t>
      </w:r>
    </w:p>
    <w:tbl>
      <w:tblPr>
        <w:tblW w:w="15405" w:type="dxa"/>
        <w:jc w:val="left"/>
        <w:tblInd w:w="143" w:type="dxa"/>
        <w:tblLayout w:type="fixed"/>
        <w:tblCellMar>
          <w:top w:w="0" w:type="dxa"/>
          <w:left w:w="108" w:type="dxa"/>
          <w:bottom w:w="0" w:type="dxa"/>
          <w:right w:w="108" w:type="dxa"/>
        </w:tblCellMar>
        <w:tblLook w:firstRow="0" w:noVBand="0" w:lastRow="0" w:firstColumn="0" w:lastColumn="0" w:noHBand="0" w:val="0000"/>
      </w:tblPr>
      <w:tblGrid>
        <w:gridCol w:w="625"/>
        <w:gridCol w:w="4722"/>
        <w:gridCol w:w="10058"/>
      </w:tblGrid>
      <w:tr>
        <w:trPr>
          <w:trHeight w:val="615"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bCs/>
                <w:sz w:val="26"/>
                <w:szCs w:val="26"/>
              </w:rPr>
              <w:t xml:space="preserve">№ </w:t>
            </w:r>
            <w:r>
              <w:rPr>
                <w:rFonts w:cs="Times New Roman" w:ascii="Times New Roman" w:hAnsi="Times New Roman"/>
                <w:bCs/>
                <w:sz w:val="26"/>
                <w:szCs w:val="26"/>
              </w:rPr>
              <w:t>з/п</w:t>
            </w:r>
          </w:p>
        </w:tc>
        <w:tc>
          <w:tcPr>
            <w:tcW w:w="4722"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Назва заходів</w:t>
            </w:r>
          </w:p>
        </w:tc>
        <w:tc>
          <w:tcPr>
            <w:tcW w:w="1005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Стан виконання заходів</w:t>
            </w:r>
          </w:p>
        </w:tc>
      </w:tr>
      <w:tr>
        <w:trPr>
          <w:trHeight w:val="615"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t>1.</w:t>
            </w:r>
          </w:p>
        </w:tc>
        <w:tc>
          <w:tcPr>
            <w:tcW w:w="4722" w:type="dxa"/>
            <w:tcBorders>
              <w:top w:val="single" w:sz="4" w:space="0" w:color="000000"/>
              <w:left w:val="single" w:sz="4" w:space="0" w:color="000000"/>
              <w:bottom w:val="single" w:sz="4" w:space="0" w:color="000000"/>
            </w:tcBorders>
          </w:tcPr>
          <w:p>
            <w:pPr>
              <w:pStyle w:val="211"/>
              <w:widowControl w:val="false"/>
              <w:tabs>
                <w:tab w:val="clear" w:pos="708"/>
                <w:tab w:val="left" w:pos="900" w:leader="none"/>
              </w:tabs>
              <w:spacing w:lineRule="auto" w:line="240" w:before="0" w:after="0"/>
              <w:jc w:val="both"/>
              <w:rPr>
                <w:rFonts w:ascii="Times New Roman" w:hAnsi="Times New Roman"/>
                <w:color w:val="auto"/>
                <w:sz w:val="26"/>
                <w:szCs w:val="26"/>
              </w:rPr>
            </w:pPr>
            <w:r>
              <w:rPr>
                <w:rFonts w:cs="Times New Roman" w:ascii="Times New Roman" w:hAnsi="Times New Roman"/>
                <w:color w:val="auto"/>
                <w:sz w:val="26"/>
                <w:szCs w:val="26"/>
              </w:rPr>
              <w:t>Приведення в готовність до використання захисних споруд цивільного захисту міської комунальної власності, облаштування та підтримання у належному стані пунктів тимчасового перебування населення у випадку надзвичайних ситуацій в осінньо-зимовий період на базі закладів освіти в умовах воєнного стану.</w:t>
            </w:r>
          </w:p>
        </w:tc>
        <w:tc>
          <w:tcPr>
            <w:tcW w:w="1005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Відповідно до Програми розвитку цивільного захисту Луцької міської територіальної громади на 2021-2025 роки, на приведення у готовність захисних споруд, найпростіших укриттів та споруд подвійного призначення комунальної власності, у І півріччі з бюджету громади виділено 130,3 тис. грн. (сховище на вул. Гулака-Артемовського, 3, протирадіаційне укриття на просп. Волі, 10).</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2.</w:t>
            </w:r>
          </w:p>
        </w:tc>
        <w:tc>
          <w:tcPr>
            <w:tcW w:w="4722" w:type="dxa"/>
            <w:tcBorders>
              <w:top w:val="single" w:sz="4" w:space="0" w:color="000000"/>
              <w:left w:val="single" w:sz="4" w:space="0" w:color="000000"/>
              <w:bottom w:val="single" w:sz="4" w:space="0" w:color="000000"/>
            </w:tcBorders>
          </w:tcPr>
          <w:p>
            <w:pPr>
              <w:pStyle w:val="211"/>
              <w:widowControl w:val="false"/>
              <w:tabs>
                <w:tab w:val="clear" w:pos="708"/>
                <w:tab w:val="left" w:pos="900" w:leader="none"/>
              </w:tabs>
              <w:spacing w:lineRule="auto" w:line="240" w:before="0" w:after="0"/>
              <w:jc w:val="both"/>
              <w:rPr>
                <w:rFonts w:ascii="Times New Roman" w:hAnsi="Times New Roman"/>
                <w:color w:val="auto"/>
                <w:sz w:val="26"/>
                <w:szCs w:val="26"/>
              </w:rPr>
            </w:pPr>
            <w:r>
              <w:rPr>
                <w:rFonts w:cs="Times New Roman" w:ascii="Times New Roman" w:hAnsi="Times New Roman"/>
                <w:color w:val="auto"/>
                <w:sz w:val="26"/>
                <w:szCs w:val="26"/>
              </w:rPr>
              <w:t>Удосконалення системи оповіщення населення про загрози або виникнення надзвичайних ситуацій під час дії особливого періоду в умовах воєнного стану.</w:t>
            </w:r>
          </w:p>
        </w:tc>
        <w:tc>
          <w:tcPr>
            <w:tcW w:w="1005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Для оповіщення населення Луцької міської територіальної громади про загрози, встановлено та використовується в період воєнного стану 19 електросирен.</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3.</w:t>
            </w:r>
          </w:p>
        </w:tc>
        <w:tc>
          <w:tcPr>
            <w:tcW w:w="4722" w:type="dxa"/>
            <w:tcBorders>
              <w:top w:val="single" w:sz="4" w:space="0" w:color="000000"/>
              <w:left w:val="single" w:sz="4" w:space="0" w:color="000000"/>
              <w:bottom w:val="single" w:sz="4" w:space="0" w:color="000000"/>
            </w:tcBorders>
          </w:tcPr>
          <w:p>
            <w:pPr>
              <w:pStyle w:val="211"/>
              <w:widowControl w:val="false"/>
              <w:tabs>
                <w:tab w:val="clear" w:pos="708"/>
                <w:tab w:val="left" w:pos="900" w:leader="none"/>
              </w:tabs>
              <w:spacing w:lineRule="auto" w:line="240" w:before="0" w:after="0"/>
              <w:jc w:val="both"/>
              <w:rPr>
                <w:rFonts w:ascii="Times New Roman" w:hAnsi="Times New Roman" w:cs="Times New Roman"/>
                <w:color w:val="auto"/>
                <w:sz w:val="26"/>
                <w:szCs w:val="26"/>
              </w:rPr>
            </w:pPr>
            <w:r>
              <w:rPr>
                <w:rFonts w:cs="Times New Roman" w:ascii="Times New Roman" w:hAnsi="Times New Roman"/>
                <w:color w:val="auto"/>
                <w:sz w:val="26"/>
                <w:szCs w:val="26"/>
              </w:rPr>
              <w:t>Забезпечення належного протипожежного стану підприємств, установ та закладів міської комунальної власності (облаштування систем протипожежної сигналізації в комунальних закладах освіти та охорони здоров’я, обробка вогнетривким розчином дерев’яних конструкцій горищ комунальних закладів освіти тощо).</w:t>
            </w:r>
          </w:p>
        </w:tc>
        <w:tc>
          <w:tcPr>
            <w:tcW w:w="1005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bCs/>
                <w:sz w:val="26"/>
                <w:szCs w:val="26"/>
              </w:rPr>
              <w:t>У зв’язку з дією воєнного стану заходи не проводились</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4.</w:t>
            </w:r>
          </w:p>
        </w:tc>
        <w:tc>
          <w:tcPr>
            <w:tcW w:w="4722" w:type="dxa"/>
            <w:tcBorders>
              <w:top w:val="single" w:sz="4" w:space="0" w:color="000000"/>
              <w:left w:val="single" w:sz="4" w:space="0" w:color="000000"/>
              <w:bottom w:val="single" w:sz="4" w:space="0" w:color="000000"/>
            </w:tcBorders>
          </w:tcPr>
          <w:p>
            <w:pPr>
              <w:pStyle w:val="211"/>
              <w:widowControl w:val="false"/>
              <w:tabs>
                <w:tab w:val="clear" w:pos="708"/>
                <w:tab w:val="left" w:pos="900" w:leader="none"/>
              </w:tabs>
              <w:spacing w:lineRule="auto" w:line="240" w:before="0" w:after="0"/>
              <w:jc w:val="both"/>
              <w:rPr>
                <w:rFonts w:ascii="Times New Roman" w:hAnsi="Times New Roman"/>
                <w:color w:val="auto"/>
                <w:sz w:val="26"/>
                <w:szCs w:val="26"/>
              </w:rPr>
            </w:pPr>
            <w:r>
              <w:rPr>
                <w:rFonts w:cs="Times New Roman" w:ascii="Times New Roman" w:hAnsi="Times New Roman"/>
                <w:color w:val="auto"/>
                <w:sz w:val="26"/>
                <w:szCs w:val="26"/>
              </w:rPr>
              <w:t>Створення матеріального резерву для оперативного реагування під час виникнення надзвичайних ситуацій, як у мирний час, так в умовах воєнного стану.</w:t>
            </w:r>
          </w:p>
        </w:tc>
        <w:tc>
          <w:tcPr>
            <w:tcW w:w="1005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bCs/>
                <w:sz w:val="26"/>
                <w:szCs w:val="26"/>
              </w:rPr>
            </w:pPr>
            <w:r>
              <w:rPr>
                <w:rFonts w:cs="Times New Roman" w:ascii="Times New Roman" w:hAnsi="Times New Roman"/>
                <w:bCs/>
                <w:sz w:val="26"/>
                <w:szCs w:val="26"/>
              </w:rPr>
              <w:t>Поновлено договори з постачальниками будівельних матеріалів для забезпечення матеріального резерву Луцької міської територіальної громади на запобігання та  ліквідацію наслідків надзвичайних ситуацій як у мирний час, так і під час воєнного стану.</w:t>
            </w:r>
          </w:p>
          <w:p>
            <w:pPr>
              <w:pStyle w:val="Normal"/>
              <w:ind w:left="0" w:right="0" w:firstLine="567"/>
              <w:jc w:val="both"/>
              <w:rPr>
                <w:rFonts w:ascii="Times New Roman" w:hAnsi="Times New Roman"/>
                <w:sz w:val="26"/>
                <w:szCs w:val="26"/>
              </w:rPr>
            </w:pPr>
            <w:r>
              <w:rPr>
                <w:rFonts w:ascii="Times New Roman" w:hAnsi="Times New Roman"/>
                <w:sz w:val="26"/>
                <w:szCs w:val="26"/>
              </w:rPr>
              <w:t>Для ліквідації наслідків руйнування збройними силами російської федерації греблі Каховської гідроелектростанції, надано допомогу територіальним громадам Херсонської області на суму 316,58 тис. грн, а саме: мотопомпи бензинові, гармати теплові, надувні човни, вейдерси.</w:t>
            </w:r>
          </w:p>
          <w:p>
            <w:pPr>
              <w:pStyle w:val="Normal"/>
              <w:ind w:left="0" w:right="0" w:firstLine="567"/>
              <w:jc w:val="both"/>
              <w:rPr>
                <w:rFonts w:ascii="Times New Roman" w:hAnsi="Times New Roman"/>
                <w:sz w:val="26"/>
                <w:szCs w:val="26"/>
              </w:rPr>
            </w:pPr>
            <w:r>
              <w:rPr>
                <w:rFonts w:ascii="Times New Roman" w:hAnsi="Times New Roman"/>
                <w:sz w:val="26"/>
                <w:szCs w:val="26"/>
              </w:rPr>
              <w:t>Відповідно до розпорядження міського голови від 30.03.2022 № 103 «Про створення робочої групи з питань забезпечення харчовими продуктами для гуманітарних потреб» в громаді було створено стратегічний запас деяких харчових продуктів, частину з яких (макаронні вироби, тушкованки, цукор тощо) передавались</w:t>
            </w:r>
            <w:r>
              <w:rPr>
                <w:rFonts w:ascii="Times New Roman" w:hAnsi="Times New Roman"/>
                <w:sz w:val="26"/>
                <w:szCs w:val="26"/>
                <w:lang w:val="en-US"/>
              </w:rPr>
              <w:t xml:space="preserve"> управлінню соціальних служб для сім’ї</w:t>
            </w:r>
            <w:r>
              <w:rPr>
                <w:rFonts w:ascii="Times New Roman" w:hAnsi="Times New Roman"/>
                <w:sz w:val="26"/>
                <w:szCs w:val="26"/>
              </w:rPr>
              <w:t>, дітей та молоді та до територіальному центру соціального обслуговування (надання соціальних послуг) для подальшої видачі особам/сім'ям які мають найвищий ризик потрапляння у складні життєві обставини через вплив несприятливих зовнішніх та/або внутрішніх чинників.</w:t>
            </w:r>
          </w:p>
        </w:tc>
      </w:tr>
      <w:tr>
        <w:trPr>
          <w:trHeight w:val="1833"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5.</w:t>
            </w:r>
          </w:p>
        </w:tc>
        <w:tc>
          <w:tcPr>
            <w:tcW w:w="4722" w:type="dxa"/>
            <w:tcBorders>
              <w:top w:val="single" w:sz="4" w:space="0" w:color="000000"/>
              <w:left w:val="single" w:sz="4" w:space="0" w:color="000000"/>
              <w:bottom w:val="single" w:sz="4" w:space="0" w:color="000000"/>
            </w:tcBorders>
          </w:tcPr>
          <w:p>
            <w:pPr>
              <w:pStyle w:val="211"/>
              <w:widowControl w:val="false"/>
              <w:tabs>
                <w:tab w:val="clear" w:pos="708"/>
                <w:tab w:val="left" w:pos="900" w:leader="none"/>
              </w:tabs>
              <w:spacing w:lineRule="auto" w:line="240" w:before="0" w:after="0"/>
              <w:jc w:val="both"/>
              <w:rPr>
                <w:rFonts w:ascii="Times New Roman" w:hAnsi="Times New Roman" w:cs="Times New Roman"/>
                <w:color w:val="auto"/>
                <w:sz w:val="26"/>
                <w:szCs w:val="26"/>
              </w:rPr>
            </w:pPr>
            <w:r>
              <w:rPr>
                <w:rFonts w:cs="Times New Roman" w:ascii="Times New Roman" w:hAnsi="Times New Roman"/>
                <w:color w:val="auto"/>
                <w:sz w:val="26"/>
                <w:szCs w:val="26"/>
              </w:rPr>
              <w:t>Проведення профілактичних та практичних заходів у сфері цивільного захисту, техногенної та пожежної безпеки, навчання населення щодо поведінки та дій у разі виникнення надзвичайних ситуацій, формування культури безпеки життєдіяльності населення в умовах воєнного стану.</w:t>
            </w:r>
          </w:p>
        </w:tc>
        <w:tc>
          <w:tcPr>
            <w:tcW w:w="1005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Проведено засідання місцевої комісії з питань техногенно-екологічної безпеки та надзвичайних ситуацій, протокол від 18.04.2023 № 4 «Про заходи щодо запобігання та протидії масовим пожежам в екосистемах Луцької міської територіальної громади у літній період 2023 року».</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6.</w:t>
            </w:r>
          </w:p>
        </w:tc>
        <w:tc>
          <w:tcPr>
            <w:tcW w:w="4722" w:type="dxa"/>
            <w:tcBorders>
              <w:top w:val="single" w:sz="4" w:space="0" w:color="000000"/>
              <w:left w:val="single" w:sz="4" w:space="0" w:color="000000"/>
              <w:bottom w:val="single" w:sz="4" w:space="0" w:color="000000"/>
            </w:tcBorders>
          </w:tcPr>
          <w:p>
            <w:pPr>
              <w:pStyle w:val="211"/>
              <w:widowControl w:val="false"/>
              <w:tabs>
                <w:tab w:val="clear" w:pos="708"/>
                <w:tab w:val="left" w:pos="900" w:leader="none"/>
              </w:tabs>
              <w:spacing w:lineRule="auto" w:line="240" w:before="0" w:after="0"/>
              <w:jc w:val="both"/>
              <w:rPr>
                <w:rFonts w:ascii="Times New Roman" w:hAnsi="Times New Roman"/>
                <w:color w:val="auto"/>
                <w:sz w:val="26"/>
                <w:szCs w:val="26"/>
              </w:rPr>
            </w:pPr>
            <w:r>
              <w:rPr>
                <w:rFonts w:cs="Times New Roman" w:ascii="Times New Roman" w:hAnsi="Times New Roman"/>
                <w:color w:val="auto"/>
                <w:sz w:val="26"/>
                <w:szCs w:val="26"/>
              </w:rPr>
              <w:t>Проведення профілактичних та протиепідемічних заходів для недопущення виникнення та поширення випадків захворювання на гостру респіраторну хворобу COVID-19, спричинену коронавірусною інфекцією SARS-CoV-2.</w:t>
            </w:r>
          </w:p>
        </w:tc>
        <w:tc>
          <w:tcPr>
            <w:tcW w:w="1005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bCs/>
                <w:sz w:val="26"/>
                <w:szCs w:val="26"/>
              </w:rPr>
              <w:t xml:space="preserve">Протягом звітного періоду у лікувальних та навчальних закладах громади  здійснювалась профілактична робота щодо </w:t>
            </w:r>
            <w:r>
              <w:rPr>
                <w:rFonts w:cs="Times New Roman" w:ascii="Times New Roman" w:hAnsi="Times New Roman"/>
                <w:sz w:val="26"/>
                <w:szCs w:val="26"/>
              </w:rPr>
              <w:t>запобігання поширенню гострої респіраторної хвороби COVID</w:t>
              <w:noBreakHyphen/>
              <w:t xml:space="preserve">19. Постійно працював </w:t>
            </w:r>
            <w:r>
              <w:rPr>
                <w:rFonts w:ascii="Times New Roman" w:hAnsi="Times New Roman"/>
                <w:sz w:val="26"/>
                <w:szCs w:val="26"/>
                <w:shd w:fill="FFFFFF" w:val="clear"/>
              </w:rPr>
              <w:t>тимчасовий інфекційний стаціонар для надання медичної допомоги хворим на COVID-19</w:t>
            </w:r>
            <w:r>
              <w:rPr>
                <w:rFonts w:ascii="Times New Roman" w:hAnsi="Times New Roman"/>
                <w:sz w:val="26"/>
                <w:szCs w:val="26"/>
                <w:shd w:fill="FFFFFF" w:val="clear"/>
              </w:rPr>
              <w:t xml:space="preserve"> </w:t>
            </w:r>
            <w:r>
              <w:rPr>
                <w:rFonts w:ascii="Times New Roman" w:hAnsi="Times New Roman"/>
                <w:sz w:val="26"/>
                <w:szCs w:val="26"/>
                <w:shd w:fill="FFFFFF" w:val="clear"/>
              </w:rPr>
              <w:t>у складі КП «Луцька міська клінічна лікарня». </w:t>
            </w:r>
            <w:r>
              <w:rPr>
                <w:rFonts w:cs="Times New Roman" w:ascii="Times New Roman" w:hAnsi="Times New Roman"/>
                <w:sz w:val="26"/>
                <w:szCs w:val="26"/>
              </w:rPr>
              <w:t xml:space="preserve"> Здійснювалась вакцинація населення.</w:t>
            </w:r>
          </w:p>
          <w:p>
            <w:pPr>
              <w:pStyle w:val="Normal"/>
              <w:widowControl w:val="false"/>
              <w:ind w:firstLine="567"/>
              <w:jc w:val="both"/>
              <w:rPr>
                <w:rFonts w:ascii="Times New Roman" w:hAnsi="Times New Roman"/>
                <w:sz w:val="26"/>
                <w:szCs w:val="26"/>
              </w:rPr>
            </w:pPr>
            <w:r>
              <w:rPr>
                <w:rFonts w:cs="Times New Roman" w:ascii="Times New Roman" w:hAnsi="Times New Roman"/>
                <w:bCs/>
                <w:sz w:val="26"/>
                <w:szCs w:val="26"/>
              </w:rPr>
              <w:t>Європейським інвестиційним банком міській раді надано листівки із пропагандою антиковідних заходів, які були розміщені у громадському транспорті. Також у салонах громадського транспорту транслювалась відповідна соціальна реклама.</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Відповідно до постанови Кабінету Міністрів України від 27.06.2023 № 651 «Про відміну на всій території України карантину, встановленого з метою запобігання поширенню на території України гострої респіраторної хвороби COVID</w:t>
              <w:noBreakHyphen/>
              <w:t>19, спричиненої коронавірусом sars</w:t>
              <w:noBreakHyphen/>
              <w:t>CoV</w:t>
              <w:noBreakHyphen/>
              <w:t>2» в Україні відмінено карантин, пов’язаний з поширенням гострої респіраторної хвороби COVID</w:t>
              <w:noBreakHyphen/>
              <w:t>19 (з 30.06.2023).</w:t>
            </w:r>
          </w:p>
        </w:tc>
      </w:tr>
      <w:tr>
        <w:trPr>
          <w:trHeight w:val="288" w:hRule="atLeast"/>
        </w:trPr>
        <w:tc>
          <w:tcPr>
            <w:tcW w:w="62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7.</w:t>
            </w:r>
          </w:p>
        </w:tc>
        <w:tc>
          <w:tcPr>
            <w:tcW w:w="4722" w:type="dxa"/>
            <w:tcBorders>
              <w:top w:val="single" w:sz="4" w:space="0" w:color="000000"/>
              <w:left w:val="single" w:sz="4" w:space="0" w:color="000000"/>
              <w:bottom w:val="single" w:sz="4" w:space="0" w:color="000000"/>
            </w:tcBorders>
          </w:tcPr>
          <w:p>
            <w:pPr>
              <w:pStyle w:val="211"/>
              <w:widowControl w:val="false"/>
              <w:tabs>
                <w:tab w:val="clear" w:pos="708"/>
                <w:tab w:val="left" w:pos="900" w:leader="none"/>
              </w:tabs>
              <w:spacing w:lineRule="auto" w:line="240" w:before="0" w:after="0"/>
              <w:jc w:val="both"/>
              <w:rPr>
                <w:rFonts w:ascii="Times New Roman" w:hAnsi="Times New Roman"/>
                <w:color w:val="auto"/>
                <w:sz w:val="26"/>
                <w:szCs w:val="26"/>
              </w:rPr>
            </w:pPr>
            <w:r>
              <w:rPr>
                <w:rFonts w:cs="Times New Roman" w:ascii="Times New Roman" w:hAnsi="Times New Roman"/>
                <w:color w:val="auto"/>
                <w:sz w:val="26"/>
                <w:szCs w:val="26"/>
              </w:rPr>
              <w:t>Організація рятування людей на водних об’єктах Луцької міської територіальної громади в літній період у визначених місцях масового відпочинку в умовах воєнного стану.</w:t>
            </w:r>
          </w:p>
        </w:tc>
        <w:tc>
          <w:tcPr>
            <w:tcW w:w="10058"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bCs/>
                <w:sz w:val="26"/>
                <w:szCs w:val="26"/>
              </w:rPr>
              <w:t>Для забезпечення безпеки населення міської територіальної громади під час літнього відпочинку, рішенням міської ради від 22.12.2021 № 24/66 прийнята «Програма організації рятування людей на водних об'єктах Луцької міської територіальної громади в літній період 2022-2026 років». Відповідно до розпорядження міського голови від 08.05.2023 № 134 «Про забезпечення охорони життя людей на воді під час літнього відпочинку» в період купального сезону (з 01.06. по 31.08.2023) організовано роботу двох рятувальних постів в місцях масового відпочинку громадян на р. Стир (Центральний парк культури і відпочинку ім. Лесі Українки) та на Теремнівській водоймі.</w:t>
            </w:r>
          </w:p>
        </w:tc>
      </w:tr>
    </w:tbl>
    <w:p>
      <w:pPr>
        <w:pStyle w:val="Normal"/>
        <w:rPr>
          <w:rFonts w:ascii="Times New Roman" w:hAnsi="Times New Roman" w:cs="Times New Roman"/>
          <w:b/>
          <w:b/>
          <w:bCs/>
          <w:sz w:val="26"/>
          <w:szCs w:val="26"/>
          <w:lang w:eastAsia="ru-RU"/>
        </w:rPr>
      </w:pPr>
      <w:r>
        <w:rPr>
          <w:rFonts w:cs="Times New Roman" w:ascii="Times New Roman" w:hAnsi="Times New Roman"/>
          <w:b/>
          <w:bCs/>
          <w:sz w:val="26"/>
          <w:szCs w:val="26"/>
          <w:lang w:eastAsia="ru-RU"/>
        </w:rPr>
      </w:r>
    </w:p>
    <w:p>
      <w:pPr>
        <w:pStyle w:val="Normal"/>
        <w:jc w:val="center"/>
        <w:rPr>
          <w:rFonts w:ascii="Times New Roman" w:hAnsi="Times New Roman"/>
          <w:sz w:val="26"/>
          <w:szCs w:val="26"/>
        </w:rPr>
      </w:pPr>
      <w:r>
        <w:rPr>
          <w:rFonts w:cs="Times New Roman" w:ascii="Times New Roman" w:hAnsi="Times New Roman"/>
          <w:b/>
          <w:bCs/>
          <w:sz w:val="26"/>
          <w:szCs w:val="26"/>
          <w:lang w:eastAsia="ru-RU"/>
        </w:rPr>
        <w:t xml:space="preserve">4. Розвиток старостинських округів </w:t>
      </w:r>
    </w:p>
    <w:p>
      <w:pPr>
        <w:pStyle w:val="Normal"/>
        <w:spacing w:lineRule="auto" w:line="360"/>
        <w:jc w:val="center"/>
        <w:rPr>
          <w:rFonts w:ascii="Times New Roman" w:hAnsi="Times New Roman"/>
          <w:sz w:val="26"/>
          <w:szCs w:val="26"/>
        </w:rPr>
      </w:pPr>
      <w:r>
        <w:rPr>
          <w:rFonts w:cs="Times New Roman" w:ascii="Times New Roman" w:hAnsi="Times New Roman"/>
          <w:b/>
          <w:bCs/>
          <w:sz w:val="26"/>
          <w:szCs w:val="26"/>
          <w:lang w:eastAsia="ru-RU"/>
        </w:rPr>
        <w:t>Луцької міської територіальної громади</w:t>
      </w:r>
    </w:p>
    <w:tbl>
      <w:tblPr>
        <w:tblW w:w="15382" w:type="dxa"/>
        <w:jc w:val="left"/>
        <w:tblInd w:w="172" w:type="dxa"/>
        <w:tblLayout w:type="fixed"/>
        <w:tblCellMar>
          <w:top w:w="0" w:type="dxa"/>
          <w:left w:w="108" w:type="dxa"/>
          <w:bottom w:w="0" w:type="dxa"/>
          <w:right w:w="108" w:type="dxa"/>
        </w:tblCellMar>
        <w:tblLook w:firstRow="0" w:noVBand="0" w:lastRow="0" w:firstColumn="0" w:lastColumn="0" w:noHBand="0" w:val="0000"/>
      </w:tblPr>
      <w:tblGrid>
        <w:gridCol w:w="6886"/>
        <w:gridCol w:w="8495"/>
      </w:tblGrid>
      <w:tr>
        <w:trPr>
          <w:trHeight w:val="615" w:hRule="atLeast"/>
        </w:trPr>
        <w:tc>
          <w:tcPr>
            <w:tcW w:w="6886" w:type="dxa"/>
            <w:tcBorders>
              <w:top w:val="single" w:sz="4" w:space="0" w:color="000000"/>
              <w:left w:val="single" w:sz="4" w:space="0" w:color="000000"/>
              <w:bottom w:val="single" w:sz="4" w:space="0" w:color="000000"/>
            </w:tcBorders>
            <w:vAlign w:val="center"/>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Назва старостинського округу</w:t>
            </w:r>
          </w:p>
        </w:tc>
        <w:tc>
          <w:tcPr>
            <w:tcW w:w="849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t>Стан виконання заходів</w:t>
            </w:r>
          </w:p>
        </w:tc>
      </w:tr>
      <w:tr>
        <w:trPr>
          <w:trHeight w:val="615" w:hRule="atLeast"/>
        </w:trPr>
        <w:tc>
          <w:tcPr>
            <w:tcW w:w="6886" w:type="dxa"/>
            <w:tcBorders>
              <w:left w:val="single" w:sz="4" w:space="0" w:color="000000"/>
              <w:bottom w:val="single" w:sz="4" w:space="0" w:color="000000"/>
            </w:tcBorders>
            <w:vAlign w:val="center"/>
          </w:tcPr>
          <w:p>
            <w:pPr>
              <w:pStyle w:val="Normal"/>
              <w:widowControl w:val="false"/>
              <w:jc w:val="center"/>
              <w:rPr>
                <w:rFonts w:ascii="Times New Roman" w:hAnsi="Times New Roman" w:cs="Times New Roman"/>
                <w:bCs/>
                <w:sz w:val="26"/>
                <w:szCs w:val="26"/>
              </w:rPr>
            </w:pPr>
            <w:r>
              <w:rPr>
                <w:rFonts w:cs="Times New Roman" w:ascii="Times New Roman" w:hAnsi="Times New Roman"/>
                <w:b/>
                <w:bCs/>
                <w:sz w:val="26"/>
                <w:szCs w:val="26"/>
              </w:rPr>
              <w:t>Прилуцький старостинський округ</w:t>
            </w:r>
          </w:p>
        </w:tc>
        <w:tc>
          <w:tcPr>
            <w:tcW w:w="8495"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Cs/>
                <w:sz w:val="26"/>
                <w:szCs w:val="26"/>
              </w:rPr>
            </w:pPr>
            <w:r>
              <w:rPr>
                <w:rFonts w:cs="Times New Roman" w:ascii="Times New Roman" w:hAnsi="Times New Roman"/>
                <w:bCs/>
                <w:sz w:val="26"/>
                <w:szCs w:val="26"/>
              </w:rPr>
            </w:r>
          </w:p>
        </w:tc>
      </w:tr>
      <w:tr>
        <w:trPr>
          <w:trHeight w:val="615"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Завершення ремонту частини дороги С030502/Р-14/ Прилуцьке -Сапогове-Діброва протяжністю 1,3 км.</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Не виконано</w:t>
            </w:r>
          </w:p>
        </w:tc>
      </w:tr>
      <w:tr>
        <w:trPr>
          <w:trHeight w:val="615"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s="Times New Roman"/>
                <w:color w:val="auto"/>
                <w:sz w:val="26"/>
                <w:szCs w:val="26"/>
                <w:lang w:eastAsia="ru-RU"/>
              </w:rPr>
            </w:pPr>
            <w:r>
              <w:rPr>
                <w:rFonts w:cs="Times New Roman" w:ascii="Times New Roman" w:hAnsi="Times New Roman"/>
                <w:color w:val="auto"/>
                <w:sz w:val="26"/>
                <w:szCs w:val="26"/>
                <w:lang w:eastAsia="ru-RU"/>
              </w:rPr>
              <w:t>Здійснення поточного ремонту:</w:t>
            </w:r>
          </w:p>
          <w:p>
            <w:pPr>
              <w:pStyle w:val="Standard"/>
              <w:widowControl w:val="false"/>
              <w:shd w:val="clear" w:color="auto" w:fill="FFFFFF"/>
              <w:tabs>
                <w:tab w:val="clear" w:pos="708"/>
                <w:tab w:val="left" w:pos="900" w:leader="none"/>
              </w:tabs>
              <w:jc w:val="both"/>
              <w:rPr>
                <w:rFonts w:ascii="Times New Roman" w:hAnsi="Times New Roman" w:cs="Times New Roman"/>
                <w:color w:val="auto"/>
                <w:sz w:val="26"/>
                <w:szCs w:val="26"/>
                <w:lang w:eastAsia="ru-RU"/>
              </w:rPr>
            </w:pPr>
            <w:r>
              <w:rPr>
                <w:rFonts w:cs="Times New Roman" w:ascii="Times New Roman" w:hAnsi="Times New Roman"/>
                <w:color w:val="auto"/>
                <w:sz w:val="26"/>
                <w:szCs w:val="26"/>
                <w:lang w:eastAsia="ru-RU"/>
              </w:rPr>
              <w:t>вул. Лісна, частини вул. Ківерцівської вул. Г. Запольської, вул. Шостий гон, вул. Молодіжна, частини вул. Жовтнева та дороги до кладовища в с. Прилуцьке;</w:t>
            </w:r>
          </w:p>
          <w:p>
            <w:pPr>
              <w:pStyle w:val="Standard"/>
              <w:widowControl w:val="false"/>
              <w:shd w:val="clear" w:color="auto" w:fill="FFFFFF"/>
              <w:tabs>
                <w:tab w:val="clear" w:pos="708"/>
                <w:tab w:val="left" w:pos="900" w:leader="none"/>
              </w:tabs>
              <w:jc w:val="both"/>
              <w:rPr>
                <w:rFonts w:ascii="Times New Roman" w:hAnsi="Times New Roman" w:cs="Times New Roman"/>
                <w:color w:val="auto"/>
                <w:sz w:val="26"/>
                <w:szCs w:val="26"/>
                <w:lang w:eastAsia="ru-RU"/>
              </w:rPr>
            </w:pPr>
            <w:r>
              <w:rPr>
                <w:rFonts w:cs="Times New Roman" w:ascii="Times New Roman" w:hAnsi="Times New Roman"/>
                <w:color w:val="auto"/>
                <w:sz w:val="26"/>
                <w:szCs w:val="26"/>
                <w:lang w:eastAsia="ru-RU"/>
              </w:rPr>
            </w:r>
          </w:p>
          <w:p>
            <w:pPr>
              <w:pStyle w:val="Standard"/>
              <w:widowControl w:val="false"/>
              <w:shd w:val="clear" w:color="auto" w:fill="FFFFFF"/>
              <w:tabs>
                <w:tab w:val="clear" w:pos="708"/>
                <w:tab w:val="left" w:pos="900" w:leader="none"/>
              </w:tabs>
              <w:jc w:val="both"/>
              <w:rPr>
                <w:rFonts w:ascii="Times New Roman" w:hAnsi="Times New Roman" w:cs="Times New Roman"/>
                <w:color w:val="auto"/>
                <w:sz w:val="26"/>
                <w:szCs w:val="26"/>
                <w:lang w:eastAsia="ru-RU"/>
              </w:rPr>
            </w:pPr>
            <w:r>
              <w:rPr>
                <w:rFonts w:cs="Times New Roman" w:ascii="Times New Roman" w:hAnsi="Times New Roman"/>
                <w:color w:val="auto"/>
                <w:sz w:val="26"/>
                <w:szCs w:val="26"/>
                <w:lang w:eastAsia="ru-RU"/>
              </w:rPr>
              <w:t>частини дороги вул. Залізничної (від дороги Р-14) – вул.Озерцівська,  вул. Миру та дороги до кладовища в с. Дачне;</w:t>
            </w:r>
          </w:p>
          <w:p>
            <w:pPr>
              <w:pStyle w:val="Standard"/>
              <w:widowControl w:val="false"/>
              <w:shd w:val="clear" w:color="auto" w:fill="FFFFFF"/>
              <w:tabs>
                <w:tab w:val="clear" w:pos="708"/>
                <w:tab w:val="left" w:pos="900" w:leader="none"/>
              </w:tabs>
              <w:jc w:val="both"/>
              <w:rPr>
                <w:rFonts w:ascii="Times New Roman" w:hAnsi="Times New Roman" w:cs="Times New Roman"/>
                <w:color w:val="auto"/>
                <w:sz w:val="26"/>
                <w:szCs w:val="26"/>
                <w:lang w:eastAsia="ru-RU"/>
              </w:rPr>
            </w:pPr>
            <w:r>
              <w:rPr>
                <w:rFonts w:cs="Times New Roman" w:ascii="Times New Roman" w:hAnsi="Times New Roman"/>
                <w:color w:val="auto"/>
                <w:sz w:val="26"/>
                <w:szCs w:val="26"/>
                <w:lang w:eastAsia="ru-RU"/>
              </w:rPr>
            </w:r>
          </w:p>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вул. Козацька та вул. Вишнева в с. Жабка; вул. Л. Українки та вул. Киричука в с. Сапогове орієнтовною протяжністю 0,8 км.</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Проведено ремонт дороги до кладовища, розроблено ПКД для ремонту дороги на вулиці Молодіжна.</w:t>
            </w:r>
          </w:p>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 xml:space="preserve">Здійснено поточний ремонт тротуару на </w:t>
            </w:r>
            <w:r>
              <w:rPr>
                <w:rFonts w:cs="Times New Roman" w:ascii="Times New Roman" w:hAnsi="Times New Roman"/>
                <w:sz w:val="26"/>
                <w:szCs w:val="26"/>
                <w:lang w:eastAsia="ru-RU"/>
              </w:rPr>
              <w:t>вул. Жовтнева, аварійно-відновлювальні роботи  вул. Ківерцівська.</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Виконано частково (розроблено ПКД для ремонту дороги на вулиці Миру).</w:t>
            </w:r>
          </w:p>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r>
          </w:p>
          <w:p>
            <w:pPr>
              <w:pStyle w:val="Normal"/>
              <w:widowControl w:val="false"/>
              <w:ind w:firstLine="567"/>
              <w:jc w:val="both"/>
              <w:rPr>
                <w:rFonts w:ascii="Times New Roman" w:hAnsi="Times New Roman" w:cs="Times New Roman"/>
                <w:kern w:val="0"/>
                <w:sz w:val="26"/>
                <w:szCs w:val="26"/>
                <w:lang w:eastAsia="en-US" w:bidi="ar-SA"/>
              </w:rPr>
            </w:pPr>
            <w:r>
              <w:rPr>
                <w:rFonts w:cs="Times New Roman" w:ascii="Times New Roman" w:hAnsi="Times New Roman"/>
                <w:kern w:val="0"/>
                <w:sz w:val="26"/>
                <w:szCs w:val="26"/>
                <w:lang w:eastAsia="en-US" w:bidi="ar-SA"/>
              </w:rPr>
            </w:r>
          </w:p>
          <w:p>
            <w:pPr>
              <w:pStyle w:val="Normal"/>
              <w:widowControl w:val="false"/>
              <w:ind w:firstLine="567"/>
              <w:jc w:val="both"/>
              <w:rPr>
                <w:rFonts w:ascii="Times New Roman" w:hAnsi="Times New Roman"/>
                <w:sz w:val="26"/>
                <w:szCs w:val="26"/>
              </w:rPr>
            </w:pPr>
            <w:r>
              <w:rPr>
                <w:rFonts w:cs="Times New Roman" w:ascii="Times New Roman" w:hAnsi="Times New Roman"/>
                <w:kern w:val="0"/>
                <w:sz w:val="26"/>
                <w:szCs w:val="26"/>
                <w:lang w:eastAsia="en-US" w:bidi="ar-SA"/>
              </w:rPr>
              <w:t>Виконано частково (розроблено ПКД для ремонту доріг вулиць Козацька та Вишнева, відбувся тендер)</w:t>
            </w:r>
          </w:p>
        </w:tc>
      </w:tr>
      <w:tr>
        <w:trPr>
          <w:trHeight w:val="615" w:hRule="atLeast"/>
        </w:trPr>
        <w:tc>
          <w:tcPr>
            <w:tcW w:w="6886"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cs="Times New Roman"/>
                <w:sz w:val="26"/>
                <w:szCs w:val="26"/>
              </w:rPr>
            </w:pPr>
            <w:r>
              <w:rPr>
                <w:rFonts w:cs="Times New Roman" w:ascii="Times New Roman" w:hAnsi="Times New Roman"/>
                <w:sz w:val="26"/>
                <w:szCs w:val="26"/>
                <w:lang w:eastAsia="ru-RU"/>
              </w:rPr>
              <w:t>Облаштування нового кладовища у с. Прилуцьке.</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kern w:val="0"/>
                <w:sz w:val="26"/>
                <w:szCs w:val="26"/>
                <w:lang w:eastAsia="en-US" w:bidi="ar-SA"/>
              </w:rPr>
              <w:t>Оформлено документи на земельну ділянку площею 0,5 га, відремонтовано під’їзд до дороги протяжністю 50 м – 200 м</w:t>
            </w:r>
            <w:r>
              <w:rPr>
                <w:rFonts w:cs="Times New Roman" w:ascii="Times New Roman" w:hAnsi="Times New Roman"/>
                <w:kern w:val="0"/>
                <w:sz w:val="26"/>
                <w:szCs w:val="26"/>
                <w:vertAlign w:val="superscript"/>
                <w:lang w:eastAsia="en-US" w:bidi="ar-SA"/>
              </w:rPr>
              <w:t>2</w:t>
            </w:r>
            <w:r>
              <w:rPr>
                <w:rFonts w:cs="Times New Roman" w:ascii="Times New Roman" w:hAnsi="Times New Roman"/>
                <w:kern w:val="0"/>
                <w:sz w:val="26"/>
                <w:szCs w:val="26"/>
                <w:lang w:eastAsia="en-US" w:bidi="ar-SA"/>
              </w:rPr>
              <w:t xml:space="preserve"> підсипано відпрацьованою асфальтною сумішшю та утрамбовано катком.</w:t>
            </w:r>
          </w:p>
        </w:tc>
      </w:tr>
      <w:tr>
        <w:trPr>
          <w:trHeight w:val="615"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sz w:val="26"/>
                <w:szCs w:val="26"/>
              </w:rPr>
            </w:pPr>
            <w:r>
              <w:rPr>
                <w:rFonts w:cs="Times New Roman" w:ascii="Times New Roman" w:hAnsi="Times New Roman"/>
                <w:color w:val="auto"/>
                <w:sz w:val="26"/>
                <w:szCs w:val="26"/>
                <w:lang w:eastAsia="ru-RU"/>
              </w:rPr>
              <w:t>Поточний ремонт адміністративної будівлі Прилуцького старостинського округу та облаштування благоустрою.</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kern w:val="0"/>
                <w:sz w:val="26"/>
                <w:szCs w:val="26"/>
                <w:lang w:eastAsia="en-US" w:bidi="ar-SA"/>
              </w:rPr>
              <w:t>Виконано частково (передбачено 150 тис. грн для заміни опалювального котла і ремонту коридору та тамбура).</w:t>
            </w:r>
          </w:p>
        </w:tc>
      </w:tr>
      <w:tr>
        <w:trPr>
          <w:trHeight w:val="288"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Облаштування спортивного майданчика в с. Прилуцьке.</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kern w:val="0"/>
                <w:sz w:val="26"/>
                <w:szCs w:val="26"/>
                <w:lang w:eastAsia="en-US" w:bidi="ar-SA"/>
              </w:rPr>
              <w:t>Не виконано у зв’язку з відсутністю фінансування.</w:t>
            </w:r>
          </w:p>
        </w:tc>
      </w:tr>
      <w:tr>
        <w:trPr>
          <w:trHeight w:val="288"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Поточний ремонт концертного залу Будинку культури в с. Прилуцьке.</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kern w:val="0"/>
                <w:sz w:val="26"/>
                <w:szCs w:val="26"/>
                <w:lang w:eastAsia="en-US" w:bidi="ar-SA"/>
              </w:rPr>
              <w:t>Виконано частково (виділено 130 тис. грн на облаштування внутрішньої вбиральні та підведення води та каналізації).</w:t>
            </w:r>
          </w:p>
        </w:tc>
      </w:tr>
      <w:tr>
        <w:trPr>
          <w:trHeight w:val="917" w:hRule="atLeast"/>
        </w:trPr>
        <w:tc>
          <w:tcPr>
            <w:tcW w:w="6886" w:type="dxa"/>
            <w:tcBorders>
              <w:left w:val="single" w:sz="4" w:space="0" w:color="000000"/>
              <w:bottom w:val="single" w:sz="4" w:space="0" w:color="000000"/>
            </w:tcBorders>
            <w:vAlign w:val="center"/>
          </w:tcPr>
          <w:p>
            <w:pPr>
              <w:pStyle w:val="Normal"/>
              <w:widowControl w:val="false"/>
              <w:shd w:val="clear" w:color="auto" w:fill="FFFFFF"/>
              <w:tabs>
                <w:tab w:val="clear" w:pos="708"/>
                <w:tab w:val="left" w:pos="900" w:leader="none"/>
              </w:tabs>
              <w:jc w:val="center"/>
              <w:rPr>
                <w:rFonts w:ascii="Times New Roman" w:hAnsi="Times New Roman"/>
                <w:sz w:val="26"/>
                <w:szCs w:val="26"/>
              </w:rPr>
            </w:pPr>
            <w:r>
              <w:rPr>
                <w:rFonts w:cs="Times New Roman" w:ascii="Times New Roman" w:hAnsi="Times New Roman"/>
                <w:b/>
                <w:bCs/>
                <w:sz w:val="26"/>
                <w:szCs w:val="26"/>
                <w:lang w:eastAsia="ru-RU"/>
              </w:rPr>
              <w:t>Боголюбський старостинський округ</w:t>
            </w:r>
          </w:p>
        </w:tc>
        <w:tc>
          <w:tcPr>
            <w:tcW w:w="8495" w:type="dxa"/>
            <w:tcBorders>
              <w:left w:val="single" w:sz="4" w:space="0" w:color="000000"/>
              <w:bottom w:val="single" w:sz="4" w:space="0" w:color="000000"/>
              <w:right w:val="single" w:sz="4" w:space="0" w:color="000000"/>
            </w:tcBorders>
            <w:vAlign w:val="center"/>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r>
          </w:p>
        </w:tc>
      </w:tr>
      <w:tr>
        <w:trPr>
          <w:trHeight w:val="288" w:hRule="atLeast"/>
        </w:trPr>
        <w:tc>
          <w:tcPr>
            <w:tcW w:w="6886" w:type="dxa"/>
            <w:tcBorders>
              <w:top w:val="single" w:sz="4" w:space="0" w:color="000000"/>
              <w:left w:val="single" w:sz="4" w:space="0" w:color="000000"/>
              <w:bottom w:val="single" w:sz="4" w:space="0" w:color="000000"/>
            </w:tcBorders>
          </w:tcPr>
          <w:p>
            <w:pPr>
              <w:pStyle w:val="Normal"/>
              <w:widowControl w:val="false"/>
              <w:shd w:val="clear" w:color="auto" w:fill="FFFFFF"/>
              <w:jc w:val="both"/>
              <w:rPr>
                <w:rFonts w:ascii="Times New Roman" w:hAnsi="Times New Roman"/>
                <w:sz w:val="26"/>
                <w:szCs w:val="26"/>
              </w:rPr>
            </w:pPr>
            <w:r>
              <w:rPr>
                <w:rFonts w:cs="Times New Roman" w:ascii="Times New Roman" w:hAnsi="Times New Roman"/>
                <w:bCs/>
                <w:sz w:val="26"/>
                <w:szCs w:val="26"/>
                <w:lang w:eastAsia="ru-RU"/>
              </w:rPr>
              <w:t xml:space="preserve">Облаштування дитячого спортивного майданчика на території парку (вул. 40 років Перемоги) </w:t>
            </w:r>
            <w:r>
              <w:rPr>
                <w:rFonts w:cs="Times New Roman" w:ascii="Times New Roman" w:hAnsi="Times New Roman"/>
                <w:sz w:val="26"/>
                <w:szCs w:val="26"/>
              </w:rPr>
              <w:t>у с. Боголюби.</w:t>
            </w:r>
          </w:p>
        </w:tc>
        <w:tc>
          <w:tcPr>
            <w:tcW w:w="8495"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t>У звітному періоді заходи не проводились.</w:t>
            </w:r>
          </w:p>
        </w:tc>
      </w:tr>
      <w:tr>
        <w:trPr>
          <w:trHeight w:val="288" w:hRule="atLeast"/>
        </w:trPr>
        <w:tc>
          <w:tcPr>
            <w:tcW w:w="6886" w:type="dxa"/>
            <w:tcBorders>
              <w:top w:val="single" w:sz="4" w:space="0" w:color="000000"/>
              <w:left w:val="single" w:sz="4" w:space="0" w:color="000000"/>
              <w:bottom w:val="single" w:sz="4" w:space="0" w:color="000000"/>
            </w:tcBorders>
          </w:tcPr>
          <w:p>
            <w:pPr>
              <w:pStyle w:val="Normal"/>
              <w:widowControl w:val="false"/>
              <w:shd w:val="clear" w:color="auto" w:fill="FFFFFF"/>
              <w:jc w:val="both"/>
              <w:rPr>
                <w:rFonts w:ascii="Times New Roman" w:hAnsi="Times New Roman"/>
                <w:sz w:val="26"/>
                <w:szCs w:val="26"/>
              </w:rPr>
            </w:pPr>
            <w:r>
              <w:rPr>
                <w:rFonts w:cs="Times New Roman" w:ascii="Times New Roman" w:hAnsi="Times New Roman"/>
                <w:sz w:val="26"/>
                <w:szCs w:val="26"/>
                <w:lang w:eastAsia="ru-RU"/>
              </w:rPr>
              <w:t xml:space="preserve">Проведення поточного ремонту з’їзду з </w:t>
            </w:r>
            <w:r>
              <w:rPr>
                <w:rFonts w:cs="Times New Roman" w:ascii="Times New Roman" w:hAnsi="Times New Roman"/>
                <w:bCs/>
                <w:sz w:val="26"/>
                <w:szCs w:val="26"/>
                <w:lang w:eastAsia="ru-RU"/>
              </w:rPr>
              <w:t>вул. 40 років Перемоги</w:t>
            </w:r>
            <w:r>
              <w:rPr>
                <w:rFonts w:cs="Times New Roman" w:ascii="Times New Roman" w:hAnsi="Times New Roman"/>
                <w:sz w:val="26"/>
                <w:szCs w:val="26"/>
              </w:rPr>
              <w:t xml:space="preserve"> на вул. Лесі Українки у с. Боголюби, облаштування вуличного освітлення</w:t>
            </w:r>
            <w:r>
              <w:rPr>
                <w:rFonts w:cs="Times New Roman" w:ascii="Times New Roman" w:hAnsi="Times New Roman"/>
                <w:sz w:val="26"/>
                <w:szCs w:val="26"/>
                <w:lang w:eastAsia="ru-RU"/>
              </w:rPr>
              <w:t>.</w:t>
            </w:r>
          </w:p>
        </w:tc>
        <w:tc>
          <w:tcPr>
            <w:tcW w:w="8495" w:type="dxa"/>
            <w:vMerge w:val="continue"/>
            <w:tcBorders>
              <w:left w:val="single" w:sz="4" w:space="0" w:color="000000"/>
              <w:right w:val="single" w:sz="4" w:space="0" w:color="000000"/>
            </w:tcBorders>
          </w:tcPr>
          <w:p>
            <w:pPr>
              <w:pStyle w:val="Normal"/>
              <w:widowControl w:val="false"/>
              <w:ind w:firstLine="567"/>
              <w:jc w:val="both"/>
              <w:rPr>
                <w:rFonts w:ascii="Times New Roman" w:hAnsi="Times New Roman"/>
                <w:color w:val="FF0000"/>
                <w:sz w:val="26"/>
                <w:szCs w:val="26"/>
              </w:rPr>
            </w:pPr>
            <w:r>
              <w:rPr>
                <w:rFonts w:ascii="Times New Roman" w:hAnsi="Times New Roman"/>
                <w:color w:val="FF0000"/>
                <w:sz w:val="26"/>
                <w:szCs w:val="26"/>
              </w:rPr>
            </w:r>
          </w:p>
        </w:tc>
      </w:tr>
      <w:tr>
        <w:trPr>
          <w:trHeight w:val="288" w:hRule="atLeast"/>
        </w:trPr>
        <w:tc>
          <w:tcPr>
            <w:tcW w:w="6886" w:type="dxa"/>
            <w:tcBorders>
              <w:top w:val="single" w:sz="4" w:space="0" w:color="000000"/>
              <w:left w:val="single" w:sz="4" w:space="0" w:color="000000"/>
              <w:bottom w:val="single" w:sz="4" w:space="0" w:color="000000"/>
            </w:tcBorders>
          </w:tcPr>
          <w:p>
            <w:pPr>
              <w:pStyle w:val="Normal"/>
              <w:widowControl w:val="false"/>
              <w:shd w:val="clear" w:color="auto" w:fill="FFFFFF"/>
              <w:jc w:val="both"/>
              <w:rPr>
                <w:rFonts w:ascii="Times New Roman" w:hAnsi="Times New Roman"/>
                <w:sz w:val="26"/>
                <w:szCs w:val="26"/>
              </w:rPr>
            </w:pPr>
            <w:r>
              <w:rPr>
                <w:rFonts w:cs="Times New Roman" w:ascii="Times New Roman" w:hAnsi="Times New Roman"/>
                <w:sz w:val="26"/>
                <w:szCs w:val="26"/>
                <w:lang w:eastAsia="ru-RU"/>
              </w:rPr>
              <w:t xml:space="preserve">Здійснення поточного </w:t>
            </w:r>
            <w:r>
              <w:rPr>
                <w:rFonts w:cs="Times New Roman" w:ascii="Times New Roman" w:hAnsi="Times New Roman"/>
                <w:sz w:val="26"/>
                <w:szCs w:val="26"/>
              </w:rPr>
              <w:t>ремонту вул. Набережна та капітального ремонту вулиць Молодіжна і Cонячна у с. Боголюби.</w:t>
            </w:r>
          </w:p>
        </w:tc>
        <w:tc>
          <w:tcPr>
            <w:tcW w:w="8495" w:type="dxa"/>
            <w:vMerge w:val="continue"/>
            <w:tcBorders>
              <w:left w:val="single" w:sz="4" w:space="0" w:color="000000"/>
              <w:right w:val="single" w:sz="4" w:space="0" w:color="000000"/>
            </w:tcBorders>
          </w:tcPr>
          <w:p>
            <w:pPr>
              <w:pStyle w:val="Normal"/>
              <w:widowControl w:val="false"/>
              <w:ind w:firstLine="567"/>
              <w:jc w:val="both"/>
              <w:rPr>
                <w:rFonts w:ascii="Times New Roman" w:hAnsi="Times New Roman"/>
                <w:color w:val="FF0000"/>
                <w:sz w:val="26"/>
                <w:szCs w:val="26"/>
              </w:rPr>
            </w:pPr>
            <w:r>
              <w:rPr>
                <w:rFonts w:ascii="Times New Roman" w:hAnsi="Times New Roman"/>
                <w:color w:val="FF0000"/>
                <w:sz w:val="26"/>
                <w:szCs w:val="26"/>
              </w:rPr>
            </w:r>
          </w:p>
        </w:tc>
      </w:tr>
      <w:tr>
        <w:trPr>
          <w:trHeight w:val="288" w:hRule="atLeast"/>
        </w:trPr>
        <w:tc>
          <w:tcPr>
            <w:tcW w:w="6886" w:type="dxa"/>
            <w:tcBorders>
              <w:top w:val="single" w:sz="4" w:space="0" w:color="000000"/>
              <w:left w:val="single" w:sz="4" w:space="0" w:color="000000"/>
              <w:bottom w:val="single" w:sz="4" w:space="0" w:color="000000"/>
            </w:tcBorders>
          </w:tcPr>
          <w:p>
            <w:pPr>
              <w:pStyle w:val="Normal"/>
              <w:widowControl w:val="false"/>
              <w:rPr>
                <w:rFonts w:ascii="Times New Roman" w:hAnsi="Times New Roman"/>
                <w:sz w:val="26"/>
                <w:szCs w:val="26"/>
              </w:rPr>
            </w:pPr>
            <w:r>
              <w:rPr>
                <w:rFonts w:cs="Times New Roman" w:ascii="Times New Roman" w:hAnsi="Times New Roman"/>
                <w:sz w:val="26"/>
                <w:szCs w:val="26"/>
              </w:rPr>
              <w:t>Перекриття даху та утеплення КЗЗО «Боголюбський ліцей № 30</w:t>
            </w:r>
          </w:p>
        </w:tc>
        <w:tc>
          <w:tcPr>
            <w:tcW w:w="8495" w:type="dxa"/>
            <w:vMerge w:val="continue"/>
            <w:tcBorders>
              <w:left w:val="single" w:sz="4" w:space="0" w:color="000000"/>
              <w:right w:val="single" w:sz="4" w:space="0" w:color="000000"/>
            </w:tcBorders>
          </w:tcPr>
          <w:p>
            <w:pPr>
              <w:pStyle w:val="Normal"/>
              <w:widowControl w:val="false"/>
              <w:ind w:firstLine="567"/>
              <w:jc w:val="both"/>
              <w:rPr>
                <w:rFonts w:ascii="Times New Roman" w:hAnsi="Times New Roman"/>
                <w:color w:val="FF0000"/>
                <w:sz w:val="26"/>
                <w:szCs w:val="26"/>
              </w:rPr>
            </w:pPr>
            <w:r>
              <w:rPr>
                <w:rFonts w:ascii="Times New Roman" w:hAnsi="Times New Roman"/>
                <w:color w:val="FF0000"/>
                <w:sz w:val="26"/>
                <w:szCs w:val="26"/>
              </w:rPr>
            </w:r>
          </w:p>
        </w:tc>
      </w:tr>
      <w:tr>
        <w:trPr>
          <w:trHeight w:val="288" w:hRule="atLeast"/>
        </w:trPr>
        <w:tc>
          <w:tcPr>
            <w:tcW w:w="6886" w:type="dxa"/>
            <w:tcBorders>
              <w:top w:val="single" w:sz="4" w:space="0" w:color="000000"/>
              <w:left w:val="single" w:sz="4" w:space="0" w:color="000000"/>
              <w:bottom w:val="single" w:sz="4" w:space="0" w:color="000000"/>
            </w:tcBorders>
          </w:tcPr>
          <w:p>
            <w:pPr>
              <w:pStyle w:val="Normal"/>
              <w:widowControl w:val="false"/>
              <w:shd w:val="clear" w:color="auto" w:fill="FFFFFF"/>
              <w:jc w:val="both"/>
              <w:rPr>
                <w:rFonts w:ascii="Times New Roman" w:hAnsi="Times New Roman"/>
                <w:sz w:val="26"/>
                <w:szCs w:val="26"/>
              </w:rPr>
            </w:pPr>
            <w:r>
              <w:rPr>
                <w:rFonts w:cs="Times New Roman" w:ascii="Times New Roman" w:hAnsi="Times New Roman"/>
                <w:sz w:val="26"/>
                <w:szCs w:val="26"/>
              </w:rPr>
              <w:t>Утеплення приміщення Будинку культури, облаштування благоустрою території.</w:t>
            </w:r>
          </w:p>
        </w:tc>
        <w:tc>
          <w:tcPr>
            <w:tcW w:w="8495" w:type="dxa"/>
            <w:vMerge w:val="continue"/>
            <w:tcBorders>
              <w:left w:val="single" w:sz="4" w:space="0" w:color="000000"/>
              <w:right w:val="single" w:sz="4" w:space="0" w:color="000000"/>
            </w:tcBorders>
          </w:tcPr>
          <w:p>
            <w:pPr>
              <w:pStyle w:val="Normal"/>
              <w:widowControl w:val="false"/>
              <w:ind w:firstLine="567"/>
              <w:jc w:val="both"/>
              <w:rPr>
                <w:rFonts w:ascii="Times New Roman" w:hAnsi="Times New Roman"/>
                <w:color w:val="FF0000"/>
                <w:sz w:val="26"/>
                <w:szCs w:val="26"/>
              </w:rPr>
            </w:pPr>
            <w:r>
              <w:rPr>
                <w:rFonts w:ascii="Times New Roman" w:hAnsi="Times New Roman"/>
                <w:color w:val="FF0000"/>
                <w:sz w:val="26"/>
                <w:szCs w:val="26"/>
              </w:rPr>
            </w:r>
          </w:p>
        </w:tc>
      </w:tr>
      <w:tr>
        <w:trPr>
          <w:trHeight w:val="288" w:hRule="atLeast"/>
        </w:trPr>
        <w:tc>
          <w:tcPr>
            <w:tcW w:w="6886" w:type="dxa"/>
            <w:tcBorders>
              <w:top w:val="single" w:sz="4" w:space="0" w:color="000000"/>
              <w:left w:val="single" w:sz="4" w:space="0" w:color="000000"/>
              <w:bottom w:val="single" w:sz="4" w:space="0" w:color="000000"/>
            </w:tcBorders>
          </w:tcPr>
          <w:p>
            <w:pPr>
              <w:pStyle w:val="Normal"/>
              <w:widowControl w:val="false"/>
              <w:shd w:val="clear" w:color="auto" w:fill="FFFFFF"/>
              <w:jc w:val="both"/>
              <w:rPr>
                <w:rFonts w:ascii="Times New Roman" w:hAnsi="Times New Roman"/>
                <w:sz w:val="26"/>
                <w:szCs w:val="26"/>
              </w:rPr>
            </w:pPr>
            <w:r>
              <w:rPr>
                <w:rFonts w:cs="Times New Roman" w:ascii="Times New Roman" w:hAnsi="Times New Roman"/>
                <w:sz w:val="26"/>
                <w:szCs w:val="26"/>
                <w:lang w:eastAsia="ru-RU"/>
              </w:rPr>
              <w:t>Здійснення поточного ремонту адміністративного приміщення Боголюбського старостату.</w:t>
            </w:r>
          </w:p>
        </w:tc>
        <w:tc>
          <w:tcPr>
            <w:tcW w:w="8495" w:type="dxa"/>
            <w:vMerge w:val="continue"/>
            <w:tcBorders>
              <w:left w:val="single" w:sz="4" w:space="0" w:color="000000"/>
              <w:right w:val="single" w:sz="4" w:space="0" w:color="000000"/>
            </w:tcBorders>
          </w:tcPr>
          <w:p>
            <w:pPr>
              <w:pStyle w:val="Normal"/>
              <w:widowControl w:val="false"/>
              <w:ind w:firstLine="567"/>
              <w:jc w:val="both"/>
              <w:rPr>
                <w:rFonts w:ascii="Times New Roman" w:hAnsi="Times New Roman"/>
                <w:color w:val="FF0000"/>
                <w:sz w:val="26"/>
                <w:szCs w:val="26"/>
              </w:rPr>
            </w:pPr>
            <w:r>
              <w:rPr>
                <w:rFonts w:ascii="Times New Roman" w:hAnsi="Times New Roman"/>
                <w:color w:val="FF0000"/>
                <w:sz w:val="26"/>
                <w:szCs w:val="26"/>
              </w:rPr>
            </w:r>
          </w:p>
        </w:tc>
      </w:tr>
      <w:tr>
        <w:trPr>
          <w:trHeight w:val="288" w:hRule="atLeast"/>
        </w:trPr>
        <w:tc>
          <w:tcPr>
            <w:tcW w:w="6886" w:type="dxa"/>
            <w:tcBorders>
              <w:top w:val="single" w:sz="4" w:space="0" w:color="000000"/>
              <w:left w:val="single" w:sz="4" w:space="0" w:color="000000"/>
              <w:bottom w:val="single" w:sz="4" w:space="0" w:color="000000"/>
            </w:tcBorders>
          </w:tcPr>
          <w:p>
            <w:pPr>
              <w:pStyle w:val="Normal"/>
              <w:widowControl w:val="false"/>
              <w:shd w:val="clear" w:color="auto" w:fill="FFFFFF"/>
              <w:jc w:val="both"/>
              <w:rPr>
                <w:rFonts w:ascii="Times New Roman" w:hAnsi="Times New Roman"/>
                <w:sz w:val="26"/>
                <w:szCs w:val="26"/>
              </w:rPr>
            </w:pPr>
            <w:r>
              <w:rPr>
                <w:rFonts w:cs="Times New Roman" w:ascii="Times New Roman" w:hAnsi="Times New Roman"/>
                <w:sz w:val="26"/>
                <w:szCs w:val="26"/>
              </w:rPr>
              <w:t xml:space="preserve">Проведення поточного ремонту вул. Миру, вул. Зелена та  </w:t>
            </w:r>
            <w:r>
              <w:rPr>
                <w:rFonts w:cs="Times New Roman" w:ascii="Times New Roman" w:hAnsi="Times New Roman"/>
                <w:sz w:val="26"/>
                <w:szCs w:val="26"/>
                <w:lang w:eastAsia="ru-RU"/>
              </w:rPr>
              <w:t>вул. Іванівка у с. Богушівка.</w:t>
            </w:r>
          </w:p>
        </w:tc>
        <w:tc>
          <w:tcPr>
            <w:tcW w:w="8495" w:type="dxa"/>
            <w:vMerge w:val="continue"/>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olor w:val="FF0000"/>
                <w:sz w:val="26"/>
                <w:szCs w:val="26"/>
              </w:rPr>
            </w:pPr>
            <w:r>
              <w:rPr>
                <w:rFonts w:ascii="Times New Roman" w:hAnsi="Times New Roman"/>
                <w:color w:val="FF0000"/>
                <w:sz w:val="26"/>
                <w:szCs w:val="26"/>
              </w:rPr>
            </w:r>
          </w:p>
        </w:tc>
      </w:tr>
      <w:tr>
        <w:trPr>
          <w:trHeight w:val="288" w:hRule="atLeast"/>
        </w:trPr>
        <w:tc>
          <w:tcPr>
            <w:tcW w:w="6886" w:type="dxa"/>
            <w:tcBorders>
              <w:top w:val="single" w:sz="4" w:space="0" w:color="000000"/>
              <w:left w:val="single" w:sz="4" w:space="0" w:color="000000"/>
              <w:bottom w:val="single" w:sz="4" w:space="0" w:color="000000"/>
            </w:tcBorders>
          </w:tcPr>
          <w:p>
            <w:pPr>
              <w:pStyle w:val="Normal"/>
              <w:widowControl w:val="false"/>
              <w:shd w:val="clear" w:color="auto" w:fill="FFFFFF"/>
              <w:jc w:val="both"/>
              <w:rPr>
                <w:rFonts w:ascii="Times New Roman" w:hAnsi="Times New Roman"/>
                <w:sz w:val="26"/>
                <w:szCs w:val="26"/>
              </w:rPr>
            </w:pPr>
            <w:r>
              <w:rPr>
                <w:rFonts w:cs="Times New Roman" w:ascii="Times New Roman" w:hAnsi="Times New Roman"/>
                <w:sz w:val="26"/>
                <w:szCs w:val="26"/>
                <w:lang w:eastAsia="ru-RU"/>
              </w:rPr>
              <w:t xml:space="preserve">Здійснення поточного ремонту вул. Центральна, Яблунева, Молодіжна і Тиха, облаштування тротуару на вул. Центральна </w:t>
            </w:r>
            <w:r>
              <w:rPr>
                <w:rFonts w:cs="Times New Roman" w:ascii="Times New Roman" w:hAnsi="Times New Roman"/>
                <w:sz w:val="26"/>
                <w:szCs w:val="26"/>
              </w:rPr>
              <w:t>у с. Тарасове.</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Проведено поточний ямковий ремонт вул. Центральна у с. Тарасове та поточний ремонт мосту в с. Іванчиці.</w:t>
            </w:r>
          </w:p>
        </w:tc>
      </w:tr>
      <w:tr>
        <w:trPr>
          <w:trHeight w:val="288" w:hRule="atLeast"/>
        </w:trPr>
        <w:tc>
          <w:tcPr>
            <w:tcW w:w="6886" w:type="dxa"/>
            <w:tcBorders>
              <w:top w:val="single" w:sz="4" w:space="0" w:color="000000"/>
              <w:left w:val="single" w:sz="4" w:space="0" w:color="000000"/>
              <w:bottom w:val="single" w:sz="4" w:space="0" w:color="000000"/>
            </w:tcBorders>
          </w:tcPr>
          <w:p>
            <w:pPr>
              <w:pStyle w:val="Normal"/>
              <w:widowControl w:val="false"/>
              <w:shd w:val="clear" w:color="auto" w:fill="FFFFFF"/>
              <w:jc w:val="both"/>
              <w:rPr>
                <w:rFonts w:ascii="Times New Roman" w:hAnsi="Times New Roman" w:cs="Times New Roman"/>
                <w:sz w:val="26"/>
                <w:szCs w:val="26"/>
              </w:rPr>
            </w:pPr>
            <w:r>
              <w:rPr>
                <w:rFonts w:cs="Times New Roman" w:ascii="Times New Roman" w:hAnsi="Times New Roman"/>
                <w:sz w:val="26"/>
                <w:szCs w:val="26"/>
              </w:rPr>
              <w:t>Проведення капітального ремонту вул. Лісова, вул. Володимирська, вул. Поліська, вул. Миру, вул. Сонячна і вул. Шевченка у с. Тарасове.</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У звітному періоді заходи не проводились.</w:t>
            </w:r>
          </w:p>
        </w:tc>
      </w:tr>
      <w:tr>
        <w:trPr>
          <w:trHeight w:val="288" w:hRule="atLeast"/>
        </w:trPr>
        <w:tc>
          <w:tcPr>
            <w:tcW w:w="6886" w:type="dxa"/>
            <w:tcBorders>
              <w:top w:val="single" w:sz="4" w:space="0" w:color="000000"/>
              <w:left w:val="single" w:sz="4" w:space="0" w:color="000000"/>
              <w:bottom w:val="single" w:sz="4" w:space="0" w:color="000000"/>
            </w:tcBorders>
          </w:tcPr>
          <w:p>
            <w:pPr>
              <w:pStyle w:val="Normal"/>
              <w:widowControl w:val="false"/>
              <w:shd w:val="clear" w:color="auto" w:fill="FFFFFF"/>
              <w:rPr>
                <w:rFonts w:ascii="Times New Roman" w:hAnsi="Times New Roman" w:cs="Times New Roman"/>
                <w:sz w:val="26"/>
                <w:szCs w:val="26"/>
              </w:rPr>
            </w:pPr>
            <w:r>
              <w:rPr>
                <w:rFonts w:cs="Times New Roman" w:ascii="Times New Roman" w:hAnsi="Times New Roman"/>
                <w:sz w:val="26"/>
                <w:szCs w:val="26"/>
              </w:rPr>
              <w:t>Додатково</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Врегульовано питання транспортного сполучення с .Боголюби з м. Луцьк маршрутом № 57, маршрут № 30 продовжено до с. Богушівка.</w:t>
            </w:r>
          </w:p>
        </w:tc>
      </w:tr>
      <w:tr>
        <w:trPr>
          <w:trHeight w:val="983" w:hRule="atLeast"/>
        </w:trPr>
        <w:tc>
          <w:tcPr>
            <w:tcW w:w="6886" w:type="dxa"/>
            <w:tcBorders>
              <w:left w:val="single" w:sz="4" w:space="0" w:color="000000"/>
              <w:bottom w:val="single" w:sz="4" w:space="0" w:color="000000"/>
            </w:tcBorders>
            <w:vAlign w:val="center"/>
          </w:tcPr>
          <w:p>
            <w:pPr>
              <w:pStyle w:val="Standard"/>
              <w:widowControl w:val="false"/>
              <w:shd w:val="clear" w:color="auto" w:fill="FFFFFF"/>
              <w:tabs>
                <w:tab w:val="clear" w:pos="708"/>
                <w:tab w:val="left" w:pos="900" w:leader="none"/>
              </w:tabs>
              <w:jc w:val="center"/>
              <w:rPr>
                <w:rFonts w:ascii="Times New Roman" w:hAnsi="Times New Roman" w:cs="Times New Roman"/>
                <w:color w:val="auto"/>
                <w:sz w:val="26"/>
                <w:szCs w:val="26"/>
              </w:rPr>
            </w:pPr>
            <w:r>
              <w:rPr>
                <w:rFonts w:cs="Times New Roman" w:ascii="Times New Roman" w:hAnsi="Times New Roman"/>
                <w:b/>
                <w:bCs/>
                <w:color w:val="auto"/>
                <w:sz w:val="26"/>
                <w:szCs w:val="26"/>
                <w:lang w:eastAsia="ru-RU"/>
              </w:rPr>
              <w:t>Заборольський старостинський округ</w:t>
            </w:r>
          </w:p>
        </w:tc>
        <w:tc>
          <w:tcPr>
            <w:tcW w:w="8495"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r>
          </w:p>
        </w:tc>
      </w:tr>
      <w:tr>
        <w:trPr>
          <w:trHeight w:val="288"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Завершення капітального ремонту загальноосвітньої школи у с. Забороль.</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sz w:val="26"/>
                <w:szCs w:val="26"/>
              </w:rPr>
            </w:pPr>
            <w:r>
              <w:rPr>
                <w:rFonts w:cs="Times New Roman" w:ascii="Times New Roman" w:hAnsi="Times New Roman"/>
                <w:sz w:val="26"/>
                <w:szCs w:val="26"/>
              </w:rPr>
              <w:t>Ремонтні роботи тривають</w:t>
            </w:r>
          </w:p>
        </w:tc>
      </w:tr>
      <w:tr>
        <w:trPr>
          <w:trHeight w:val="288"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Проведення капітального ремонту Амбулаторія загальної практики сімейної медицини с. Забороль (ремонт покрівлі та утеплення фасаду).</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У звітному періоді заходи не проводились.</w:t>
            </w:r>
          </w:p>
        </w:tc>
      </w:tr>
      <w:tr>
        <w:trPr>
          <w:trHeight w:val="288"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Здійснення капітального ремонту будинку культури у с. Забороль.</w:t>
            </w:r>
          </w:p>
        </w:tc>
        <w:tc>
          <w:tcPr>
            <w:tcW w:w="8495"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t>У звітному періоді заходи не проводились.</w:t>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Облаштування урбан-парку/дитячого містечка в с. Забороль.</w:t>
            </w:r>
          </w:p>
        </w:tc>
        <w:tc>
          <w:tcPr>
            <w:tcW w:w="8495" w:type="dxa"/>
            <w:vMerge w:val="continue"/>
            <w:tcBorders>
              <w:left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Здійснення реконструкції стадіону с. Забороль.</w:t>
            </w:r>
          </w:p>
        </w:tc>
        <w:tc>
          <w:tcPr>
            <w:tcW w:w="8495" w:type="dxa"/>
            <w:vMerge w:val="continue"/>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Проведення грейдерування із підсипкою: вул. Торчинська та вул. Набережна в с. Одеради; вул. Братів Волохів в с. Городок.</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Проведено аварійно-відновлювальні роботи проїзду до кладовища в с. Одеради та с. Забороль.</w:t>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Проведення поточного ремонту дорожнього покриття повітряно-струменевим методом зі зняттям узбіч: вул. Центральна в с. Сьомаки; ділянки дороги С 030822 (Заболотці - Шепель - /Н-22/); ділянки дороги в с. Антонівка до с. Олександрівка.</w:t>
            </w:r>
          </w:p>
        </w:tc>
        <w:tc>
          <w:tcPr>
            <w:tcW w:w="8495"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olor w:val="FF0000"/>
                <w:sz w:val="26"/>
                <w:szCs w:val="26"/>
              </w:rPr>
            </w:pPr>
            <w:r>
              <w:rPr>
                <w:rFonts w:ascii="Times New Roman" w:hAnsi="Times New Roman"/>
                <w:color w:val="FF0000"/>
                <w:sz w:val="26"/>
                <w:szCs w:val="26"/>
              </w:rPr>
            </w:r>
          </w:p>
          <w:p>
            <w:pPr>
              <w:pStyle w:val="Normal"/>
              <w:widowControl w:val="false"/>
              <w:ind w:firstLine="567"/>
              <w:jc w:val="both"/>
              <w:rPr>
                <w:rFonts w:ascii="Times New Roman" w:hAnsi="Times New Roman"/>
                <w:color w:val="FF0000"/>
                <w:sz w:val="26"/>
                <w:szCs w:val="26"/>
              </w:rPr>
            </w:pPr>
            <w:r>
              <w:rPr>
                <w:rFonts w:ascii="Times New Roman" w:hAnsi="Times New Roman"/>
                <w:color w:val="FF0000"/>
                <w:sz w:val="26"/>
                <w:szCs w:val="26"/>
              </w:rPr>
            </w:r>
          </w:p>
          <w:p>
            <w:pPr>
              <w:pStyle w:val="Normal"/>
              <w:widowControl w:val="false"/>
              <w:ind w:firstLine="567"/>
              <w:jc w:val="both"/>
              <w:rPr>
                <w:rFonts w:ascii="Times New Roman" w:hAnsi="Times New Roman"/>
                <w:color w:val="FF0000"/>
                <w:sz w:val="26"/>
                <w:szCs w:val="26"/>
              </w:rPr>
            </w:pPr>
            <w:r>
              <w:rPr>
                <w:rFonts w:ascii="Times New Roman" w:hAnsi="Times New Roman"/>
                <w:color w:val="FF0000"/>
                <w:sz w:val="26"/>
                <w:szCs w:val="26"/>
              </w:rPr>
            </w:r>
          </w:p>
          <w:p>
            <w:pPr>
              <w:pStyle w:val="Normal"/>
              <w:widowControl w:val="false"/>
              <w:ind w:firstLine="567"/>
              <w:jc w:val="both"/>
              <w:rPr>
                <w:rFonts w:ascii="Times New Roman" w:hAnsi="Times New Roman"/>
                <w:color w:val="FF0000"/>
                <w:sz w:val="26"/>
                <w:szCs w:val="26"/>
              </w:rPr>
            </w:pPr>
            <w:r>
              <w:rPr>
                <w:rFonts w:ascii="Times New Roman" w:hAnsi="Times New Roman"/>
                <w:color w:val="FF0000"/>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t>У звітному періоді заходи не проводились.</w:t>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Ремонт дороги вул. Лісова в с. Охотин.</w:t>
            </w:r>
          </w:p>
        </w:tc>
        <w:tc>
          <w:tcPr>
            <w:tcW w:w="8495" w:type="dxa"/>
            <w:vMerge w:val="continue"/>
            <w:tcBorders>
              <w:left w:val="single" w:sz="4" w:space="0" w:color="000000"/>
              <w:right w:val="single" w:sz="4" w:space="0" w:color="000000"/>
            </w:tcBorders>
          </w:tcPr>
          <w:p>
            <w:pPr>
              <w:pStyle w:val="Normal"/>
              <w:widowControl w:val="false"/>
              <w:ind w:firstLine="567"/>
              <w:jc w:val="both"/>
              <w:rPr>
                <w:rFonts w:ascii="Times New Roman" w:hAnsi="Times New Roman"/>
                <w:color w:val="FF0000"/>
                <w:sz w:val="26"/>
                <w:szCs w:val="26"/>
              </w:rPr>
            </w:pPr>
            <w:r>
              <w:rPr>
                <w:rFonts w:ascii="Times New Roman" w:hAnsi="Times New Roman"/>
                <w:color w:val="FF0000"/>
                <w:sz w:val="26"/>
                <w:szCs w:val="26"/>
              </w:rPr>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Ремонт дороги вул. Луцька в с. Забороль.</w:t>
            </w:r>
          </w:p>
        </w:tc>
        <w:tc>
          <w:tcPr>
            <w:tcW w:w="8495" w:type="dxa"/>
            <w:vMerge w:val="continue"/>
            <w:tcBorders>
              <w:left w:val="single" w:sz="4" w:space="0" w:color="000000"/>
              <w:right w:val="single" w:sz="4" w:space="0" w:color="000000"/>
            </w:tcBorders>
          </w:tcPr>
          <w:p>
            <w:pPr>
              <w:pStyle w:val="Normal"/>
              <w:widowControl w:val="false"/>
              <w:ind w:firstLine="567"/>
              <w:jc w:val="both"/>
              <w:rPr>
                <w:rFonts w:ascii="Times New Roman" w:hAnsi="Times New Roman"/>
                <w:color w:val="FF0000"/>
                <w:sz w:val="26"/>
                <w:szCs w:val="26"/>
              </w:rPr>
            </w:pPr>
            <w:r>
              <w:rPr>
                <w:rFonts w:ascii="Times New Roman" w:hAnsi="Times New Roman"/>
                <w:color w:val="FF0000"/>
                <w:sz w:val="26"/>
                <w:szCs w:val="26"/>
              </w:rPr>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Ремонт дороги вул. Центральна від будинку № 88 в с. Антонівка.</w:t>
            </w:r>
          </w:p>
        </w:tc>
        <w:tc>
          <w:tcPr>
            <w:tcW w:w="8495" w:type="dxa"/>
            <w:vMerge w:val="continue"/>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olor w:val="FF0000"/>
                <w:sz w:val="26"/>
                <w:szCs w:val="26"/>
              </w:rPr>
            </w:pPr>
            <w:r>
              <w:rPr>
                <w:rFonts w:ascii="Times New Roman" w:hAnsi="Times New Roman"/>
                <w:color w:val="FF0000"/>
                <w:sz w:val="26"/>
                <w:szCs w:val="26"/>
              </w:rPr>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Ремонт вул. Нагірна та ділянки дороги вул. Володимирська в с. Великий Омеляник.</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sz w:val="26"/>
                <w:szCs w:val="26"/>
              </w:rPr>
              <w:t xml:space="preserve">Виконано ремонт ділянки дороги вул. Володимирська в с. Великий </w:t>
            </w:r>
            <w:r>
              <w:rPr>
                <w:rFonts w:cs="Times New Roman" w:ascii="Times New Roman" w:hAnsi="Times New Roman"/>
                <w:sz w:val="26"/>
                <w:szCs w:val="26"/>
                <w:lang w:eastAsia="ru-RU"/>
              </w:rPr>
              <w:t>Омеляник.</w:t>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Облаштування тротуарної доріжки від вул. Володимирська в с. Великий Омеляник до кінця села Забороль.</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У звітному періоді заходи не проводились.</w:t>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Капітальний ремонт вул. Лисенка в с. Великий Омеляник.</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У звітному періоді заходи не проводились.</w:t>
            </w:r>
          </w:p>
          <w:p>
            <w:pPr>
              <w:pStyle w:val="Normal"/>
              <w:widowControl w:val="false"/>
              <w:ind w:firstLine="567"/>
              <w:jc w:val="both"/>
              <w:rPr>
                <w:rFonts w:ascii="Times New Roman" w:hAnsi="Times New Roman"/>
                <w:sz w:val="26"/>
                <w:szCs w:val="26"/>
              </w:rPr>
            </w:pPr>
            <w:r>
              <w:rPr>
                <w:rFonts w:ascii="Times New Roman" w:hAnsi="Times New Roman"/>
                <w:sz w:val="26"/>
                <w:szCs w:val="26"/>
              </w:rPr>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Поточний ремонт вул. Молодіжна в с. Сьомаки</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Проведено влаштування щебеневого покриття</w:t>
            </w:r>
          </w:p>
          <w:p>
            <w:pPr>
              <w:pStyle w:val="Normal"/>
              <w:widowControl w:val="false"/>
              <w:ind w:firstLine="567"/>
              <w:jc w:val="both"/>
              <w:rPr>
                <w:rFonts w:ascii="Times New Roman" w:hAnsi="Times New Roman"/>
                <w:sz w:val="26"/>
                <w:szCs w:val="26"/>
              </w:rPr>
            </w:pPr>
            <w:r>
              <w:rPr>
                <w:rFonts w:ascii="Times New Roman" w:hAnsi="Times New Roman"/>
                <w:sz w:val="26"/>
                <w:szCs w:val="26"/>
              </w:rPr>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Капітальний ремонт вул. Богдана Хмельницького та вул. Молодіжна в с. Забороль.</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У звітному періоді заходи не проводились.</w:t>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Ремонт дороги вул. Польова в с. Олександрівка.</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Проведено підготовчі роботи.</w:t>
            </w:r>
          </w:p>
          <w:p>
            <w:pPr>
              <w:pStyle w:val="Normal"/>
              <w:widowControl w:val="false"/>
              <w:ind w:firstLine="567"/>
              <w:jc w:val="both"/>
              <w:rPr>
                <w:rFonts w:ascii="Times New Roman" w:hAnsi="Times New Roman"/>
                <w:sz w:val="26"/>
                <w:szCs w:val="26"/>
              </w:rPr>
            </w:pPr>
            <w:r>
              <w:rPr>
                <w:rFonts w:ascii="Times New Roman" w:hAnsi="Times New Roman"/>
                <w:sz w:val="26"/>
                <w:szCs w:val="26"/>
              </w:rPr>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Реконструкція електричних мереж зовнішнього освітлення: ділянки дороги Н-22 від зупинки «МКБ» до автозаправної станції «WOG» (вул. Володимирська с. Великий Омеляник); вул. Ранкова в с. Великий Омеляник; вулиці Степова в с. Всеволодівка.</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У звітному періоді заходи не проводились.</w:t>
            </w:r>
          </w:p>
        </w:tc>
      </w:tr>
      <w:tr>
        <w:trPr>
          <w:trHeight w:val="964" w:hRule="atLeast"/>
        </w:trPr>
        <w:tc>
          <w:tcPr>
            <w:tcW w:w="6886" w:type="dxa"/>
            <w:tcBorders>
              <w:left w:val="single" w:sz="4" w:space="0" w:color="000000"/>
              <w:bottom w:val="single" w:sz="4" w:space="0" w:color="000000"/>
            </w:tcBorders>
            <w:vAlign w:val="center"/>
          </w:tcPr>
          <w:p>
            <w:pPr>
              <w:pStyle w:val="Standard"/>
              <w:widowControl w:val="false"/>
              <w:shd w:val="clear" w:color="auto" w:fill="FFFFFF"/>
              <w:tabs>
                <w:tab w:val="clear" w:pos="708"/>
                <w:tab w:val="left" w:pos="900" w:leader="none"/>
              </w:tabs>
              <w:jc w:val="center"/>
              <w:rPr>
                <w:rFonts w:ascii="Times New Roman" w:hAnsi="Times New Roman"/>
                <w:color w:val="auto"/>
                <w:sz w:val="26"/>
                <w:szCs w:val="26"/>
              </w:rPr>
            </w:pPr>
            <w:r>
              <w:rPr>
                <w:rFonts w:cs="Times New Roman" w:ascii="Times New Roman" w:hAnsi="Times New Roman"/>
                <w:b/>
                <w:bCs/>
                <w:color w:val="auto"/>
                <w:sz w:val="26"/>
                <w:szCs w:val="26"/>
                <w:lang w:eastAsia="ru-RU"/>
              </w:rPr>
              <w:t>Жидичинський старостинський округ</w:t>
            </w:r>
          </w:p>
        </w:tc>
        <w:tc>
          <w:tcPr>
            <w:tcW w:w="8495"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Облаштування майданчиків для збору ТПВ на кладовищах у селах: Клепачів, Кульчин, Жидичин та Липляни.</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kern w:val="0"/>
                <w:sz w:val="26"/>
                <w:szCs w:val="26"/>
                <w:lang w:eastAsia="en-US" w:bidi="ar-SA"/>
              </w:rPr>
              <w:t>Виготовлено кошторисну документацію.</w:t>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Здійснення поточного ремонту подвір’я будинку культури в с. Жидичин.</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У звітному періоді заходи не проводились.</w:t>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s="Times New Roman"/>
                <w:color w:val="auto"/>
                <w:sz w:val="26"/>
                <w:szCs w:val="26"/>
                <w:lang w:eastAsia="ru-RU"/>
              </w:rPr>
            </w:pPr>
            <w:r>
              <w:rPr>
                <w:rFonts w:cs="Times New Roman" w:ascii="Times New Roman" w:hAnsi="Times New Roman"/>
                <w:color w:val="auto"/>
                <w:sz w:val="26"/>
                <w:szCs w:val="26"/>
                <w:lang w:eastAsia="ru-RU"/>
              </w:rPr>
              <w:t>Ремонт дорожнього покриття:</w:t>
            </w:r>
          </w:p>
          <w:p>
            <w:pPr>
              <w:pStyle w:val="Standard"/>
              <w:widowControl w:val="false"/>
              <w:shd w:val="clear" w:color="auto" w:fill="FFFFFF"/>
              <w:tabs>
                <w:tab w:val="clear" w:pos="708"/>
                <w:tab w:val="left" w:pos="900" w:leader="none"/>
              </w:tabs>
              <w:jc w:val="both"/>
              <w:rPr>
                <w:rFonts w:ascii="Times New Roman" w:hAnsi="Times New Roman" w:cs="Times New Roman"/>
                <w:color w:val="auto"/>
                <w:sz w:val="26"/>
                <w:szCs w:val="26"/>
                <w:lang w:eastAsia="ru-RU"/>
              </w:rPr>
            </w:pPr>
            <w:r>
              <w:rPr>
                <w:rFonts w:cs="Times New Roman" w:ascii="Times New Roman" w:hAnsi="Times New Roman"/>
                <w:color w:val="auto"/>
                <w:sz w:val="26"/>
                <w:szCs w:val="26"/>
                <w:lang w:eastAsia="ru-RU"/>
              </w:rPr>
              <w:t>вул. Нова, перехрестя, вул. Марка Вовчка та вул. Прилуцької в с. Небіжка;</w:t>
            </w:r>
          </w:p>
          <w:p>
            <w:pPr>
              <w:pStyle w:val="Standard"/>
              <w:widowControl w:val="false"/>
              <w:shd w:val="clear" w:color="auto" w:fill="FFFFFF"/>
              <w:tabs>
                <w:tab w:val="clear" w:pos="708"/>
                <w:tab w:val="left" w:pos="900" w:leader="none"/>
              </w:tabs>
              <w:jc w:val="both"/>
              <w:rPr>
                <w:rFonts w:ascii="Times New Roman" w:hAnsi="Times New Roman" w:cs="Times New Roman"/>
                <w:color w:val="auto"/>
                <w:sz w:val="26"/>
                <w:szCs w:val="26"/>
                <w:lang w:eastAsia="ru-RU"/>
              </w:rPr>
            </w:pPr>
            <w:r>
              <w:rPr>
                <w:rFonts w:cs="Times New Roman" w:ascii="Times New Roman" w:hAnsi="Times New Roman"/>
                <w:color w:val="auto"/>
                <w:sz w:val="26"/>
                <w:szCs w:val="26"/>
                <w:lang w:eastAsia="ru-RU"/>
              </w:rPr>
              <w:t>частина вул. Учительська в с. Жидичин;</w:t>
            </w:r>
          </w:p>
          <w:p>
            <w:pPr>
              <w:pStyle w:val="Standard"/>
              <w:widowControl w:val="false"/>
              <w:shd w:val="clear" w:color="auto" w:fill="FFFFFF"/>
              <w:tabs>
                <w:tab w:val="clear" w:pos="708"/>
                <w:tab w:val="left" w:pos="900" w:leader="none"/>
              </w:tabs>
              <w:jc w:val="both"/>
              <w:rPr>
                <w:rFonts w:ascii="Times New Roman" w:hAnsi="Times New Roman" w:cs="Times New Roman"/>
                <w:color w:val="auto"/>
                <w:sz w:val="26"/>
                <w:szCs w:val="26"/>
                <w:lang w:eastAsia="ru-RU"/>
              </w:rPr>
            </w:pPr>
            <w:r>
              <w:rPr>
                <w:rFonts w:cs="Times New Roman" w:ascii="Times New Roman" w:hAnsi="Times New Roman"/>
                <w:color w:val="auto"/>
                <w:sz w:val="26"/>
                <w:szCs w:val="26"/>
                <w:lang w:eastAsia="ru-RU"/>
              </w:rPr>
            </w:r>
          </w:p>
          <w:p>
            <w:pPr>
              <w:pStyle w:val="Standard"/>
              <w:widowControl w:val="false"/>
              <w:shd w:val="clear" w:color="auto" w:fill="FFFFFF"/>
              <w:tabs>
                <w:tab w:val="clear" w:pos="708"/>
                <w:tab w:val="left" w:pos="900" w:leader="none"/>
              </w:tabs>
              <w:jc w:val="both"/>
              <w:rPr>
                <w:rFonts w:ascii="Times New Roman" w:hAnsi="Times New Roman" w:cs="Times New Roman"/>
                <w:color w:val="auto"/>
                <w:sz w:val="26"/>
                <w:szCs w:val="26"/>
                <w:lang w:eastAsia="ru-RU"/>
              </w:rPr>
            </w:pPr>
            <w:r>
              <w:rPr>
                <w:rFonts w:cs="Times New Roman" w:ascii="Times New Roman" w:hAnsi="Times New Roman"/>
                <w:color w:val="auto"/>
                <w:sz w:val="26"/>
                <w:szCs w:val="26"/>
                <w:lang w:eastAsia="ru-RU"/>
              </w:rPr>
              <w:t>частини вул. Тракторна в с. Озерце;</w:t>
            </w:r>
          </w:p>
          <w:p>
            <w:pPr>
              <w:pStyle w:val="Standard"/>
              <w:widowControl w:val="false"/>
              <w:shd w:val="clear" w:color="auto" w:fill="FFFFFF"/>
              <w:tabs>
                <w:tab w:val="clear" w:pos="708"/>
                <w:tab w:val="left" w:pos="900" w:leader="none"/>
              </w:tabs>
              <w:jc w:val="both"/>
              <w:rPr>
                <w:rFonts w:ascii="Times New Roman" w:hAnsi="Times New Roman" w:cs="Times New Roman"/>
                <w:color w:val="auto"/>
                <w:sz w:val="26"/>
                <w:szCs w:val="26"/>
                <w:lang w:eastAsia="ru-RU"/>
              </w:rPr>
            </w:pPr>
            <w:r>
              <w:rPr>
                <w:rFonts w:cs="Times New Roman" w:ascii="Times New Roman" w:hAnsi="Times New Roman"/>
                <w:color w:val="auto"/>
                <w:sz w:val="26"/>
                <w:szCs w:val="26"/>
                <w:lang w:eastAsia="ru-RU"/>
              </w:rPr>
            </w:r>
          </w:p>
          <w:p>
            <w:pPr>
              <w:pStyle w:val="Standard"/>
              <w:widowControl w:val="false"/>
              <w:shd w:val="clear" w:color="auto" w:fill="FFFFFF"/>
              <w:tabs>
                <w:tab w:val="clear" w:pos="708"/>
                <w:tab w:val="left" w:pos="900" w:leader="none"/>
              </w:tabs>
              <w:rPr>
                <w:rFonts w:ascii="Times New Roman" w:hAnsi="Times New Roman" w:cs="Times New Roman"/>
                <w:color w:val="auto"/>
                <w:sz w:val="26"/>
                <w:szCs w:val="26"/>
                <w:lang w:eastAsia="ru-RU"/>
              </w:rPr>
            </w:pPr>
            <w:r>
              <w:rPr>
                <w:rFonts w:cs="Times New Roman" w:ascii="Times New Roman" w:hAnsi="Times New Roman"/>
                <w:color w:val="auto"/>
                <w:sz w:val="26"/>
                <w:szCs w:val="26"/>
                <w:lang w:eastAsia="ru-RU"/>
              </w:rPr>
              <w:t>вул. Монастирська, вул. Першотравнева, вул. І. Франка у с. Жидичин;</w:t>
            </w:r>
          </w:p>
          <w:p>
            <w:pPr>
              <w:pStyle w:val="Standard"/>
              <w:widowControl w:val="false"/>
              <w:shd w:val="clear" w:color="auto" w:fill="FFFFFF"/>
              <w:tabs>
                <w:tab w:val="clear" w:pos="708"/>
                <w:tab w:val="left" w:pos="900" w:leader="none"/>
              </w:tabs>
              <w:rPr>
                <w:rFonts w:ascii="Times New Roman" w:hAnsi="Times New Roman" w:cs="Times New Roman"/>
                <w:color w:val="auto"/>
                <w:sz w:val="26"/>
                <w:szCs w:val="26"/>
                <w:lang w:eastAsia="ru-RU"/>
              </w:rPr>
            </w:pPr>
            <w:r>
              <w:rPr>
                <w:rFonts w:cs="Times New Roman" w:ascii="Times New Roman" w:hAnsi="Times New Roman"/>
                <w:color w:val="auto"/>
                <w:sz w:val="26"/>
                <w:szCs w:val="26"/>
                <w:lang w:eastAsia="ru-RU"/>
              </w:rPr>
            </w:r>
          </w:p>
          <w:p>
            <w:pPr>
              <w:pStyle w:val="Standard"/>
              <w:widowControl w:val="false"/>
              <w:shd w:val="clear" w:color="auto" w:fill="FFFFFF"/>
              <w:tabs>
                <w:tab w:val="clear" w:pos="708"/>
                <w:tab w:val="left" w:pos="900" w:leader="none"/>
              </w:tabs>
              <w:jc w:val="both"/>
              <w:rPr>
                <w:rFonts w:ascii="Times New Roman" w:hAnsi="Times New Roman" w:cs="Times New Roman"/>
                <w:color w:val="auto"/>
                <w:sz w:val="26"/>
                <w:szCs w:val="26"/>
                <w:lang w:eastAsia="ru-RU"/>
              </w:rPr>
            </w:pPr>
            <w:r>
              <w:rPr>
                <w:rFonts w:cs="Times New Roman" w:ascii="Times New Roman" w:hAnsi="Times New Roman"/>
                <w:color w:val="auto"/>
                <w:sz w:val="26"/>
                <w:szCs w:val="26"/>
                <w:lang w:eastAsia="ru-RU"/>
              </w:rPr>
              <w:t>частини вул. Ковельська, вул. Л. Українки та вул. Данила Галицького в с. Жидичин;</w:t>
            </w:r>
          </w:p>
          <w:p>
            <w:pPr>
              <w:pStyle w:val="Standard"/>
              <w:widowControl w:val="false"/>
              <w:shd w:val="clear" w:color="auto" w:fill="FFFFFF"/>
              <w:tabs>
                <w:tab w:val="clear" w:pos="708"/>
                <w:tab w:val="left" w:pos="900" w:leader="none"/>
              </w:tabs>
              <w:jc w:val="both"/>
              <w:rPr>
                <w:rFonts w:ascii="Times New Roman" w:hAnsi="Times New Roman" w:cs="Times New Roman"/>
                <w:color w:val="auto"/>
                <w:sz w:val="26"/>
                <w:szCs w:val="26"/>
                <w:lang w:eastAsia="ru-RU"/>
              </w:rPr>
            </w:pPr>
            <w:r>
              <w:rPr>
                <w:rFonts w:cs="Times New Roman" w:ascii="Times New Roman" w:hAnsi="Times New Roman"/>
                <w:color w:val="auto"/>
                <w:sz w:val="26"/>
                <w:szCs w:val="26"/>
                <w:lang w:eastAsia="ru-RU"/>
              </w:rPr>
            </w:r>
          </w:p>
          <w:p>
            <w:pPr>
              <w:pStyle w:val="Standard"/>
              <w:widowControl w:val="false"/>
              <w:shd w:val="clear" w:color="auto" w:fill="FFFFFF"/>
              <w:tabs>
                <w:tab w:val="clear" w:pos="708"/>
                <w:tab w:val="left" w:pos="900" w:leader="none"/>
              </w:tabs>
              <w:jc w:val="both"/>
              <w:rPr>
                <w:rFonts w:ascii="Times New Roman" w:hAnsi="Times New Roman" w:cs="Times New Roman"/>
                <w:color w:val="auto"/>
                <w:sz w:val="26"/>
                <w:szCs w:val="26"/>
                <w:lang w:eastAsia="ru-RU"/>
              </w:rPr>
            </w:pPr>
            <w:r>
              <w:rPr>
                <w:rFonts w:cs="Times New Roman" w:ascii="Times New Roman" w:hAnsi="Times New Roman"/>
                <w:color w:val="auto"/>
                <w:sz w:val="26"/>
                <w:szCs w:val="26"/>
                <w:lang w:eastAsia="ru-RU"/>
              </w:rPr>
              <w:t>вул. Вишнева та вул. Космонавтів у с. Кульчин;</w:t>
            </w:r>
          </w:p>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вул. Володимира Зарадюка у с. Кульчин.</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cs="Times New Roman"/>
                <w:kern w:val="0"/>
                <w:sz w:val="26"/>
                <w:szCs w:val="26"/>
                <w:lang w:eastAsia="en-US" w:bidi="ar-SA"/>
              </w:rPr>
            </w:pPr>
            <w:r>
              <w:rPr>
                <w:rFonts w:cs="Times New Roman" w:ascii="Times New Roman" w:hAnsi="Times New Roman"/>
                <w:kern w:val="0"/>
                <w:sz w:val="26"/>
                <w:szCs w:val="26"/>
                <w:lang w:eastAsia="en-US" w:bidi="ar-SA"/>
              </w:rPr>
              <w:t>Виготовлено проєктно-кошторисну документацію.</w:t>
            </w:r>
          </w:p>
          <w:p>
            <w:pPr>
              <w:pStyle w:val="Normal"/>
              <w:widowControl w:val="false"/>
              <w:ind w:firstLine="567"/>
              <w:jc w:val="both"/>
              <w:rPr>
                <w:rFonts w:ascii="Times New Roman" w:hAnsi="Times New Roman" w:cs="Times New Roman"/>
                <w:kern w:val="0"/>
                <w:sz w:val="26"/>
                <w:szCs w:val="26"/>
                <w:lang w:eastAsia="en-US" w:bidi="ar-SA"/>
              </w:rPr>
            </w:pPr>
            <w:r>
              <w:rPr>
                <w:rFonts w:cs="Times New Roman" w:ascii="Times New Roman" w:hAnsi="Times New Roman"/>
                <w:kern w:val="0"/>
                <w:sz w:val="26"/>
                <w:szCs w:val="26"/>
                <w:lang w:eastAsia="en-US" w:bidi="ar-SA"/>
              </w:rPr>
            </w:r>
          </w:p>
          <w:p>
            <w:pPr>
              <w:pStyle w:val="Normal"/>
              <w:widowControl w:val="false"/>
              <w:ind w:firstLine="567"/>
              <w:jc w:val="both"/>
              <w:rPr>
                <w:rFonts w:ascii="Times New Roman" w:hAnsi="Times New Roman" w:cs="Times New Roman"/>
                <w:kern w:val="0"/>
                <w:sz w:val="26"/>
                <w:szCs w:val="26"/>
                <w:lang w:eastAsia="en-US" w:bidi="ar-SA"/>
              </w:rPr>
            </w:pPr>
            <w:r>
              <w:rPr>
                <w:rFonts w:cs="Times New Roman" w:ascii="Times New Roman" w:hAnsi="Times New Roman"/>
                <w:kern w:val="0"/>
                <w:sz w:val="26"/>
                <w:szCs w:val="26"/>
                <w:lang w:eastAsia="en-US" w:bidi="ar-SA"/>
              </w:rPr>
              <w:t>Виконано.</w:t>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t>Не виконано.</w:t>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cs="Times New Roman"/>
                <w:kern w:val="0"/>
                <w:sz w:val="26"/>
                <w:szCs w:val="26"/>
                <w:lang w:eastAsia="en-US" w:bidi="ar-SA"/>
              </w:rPr>
            </w:pPr>
            <w:r>
              <w:rPr>
                <w:rFonts w:cs="Times New Roman" w:ascii="Times New Roman" w:hAnsi="Times New Roman"/>
                <w:kern w:val="0"/>
                <w:sz w:val="26"/>
                <w:szCs w:val="26"/>
                <w:lang w:eastAsia="en-US" w:bidi="ar-SA"/>
              </w:rPr>
              <w:t>Виконано.</w:t>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t>Розпочато роботи</w:t>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t>Виконання робіт заплановано на ІІ півріччя</w:t>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Проведення реконструкції системи вуличного освітлення у центрі с.  Жидичин.</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cs="Times New Roman" w:ascii="Times New Roman" w:hAnsi="Times New Roman"/>
                <w:kern w:val="0"/>
                <w:sz w:val="26"/>
                <w:szCs w:val="26"/>
                <w:lang w:eastAsia="en-US" w:bidi="ar-SA"/>
              </w:rPr>
              <w:t>Виготовлено кошторисну документацію, кошти виділені</w:t>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s="Times New Roman"/>
                <w:color w:val="auto"/>
                <w:sz w:val="26"/>
                <w:szCs w:val="26"/>
                <w:lang w:eastAsia="ru-RU"/>
              </w:rPr>
            </w:pPr>
            <w:r>
              <w:rPr>
                <w:rFonts w:cs="Times New Roman" w:ascii="Times New Roman" w:hAnsi="Times New Roman"/>
                <w:color w:val="auto"/>
                <w:sz w:val="26"/>
                <w:szCs w:val="26"/>
                <w:lang w:eastAsia="ru-RU"/>
              </w:rPr>
              <w:t>Проведення поточного ремонту проїзду до кладовища у с. Клепачів</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cs="Times New Roman"/>
                <w:kern w:val="0"/>
                <w:sz w:val="26"/>
                <w:szCs w:val="26"/>
                <w:lang w:eastAsia="en-US" w:bidi="ar-SA"/>
              </w:rPr>
            </w:pPr>
            <w:r>
              <w:rPr>
                <w:rFonts w:cs="Times New Roman" w:ascii="Times New Roman" w:hAnsi="Times New Roman"/>
                <w:kern w:val="0"/>
                <w:sz w:val="26"/>
                <w:szCs w:val="26"/>
                <w:lang w:eastAsia="en-US" w:bidi="ar-SA"/>
              </w:rPr>
              <w:t>Роботи завершено (облаштовано щебеневе покриття).</w:t>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Встановлення вуличного освітлення на ділянці дороги від кінця вул. Заводської с. Кульчин до масиву «Кульчин-2».</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У звітному періоді заходи не проводились.</w:t>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Встановлення спортивного майданчика з поліуретановим покриттям у с.  Жидичин біля ліцею.</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Розпочато роботи.</w:t>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Ремонт теплотраси КЗ ЗСО «Жидичинський ліцей № 31 Луцької міської ради».</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У звітному періоді заходи не проводились.</w:t>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s="Times New Roman"/>
                <w:color w:val="auto"/>
                <w:sz w:val="26"/>
                <w:szCs w:val="26"/>
                <w:lang w:eastAsia="ru-RU"/>
              </w:rPr>
            </w:pPr>
            <w:r>
              <w:rPr>
                <w:rFonts w:cs="Times New Roman" w:ascii="Times New Roman" w:hAnsi="Times New Roman"/>
                <w:color w:val="auto"/>
                <w:sz w:val="26"/>
                <w:szCs w:val="26"/>
                <w:lang w:eastAsia="ru-RU"/>
              </w:rPr>
              <w:t>Здійснення поточного ремонту проїзду з вул. Незалежності до кладовища с.Озерце</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Проведено аварійно-відновлювальні роботи.</w:t>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s="Times New Roman"/>
                <w:color w:val="auto"/>
                <w:sz w:val="26"/>
                <w:szCs w:val="26"/>
                <w:lang w:eastAsia="ru-RU"/>
              </w:rPr>
            </w:pPr>
            <w:r>
              <w:rPr>
                <w:rFonts w:cs="Times New Roman" w:ascii="Times New Roman" w:hAnsi="Times New Roman"/>
                <w:color w:val="auto"/>
                <w:sz w:val="26"/>
                <w:szCs w:val="26"/>
                <w:lang w:eastAsia="ru-RU"/>
              </w:rPr>
              <w:t>Утеплення фасаду КЗ ЗСО «Жидичинський ліцей № 31 Луцької міської ради».</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У звітному періоді заходи не проводились.</w:t>
            </w:r>
          </w:p>
        </w:tc>
      </w:tr>
      <w:tr>
        <w:trPr>
          <w:trHeight w:val="897" w:hRule="atLeast"/>
        </w:trPr>
        <w:tc>
          <w:tcPr>
            <w:tcW w:w="6886" w:type="dxa"/>
            <w:tcBorders>
              <w:left w:val="single" w:sz="4" w:space="0" w:color="000000"/>
              <w:bottom w:val="single" w:sz="4" w:space="0" w:color="000000"/>
            </w:tcBorders>
            <w:vAlign w:val="center"/>
          </w:tcPr>
          <w:p>
            <w:pPr>
              <w:pStyle w:val="Standard"/>
              <w:widowControl w:val="false"/>
              <w:shd w:val="clear" w:color="auto" w:fill="FFFFFF"/>
              <w:tabs>
                <w:tab w:val="clear" w:pos="708"/>
                <w:tab w:val="left" w:pos="900" w:leader="none"/>
              </w:tabs>
              <w:jc w:val="center"/>
              <w:rPr>
                <w:rFonts w:ascii="Times New Roman" w:hAnsi="Times New Roman" w:cs="Times New Roman"/>
                <w:color w:val="auto"/>
                <w:sz w:val="26"/>
                <w:szCs w:val="26"/>
                <w:lang w:eastAsia="ru-RU"/>
              </w:rPr>
            </w:pPr>
            <w:r>
              <w:rPr>
                <w:rFonts w:cs="Times New Roman" w:ascii="Times New Roman" w:hAnsi="Times New Roman"/>
                <w:b/>
                <w:bCs/>
                <w:color w:val="auto"/>
                <w:sz w:val="26"/>
                <w:szCs w:val="26"/>
                <w:lang w:eastAsia="ru-RU"/>
              </w:rPr>
              <w:t>Княгининівський старостинський округ</w:t>
            </w:r>
          </w:p>
        </w:tc>
        <w:tc>
          <w:tcPr>
            <w:tcW w:w="8495" w:type="dxa"/>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Облаштування вуличного освітлення в с. Буків вул. Зарічна, с. Сирники.</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t>У звітному періоді заходи не проводились.</w:t>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Проведення капітального ремонту дорожнього покриття:</w:t>
            </w:r>
          </w:p>
          <w:p>
            <w:pPr>
              <w:pStyle w:val="Standard"/>
              <w:widowControl w:val="false"/>
              <w:shd w:val="clear" w:color="auto" w:fill="FFFFFF"/>
              <w:tabs>
                <w:tab w:val="clear" w:pos="708"/>
                <w:tab w:val="left" w:pos="900" w:leader="none"/>
              </w:tabs>
              <w:jc w:val="both"/>
              <w:rPr>
                <w:rFonts w:ascii="Times New Roman" w:hAnsi="Times New Roman" w:cs="Times New Roman"/>
                <w:color w:val="auto"/>
                <w:sz w:val="26"/>
                <w:szCs w:val="26"/>
                <w:lang w:eastAsia="ru-RU"/>
              </w:rPr>
            </w:pPr>
            <w:r>
              <w:rPr>
                <w:rFonts w:cs="Times New Roman" w:ascii="Times New Roman" w:hAnsi="Times New Roman"/>
                <w:color w:val="auto"/>
                <w:sz w:val="26"/>
                <w:szCs w:val="26"/>
                <w:lang w:eastAsia="ru-RU"/>
              </w:rPr>
              <w:t>смт Рокині – вул. Польова, вул. Шкільна, вул. Наукова;</w:t>
            </w:r>
          </w:p>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ascii="Times New Roman" w:hAnsi="Times New Roman"/>
                <w:color w:val="auto"/>
                <w:sz w:val="26"/>
                <w:szCs w:val="26"/>
              </w:rPr>
            </w:r>
          </w:p>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с. Брище – вул. Молодіжна (завершити);</w:t>
            </w:r>
          </w:p>
          <w:p>
            <w:pPr>
              <w:pStyle w:val="Standard"/>
              <w:widowControl w:val="false"/>
              <w:shd w:val="clear" w:color="auto" w:fill="FFFFFF"/>
              <w:tabs>
                <w:tab w:val="clear" w:pos="708"/>
                <w:tab w:val="left" w:pos="900" w:leader="none"/>
              </w:tabs>
              <w:jc w:val="both"/>
              <w:rPr>
                <w:rFonts w:ascii="Times New Roman" w:hAnsi="Times New Roman" w:cs="Times New Roman"/>
                <w:color w:val="auto"/>
                <w:sz w:val="26"/>
                <w:szCs w:val="26"/>
                <w:lang w:eastAsia="ru-RU"/>
              </w:rPr>
            </w:pPr>
            <w:r>
              <w:rPr>
                <w:rFonts w:cs="Times New Roman" w:ascii="Times New Roman" w:hAnsi="Times New Roman"/>
                <w:color w:val="auto"/>
                <w:sz w:val="26"/>
                <w:szCs w:val="26"/>
                <w:lang w:eastAsia="ru-RU"/>
              </w:rPr>
            </w:r>
          </w:p>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с. Сирники – вул. Бригадна, частина вул. Ковельської, що з’єднує трасу М19 з вул. Комка;</w:t>
            </w:r>
          </w:p>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ascii="Times New Roman" w:hAnsi="Times New Roman"/>
                <w:color w:val="auto"/>
                <w:sz w:val="26"/>
                <w:szCs w:val="26"/>
              </w:rPr>
            </w:r>
          </w:p>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с. Княгининок – вул. Ранкова, вул. Молодіжна, вул. Садова, капітальний ремонт площі біля приміщення старостату;</w:t>
            </w:r>
          </w:p>
          <w:p>
            <w:pPr>
              <w:pStyle w:val="Standard"/>
              <w:widowControl w:val="false"/>
              <w:shd w:val="clear" w:color="auto" w:fill="FFFFFF"/>
              <w:tabs>
                <w:tab w:val="clear" w:pos="708"/>
                <w:tab w:val="left" w:pos="900" w:leader="none"/>
              </w:tabs>
              <w:ind w:firstLine="567"/>
              <w:jc w:val="both"/>
              <w:rPr>
                <w:rFonts w:ascii="Times New Roman" w:hAnsi="Times New Roman"/>
                <w:color w:val="auto"/>
                <w:sz w:val="26"/>
                <w:szCs w:val="26"/>
              </w:rPr>
            </w:pPr>
            <w:r>
              <w:rPr>
                <w:rFonts w:ascii="Times New Roman" w:hAnsi="Times New Roman"/>
                <w:color w:val="auto"/>
                <w:sz w:val="26"/>
                <w:szCs w:val="26"/>
              </w:rPr>
            </w:r>
          </w:p>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с. Милуші – вул. Надстирна, вул. Польова;</w:t>
            </w:r>
          </w:p>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с. Зміїнець – вул. Ставкова, вул. Сонячна, вул. Левадна, вул. Квіткова, вул. Шкільна, вул. Журавлина, вул. Нижній проїзд, вул. Привітна.</w:t>
            </w:r>
          </w:p>
        </w:tc>
        <w:tc>
          <w:tcPr>
            <w:tcW w:w="8495"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jc w:val="both"/>
              <w:rPr>
                <w:rFonts w:ascii="Times New Roman" w:hAnsi="Times New Roman"/>
                <w:sz w:val="26"/>
                <w:szCs w:val="26"/>
              </w:rPr>
            </w:pPr>
            <w:r>
              <w:rPr>
                <w:rFonts w:ascii="Times New Roman" w:hAnsi="Times New Roman"/>
                <w:sz w:val="26"/>
                <w:szCs w:val="26"/>
              </w:rPr>
            </w:r>
          </w:p>
          <w:p>
            <w:pPr>
              <w:pStyle w:val="Normal"/>
              <w:widowControl w:val="false"/>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t>Завершено ремонт дорожнього покриття.</w:t>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t xml:space="preserve">Розпочато ремонт дорожнього покриття вул. Ранковій, завершено ремонт дорожнього покриття </w:t>
            </w:r>
            <w:r>
              <w:rPr>
                <w:rFonts w:cs="Times New Roman" w:ascii="Times New Roman" w:hAnsi="Times New Roman"/>
                <w:sz w:val="26"/>
                <w:szCs w:val="26"/>
                <w:lang w:eastAsia="ru-RU"/>
              </w:rPr>
              <w:t>вул. Молодіжна</w:t>
            </w:r>
            <w:r>
              <w:rPr>
                <w:rFonts w:ascii="Times New Roman" w:hAnsi="Times New Roman"/>
                <w:sz w:val="26"/>
                <w:szCs w:val="26"/>
              </w:rPr>
              <w:t>.</w:t>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t xml:space="preserve">Розпочато ремонт дорожнього покриття  вул. Квіткова, проведено поточний ремонт </w:t>
            </w:r>
            <w:r>
              <w:rPr>
                <w:rFonts w:cs="Times New Roman" w:ascii="Times New Roman" w:hAnsi="Times New Roman"/>
                <w:sz w:val="26"/>
                <w:szCs w:val="26"/>
                <w:lang w:eastAsia="ru-RU"/>
              </w:rPr>
              <w:t>вул. Левадна</w:t>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Проведення капітального ремонту приміщення навчально-спортивного корпусу в с. Княгининок на вул. Поліській (облаштувати роздягальню, тренерську, душові кабіни, санвузол).</w:t>
            </w:r>
          </w:p>
        </w:tc>
        <w:tc>
          <w:tcPr>
            <w:tcW w:w="8495"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t>У звітному періоді заходи не проводились.</w:t>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s="Times New Roman"/>
                <w:color w:val="auto"/>
                <w:sz w:val="26"/>
                <w:szCs w:val="26"/>
                <w:lang w:eastAsia="ru-RU"/>
              </w:rPr>
            </w:pPr>
            <w:r>
              <w:rPr>
                <w:rFonts w:cs="Times New Roman" w:ascii="Times New Roman" w:hAnsi="Times New Roman"/>
                <w:color w:val="auto"/>
                <w:sz w:val="26"/>
                <w:szCs w:val="26"/>
                <w:lang w:eastAsia="ru-RU"/>
              </w:rPr>
              <w:t>Розроблення проєктно-кошторисної документації на:</w:t>
            </w:r>
          </w:p>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реконструкцію стадіону в смт. Рокині (будівництво спортивного комплексу із футбольним полем, встановлення спортивних споруд);</w:t>
            </w:r>
          </w:p>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будівництво спортивного майданчика на вул. Миру (паркова зона) в с. Брище;</w:t>
            </w:r>
          </w:p>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капітальний ремонт даху та утеплення фасаду, облаштування відмостки приміщення Княгининівського старостату.</w:t>
            </w:r>
          </w:p>
        </w:tc>
        <w:tc>
          <w:tcPr>
            <w:tcW w:w="8495" w:type="dxa"/>
            <w:vMerge w:val="continue"/>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s="Times New Roman"/>
                <w:color w:val="auto"/>
                <w:sz w:val="26"/>
                <w:szCs w:val="26"/>
                <w:lang w:eastAsia="ru-RU"/>
              </w:rPr>
            </w:pPr>
            <w:r>
              <w:rPr>
                <w:rFonts w:cs="Times New Roman" w:ascii="Times New Roman" w:hAnsi="Times New Roman"/>
                <w:color w:val="auto"/>
                <w:sz w:val="26"/>
                <w:szCs w:val="26"/>
                <w:lang w:eastAsia="ru-RU"/>
              </w:rPr>
              <w:t>Проведення капітального ремонту територій: біля приміщень Рокинівського ліцею № 38 та КЗ «Рокинівський ЗД № 50»;</w:t>
            </w:r>
          </w:p>
          <w:p>
            <w:pPr>
              <w:pStyle w:val="Standard"/>
              <w:widowControl w:val="false"/>
              <w:shd w:val="clear" w:color="auto" w:fill="FFFFFF"/>
              <w:tabs>
                <w:tab w:val="clear" w:pos="708"/>
                <w:tab w:val="left" w:pos="900" w:leader="none"/>
              </w:tabs>
              <w:jc w:val="both"/>
              <w:rPr>
                <w:rFonts w:ascii="Times New Roman" w:hAnsi="Times New Roman" w:cs="Times New Roman"/>
                <w:color w:val="auto"/>
                <w:sz w:val="26"/>
                <w:szCs w:val="26"/>
                <w:lang w:eastAsia="ru-RU"/>
              </w:rPr>
            </w:pPr>
            <w:r>
              <w:rPr>
                <w:rFonts w:cs="Times New Roman" w:ascii="Times New Roman" w:hAnsi="Times New Roman"/>
                <w:color w:val="auto"/>
                <w:sz w:val="26"/>
                <w:szCs w:val="26"/>
                <w:lang w:eastAsia="ru-RU"/>
              </w:rPr>
              <w:t>біля Княгининівського ліцею № 34 (внутрішній двір) та КЗ «Княгининівський ЗДО № 49».</w:t>
            </w:r>
          </w:p>
        </w:tc>
        <w:tc>
          <w:tcPr>
            <w:tcW w:w="8495"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r>
          </w:p>
          <w:p>
            <w:pPr>
              <w:pStyle w:val="Normal"/>
              <w:widowControl w:val="false"/>
              <w:ind w:firstLine="567"/>
              <w:jc w:val="both"/>
              <w:rPr>
                <w:rFonts w:ascii="Times New Roman" w:hAnsi="Times New Roman"/>
                <w:sz w:val="26"/>
                <w:szCs w:val="26"/>
              </w:rPr>
            </w:pPr>
            <w:r>
              <w:rPr>
                <w:rFonts w:ascii="Times New Roman" w:hAnsi="Times New Roman"/>
                <w:sz w:val="26"/>
                <w:szCs w:val="26"/>
              </w:rPr>
              <w:t>У звітному періоді заходи не проводились.</w:t>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Реалізація проєкту, розробленого у 2020 році, із утеплення фасаду приміщення КЗ «Рокинівський ЗДО (ясла-садок) № 50 «Барвінок».</w:t>
            </w:r>
          </w:p>
        </w:tc>
        <w:tc>
          <w:tcPr>
            <w:tcW w:w="8495" w:type="dxa"/>
            <w:vMerge w:val="continue"/>
            <w:tcBorders>
              <w:left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r>
          </w:p>
        </w:tc>
      </w:tr>
      <w:tr>
        <w:trPr>
          <w:trHeight w:val="274" w:hRule="atLeast"/>
        </w:trPr>
        <w:tc>
          <w:tcPr>
            <w:tcW w:w="6886" w:type="dxa"/>
            <w:tcBorders>
              <w:top w:val="single" w:sz="4" w:space="0" w:color="000000"/>
              <w:left w:val="single" w:sz="4" w:space="0" w:color="000000"/>
              <w:bottom w:val="single" w:sz="4" w:space="0" w:color="000000"/>
            </w:tcBorders>
          </w:tcPr>
          <w:p>
            <w:pPr>
              <w:pStyle w:val="Standard"/>
              <w:widowControl w:val="false"/>
              <w:shd w:val="clear" w:color="auto" w:fill="FFFFFF"/>
              <w:tabs>
                <w:tab w:val="clear" w:pos="708"/>
                <w:tab w:val="left" w:pos="900" w:leader="none"/>
              </w:tabs>
              <w:jc w:val="both"/>
              <w:rPr>
                <w:rFonts w:ascii="Times New Roman" w:hAnsi="Times New Roman"/>
                <w:color w:val="auto"/>
                <w:sz w:val="26"/>
                <w:szCs w:val="26"/>
              </w:rPr>
            </w:pPr>
            <w:r>
              <w:rPr>
                <w:rFonts w:cs="Times New Roman" w:ascii="Times New Roman" w:hAnsi="Times New Roman"/>
                <w:color w:val="auto"/>
                <w:sz w:val="26"/>
                <w:szCs w:val="26"/>
                <w:lang w:eastAsia="ru-RU"/>
              </w:rPr>
              <w:t>Ремонт водопроводу на вул. Садовій, вул. Промисловій у с. Княгининок (перепідключення діючого водопроводу від сортодослідної станції до водопровідної башти «Луцькводоканал»).</w:t>
            </w:r>
          </w:p>
        </w:tc>
        <w:tc>
          <w:tcPr>
            <w:tcW w:w="8495" w:type="dxa"/>
            <w:vMerge w:val="continue"/>
            <w:tcBorders>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sz w:val="26"/>
                <w:szCs w:val="26"/>
              </w:rPr>
            </w:pPr>
            <w:r>
              <w:rPr>
                <w:rFonts w:ascii="Times New Roman" w:hAnsi="Times New Roman"/>
                <w:sz w:val="26"/>
                <w:szCs w:val="26"/>
              </w:rPr>
            </w:r>
          </w:p>
        </w:tc>
      </w:tr>
    </w:tbl>
    <w:p>
      <w:pPr>
        <w:pStyle w:val="Normal"/>
        <w:widowControl w:val="false"/>
        <w:ind w:firstLine="599"/>
        <w:jc w:val="both"/>
        <w:rPr>
          <w:rFonts w:ascii="Times New Roman" w:hAnsi="Times New Roman"/>
          <w:sz w:val="26"/>
          <w:szCs w:val="26"/>
        </w:rPr>
      </w:pPr>
      <w:r>
        <w:rPr>
          <w:rFonts w:ascii="Times New Roman" w:hAnsi="Times New Roman"/>
          <w:sz w:val="26"/>
          <w:szCs w:val="26"/>
        </w:rPr>
      </w:r>
    </w:p>
    <w:p>
      <w:pPr>
        <w:pStyle w:val="Normal"/>
        <w:widowControl w:val="false"/>
        <w:ind w:firstLine="599"/>
        <w:jc w:val="both"/>
        <w:rPr>
          <w:rFonts w:ascii="Times New Roman" w:hAnsi="Times New Roman"/>
          <w:sz w:val="26"/>
          <w:szCs w:val="26"/>
        </w:rPr>
      </w:pPr>
      <w:r>
        <w:rPr>
          <w:rFonts w:ascii="Times New Roman" w:hAnsi="Times New Roman"/>
          <w:sz w:val="26"/>
          <w:szCs w:val="26"/>
        </w:rPr>
      </w:r>
    </w:p>
    <w:p>
      <w:pPr>
        <w:pStyle w:val="Normal"/>
        <w:widowControl w:val="false"/>
        <w:ind w:firstLine="599"/>
        <w:jc w:val="both"/>
        <w:rPr>
          <w:rFonts w:ascii="Times New Roman" w:hAnsi="Times New Roman"/>
          <w:sz w:val="26"/>
          <w:szCs w:val="26"/>
        </w:rPr>
      </w:pPr>
      <w:r>
        <w:rPr>
          <w:rFonts w:ascii="Times New Roman" w:hAnsi="Times New Roman"/>
          <w:sz w:val="26"/>
          <w:szCs w:val="26"/>
        </w:rPr>
      </w:r>
    </w:p>
    <w:p>
      <w:pPr>
        <w:pStyle w:val="Normal"/>
        <w:widowControl w:val="false"/>
        <w:jc w:val="both"/>
        <w:rPr>
          <w:rFonts w:ascii="Times New Roman" w:hAnsi="Times New Roman"/>
          <w:sz w:val="26"/>
          <w:szCs w:val="26"/>
        </w:rPr>
      </w:pPr>
      <w:r>
        <w:rPr>
          <w:rFonts w:cs="Times New Roman" w:ascii="Times New Roman" w:hAnsi="Times New Roman"/>
          <w:sz w:val="26"/>
          <w:szCs w:val="26"/>
        </w:rPr>
        <w:t>Директор департаменту економічної політики</w:t>
        <w:tab/>
        <w:tab/>
        <w:tab/>
        <w:tab/>
        <w:tab/>
        <w:tab/>
        <w:tab/>
        <w:tab/>
        <w:tab/>
        <w:tab/>
        <w:tab/>
        <w:tab/>
        <w:t xml:space="preserve">    Борис СМАЛЬ</w:t>
      </w:r>
    </w:p>
    <w:sectPr>
      <w:type w:val="nextPage"/>
      <w:pgSz w:orient="landscape" w:w="16838" w:h="11906"/>
      <w:pgMar w:left="850" w:right="536" w:gutter="0" w:header="0" w:top="851" w:footer="0" w:bottom="85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Calibri Light">
    <w:charset w:val="cc"/>
    <w:family w:val="roman"/>
    <w:pitch w:val="variable"/>
  </w:font>
  <w:font w:name="Times New Roman">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TimesNewRomanPSMT">
    <w:charset w:val="cc"/>
    <w:family w:val="roman"/>
    <w:pitch w:val="variable"/>
  </w:font>
  <w:font w:name="Segoe UI">
    <w:charset w:val="cc"/>
    <w:family w:val="roman"/>
    <w:pitch w:val="variable"/>
  </w:font>
  <w:font w:name="Liberation Sans">
    <w:altName w:val="Arial"/>
    <w:charset w:val="cc"/>
    <w:family w:val="roman"/>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ru-RU" w:eastAsia="ru-RU" w:bidi="ar-SA"/>
      </w:rPr>
    </w:rPrDefault>
    <w:pPrDefault>
      <w:pPr>
        <w:suppressAutoHyphens w:val="true"/>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qFormat="1"/>
    <w:lsdException w:name="heading 4" w:locked="1" w:uiPriority="0" w:semiHidden="1" w:unhideWhenUsed="1" w:qFormat="1"/>
    <w:lsdException w:name="heading 5" w:locked="1" w:uiPriority="0" w:semiHidden="1" w:unhideWhenUsed="1" w:qFormat="1"/>
    <w:lsdException w:name="heading 6" w:locked="1" w:uiPriority="0"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a6b84"/>
    <w:pPr>
      <w:widowControl/>
      <w:suppressAutoHyphens w:val="true"/>
      <w:bidi w:val="0"/>
      <w:spacing w:before="0" w:after="0"/>
      <w:jc w:val="left"/>
      <w:textAlignment w:val="baseline"/>
    </w:pPr>
    <w:rPr>
      <w:rFonts w:ascii="Liberation Serif" w:hAnsi="Liberation Serif" w:eastAsia="NSimSun" w:cs="Arial"/>
      <w:color w:val="auto"/>
      <w:kern w:val="2"/>
      <w:sz w:val="24"/>
      <w:szCs w:val="24"/>
      <w:lang w:val="uk-UA" w:eastAsia="zh-CN" w:bidi="hi-IN"/>
    </w:rPr>
  </w:style>
  <w:style w:type="paragraph" w:styleId="1">
    <w:name w:val="Heading 1"/>
    <w:basedOn w:val="Normal"/>
    <w:next w:val="Normal"/>
    <w:link w:val="10"/>
    <w:uiPriority w:val="99"/>
    <w:qFormat/>
    <w:locked/>
    <w:rsid w:val="000a6b84"/>
    <w:pPr>
      <w:keepNext w:val="true"/>
      <w:spacing w:before="240" w:after="60"/>
      <w:outlineLvl w:val="0"/>
    </w:pPr>
    <w:rPr>
      <w:rFonts w:ascii="Cambria" w:hAnsi="Cambria" w:eastAsia="Times New Roman" w:cs="Mangal"/>
      <w:b/>
      <w:bCs/>
      <w:sz w:val="32"/>
      <w:szCs w:val="29"/>
    </w:rPr>
  </w:style>
  <w:style w:type="paragraph" w:styleId="3">
    <w:name w:val="Heading 3"/>
    <w:basedOn w:val="Normal"/>
    <w:next w:val="Normal"/>
    <w:link w:val="30"/>
    <w:uiPriority w:val="99"/>
    <w:qFormat/>
    <w:rsid w:val="000a6b84"/>
    <w:pPr>
      <w:keepNext w:val="true"/>
      <w:keepLines/>
      <w:spacing w:before="40" w:after="0"/>
      <w:outlineLvl w:val="2"/>
    </w:pPr>
    <w:rPr>
      <w:rFonts w:ascii="Calibri Light" w:hAnsi="Calibri Light" w:eastAsia="Calibri" w:cs="Mangal"/>
      <w:color w:val="1F3763"/>
      <w:sz w:val="21"/>
      <w:szCs w:val="21"/>
    </w:rPr>
  </w:style>
  <w:style w:type="paragraph" w:styleId="6">
    <w:name w:val="Heading 6"/>
    <w:basedOn w:val="Normal"/>
    <w:link w:val="60"/>
    <w:uiPriority w:val="99"/>
    <w:qFormat/>
    <w:rsid w:val="000a6b84"/>
    <w:pPr>
      <w:suppressAutoHyphens w:val="false"/>
      <w:spacing w:beforeAutospacing="1" w:afterAutospacing="1"/>
      <w:textAlignment w:val="auto"/>
      <w:outlineLvl w:val="5"/>
    </w:pPr>
    <w:rPr>
      <w:rFonts w:ascii="Times New Roman" w:hAnsi="Times New Roman" w:eastAsia="Calibri" w:cs="Times New Roman"/>
      <w:b/>
      <w:bCs/>
      <w:kern w:val="0"/>
      <w:sz w:val="15"/>
      <w:szCs w:val="15"/>
      <w:lang w:eastAsia="uk-UA" w:bidi="ar-SA"/>
    </w:rPr>
  </w:style>
  <w:style w:type="character" w:styleId="DefaultParagraphFont" w:default="1">
    <w:name w:val="Default Paragraph Font"/>
    <w:uiPriority w:val="1"/>
    <w:semiHidden/>
    <w:unhideWhenUsed/>
    <w:qFormat/>
    <w:rPr/>
  </w:style>
  <w:style w:type="character" w:styleId="11" w:customStyle="1">
    <w:name w:val="Заголовок 1 Знак"/>
    <w:link w:val="1"/>
    <w:uiPriority w:val="99"/>
    <w:qFormat/>
    <w:locked/>
    <w:rsid w:val="000a6b84"/>
    <w:rPr>
      <w:rFonts w:ascii="Cambria" w:hAnsi="Cambria" w:cs="Times New Roman"/>
      <w:b/>
      <w:kern w:val="2"/>
      <w:sz w:val="29"/>
      <w:lang w:eastAsia="zh-CN"/>
    </w:rPr>
  </w:style>
  <w:style w:type="character" w:styleId="31" w:customStyle="1">
    <w:name w:val="Заголовок 3 Знак"/>
    <w:link w:val="3"/>
    <w:uiPriority w:val="99"/>
    <w:semiHidden/>
    <w:qFormat/>
    <w:locked/>
    <w:rPr>
      <w:rFonts w:ascii="Cambria" w:hAnsi="Cambria" w:cs="Mangal"/>
      <w:b/>
      <w:bCs/>
      <w:kern w:val="2"/>
      <w:sz w:val="23"/>
      <w:szCs w:val="23"/>
      <w:lang w:eastAsia="zh-CN" w:bidi="hi-IN"/>
    </w:rPr>
  </w:style>
  <w:style w:type="character" w:styleId="61" w:customStyle="1">
    <w:name w:val="Заголовок 6 Знак"/>
    <w:link w:val="6"/>
    <w:uiPriority w:val="99"/>
    <w:qFormat/>
    <w:locked/>
    <w:rsid w:val="000a6b84"/>
    <w:rPr>
      <w:rFonts w:ascii="Times New Roman" w:hAnsi="Times New Roman" w:cs="Times New Roman"/>
      <w:b/>
      <w:sz w:val="15"/>
      <w:lang w:eastAsia="uk-UA"/>
    </w:rPr>
  </w:style>
  <w:style w:type="character" w:styleId="BodyTextIndent3Char1" w:customStyle="1">
    <w:name w:val="Body Text Indent 3 Char1"/>
    <w:uiPriority w:val="99"/>
    <w:semiHidden/>
    <w:qFormat/>
    <w:locked/>
    <w:rsid w:val="000a6b84"/>
    <w:rPr>
      <w:rFonts w:ascii="Calibri Light" w:hAnsi="Calibri Light" w:cs="Times New Roman"/>
      <w:color w:val="1F3763"/>
      <w:kern w:val="2"/>
      <w:sz w:val="21"/>
      <w:lang w:eastAsia="zh-CN"/>
    </w:rPr>
  </w:style>
  <w:style w:type="character" w:styleId="12" w:customStyle="1">
    <w:name w:val="Гіперпосилання1"/>
    <w:uiPriority w:val="99"/>
    <w:qFormat/>
    <w:rsid w:val="000a6b84"/>
    <w:rPr>
      <w:color w:val="000080"/>
      <w:u w:val="single"/>
    </w:rPr>
  </w:style>
  <w:style w:type="character" w:styleId="Style11" w:customStyle="1">
    <w:name w:val="Основний текст Знак"/>
    <w:uiPriority w:val="99"/>
    <w:qFormat/>
    <w:locked/>
    <w:rsid w:val="000a6b84"/>
    <w:rPr>
      <w:rFonts w:ascii="Liberation Serif" w:hAnsi="Liberation Serif" w:eastAsia="NSimSun"/>
      <w:kern w:val="2"/>
      <w:sz w:val="24"/>
      <w:lang w:eastAsia="zh-CN"/>
    </w:rPr>
  </w:style>
  <w:style w:type="character" w:styleId="BodyTextChar" w:customStyle="1">
    <w:name w:val="Body Text Char"/>
    <w:uiPriority w:val="99"/>
    <w:qFormat/>
    <w:locked/>
    <w:rsid w:val="000a6b84"/>
    <w:rPr/>
  </w:style>
  <w:style w:type="character" w:styleId="FooterChar" w:customStyle="1">
    <w:name w:val="Footer Char"/>
    <w:uiPriority w:val="99"/>
    <w:qFormat/>
    <w:locked/>
    <w:rsid w:val="000a6b84"/>
    <w:rPr>
      <w:color w:val="0000FF"/>
      <w:u w:val="single"/>
    </w:rPr>
  </w:style>
  <w:style w:type="character" w:styleId="Strong">
    <w:name w:val="Strong"/>
    <w:uiPriority w:val="99"/>
    <w:qFormat/>
    <w:rsid w:val="000a6b84"/>
    <w:rPr>
      <w:rFonts w:cs="Times New Roman"/>
      <w:b/>
    </w:rPr>
  </w:style>
  <w:style w:type="character" w:styleId="Style12" w:customStyle="1">
    <w:name w:val="Відвідане гіперпосилання"/>
    <w:uiPriority w:val="99"/>
    <w:semiHidden/>
    <w:rsid w:val="00af48ba"/>
    <w:rPr>
      <w:rFonts w:cs="Times New Roman"/>
      <w:color w:val="800080"/>
      <w:u w:val="single"/>
    </w:rPr>
  </w:style>
  <w:style w:type="character" w:styleId="13" w:customStyle="1">
    <w:name w:val="Основний текст Знак1"/>
    <w:uiPriority w:val="99"/>
    <w:semiHidden/>
    <w:qFormat/>
    <w:rsid w:val="00af48ba"/>
    <w:rPr>
      <w:rFonts w:ascii="Liberation Serif" w:hAnsi="Liberation Serif" w:eastAsia="NSimSun" w:cs="Mangal"/>
      <w:kern w:val="2"/>
      <w:sz w:val="21"/>
      <w:szCs w:val="21"/>
      <w:lang w:eastAsia="zh-CN" w:bidi="hi-IN"/>
    </w:rPr>
  </w:style>
  <w:style w:type="character" w:styleId="311" w:customStyle="1">
    <w:name w:val="Основний текст з відступом 3 Знак1"/>
    <w:uiPriority w:val="99"/>
    <w:qFormat/>
    <w:locked/>
    <w:rsid w:val="000a6b84"/>
    <w:rPr>
      <w:rFonts w:cs="Times New Roman"/>
      <w:color w:val="000080"/>
      <w:u w:val="single"/>
    </w:rPr>
  </w:style>
  <w:style w:type="character" w:styleId="2" w:customStyle="1">
    <w:name w:val="Нижній колонтитул Знак2"/>
    <w:uiPriority w:val="99"/>
    <w:qFormat/>
    <w:rsid w:val="000a6b84"/>
    <w:rPr>
      <w:i/>
    </w:rPr>
  </w:style>
  <w:style w:type="character" w:styleId="Style13" w:customStyle="1">
    <w:name w:val="Символ нумерації"/>
    <w:uiPriority w:val="99"/>
    <w:qFormat/>
    <w:rsid w:val="000a6b84"/>
    <w:rPr/>
  </w:style>
  <w:style w:type="character" w:styleId="WW8Num1z0" w:customStyle="1">
    <w:name w:val="WW8Num1z0"/>
    <w:uiPriority w:val="99"/>
    <w:qFormat/>
    <w:rsid w:val="000a6b84"/>
    <w:rPr>
      <w:rFonts w:ascii="Times New Roman" w:hAnsi="Times New Roman"/>
      <w:sz w:val="28"/>
      <w:lang w:val="uk-UA"/>
    </w:rPr>
  </w:style>
  <w:style w:type="character" w:styleId="WW8Num1z1" w:customStyle="1">
    <w:name w:val="WW8Num1z1"/>
    <w:uiPriority w:val="99"/>
    <w:qFormat/>
    <w:rsid w:val="000a6b84"/>
    <w:rPr>
      <w:rFonts w:ascii="Courier New" w:hAnsi="Courier New"/>
    </w:rPr>
  </w:style>
  <w:style w:type="character" w:styleId="WW8Num1z2" w:customStyle="1">
    <w:name w:val="WW8Num1z2"/>
    <w:uiPriority w:val="99"/>
    <w:qFormat/>
    <w:rsid w:val="000a6b84"/>
    <w:rPr>
      <w:rFonts w:ascii="Wingdings" w:hAnsi="Wingdings"/>
    </w:rPr>
  </w:style>
  <w:style w:type="character" w:styleId="WW8Num1z3" w:customStyle="1">
    <w:name w:val="WW8Num1z3"/>
    <w:uiPriority w:val="99"/>
    <w:qFormat/>
    <w:rsid w:val="000a6b84"/>
    <w:rPr>
      <w:rFonts w:ascii="Symbol" w:hAnsi="Symbol"/>
    </w:rPr>
  </w:style>
  <w:style w:type="character" w:styleId="BodyTextChar1" w:customStyle="1">
    <w:name w:val="Body Text Char1"/>
    <w:uiPriority w:val="99"/>
    <w:semiHidden/>
    <w:qFormat/>
    <w:rsid w:val="000a6b84"/>
    <w:rPr>
      <w:rFonts w:ascii="Liberation Serif" w:hAnsi="Liberation Serif" w:eastAsia="NSimSun" w:cs="Mangal"/>
      <w:kern w:val="2"/>
      <w:sz w:val="21"/>
      <w:szCs w:val="21"/>
      <w:lang w:eastAsia="zh-CN" w:bidi="hi-IN"/>
    </w:rPr>
  </w:style>
  <w:style w:type="character" w:styleId="Style14" w:customStyle="1">
    <w:name w:val="Нижній колонтитул Знак"/>
    <w:uiPriority w:val="99"/>
    <w:semiHidden/>
    <w:qFormat/>
    <w:rsid w:val="000a6b84"/>
    <w:rPr>
      <w:rFonts w:ascii="Liberation Serif" w:hAnsi="Liberation Serif" w:eastAsia="NSimSun" w:cs="Mangal"/>
      <w:kern w:val="2"/>
      <w:sz w:val="21"/>
      <w:szCs w:val="21"/>
      <w:lang w:eastAsia="zh-CN" w:bidi="hi-IN"/>
    </w:rPr>
  </w:style>
  <w:style w:type="character" w:styleId="BodyTextIndent3Char" w:customStyle="1">
    <w:name w:val="Body Text Indent 3 Char"/>
    <w:uiPriority w:val="99"/>
    <w:semiHidden/>
    <w:qFormat/>
    <w:locked/>
    <w:rsid w:val="000a6b84"/>
    <w:rPr>
      <w:rFonts w:ascii="Liberation Serif" w:hAnsi="Liberation Serif" w:eastAsia="NSimSun" w:cs="Mangal"/>
      <w:kern w:val="2"/>
      <w:sz w:val="14"/>
      <w:szCs w:val="14"/>
      <w:lang w:eastAsia="zh-CN" w:bidi="hi-IN"/>
    </w:rPr>
  </w:style>
  <w:style w:type="character" w:styleId="BodyTextChar2" w:customStyle="1">
    <w:name w:val="Body Text Char2"/>
    <w:uiPriority w:val="99"/>
    <w:semiHidden/>
    <w:qFormat/>
    <w:rsid w:val="00af48ba"/>
    <w:rPr>
      <w:rFonts w:ascii="Liberation Serif" w:hAnsi="Liberation Serif" w:eastAsia="NSimSun" w:cs="Mangal"/>
      <w:kern w:val="2"/>
      <w:sz w:val="21"/>
      <w:szCs w:val="21"/>
      <w:lang w:eastAsia="zh-CN" w:bidi="hi-IN"/>
    </w:rPr>
  </w:style>
  <w:style w:type="character" w:styleId="Style15" w:customStyle="1">
    <w:name w:val="Название Знак"/>
    <w:uiPriority w:val="99"/>
    <w:semiHidden/>
    <w:qFormat/>
    <w:rsid w:val="00af48ba"/>
    <w:rPr>
      <w:rFonts w:ascii="Liberation Serif" w:hAnsi="Liberation Serif" w:eastAsia="NSimSun" w:cs="Mangal"/>
      <w:kern w:val="2"/>
      <w:sz w:val="21"/>
      <w:szCs w:val="21"/>
      <w:lang w:eastAsia="zh-CN" w:bidi="hi-IN"/>
    </w:rPr>
  </w:style>
  <w:style w:type="character" w:styleId="32" w:customStyle="1">
    <w:name w:val="Основний текст з відступом 3 Знак"/>
    <w:uiPriority w:val="99"/>
    <w:semiHidden/>
    <w:qFormat/>
    <w:locked/>
    <w:rsid w:val="00af48ba"/>
    <w:rPr>
      <w:rFonts w:ascii="Liberation Serif" w:hAnsi="Liberation Serif" w:eastAsia="NSimSun" w:cs="Mangal"/>
      <w:kern w:val="2"/>
      <w:sz w:val="14"/>
      <w:szCs w:val="14"/>
      <w:lang w:eastAsia="zh-CN" w:bidi="hi-IN"/>
    </w:rPr>
  </w:style>
  <w:style w:type="character" w:styleId="Style16" w:customStyle="1">
    <w:name w:val="Виділення жирним"/>
    <w:uiPriority w:val="99"/>
    <w:qFormat/>
    <w:rsid w:val="00af48ba"/>
    <w:rPr>
      <w:b/>
    </w:rPr>
  </w:style>
  <w:style w:type="character" w:styleId="Fontstyle01" w:customStyle="1">
    <w:name w:val="fontstyle01"/>
    <w:uiPriority w:val="99"/>
    <w:qFormat/>
    <w:rsid w:val="00af48ba"/>
    <w:rPr>
      <w:rFonts w:ascii="TimesNewRomanPSMT" w:hAnsi="TimesNewRomanPSMT" w:cs="Times New Roman"/>
      <w:color w:val="000000"/>
      <w:sz w:val="28"/>
      <w:szCs w:val="28"/>
    </w:rPr>
  </w:style>
  <w:style w:type="character" w:styleId="FontStyle22" w:customStyle="1">
    <w:name w:val="Font Style22"/>
    <w:uiPriority w:val="99"/>
    <w:qFormat/>
    <w:rsid w:val="00af48ba"/>
    <w:rPr>
      <w:rFonts w:ascii="Times New Roman" w:hAnsi="Times New Roman"/>
      <w:sz w:val="26"/>
    </w:rPr>
  </w:style>
  <w:style w:type="character" w:styleId="21" w:customStyle="1">
    <w:name w:val="Гіперпосилання2"/>
    <w:uiPriority w:val="99"/>
    <w:qFormat/>
    <w:rsid w:val="00af48ba"/>
    <w:rPr>
      <w:rFonts w:cs="Times New Roman"/>
      <w:color w:val="0000FF"/>
      <w:u w:val="single"/>
    </w:rPr>
  </w:style>
  <w:style w:type="character" w:styleId="Nc684nl6" w:customStyle="1">
    <w:name w:val="nc684nl6"/>
    <w:uiPriority w:val="99"/>
    <w:qFormat/>
    <w:rsid w:val="00af48ba"/>
    <w:rPr>
      <w:rFonts w:cs="Times New Roman"/>
    </w:rPr>
  </w:style>
  <w:style w:type="character" w:styleId="14" w:customStyle="1">
    <w:name w:val="Виділення1"/>
    <w:uiPriority w:val="99"/>
    <w:qFormat/>
    <w:locked/>
    <w:rsid w:val="00af48ba"/>
    <w:rPr>
      <w:rFonts w:cs="Times New Roman"/>
      <w:i/>
      <w:iCs/>
    </w:rPr>
  </w:style>
  <w:style w:type="character" w:styleId="1934" w:customStyle="1">
    <w:name w:val="1934"/>
    <w:uiPriority w:val="99"/>
    <w:qFormat/>
    <w:rsid w:val="00af48ba"/>
    <w:rPr>
      <w:rFonts w:cs="Times New Roman"/>
    </w:rPr>
  </w:style>
  <w:style w:type="character" w:styleId="Docdata" w:customStyle="1">
    <w:name w:val="docdata"/>
    <w:uiPriority w:val="99"/>
    <w:qFormat/>
    <w:rsid w:val="00af48ba"/>
    <w:rPr/>
  </w:style>
  <w:style w:type="character" w:styleId="5yl5" w:customStyle="1">
    <w:name w:val="_5yl5"/>
    <w:uiPriority w:val="99"/>
    <w:qFormat/>
    <w:rsid w:val="00af48ba"/>
    <w:rPr>
      <w:rFonts w:ascii="Times New Roman" w:hAnsi="Times New Roman"/>
    </w:rPr>
  </w:style>
  <w:style w:type="character" w:styleId="Style17" w:customStyle="1">
    <w:name w:val="Назва Знак"/>
    <w:uiPriority w:val="99"/>
    <w:qFormat/>
    <w:rsid w:val="00af48ba"/>
    <w:rPr>
      <w:rFonts w:ascii="Times New Roman" w:hAnsi="Times New Roman" w:cs="Times New Roman"/>
      <w:b/>
      <w:sz w:val="20"/>
      <w:szCs w:val="20"/>
      <w:lang w:val="en-US" w:eastAsia="en-US"/>
    </w:rPr>
  </w:style>
  <w:style w:type="character" w:styleId="X193iq5w" w:customStyle="1">
    <w:name w:val="x193iq5w"/>
    <w:uiPriority w:val="99"/>
    <w:qFormat/>
    <w:rsid w:val="00af48ba"/>
    <w:rPr/>
  </w:style>
  <w:style w:type="character" w:styleId="Copyfilefield" w:customStyle="1">
    <w:name w:val="copy-file-field"/>
    <w:uiPriority w:val="99"/>
    <w:qFormat/>
    <w:rsid w:val="00af48ba"/>
    <w:rPr>
      <w:rFonts w:cs="Times New Roman"/>
    </w:rPr>
  </w:style>
  <w:style w:type="character" w:styleId="Style18" w:customStyle="1">
    <w:name w:val="Текст у виносці Знак"/>
    <w:uiPriority w:val="99"/>
    <w:semiHidden/>
    <w:qFormat/>
    <w:rsid w:val="00af48ba"/>
    <w:rPr>
      <w:rFonts w:ascii="Segoe UI" w:hAnsi="Segoe UI" w:eastAsia="NSimSun" w:cs="Mangal"/>
      <w:kern w:val="2"/>
      <w:sz w:val="16"/>
      <w:szCs w:val="16"/>
      <w:lang w:eastAsia="zh-CN" w:bidi="hi-IN"/>
    </w:rPr>
  </w:style>
  <w:style w:type="character" w:styleId="22" w:customStyle="1">
    <w:name w:val="Основний текст Знак2"/>
    <w:uiPriority w:val="99"/>
    <w:semiHidden/>
    <w:qFormat/>
    <w:locked/>
    <w:rPr>
      <w:rFonts w:ascii="Liberation Serif" w:hAnsi="Liberation Serif" w:eastAsia="NSimSun" w:cs="Mangal"/>
      <w:kern w:val="2"/>
      <w:sz w:val="21"/>
      <w:szCs w:val="21"/>
      <w:lang w:eastAsia="zh-CN" w:bidi="hi-IN"/>
    </w:rPr>
  </w:style>
  <w:style w:type="character" w:styleId="Style19" w:customStyle="1">
    <w:name w:val="Нижний колонтитул Знак"/>
    <w:uiPriority w:val="99"/>
    <w:semiHidden/>
    <w:qFormat/>
    <w:locked/>
    <w:rPr>
      <w:rFonts w:ascii="Liberation Serif" w:hAnsi="Liberation Serif" w:eastAsia="NSimSun" w:cs="Mangal"/>
      <w:kern w:val="2"/>
      <w:sz w:val="21"/>
      <w:szCs w:val="21"/>
      <w:lang w:eastAsia="zh-CN" w:bidi="hi-IN"/>
    </w:rPr>
  </w:style>
  <w:style w:type="character" w:styleId="321" w:customStyle="1">
    <w:name w:val="Основний текст з відступом 3 Знак2"/>
    <w:uiPriority w:val="99"/>
    <w:semiHidden/>
    <w:qFormat/>
    <w:locked/>
    <w:rPr>
      <w:rFonts w:ascii="Liberation Serif" w:hAnsi="Liberation Serif" w:eastAsia="NSimSun" w:cs="Mangal"/>
      <w:kern w:val="2"/>
      <w:sz w:val="14"/>
      <w:szCs w:val="14"/>
      <w:lang w:eastAsia="zh-CN" w:bidi="hi-IN"/>
    </w:rPr>
  </w:style>
  <w:style w:type="character" w:styleId="15" w:customStyle="1">
    <w:name w:val="Назва Знак1"/>
    <w:uiPriority w:val="99"/>
    <w:qFormat/>
    <w:locked/>
    <w:rPr>
      <w:rFonts w:ascii="Cambria" w:hAnsi="Cambria" w:cs="Mangal"/>
      <w:b/>
      <w:bCs/>
      <w:kern w:val="2"/>
      <w:sz w:val="29"/>
      <w:szCs w:val="29"/>
      <w:lang w:eastAsia="zh-CN" w:bidi="hi-IN"/>
    </w:rPr>
  </w:style>
  <w:style w:type="character" w:styleId="Style20" w:customStyle="1">
    <w:name w:val="Текст выноски Знак"/>
    <w:uiPriority w:val="99"/>
    <w:semiHidden/>
    <w:qFormat/>
    <w:locked/>
    <w:rPr>
      <w:rFonts w:ascii="Times New Roman" w:hAnsi="Times New Roman" w:eastAsia="NSimSun" w:cs="Mangal"/>
      <w:kern w:val="2"/>
      <w:sz w:val="2"/>
      <w:lang w:eastAsia="zh-CN" w:bidi="hi-IN"/>
    </w:rPr>
  </w:style>
  <w:style w:type="character" w:styleId="Style21">
    <w:name w:val="Гіперпосилання"/>
    <w:rPr>
      <w:color w:val="000080"/>
      <w:u w:val="single"/>
      <w:lang w:val="zxx" w:eastAsia="zxx" w:bidi="zxx"/>
    </w:rPr>
  </w:style>
  <w:style w:type="paragraph" w:styleId="Style22" w:customStyle="1">
    <w:name w:val="Заголовок"/>
    <w:basedOn w:val="Normal"/>
    <w:next w:val="Style23"/>
    <w:uiPriority w:val="99"/>
    <w:qFormat/>
    <w:rsid w:val="00af48ba"/>
    <w:pPr>
      <w:keepNext w:val="true"/>
      <w:spacing w:before="240" w:after="120"/>
    </w:pPr>
    <w:rPr>
      <w:rFonts w:ascii="Liberation Sans" w:hAnsi="Liberation Sans" w:eastAsia="Microsoft YaHei"/>
      <w:sz w:val="28"/>
      <w:szCs w:val="28"/>
    </w:rPr>
  </w:style>
  <w:style w:type="paragraph" w:styleId="Style23">
    <w:name w:val="Body Text"/>
    <w:basedOn w:val="Normal"/>
    <w:uiPriority w:val="99"/>
    <w:rsid w:val="000a6b84"/>
    <w:pPr>
      <w:spacing w:lineRule="auto" w:line="276" w:before="0" w:after="140"/>
    </w:pPr>
    <w:rPr/>
  </w:style>
  <w:style w:type="paragraph" w:styleId="Style24">
    <w:name w:val="List"/>
    <w:basedOn w:val="Style23"/>
    <w:uiPriority w:val="99"/>
    <w:rsid w:val="00af48ba"/>
    <w:pPr/>
    <w:rPr/>
  </w:style>
  <w:style w:type="paragraph" w:styleId="Style25">
    <w:name w:val="Caption"/>
    <w:basedOn w:val="Normal"/>
    <w:qFormat/>
    <w:pPr>
      <w:suppressLineNumbers/>
      <w:spacing w:before="120" w:after="120"/>
    </w:pPr>
    <w:rPr>
      <w:rFonts w:cs="Arial"/>
      <w:i/>
      <w:iCs/>
      <w:sz w:val="24"/>
      <w:szCs w:val="24"/>
    </w:rPr>
  </w:style>
  <w:style w:type="paragraph" w:styleId="Style26" w:customStyle="1">
    <w:name w:val="Покажчик"/>
    <w:basedOn w:val="Normal"/>
    <w:uiPriority w:val="99"/>
    <w:qFormat/>
    <w:rsid w:val="00af48ba"/>
    <w:pPr>
      <w:suppressLineNumbers/>
    </w:pPr>
    <w:rPr/>
  </w:style>
  <w:style w:type="paragraph" w:styleId="Caption">
    <w:name w:val="caption"/>
    <w:basedOn w:val="Normal"/>
    <w:uiPriority w:val="99"/>
    <w:qFormat/>
    <w:rsid w:val="00af48ba"/>
    <w:pPr>
      <w:suppressLineNumbers/>
      <w:spacing w:before="120" w:after="120"/>
    </w:pPr>
    <w:rPr>
      <w:i/>
      <w:iCs/>
    </w:rPr>
  </w:style>
  <w:style w:type="paragraph" w:styleId="NormalWeb">
    <w:name w:val="Normal (Web)"/>
    <w:basedOn w:val="Normal"/>
    <w:uiPriority w:val="99"/>
    <w:qFormat/>
    <w:rsid w:val="000a6b84"/>
    <w:pPr>
      <w:spacing w:before="0" w:after="75"/>
      <w:textAlignment w:val="auto"/>
    </w:pPr>
    <w:rPr>
      <w:rFonts w:ascii="Times New Roman" w:hAnsi="Times New Roman" w:eastAsia="Times New Roman" w:cs="Times New Roman"/>
      <w:kern w:val="0"/>
      <w:lang w:val="ru-RU" w:bidi="ar-SA"/>
    </w:rPr>
  </w:style>
  <w:style w:type="paragraph" w:styleId="Western" w:customStyle="1">
    <w:name w:val="western"/>
    <w:basedOn w:val="Normal"/>
    <w:uiPriority w:val="99"/>
    <w:qFormat/>
    <w:rsid w:val="000a6b84"/>
    <w:pPr>
      <w:suppressAutoHyphens w:val="false"/>
      <w:spacing w:lineRule="auto" w:line="276" w:beforeAutospacing="1" w:after="142"/>
      <w:textAlignment w:val="auto"/>
    </w:pPr>
    <w:rPr>
      <w:rFonts w:ascii="Times New Roman" w:hAnsi="Times New Roman" w:eastAsia="Times New Roman" w:cs="Times New Roman"/>
      <w:kern w:val="0"/>
      <w:lang w:eastAsia="uk-UA" w:bidi="ar-SA"/>
    </w:rPr>
  </w:style>
  <w:style w:type="paragraph" w:styleId="ListParagraph">
    <w:name w:val="List Paragraph"/>
    <w:basedOn w:val="Normal"/>
    <w:uiPriority w:val="99"/>
    <w:qFormat/>
    <w:rsid w:val="000a6b84"/>
    <w:pPr>
      <w:ind w:left="708" w:hanging="0"/>
    </w:pPr>
    <w:rPr>
      <w:rFonts w:cs="Mangal"/>
      <w:szCs w:val="21"/>
    </w:rPr>
  </w:style>
  <w:style w:type="paragraph" w:styleId="16" w:customStyle="1">
    <w:name w:val="Абзац списка1"/>
    <w:basedOn w:val="Normal"/>
    <w:uiPriority w:val="99"/>
    <w:qFormat/>
    <w:rsid w:val="00af48ba"/>
    <w:pPr>
      <w:suppressAutoHyphens w:val="false"/>
      <w:spacing w:lineRule="auto" w:line="252" w:before="0" w:after="160"/>
      <w:ind w:left="720" w:hanging="0"/>
      <w:contextualSpacing/>
    </w:pPr>
    <w:rPr>
      <w:rFonts w:ascii="Calibri" w:hAnsi="Calibri" w:eastAsia="Times New Roman" w:cs="Times New Roman"/>
      <w:kern w:val="0"/>
      <w:sz w:val="22"/>
      <w:szCs w:val="22"/>
      <w:lang w:val="ru-RU" w:eastAsia="ru-RU" w:bidi="ar-SA"/>
    </w:rPr>
  </w:style>
  <w:style w:type="paragraph" w:styleId="Style27" w:customStyle="1">
    <w:name w:val="Верхній і нижній колонтитули"/>
    <w:basedOn w:val="Normal"/>
    <w:uiPriority w:val="99"/>
    <w:qFormat/>
    <w:rsid w:val="000a6b84"/>
    <w:pPr>
      <w:suppressLineNumbers/>
      <w:tabs>
        <w:tab w:val="clear" w:pos="708"/>
        <w:tab w:val="center" w:pos="7726" w:leader="none"/>
        <w:tab w:val="right" w:pos="15452" w:leader="none"/>
      </w:tabs>
    </w:pPr>
    <w:rPr/>
  </w:style>
  <w:style w:type="paragraph" w:styleId="Style28">
    <w:name w:val="Footer"/>
    <w:basedOn w:val="Style27"/>
    <w:uiPriority w:val="99"/>
    <w:rsid w:val="000a6b84"/>
    <w:pPr/>
    <w:rPr>
      <w:rFonts w:ascii="Calibri" w:hAnsi="Calibri" w:eastAsia="Calibri" w:cs="Times New Roman"/>
      <w:color w:val="0000FF"/>
      <w:kern w:val="0"/>
      <w:sz w:val="20"/>
      <w:szCs w:val="20"/>
      <w:u w:val="single"/>
      <w:lang w:eastAsia="uk-UA" w:bidi="ar-SA"/>
    </w:rPr>
  </w:style>
  <w:style w:type="paragraph" w:styleId="Style61" w:customStyle="1">
    <w:name w:val="Style6"/>
    <w:basedOn w:val="Normal"/>
    <w:uiPriority w:val="99"/>
    <w:qFormat/>
    <w:rsid w:val="000a6b84"/>
    <w:pPr>
      <w:widowControl w:val="false"/>
      <w:spacing w:lineRule="exact" w:line="323"/>
      <w:ind w:firstLine="926"/>
      <w:jc w:val="both"/>
    </w:pPr>
    <w:rPr/>
  </w:style>
  <w:style w:type="paragraph" w:styleId="BodyTextIndent3">
    <w:name w:val="Body Text Indent 3"/>
    <w:basedOn w:val="Normal"/>
    <w:uiPriority w:val="99"/>
    <w:qFormat/>
    <w:rsid w:val="000a6b84"/>
    <w:pPr>
      <w:spacing w:before="0" w:after="120"/>
      <w:ind w:left="283" w:hanging="0"/>
    </w:pPr>
    <w:rPr>
      <w:sz w:val="16"/>
      <w:szCs w:val="16"/>
    </w:rPr>
  </w:style>
  <w:style w:type="paragraph" w:styleId="Standard" w:customStyle="1">
    <w:name w:val="Standard"/>
    <w:uiPriority w:val="99"/>
    <w:qFormat/>
    <w:rsid w:val="00af48ba"/>
    <w:pPr>
      <w:widowControl w:val="false"/>
      <w:suppressAutoHyphens w:val="true"/>
      <w:bidi w:val="0"/>
      <w:spacing w:before="0" w:after="0"/>
      <w:jc w:val="left"/>
      <w:textAlignment w:val="baseline"/>
    </w:pPr>
    <w:rPr>
      <w:rFonts w:ascii="Liberation Serif" w:hAnsi="Liberation Serif" w:cs="Tahoma" w:eastAsia="Calibri"/>
      <w:color w:val="000000"/>
      <w:kern w:val="2"/>
      <w:sz w:val="24"/>
      <w:szCs w:val="24"/>
      <w:lang w:val="uk-UA" w:eastAsia="zh-CN" w:bidi="hi-IN"/>
    </w:rPr>
  </w:style>
  <w:style w:type="paragraph" w:styleId="211" w:customStyle="1">
    <w:name w:val="Основной текст 21"/>
    <w:basedOn w:val="Standard"/>
    <w:uiPriority w:val="99"/>
    <w:qFormat/>
    <w:rsid w:val="00af48ba"/>
    <w:pPr>
      <w:spacing w:lineRule="auto" w:line="480" w:before="0" w:after="120"/>
    </w:pPr>
    <w:rPr>
      <w:rFonts w:cs="Mangal, 'Liberation Mono'"/>
      <w:szCs w:val="21"/>
    </w:rPr>
  </w:style>
  <w:style w:type="paragraph" w:styleId="Style151" w:customStyle="1">
    <w:name w:val="Style15"/>
    <w:basedOn w:val="Normal"/>
    <w:uiPriority w:val="99"/>
    <w:qFormat/>
    <w:rsid w:val="00af48ba"/>
    <w:pPr>
      <w:suppressAutoHyphens w:val="false"/>
      <w:spacing w:lineRule="exact" w:line="322"/>
      <w:ind w:firstLine="710"/>
      <w:jc w:val="both"/>
      <w:textAlignment w:val="auto"/>
    </w:pPr>
    <w:rPr>
      <w:rFonts w:ascii="Times New Roman" w:hAnsi="Times New Roman" w:eastAsia="Times New Roman" w:cs="Times New Roman"/>
      <w:color w:val="000000"/>
      <w:kern w:val="0"/>
      <w:sz w:val="28"/>
      <w:lang w:val="ru-RU"/>
    </w:rPr>
  </w:style>
  <w:style w:type="paragraph" w:styleId="Rtejustify" w:customStyle="1">
    <w:name w:val="rtejustify"/>
    <w:basedOn w:val="Normal"/>
    <w:uiPriority w:val="99"/>
    <w:qFormat/>
    <w:rsid w:val="00af48ba"/>
    <w:pPr>
      <w:suppressAutoHyphens w:val="false"/>
      <w:spacing w:beforeAutospacing="1" w:afterAutospacing="1"/>
      <w:textAlignment w:val="auto"/>
    </w:pPr>
    <w:rPr>
      <w:rFonts w:ascii="Times New Roman" w:hAnsi="Times New Roman" w:eastAsia="Times New Roman" w:cs="Times New Roman"/>
      <w:kern w:val="0"/>
      <w:lang w:eastAsia="uk-UA" w:bidi="ar-SA"/>
    </w:rPr>
  </w:style>
  <w:style w:type="paragraph" w:styleId="Style29">
    <w:name w:val="Title"/>
    <w:basedOn w:val="Normal"/>
    <w:uiPriority w:val="99"/>
    <w:qFormat/>
    <w:locked/>
    <w:rsid w:val="00af48ba"/>
    <w:pPr>
      <w:widowControl w:val="false"/>
      <w:tabs>
        <w:tab w:val="clear" w:pos="708"/>
        <w:tab w:val="left" w:pos="-720" w:leader="none"/>
      </w:tabs>
      <w:jc w:val="center"/>
      <w:textAlignment w:val="auto"/>
    </w:pPr>
    <w:rPr>
      <w:rFonts w:ascii="Times New Roman" w:hAnsi="Times New Roman" w:eastAsia="Times New Roman" w:cs="Times New Roman"/>
      <w:b/>
      <w:kern w:val="0"/>
      <w:sz w:val="48"/>
      <w:szCs w:val="20"/>
      <w:lang w:val="en-US" w:eastAsia="en-US" w:bidi="ar-SA"/>
    </w:rPr>
  </w:style>
  <w:style w:type="paragraph" w:styleId="NoSpacing">
    <w:name w:val="No Spacing"/>
    <w:uiPriority w:val="99"/>
    <w:qFormat/>
    <w:rsid w:val="00af48ba"/>
    <w:pPr>
      <w:widowControl/>
      <w:suppressAutoHyphens w:val="true"/>
      <w:bidi w:val="0"/>
      <w:spacing w:before="0" w:after="0"/>
      <w:jc w:val="left"/>
    </w:pPr>
    <w:rPr>
      <w:rFonts w:ascii="Calibri" w:hAnsi="Calibri" w:eastAsia="Calibri" w:cs="Times New Roman"/>
      <w:color w:val="auto"/>
      <w:kern w:val="0"/>
      <w:sz w:val="22"/>
      <w:szCs w:val="22"/>
      <w:lang w:val="uk-UA" w:eastAsia="en-US" w:bidi="ar-SA"/>
    </w:rPr>
  </w:style>
  <w:style w:type="paragraph" w:styleId="17" w:customStyle="1">
    <w:name w:val="Абзац списку1"/>
    <w:basedOn w:val="Normal"/>
    <w:uiPriority w:val="99"/>
    <w:qFormat/>
    <w:rsid w:val="00af48ba"/>
    <w:pPr>
      <w:spacing w:lineRule="auto" w:line="276" w:before="0" w:after="200"/>
      <w:ind w:left="720" w:hanging="0"/>
      <w:textAlignment w:val="auto"/>
    </w:pPr>
    <w:rPr>
      <w:rFonts w:ascii="Calibri" w:hAnsi="Calibri" w:eastAsia="Times New Roman" w:cs="Times New Roman"/>
      <w:kern w:val="0"/>
      <w:sz w:val="22"/>
      <w:szCs w:val="22"/>
      <w:lang w:val="ru-RU" w:eastAsia="en-US" w:bidi="ar-SA"/>
    </w:rPr>
  </w:style>
  <w:style w:type="paragraph" w:styleId="Paragraph14" w:customStyle="1">
    <w:name w:val="paragraph-14"/>
    <w:basedOn w:val="Normal"/>
    <w:uiPriority w:val="99"/>
    <w:qFormat/>
    <w:rsid w:val="00af48ba"/>
    <w:pPr>
      <w:suppressAutoHyphens w:val="false"/>
      <w:spacing w:beforeAutospacing="1" w:afterAutospacing="1"/>
      <w:textAlignment w:val="auto"/>
    </w:pPr>
    <w:rPr>
      <w:rFonts w:ascii="Times New Roman" w:hAnsi="Times New Roman" w:eastAsia="Times New Roman" w:cs="Times New Roman"/>
      <w:kern w:val="0"/>
      <w:lang w:eastAsia="uk-UA" w:bidi="ar-SA"/>
    </w:rPr>
  </w:style>
  <w:style w:type="paragraph" w:styleId="Style30" w:customStyle="1">
    <w:name w:val="Вміст таблиці"/>
    <w:basedOn w:val="Normal"/>
    <w:uiPriority w:val="99"/>
    <w:qFormat/>
    <w:rsid w:val="00af48ba"/>
    <w:pPr>
      <w:widowControl w:val="false"/>
      <w:suppressLineNumbers/>
      <w:textAlignment w:val="auto"/>
    </w:pPr>
    <w:rPr/>
  </w:style>
  <w:style w:type="paragraph" w:styleId="18" w:customStyle="1">
    <w:name w:val="Без интервала1"/>
    <w:uiPriority w:val="99"/>
    <w:qFormat/>
    <w:rsid w:val="00af48ba"/>
    <w:pPr>
      <w:widowControl/>
      <w:suppressAutoHyphens w:val="true"/>
      <w:bidi w:val="0"/>
      <w:spacing w:before="0" w:after="0"/>
      <w:jc w:val="left"/>
    </w:pPr>
    <w:rPr>
      <w:rFonts w:cs="Calibri" w:ascii="Calibri" w:hAnsi="Calibri" w:eastAsia="Calibri"/>
      <w:color w:val="auto"/>
      <w:kern w:val="0"/>
      <w:sz w:val="22"/>
      <w:szCs w:val="22"/>
      <w:lang w:eastAsia="zh-CN" w:val="ru-RU" w:bidi="ar-SA"/>
    </w:rPr>
  </w:style>
  <w:style w:type="paragraph" w:styleId="HTML1" w:customStyle="1">
    <w:name w:val="Стандартний HTML1"/>
    <w:basedOn w:val="Normal"/>
    <w:uiPriority w:val="99"/>
    <w:qFormat/>
    <w:rsid w:val="00af48ba"/>
    <w:pPr>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textAlignment w:val="auto"/>
    </w:pPr>
    <w:rPr>
      <w:rFonts w:ascii="Courier New" w:hAnsi="Courier New" w:eastAsia="Times New Roman" w:cs="Courier New"/>
      <w:kern w:val="0"/>
      <w:sz w:val="20"/>
      <w:szCs w:val="20"/>
      <w:lang w:val="ru-RU" w:eastAsia="ru-RU"/>
    </w:rPr>
  </w:style>
  <w:style w:type="paragraph" w:styleId="BalloonText">
    <w:name w:val="Balloon Text"/>
    <w:basedOn w:val="Normal"/>
    <w:uiPriority w:val="99"/>
    <w:semiHidden/>
    <w:qFormat/>
    <w:rsid w:val="00af48ba"/>
    <w:pPr/>
    <w:rPr>
      <w:rFonts w:ascii="Segoe UI" w:hAnsi="Segoe UI" w:cs="Mangal"/>
      <w:sz w:val="18"/>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b">
    <w:name w:val="Table Grid"/>
    <w:basedOn w:val="a1"/>
    <w:uiPriority w:val="99"/>
    <w:rsid w:val="00af48b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marttender.biz/" TargetMode="External"/><Relationship Id="rId3" Type="http://schemas.openxmlformats.org/officeDocument/2006/relationships/hyperlink" Target="https://sbc.regulation.gov.ua/city/3606" TargetMode="External"/><Relationship Id="rId4" Type="http://schemas.openxmlformats.org/officeDocument/2006/relationships/hyperlink" Target="http://sme.gov.ua/covid19/" TargetMode="External"/><Relationship Id="rId5" Type="http://schemas.openxmlformats.org/officeDocument/2006/relationships/hyperlink" Target="https://platforma-msb.org/" TargetMode="External"/><Relationship Id="rId6" Type="http://schemas.openxmlformats.org/officeDocument/2006/relationships/hyperlink" Target="https://www.merezha.ua/" TargetMode="External"/><Relationship Id="rId7" Type="http://schemas.openxmlformats.org/officeDocument/2006/relationships/hyperlink" Target="https://techreg.in.ua/" TargetMode="External"/><Relationship Id="rId8" Type="http://schemas.openxmlformats.org/officeDocument/2006/relationships/hyperlink" Target="https://sme.gov.ua/579start/" TargetMode="External"/><Relationship Id="rId9" Type="http://schemas.openxmlformats.org/officeDocument/2006/relationships/hyperlink" Target="https://boi.org.ua/" TargetMode="External"/><Relationship Id="rId10" Type="http://schemas.openxmlformats.org/officeDocument/2006/relationships/hyperlink" Target="https://rynok.in.ua/" TargetMode="External"/><Relationship Id="rId11" Type="http://schemas.openxmlformats.org/officeDocument/2006/relationships/hyperlink" Target="https://www.lutskrada.gov.ua/invest" TargetMode="External"/><Relationship Id="rId12" Type="http://schemas.openxmlformats.org/officeDocument/2006/relationships/hyperlink" Target="https://www.lutskrada.gov.ua/invest.-" TargetMode="External"/><Relationship Id="rId13" Type="http://schemas.openxmlformats.org/officeDocument/2006/relationships/hyperlink" Target="https://www.facebook.com/Medicine-in-action-106404872045552/?__cft__%5B0%5D=AZVehiW3JpcXJQTwbAH59PTb0X4ERncuR8mM35fGrEgjO5FDLjIZ7CSNlFv9PHMghtpBPhspeiKMg20RFG_3D12L854pnlEu9JBJG76ilQNgaff5eBb1s_zGdlkAk7f0S1W7E_xH7O-ryp3Sl_t2CXVj-w3bpLUazWdOQHio2brCLxzUJHG859jRJfag68ljkB34Yw3XYs0wcQiYEWuQjN4Nl95S6Jv8LxRLFdCckQRxsQ&amp;__tn__=kK-y-R" TargetMode="External"/><Relationship Id="rId14" Type="http://schemas.openxmlformats.org/officeDocument/2006/relationships/hyperlink" Target="https://www.facebook.com/unicef?__cft__%5B0%5D=AZW3H20V49ovTFwRRonjy7OoV92-dG10QDSd3T_t3HwzfYW5zNWXpp8WRr3BXoWqHoRehSpEaheu2Z0vmfaSlTD82wFJ6uOJcvZXwDATm5OIfUgS-K5W5_Nm59fykHq3RBIoZl6Df6hScd7OIgPgNxl8nqIZcXY_Kab8yokcvWqdHFfVllIWY2C6vP-MSkGeCQpx8ys3Y7rBvyZN7_LaXGhx3omNPGZ2ZE0UM-C3zUgmwQ&amp;__tn__=-%5DK-y-R" TargetMode="External"/><Relationship Id="rId15" Type="http://schemas.openxmlformats.org/officeDocument/2006/relationships/hyperlink" Target="https://www.facebook.com/blagolutsk?__cft__%5B0%5D=AZXeGU0kk-AF1ZzvBJpDADWq6oEUdQphaEDebjrcLovo3TVJIIarpdZrIxEpv9Aej4uUf1yBt0OziD9D9OAjSDPX5JdF7LxnKIY4yvJAv4MNePqG0pC48RdMpj1qdFk4fuHexPZJtfLHFEcfTpPlMCFWFlNfiphYEswGCG0q9BM-TFhz60NQJ43fUCr595SJYC6wVL4J9ZGd-giw7FyjhtVp&amp;__tn__=-%5DK-y-R" TargetMode="External"/><Relationship Id="rId16" Type="http://schemas.openxmlformats.org/officeDocument/2006/relationships/hyperlink" Target="https://mova.gov.ua/" TargetMode="External"/><Relationship Id="rId17" Type="http://schemas.openxmlformats.org/officeDocument/2006/relationships/hyperlink" Target="https://ula.org.ua/" TargetMode="External"/><Relationship Id="rId18" Type="http://schemas.openxmlformats.org/officeDocument/2006/relationships/hyperlink" Target="https://www.facebook.com/profile.php?id=100080223653060&amp;__cft__%5B0%5D=AZU7M4KHcPGiDhP9AlGFt9Q-id5IjE9NDJSvgu32GBj4tL5utMAvJ51J_f7LcvaV97dww4_FhhLhSwF2FOfSodPo5VwSy16CvmTIjp1hg8zb2Db6RGV3Srj_pUzx-dvZW_aleYzZdir_tTRKf5iqyIQR_hQC5ZjjbEsgKumpR4FqWEiX6Ajl9wktDyAL6g_dnDs&amp;__tn__=-%5DK-R" TargetMode="External"/><Relationship Id="rId19" Type="http://schemas.openxmlformats.org/officeDocument/2006/relationships/hyperlink" Target="https://www.facebook.com/&#1051;&#1091;&#1094;&#1100;&#1082;&#1072;-&#1084;&#1091;&#1079;&#1080;&#1095;&#1085;&#1072;-&#1096;&#1082;&#1086;&#1083;&#1072;-1-&#1110;&#1084;&#1077;&#1085;&#1110;-&#1060;&#1088;&#1080;&#1076;&#1077;&#1088;&#1080;&#1082;&#1072;-&#1064;&#1086;&#1087;&#1077;&#1085;&#1072;-978151442211349/?ref=page_internal" TargetMode="External"/><Relationship Id="rId20" Type="http://schemas.openxmlformats.org/officeDocument/2006/relationships/fontTable" Target="fontTable.xml"/><Relationship Id="rId21" Type="http://schemas.openxmlformats.org/officeDocument/2006/relationships/settings" Target="settings.xml"/><Relationship Id="rId22" Type="http://schemas.openxmlformats.org/officeDocument/2006/relationships/theme" Target="theme/theme1.xml"/><Relationship Id="rId23"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AB9D8-5DB6-4EC6-8551-90AEA31FD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970</TotalTime>
  <Application>LibreOffice/7.2.3.2$Windows_X86_64 LibreOffice_project/d166454616c1632304285822f9c83ce2e660fd92</Application>
  <AppVersion>15.0000</AppVersion>
  <Pages>94</Pages>
  <Words>28224</Words>
  <Characters>197979</Characters>
  <CharactersWithSpaces>225104</CharactersWithSpaces>
  <Paragraphs>1319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2023-07-26T05:27:00Z</dcterms:created>
  <dc:creator>Гребенюк Оксана Костянтинівна</dc:creator>
  <dc:description/>
  <dc:language>uk-UA</dc:language>
  <cp:lastModifiedBy/>
  <cp:lastPrinted>2023-08-02T09:15:00Z</cp:lastPrinted>
  <dcterms:modified xsi:type="dcterms:W3CDTF">2023-08-07T17:13:26Z</dcterms:modified>
  <cp:revision>38</cp:revision>
  <dc:subject/>
  <dc:title/>
</cp:coreProperties>
</file>

<file path=docProps/custom.xml><?xml version="1.0" encoding="utf-8"?>
<Properties xmlns="http://schemas.openxmlformats.org/officeDocument/2006/custom-properties" xmlns:vt="http://schemas.openxmlformats.org/officeDocument/2006/docPropsVTypes"/>
</file>