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0" w:hanging="0"/>
        <w:jc w:val="lef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/>
          <w:color w:val="000000"/>
          <w:kern w:val="2"/>
          <w:sz w:val="28"/>
          <w:szCs w:val="28"/>
        </w:rPr>
        <w:t xml:space="preserve"> </w:t>
      </w:r>
      <w:r>
        <w:rPr>
          <w:b/>
          <w:bCs/>
          <w:color w:val="000000"/>
          <w:kern w:val="2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b w:val="false"/>
          <w:bCs w:val="false"/>
          <w:color w:val="000000"/>
          <w:kern w:val="2"/>
          <w:sz w:val="28"/>
          <w:szCs w:val="28"/>
        </w:rPr>
        <w:t>Додаток 2</w:t>
      </w:r>
    </w:p>
    <w:p>
      <w:pPr>
        <w:pStyle w:val="Normal"/>
        <w:ind w:left="0" w:right="0" w:hanging="0"/>
        <w:jc w:val="lef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 w:val="false"/>
          <w:bCs w:val="false"/>
          <w:color w:val="000000"/>
          <w:kern w:val="2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туризму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Луцької міської територіальної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громади на 2021-2023 роки</w:t>
      </w:r>
    </w:p>
    <w:p>
      <w:pPr>
        <w:pStyle w:val="Normal"/>
        <w:jc w:val="right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4"/>
          <w:szCs w:val="24"/>
        </w:rPr>
      </w:r>
    </w:p>
    <w:p>
      <w:pPr>
        <w:pStyle w:val="Normal"/>
        <w:jc w:val="center"/>
        <w:rPr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 xml:space="preserve">Напрями діяльності, завдання та заходи  </w:t>
      </w:r>
    </w:p>
    <w:p>
      <w:pPr>
        <w:pStyle w:val="Normal"/>
        <w:jc w:val="center"/>
        <w:rPr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8"/>
          <w:szCs w:val="28"/>
        </w:rPr>
        <w:t>на 2021-2023 роки</w:t>
      </w:r>
    </w:p>
    <w:p>
      <w:pPr>
        <w:pStyle w:val="Normal"/>
        <w:jc w:val="center"/>
        <w:rPr>
          <w:b/>
          <w:b/>
          <w:bCs w:val="false"/>
          <w:color w:val="000000"/>
          <w:kern w:val="2"/>
          <w:sz w:val="24"/>
          <w:szCs w:val="24"/>
        </w:rPr>
      </w:pPr>
      <w:r>
        <w:rPr>
          <w:b/>
          <w:bCs w:val="false"/>
          <w:color w:val="000000"/>
          <w:kern w:val="2"/>
          <w:sz w:val="24"/>
          <w:szCs w:val="24"/>
        </w:rPr>
      </w:r>
    </w:p>
    <w:tbl>
      <w:tblPr>
        <w:tblW w:w="15461" w:type="dxa"/>
        <w:jc w:val="left"/>
        <w:tblInd w:w="-7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505"/>
        <w:gridCol w:w="2090"/>
        <w:gridCol w:w="2378"/>
        <w:gridCol w:w="1532"/>
        <w:gridCol w:w="2137"/>
        <w:gridCol w:w="1968"/>
        <w:gridCol w:w="1863"/>
        <w:gridCol w:w="2986"/>
      </w:tblGrid>
      <w:tr>
        <w:trPr/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№ </w:t>
            </w: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з/п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Напрями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діяльності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ind w:left="-18" w:right="-9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Перелік заходів </w:t>
            </w:r>
          </w:p>
          <w:p>
            <w:pPr>
              <w:pStyle w:val="Normal"/>
              <w:widowControl w:val="false"/>
              <w:suppressAutoHyphens w:val="false"/>
              <w:ind w:left="-18" w:right="-9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Програми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Терміни </w:t>
            </w:r>
          </w:p>
          <w:p>
            <w:pPr>
              <w:pStyle w:val="Normal"/>
              <w:widowControl w:val="false"/>
              <w:suppressAutoHyphens w:val="false"/>
              <w:ind w:left="0" w:right="-115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виконання 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Виконавці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ind w:left="-108" w:right="-131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Джерела фінансування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Орієнтовні обсяги фінансування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(тис. грн)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ind w:left="-46" w:right="0" w:hanging="0"/>
              <w:jc w:val="center"/>
              <w:rPr>
                <w:b/>
                <w:b/>
                <w:color w:val="000000"/>
                <w:kern w:val="2"/>
                <w:sz w:val="24"/>
                <w:szCs w:val="24"/>
              </w:rPr>
            </w:pPr>
            <w:r>
              <w:rPr>
                <w:b/>
                <w:bCs w:val="false"/>
                <w:iCs w:val="false"/>
                <w:color w:val="000000"/>
                <w:kern w:val="2"/>
                <w:sz w:val="24"/>
                <w:szCs w:val="24"/>
              </w:rPr>
              <w:t>Очікуваний результат</w:t>
            </w:r>
          </w:p>
        </w:tc>
      </w:tr>
      <w:tr>
        <w:trPr>
          <w:trHeight w:val="761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97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0" w:right="0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бюджет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Отримання статистичних даних, які відображають стан галузі у Луцьку: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</w:tr>
      <w:tr>
        <w:trPr>
          <w:trHeight w:val="808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1.2. Створення Стратегії туристичного розвитку Луцька на 202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uk-UA" w:bidi="ar-SA"/>
              </w:rPr>
              <w:t>3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-2033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250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 xml:space="preserve">Визначеність шляху розвитку Луцька як туристичної дестинації, забезпечення системного розвитку туризму як важливої стратегічної галузі 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uk-UA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20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12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Маркетинг та промоція Луцької міської територіальної громади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2.1. Впровадження шкільної програми курсу «Луцькознавство»</w:t>
            </w:r>
          </w:p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д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епартамент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освіти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бюджет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right="0" w:hanging="0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Виховання у школярів любові й поваги до рідного міста, підвищення поінформованості про його історичну роль, місце і значення в українській та європейській історії різних періодів; поширення знань про культуру, архітектуру,  мистецтво, видатних особистостей, причетних до його становлення; виховання особистості лучанина/лучанки</w:t>
            </w:r>
          </w:p>
        </w:tc>
      </w:tr>
      <w:tr>
        <w:trPr>
          <w:trHeight w:val="644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2.2. Створення фото та відеоконтенту як ефективного способу промоції міста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  <w:lang w:eastAsia="uk-UA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бюджет 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Поширення промоційних роликів з позитивною інформацією про місто, події, особистостей, пов'язаних з ним</w:t>
            </w:r>
          </w:p>
        </w:tc>
      </w:tr>
      <w:tr>
        <w:trPr>
          <w:trHeight w:val="744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2.3. Проведення в Луцьку літературної  резиденції  за участю популярних авторів. Забезпечення їх комфортного перебування в місті (проживання, харчування)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eastAsia="Times New Roman" w:cs="Times New Roman"/>
                <w:bCs/>
                <w:color w:val="000000"/>
                <w:kern w:val="2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2022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1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Створення низки творів різних жанрів про Луцьк та видання книги з подальшою презентацією на загальноукраїнських літературних подіях і розповсюдження у роздрібних мережах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5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93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2.4. Організація та проведення прес-турів,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управління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інформаційної роботи,  КП «Центр туристичної інформації та послуг», музеї міста,  Адміністрація державного історико-культурного заповідника у м. Луцьку (за згодою)</w:t>
            </w:r>
          </w:p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Розміщення промоційних статей про Луцьку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міську територіальну громаду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у спеціалізованих друкованих та електронних ЗМІ.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Ознайомлення широкої аудиторії в Україні із туристичним та культурно-мистецьким потенціалом Луцька, поширення інформації про місто у вітчизняних та закордонних ЗМІ, в Інтернет ресурсах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89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2.5. Промоція З'їзду європейських монархів 1429 року у Луцьку як брендоутворюючої події для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міської територіальної громади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Використання знакової історичної події міста Луцька для посилення його видимості на міжнародному та національному туристичному ринках, монетизація цієї події. За сприятливих обставин та відміни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воєнного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стану - проведення фестивалю «Князівський бенкет»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50,00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153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2.6. Підтримка і розвиток проєкту «Луцький кликун» 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Адміністрація державного історико-культурного заповідника у м. Луцьку (за згодою)</w:t>
            </w:r>
          </w:p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70,00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Популяризація образу міського героя – Луцького кликуна. Оплата праці луцького кликуна. 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74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2.7. Презентація туристичного потенціалу міста на міжнародних та національних туристичних виставках, форумах, конференціях, семінарах тощо (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відрядні витрати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,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доїзд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Формування позитивного іміджу міста у туристів,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>туропер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аторів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та турагентів, а також поширення інформації про його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451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8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. Організація та проведення туристичних форумів, презентацій, конференцій, круглих столів, майстер-класів, лекцій тощо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Створення сприятливого простору для пошуку партнерів, обміну досвідом та налагодження співпраці у туристичній сфері. Сприяння формуванню нових напрямів розвитку туристичної галузі та обговорення плану дій щодо розвитку туризму як на місцевому рівні, так і на загальнодержавному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897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9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. Відкриття туристичного сезону та проведення заходу «Арт-променд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ru-RU"/>
              </w:rPr>
              <w:t>“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Так звучить Луцьк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ru-RU"/>
              </w:rPr>
              <w:t>”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 xml:space="preserve">управління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інформаційної роботи, Волинська обласна філармонія, Волинський коледж культури і мистецтв імені І.Ф.Стравінського (за згодою)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230,00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Належне проведення заходу до Дня міста, популяризація туристичного потенціалу Луцька,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206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2.10. Відзначення Дня туризму (проведення інтелектуальних ігор для вузів, представників туристичного активу, проведення театралізованих екскурсій та інших тематичних заходів)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послуг», ГС «Туристичний альянс Луцька»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50,00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Консолідація гравців туристичного ринку Луцька, популяризація туристичного потенціалу міста, поширення знань про місто</w:t>
            </w:r>
          </w:p>
        </w:tc>
      </w:tr>
      <w:tr>
        <w:trPr>
          <w:trHeight w:val="678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2.11. Розробка, дизайн та виготовлення промоційної поліграфічної та сувенірної продукції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150,00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Підтримка єдиного стилю сувенірної та поліграфічної продукції, що сприятиме популяризації та впізнаваності бренду міста</w:t>
            </w:r>
          </w:p>
        </w:tc>
      </w:tr>
      <w:tr>
        <w:trPr>
          <w:trHeight w:val="705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3.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Розвиток туристичної інфраструктури</w:t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3.1. Розширення та вдосконалення системи туристичного ознакування. Сканування пам’яток архітектури.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100,00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Створення для туристів сприятливих умов для орієнтування  в межах Луцької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uk-UA"/>
              </w:rPr>
              <w:t xml:space="preserve">міської територіальної громади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(встановлення туристичних знаків, вказівників, інформаційних таблиць)</w:t>
            </w:r>
          </w:p>
        </w:tc>
      </w:tr>
      <w:tr>
        <w:trPr>
          <w:trHeight w:val="705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199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</w:t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0" w:right="-56" w:hanging="0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Підвищення професійного рівня працівників туристичної галузі та працівників управління</w:t>
            </w:r>
          </w:p>
          <w:p>
            <w:pPr>
              <w:pStyle w:val="Normal"/>
              <w:widowControl w:val="false"/>
              <w:suppressLineNumbers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4.1. Проведення заходів з підготовки, перепідготовки та підвищення кваліфікації екскурсоводів і гідів-перекладачів. Забезпечення функціонування школи гідів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міста, КП «Центр туристичної інформації та послуг», вищі навчальні заклади міста, Луцький центр зайнятості (за згодою)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50,00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Підготовка висококваліфікованих екскурсоводів, підвищення якості надання екскурсійних послуг</w:t>
            </w:r>
          </w:p>
        </w:tc>
      </w:tr>
      <w:tr>
        <w:trPr>
          <w:trHeight w:val="1199" w:hRule="atLeast"/>
        </w:trPr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4.2. Затвердження єдиних правил ведення екскурсійної діяльності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р.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08" w:right="-131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-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Регламентоване ведення екскурсійної діяльності</w:t>
            </w:r>
          </w:p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938" w:hRule="atLeast"/>
        </w:trPr>
        <w:tc>
          <w:tcPr>
            <w:tcW w:w="5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4.3. Проведення зустрічей, семінарів, майстер-класів для представників готельного та ресторанного бізнесу із залученням експертів національного та міжнародного рівня</w:t>
            </w:r>
          </w:p>
        </w:tc>
        <w:tc>
          <w:tcPr>
            <w:tcW w:w="1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Управління туризму та промоції міста, КП «Центр туристичної інформації та послуг», </w:t>
            </w:r>
            <w:r>
              <w:rPr>
                <w:rFonts w:eastAsia="Times New Roman" w:cs="Times New Roman"/>
                <w:bCs w:val="false"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департамент економічної політики,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 ГС «Туристичний альянс Луцька» (за згодою)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2023 – 0,00</w:t>
            </w:r>
          </w:p>
        </w:tc>
        <w:tc>
          <w:tcPr>
            <w:tcW w:w="29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Забезпечення належного рівня обслуговування туристів у закладах харчування, проживання тощо; створення нових туристичних продуктів</w:t>
            </w:r>
          </w:p>
        </w:tc>
      </w:tr>
      <w:tr>
        <w:trPr/>
        <w:tc>
          <w:tcPr>
            <w:tcW w:w="5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0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A"/>
                <w:kern w:val="2"/>
                <w:sz w:val="24"/>
                <w:szCs w:val="24"/>
              </w:rPr>
            </w:pPr>
            <w:r>
              <w:rPr>
                <w:color w:val="00000A"/>
                <w:kern w:val="2"/>
                <w:sz w:val="24"/>
                <w:szCs w:val="24"/>
              </w:rPr>
            </w:r>
          </w:p>
        </w:tc>
        <w:tc>
          <w:tcPr>
            <w:tcW w:w="237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53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213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napToGrid w:val="false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color w:val="000000"/>
                <w:kern w:val="2"/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30,00</w:t>
            </w:r>
          </w:p>
        </w:tc>
        <w:tc>
          <w:tcPr>
            <w:tcW w:w="29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</w:tc>
      </w:tr>
      <w:tr>
        <w:trPr>
          <w:trHeight w:val="1527" w:hRule="atLeast"/>
        </w:trPr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5.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Співпраця з громадою Луцької міської територіальної громади, бізнесом, Адміністрацією державного історико-культурного заповідника у м. Луцьку, музеями та навчальними закладами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5.1. Проведення спільних заходів та акцій, реалізація проєктів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2022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3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46" w:right="0" w:hanging="0"/>
              <w:rPr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ru-RU"/>
              </w:rPr>
              <w:t>Налагодження діалогу з гравцями туристичного ринку, підвищення якості обслуговування туристів, створення нових туристичних продуктів; залучення науковців та студентів ВНЗ до розвитку туристичної галузі міста Луцька, збільшення асортименту туристичних послуг; створення у громади міста почуття співучасті та відповідальності за розвиток міста, участь громадськості у формуванні туристичної галузі міста, а також її залучення до творення образу міста як туристичної дестинації</w:t>
            </w:r>
          </w:p>
        </w:tc>
      </w:tr>
      <w:tr>
        <w:trPr/>
        <w:tc>
          <w:tcPr>
            <w:tcW w:w="5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color w:val="00000A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6.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Інші проєкти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6.1.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міста Луцька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Щороку</w:t>
            </w:r>
          </w:p>
        </w:tc>
        <w:tc>
          <w:tcPr>
            <w:tcW w:w="2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rPr>
                <w:bCs w:val="false"/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Управління туризму та промоції міста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бюджет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eastAsia="uk-UA"/>
              </w:rPr>
              <w:t>міської територіальної громади</w:t>
            </w:r>
          </w:p>
        </w:tc>
        <w:tc>
          <w:tcPr>
            <w:tcW w:w="1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2021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  <w:kern w:val="2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2022 – 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  <w:lang w:val="en-US"/>
              </w:rPr>
              <w:t>1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 xml:space="preserve">2023 – </w:t>
            </w:r>
            <w:r>
              <w:rPr>
                <w:rFonts w:eastAsia="Times New Roman" w:cs="Times New Roman"/>
                <w:bCs/>
                <w:iCs w:val="false"/>
                <w:color w:val="000000"/>
                <w:kern w:val="2"/>
                <w:sz w:val="24"/>
                <w:szCs w:val="24"/>
                <w:lang w:val="uk-UA" w:eastAsia="zh-CN" w:bidi="ar-SA"/>
              </w:rPr>
              <w:t>0</w:t>
            </w: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0,00</w:t>
            </w:r>
          </w:p>
        </w:tc>
        <w:tc>
          <w:tcPr>
            <w:tcW w:w="2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right="0" w:hanging="0"/>
              <w:rPr>
                <w:sz w:val="24"/>
                <w:szCs w:val="24"/>
              </w:rPr>
            </w:pPr>
            <w:r>
              <w:rPr>
                <w:bCs w:val="false"/>
                <w:iCs w:val="false"/>
                <w:color w:val="000000"/>
                <w:kern w:val="2"/>
                <w:sz w:val="24"/>
                <w:szCs w:val="24"/>
              </w:rPr>
              <w:t>Підвищення туристичної привабливості дестинації; залучення грантових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 w:val="24"/>
          <w:szCs w:val="24"/>
        </w:rPr>
        <w:t>Каліш 777 956</w:t>
      </w:r>
    </w:p>
    <w:sectPr>
      <w:headerReference w:type="default" r:id="rId2"/>
      <w:type w:val="nextPage"/>
      <w:pgSz w:orient="landscape" w:w="16838" w:h="11906"/>
      <w:pgMar w:left="1134" w:right="674" w:header="567" w:top="624" w:footer="0" w:bottom="1984" w:gutter="0"/>
      <w:pgNumType w:start="2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  <w:p>
    <w:pPr>
      <w:pStyle w:val="Style27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  <w:textAlignment w:val="top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color w:val="000000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cs="Times New Roman"/>
      <w:color w:val="000000"/>
    </w:rPr>
  </w:style>
  <w:style w:type="character" w:styleId="Style11">
    <w:name w:val="Основной шрифт абзаца"/>
    <w:qFormat/>
    <w:rPr/>
  </w:style>
  <w:style w:type="character" w:styleId="9">
    <w:name w:val="Основной шрифт абзаца9"/>
    <w:qFormat/>
    <w:rPr/>
  </w:style>
  <w:style w:type="character" w:styleId="8">
    <w:name w:val="Основной шрифт абзаца8"/>
    <w:qFormat/>
    <w:rPr/>
  </w:style>
  <w:style w:type="character" w:styleId="7">
    <w:name w:val="Основной шрифт абзаца7"/>
    <w:qFormat/>
    <w:rPr/>
  </w:style>
  <w:style w:type="character" w:styleId="6">
    <w:name w:val="Основной шрифт абзаца6"/>
    <w:qFormat/>
    <w:rPr/>
  </w:style>
  <w:style w:type="character" w:styleId="WW8Num4z0">
    <w:name w:val="WW8Num4z0"/>
    <w:qFormat/>
    <w:rPr>
      <w:rFonts w:ascii="Wingdings" w:hAnsi="Wingdings" w:cs="Wingdings"/>
      <w:color w:val="000000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PreformattedChar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Style15">
    <w:name w:val="Гіперпосилання"/>
    <w:rPr>
      <w:color w:val="0000FF"/>
      <w:u w:val="single"/>
    </w:rPr>
  </w:style>
  <w:style w:type="character" w:styleId="32">
    <w:name w:val="Заголовок 3 Знак"/>
    <w:qFormat/>
    <w:rPr>
      <w:rFonts w:ascii="Cambria" w:hAnsi="Cambria" w:cs="Cambria"/>
      <w:b/>
      <w:bCs/>
      <w:sz w:val="26"/>
      <w:szCs w:val="26"/>
      <w:lang w:val="uk-UA" w:eastAsia="zh-CN" w:bidi="ar-SA"/>
    </w:rPr>
  </w:style>
  <w:style w:type="character" w:styleId="Style16">
    <w:name w:val="Виділення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17">
    <w:name w:val="Нижний колонтитул Знак"/>
    <w:qFormat/>
    <w:rPr>
      <w:bCs/>
      <w:sz w:val="28"/>
      <w:szCs w:val="24"/>
      <w:lang w:eastAsia="zh-CN"/>
    </w:rPr>
  </w:style>
  <w:style w:type="character" w:styleId="Style18">
    <w:name w:val="Текст выноски Знак"/>
    <w:qFormat/>
    <w:rPr>
      <w:rFonts w:ascii="Tahoma" w:hAnsi="Tahoma" w:cs="Tahoma"/>
      <w:bCs/>
      <w:sz w:val="16"/>
      <w:szCs w:val="16"/>
      <w:lang w:eastAsia="zh-CN"/>
    </w:rPr>
  </w:style>
  <w:style w:type="character" w:styleId="Style19">
    <w:name w:val="Верхний колонтитул Знак"/>
    <w:qFormat/>
    <w:rPr>
      <w:bCs/>
      <w:sz w:val="28"/>
      <w:szCs w:val="24"/>
      <w:lang w:eastAsia="zh-CN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Droid Sans Fallback" w:cs="FreeSans;Calibri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FreeSans;Calibri"/>
    </w:rPr>
  </w:style>
  <w:style w:type="paragraph" w:styleId="Style25">
    <w:name w:val="Название объекта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81">
    <w:name w:val="Название объекта8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FreeSans;Calibri"/>
      <w:i/>
      <w:iCs/>
      <w:sz w:val="24"/>
      <w:szCs w:val="24"/>
    </w:rPr>
  </w:style>
  <w:style w:type="paragraph" w:styleId="22">
    <w:name w:val="Название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"/>
    </w:rPr>
  </w:style>
  <w:style w:type="paragraph" w:styleId="24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4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5">
    <w:name w:val="Указатель1"/>
    <w:basedOn w:val="Normal"/>
    <w:qFormat/>
    <w:pPr>
      <w:suppressLineNumbers/>
    </w:pPr>
    <w:rPr>
      <w:rFonts w:cs="Mangal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16">
    <w:name w:val="Обычный (веб)1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>
    <w:name w:val="WW-Основний текст"/>
    <w:basedOn w:val="Normal"/>
    <w:qFormat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2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7">
    <w:name w:val="Абзац списка1"/>
    <w:basedOn w:val="Normal"/>
    <w:qFormat/>
    <w:pPr>
      <w:ind w:left="720" w:right="0" w:hanging="0"/>
    </w:pPr>
    <w:rPr>
      <w:rFonts w:eastAsia="Calibri"/>
      <w:bCs w:val="false"/>
      <w:szCs w:val="28"/>
      <w:lang w:val="ru-RU"/>
    </w:rPr>
  </w:style>
  <w:style w:type="paragraph" w:styleId="HTML1">
    <w:name w:val="Стандартный HTML1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Style30">
    <w:name w:val="Содержимое врезки"/>
    <w:basedOn w:val="Style21"/>
    <w:qFormat/>
    <w:pPr/>
    <w:rPr/>
  </w:style>
  <w:style w:type="paragraph" w:styleId="Style31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32">
    <w:name w:val="Содержимое таблицы"/>
    <w:basedOn w:val="Normal"/>
    <w:qFormat/>
    <w:pPr>
      <w:suppressLineNumbers/>
    </w:pPr>
    <w:rPr/>
  </w:style>
  <w:style w:type="paragraph" w:styleId="Style33">
    <w:name w:val="Заголовок таблицы"/>
    <w:basedOn w:val="Style32"/>
    <w:qFormat/>
    <w:pPr>
      <w:suppressLineNumbers/>
      <w:jc w:val="center"/>
    </w:pPr>
    <w:rPr>
      <w:b/>
      <w:bCs/>
    </w:rPr>
  </w:style>
  <w:style w:type="paragraph" w:styleId="Style34">
    <w:name w:val="Вміст таблиці"/>
    <w:basedOn w:val="Normal"/>
    <w:qFormat/>
    <w:pPr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paragraph" w:styleId="Style36">
    <w:name w:val="Вміст кадру"/>
    <w:basedOn w:val="Normal"/>
    <w:qFormat/>
    <w:pPr/>
    <w:rPr/>
  </w:style>
  <w:style w:type="paragraph" w:styleId="Style37">
    <w:name w:val="Вміст рамки"/>
    <w:basedOn w:val="Normal"/>
    <w:qFormat/>
    <w:pPr/>
    <w:rPr/>
  </w:style>
  <w:style w:type="paragraph" w:styleId="18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Application>LibreOffice/5.4.2.2$Windows_x86 LibreOffice_project/22b09f6418e8c2d508a9eaf86b2399209b0990f4</Application>
  <Pages>8</Pages>
  <Words>1222</Words>
  <Characters>8732</Characters>
  <CharactersWithSpaces>9902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nkhmel</dc:creator>
  <dc:description/>
  <dc:language>uk-UA</dc:language>
  <cp:lastModifiedBy/>
  <dcterms:modified xsi:type="dcterms:W3CDTF">2023-08-10T15:55:07Z</dcterms:modified>
  <cp:revision>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