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 xml:space="preserve">Додаток </w:t>
      </w:r>
    </w:p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 xml:space="preserve">до рішення міської ради </w:t>
      </w:r>
    </w:p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>_______________№ ___________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  <w:t>ПАСПОРТ  ПРОГРАМИ</w:t>
      </w:r>
    </w:p>
    <w:tbl>
      <w:tblPr>
        <w:tblW w:w="954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59"/>
        <w:gridCol w:w="3775"/>
        <w:gridCol w:w="5206"/>
      </w:tblGrid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Ініціатор розроблення Програми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Луцька міська рада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Дата, номер та назва документу органу виконавчої влади про розроблення Програми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highlight w:val="yellow"/>
                <w:lang w:val="uk-UA"/>
              </w:rPr>
            </w:pPr>
            <w:r>
              <w:rPr>
                <w:sz w:val="28"/>
                <w:lang w:val="uk-UA"/>
              </w:rPr>
              <w:t>-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3.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Розробник Програми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highlight w:val="yellow"/>
                <w:lang w:val="uk-UA"/>
              </w:rPr>
            </w:pPr>
            <w:r>
              <w:rPr>
                <w:sz w:val="28"/>
                <w:lang w:val="uk-UA"/>
              </w:rPr>
              <w:t xml:space="preserve">Департамент житлово-комунального господарства Луцької міської ради 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Співрозробники Програми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Об’єднання співвласників багатоквартирних будинків Луцької міської територіальної громади (далі – ОСББ, Позичальники)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5.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Відповідальний виконавець Програми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Департамент житлово-комунального господарства Луцької міської ради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6.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Учасники Програми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ОСББ</w:t>
            </w:r>
          </w:p>
        </w:tc>
      </w:tr>
      <w:tr>
        <w:trPr/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7.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Термін реалізації Програми 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202</w:t>
            </w:r>
            <w:r>
              <w:rPr>
                <w:color w:val="auto"/>
                <w:sz w:val="28"/>
                <w:lang w:val="uk-UA"/>
              </w:rPr>
              <w:t>1–2024 роки</w:t>
            </w:r>
          </w:p>
        </w:tc>
      </w:tr>
      <w:tr>
        <w:trPr>
          <w:trHeight w:val="821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Загальний обсяг фінансових  ресурсів, необхідних для реалізації Програми, всього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sz w:val="28"/>
                <w:szCs w:val="28"/>
                <w:lang w:val="uk-UA" w:eastAsia="ru-RU"/>
              </w:rPr>
              <w:t>1 150 000,0</w:t>
            </w:r>
            <w:r>
              <w:rPr>
                <w:color w:val="auto"/>
                <w:sz w:val="28"/>
                <w:lang w:val="uk-UA"/>
              </w:rPr>
              <w:t xml:space="preserve"> тис. грн</w:t>
            </w:r>
          </w:p>
        </w:tc>
      </w:tr>
      <w:tr>
        <w:trPr>
          <w:trHeight w:val="373" w:hRule="atLeast"/>
        </w:trPr>
        <w:tc>
          <w:tcPr>
            <w:tcW w:w="9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720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 тому числі:</w:t>
            </w:r>
          </w:p>
        </w:tc>
      </w:tr>
      <w:tr>
        <w:trPr>
          <w:trHeight w:val="1024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8.1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бюджету Луцької міської територіальної громади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20 000,00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25 000,00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30 000,00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40 000,00 тис. грн</w:t>
            </w:r>
          </w:p>
        </w:tc>
      </w:tr>
      <w:tr>
        <w:trPr>
          <w:trHeight w:val="723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8.2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співвласників</w:t>
            </w:r>
          </w:p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відповідно до Державної цільової програми енергоефективності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40 000,00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50 000,00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60 000,00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80 000,00 тис. грн</w:t>
            </w:r>
          </w:p>
        </w:tc>
      </w:tr>
      <w:tr>
        <w:trPr>
          <w:trHeight w:val="723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8.3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інших джерел відповідно до Державної цільової програми енергоефективності</w:t>
            </w:r>
          </w:p>
        </w:tc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140 000,00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175 000,00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210 000,00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280 000,00 тис. грн</w:t>
            </w:r>
          </w:p>
        </w:tc>
      </w:tr>
    </w:tbl>
    <w:p>
      <w:pPr>
        <w:pStyle w:val="1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Осіюк 773 150</w:t>
      </w:r>
    </w:p>
    <w:p>
      <w:pPr>
        <w:pStyle w:val="Normal"/>
        <w:ind w:left="4956" w:hanging="0"/>
        <w:jc w:val="both"/>
        <w:rPr>
          <w:sz w:val="28"/>
          <w:lang w:val="uk-UA"/>
        </w:rPr>
      </w:pPr>
      <w:r>
        <w:rPr>
          <w:sz w:val="28"/>
          <w:lang w:val="uk-UA"/>
        </w:rPr>
        <w:t>Додаток 1</w:t>
      </w:r>
    </w:p>
    <w:p>
      <w:pPr>
        <w:pStyle w:val="Normal"/>
        <w:ind w:left="4956" w:firstLine="6"/>
        <w:jc w:val="both"/>
        <w:rPr/>
      </w:pPr>
      <w:r>
        <w:rPr>
          <w:sz w:val="28"/>
          <w:lang w:val="uk-UA"/>
        </w:rPr>
        <w:t>до Програми відшкодування частини суми кредитів ОСББ Луцької</w:t>
        <w:br/>
        <w:t>міської територіальної громади, залучених на впровадження в</w:t>
        <w:br/>
        <w:t>будинках енергоефективних та енергозберігаючих заходів на</w:t>
        <w:br/>
        <w:t>2021–</w:t>
      </w:r>
      <w:r>
        <w:rPr>
          <w:color w:val="auto"/>
          <w:sz w:val="28"/>
          <w:lang w:val="uk-UA"/>
        </w:rPr>
        <w:t>2024 роки</w:t>
      </w:r>
    </w:p>
    <w:p>
      <w:pPr>
        <w:pStyle w:val="Normal"/>
        <w:jc w:val="both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Ресурсне забезпечення 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Програми відшкодування частини суми кредитів ОСББ Луцької міської територіальної громади, залучених на впровадження в будинках енергоефективних та енергозберігаючих заходів на 2021</w:t>
      </w:r>
      <w:r>
        <w:rPr>
          <w:color w:val="auto"/>
          <w:sz w:val="28"/>
          <w:lang w:val="uk-UA"/>
        </w:rPr>
        <w:t>–2024 роки</w:t>
      </w:r>
    </w:p>
    <w:p>
      <w:pPr>
        <w:pStyle w:val="Normal"/>
        <w:ind w:left="4956" w:firstLine="708"/>
        <w:jc w:val="both"/>
        <w:rPr>
          <w:color w:val="auto"/>
          <w:sz w:val="28"/>
          <w:lang w:val="uk-UA"/>
        </w:rPr>
      </w:pPr>
      <w:r>
        <w:rPr>
          <w:color w:val="auto"/>
          <w:sz w:val="28"/>
          <w:lang w:val="uk-UA"/>
        </w:rPr>
      </w:r>
    </w:p>
    <w:tbl>
      <w:tblPr>
        <w:tblpPr w:bottomFromText="0" w:horzAnchor="text" w:leftFromText="180" w:rightFromText="180" w:tblpX="108" w:tblpY="1" w:topFromText="0" w:vertAnchor="text"/>
        <w:tblW w:w="997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62"/>
        <w:gridCol w:w="1418"/>
        <w:gridCol w:w="1416"/>
        <w:gridCol w:w="1418"/>
        <w:gridCol w:w="1416"/>
        <w:gridCol w:w="1645"/>
      </w:tblGrid>
      <w:tr>
        <w:trPr>
          <w:trHeight w:val="575" w:hRule="atLeast"/>
        </w:trPr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Обсяг коштів, які пропонується залучити на виконання Програми, тис. грн</w:t>
            </w:r>
          </w:p>
        </w:tc>
        <w:tc>
          <w:tcPr>
            <w:tcW w:w="56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Етапи  виконання програми</w:t>
            </w:r>
          </w:p>
        </w:tc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Загальний  обсяг фінансування Програми, тис. грн</w:t>
            </w:r>
          </w:p>
        </w:tc>
      </w:tr>
      <w:tr>
        <w:trPr>
          <w:trHeight w:val="1606" w:hRule="atLeast"/>
        </w:trPr>
        <w:tc>
          <w:tcPr>
            <w:tcW w:w="26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2021 рік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2022 рік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2023 рік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2024 рік</w:t>
            </w:r>
          </w:p>
        </w:tc>
        <w:tc>
          <w:tcPr>
            <w:tcW w:w="16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  <w:lang w:val="uk-UA"/>
              </w:rPr>
            </w:pPr>
            <w:r>
              <w:rPr>
                <w:color w:val="auto"/>
                <w:sz w:val="26"/>
                <w:szCs w:val="26"/>
                <w:lang w:val="uk-UA"/>
              </w:rPr>
            </w:r>
          </w:p>
        </w:tc>
      </w:tr>
      <w:tr>
        <w:trPr>
          <w:trHeight w:val="1504" w:hRule="atLeast"/>
        </w:trPr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Обсяг фінансових ресурсів всього, у тому числі: бюджет міської територіальної громади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20 000,00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25 000,00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30 000,00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40 000,00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115 000,00</w:t>
            </w:r>
          </w:p>
        </w:tc>
      </w:tr>
      <w:tr>
        <w:trPr/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кошти співвласників відповідно до Державної цільової програми енергоефективності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40 000,00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50 000,00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60 000,00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80 000,00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230 000,00</w:t>
            </w:r>
          </w:p>
        </w:tc>
      </w:tr>
      <w:tr>
        <w:trPr/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кошти інших джерел відповідно до Державної цільової програми енергоефективності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140 000,00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175 000,00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210 000,00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280 000,00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uk-UA"/>
              </w:rPr>
              <w:t>805 000,00</w:t>
            </w:r>
          </w:p>
        </w:tc>
      </w:tr>
    </w:tbl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p>
      <w:pPr>
        <w:sectPr>
          <w:headerReference w:type="default" r:id="rId2"/>
          <w:type w:val="nextPage"/>
          <w:pgSz w:w="11906" w:h="16838"/>
          <w:pgMar w:left="1701" w:right="567" w:header="567" w:top="624" w:footer="0" w:bottom="1134" w:gutter="0"/>
          <w:pgNumType w:start="2" w:fmt="decimal"/>
          <w:formProt w:val="false"/>
          <w:textDirection w:val="lrTb"/>
          <w:docGrid w:type="default" w:linePitch="360" w:charSpace="0"/>
        </w:sectPr>
        <w:pStyle w:val="Normal"/>
        <w:rPr>
          <w:szCs w:val="24"/>
          <w:lang w:val="uk-UA"/>
        </w:rPr>
      </w:pPr>
      <w:r>
        <w:rPr>
          <w:szCs w:val="24"/>
          <w:lang w:val="uk-UA"/>
        </w:rPr>
        <w:t>Осіюк 773 150</w:t>
      </w:r>
    </w:p>
    <w:p>
      <w:pPr>
        <w:pStyle w:val="Normal"/>
        <w:ind w:left="9912" w:hanging="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</w:t>
      </w:r>
      <w:r>
        <w:rPr>
          <w:sz w:val="28"/>
          <w:lang w:val="uk-UA"/>
        </w:rPr>
        <w:t>Додаток 2</w:t>
      </w:r>
    </w:p>
    <w:p>
      <w:pPr>
        <w:pStyle w:val="Normal"/>
        <w:widowControl/>
        <w:suppressAutoHyphens w:val="true"/>
        <w:bidi w:val="0"/>
        <w:spacing w:before="0" w:after="0"/>
        <w:ind w:left="10205" w:right="0" w:hanging="0"/>
        <w:jc w:val="both"/>
        <w:rPr>
          <w:sz w:val="28"/>
          <w:lang w:val="uk-UA"/>
        </w:rPr>
      </w:pPr>
      <w:r>
        <w:rPr>
          <w:sz w:val="28"/>
          <w:lang w:val="uk-UA"/>
        </w:rPr>
        <w:t>до Програми відшкодування частини суми кредитів ОСББ Луцької міської територіальної громади, залучених</w:t>
        <w:br/>
        <w:t>на впровадження в будинках енергоефективних та енергозберігаючих заходів на 2021–</w:t>
      </w:r>
      <w:r>
        <w:rPr>
          <w:color w:val="auto"/>
          <w:sz w:val="28"/>
          <w:lang w:val="uk-UA"/>
        </w:rPr>
        <w:t>2024 роки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  <w:t>НАПРЯМИ ДІЯЛЬНОСТІ І ЗАХОДИ РЕАЛІЗАЦІЇ ПРОГРАМИ</w:t>
      </w:r>
    </w:p>
    <w:tbl>
      <w:tblPr>
        <w:tblW w:w="14836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0" w:lastRow="1" w:firstColumn="1" w:lastColumn="1" w:noHBand="0" w:val="01e0"/>
      </w:tblPr>
      <w:tblGrid>
        <w:gridCol w:w="449"/>
        <w:gridCol w:w="1441"/>
        <w:gridCol w:w="2499"/>
        <w:gridCol w:w="1171"/>
        <w:gridCol w:w="1239"/>
        <w:gridCol w:w="1276"/>
        <w:gridCol w:w="1135"/>
        <w:gridCol w:w="1133"/>
        <w:gridCol w:w="1134"/>
        <w:gridCol w:w="1136"/>
        <w:gridCol w:w="1101"/>
        <w:gridCol w:w="12"/>
        <w:gridCol w:w="1102"/>
        <w:gridCol w:w="7"/>
      </w:tblGrid>
      <w:tr>
        <w:trPr>
          <w:tblHeader w:val="true"/>
          <w:trHeight w:val="276" w:hRule="atLeast"/>
          <w:cantSplit w:val="true"/>
        </w:trPr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№ </w:t>
            </w:r>
            <w:r>
              <w:rPr>
                <w:b/>
                <w:sz w:val="22"/>
                <w:szCs w:val="22"/>
                <w:lang w:val="uk-UA"/>
              </w:rPr>
              <w:t>з/п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2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Перелік заходів Програми 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Термін вико-нання</w:t>
            </w:r>
          </w:p>
        </w:tc>
        <w:tc>
          <w:tcPr>
            <w:tcW w:w="1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Виконавці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Джерела фінансування</w:t>
            </w:r>
          </w:p>
        </w:tc>
        <w:tc>
          <w:tcPr>
            <w:tcW w:w="56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</w:tcPr>
          <w:p>
            <w:pPr>
              <w:pStyle w:val="Normal"/>
              <w:widowControl w:val="false"/>
              <w:ind w:left="-136" w:right="-79" w:hanging="0"/>
              <w:jc w:val="center"/>
              <w:rPr>
                <w:b/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Орієнтовні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обсяги фінансування (вартість) тис. грн.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Очікуваний результат</w:t>
            </w:r>
          </w:p>
        </w:tc>
      </w:tr>
      <w:tr>
        <w:trPr>
          <w:tblHeader w:val="true"/>
          <w:trHeight w:val="539" w:hRule="atLeast"/>
          <w:cantSplit w:val="true"/>
        </w:trPr>
        <w:tc>
          <w:tcPr>
            <w:tcW w:w="4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1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2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2021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2023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202</w:t>
            </w: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1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РАЗОМ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blHeader w:val="true"/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3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10</w:t>
            </w:r>
          </w:p>
        </w:tc>
        <w:tc>
          <w:tcPr>
            <w:tcW w:w="1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11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1.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Стимулювати впровадження енерго-ефективних заходів населенням та суб’єктами господарю-вання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Висвітленням в ЗМІ переваг та ефективності впровадження заходів з енергоефективності, в т.ч. на основі місцевого досвіду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Департамент ЖКГ Луцької міської ради, ОСББ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Фінансування не потребує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11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152" w:hRule="atLeast"/>
          <w:cantSplit w:val="true"/>
        </w:trPr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2.</w:t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bookmarkStart w:id="0" w:name="_Hlk27577940"/>
            <w:r>
              <w:rPr>
                <w:sz w:val="20"/>
                <w:szCs w:val="20"/>
                <w:lang w:val="uk-UA"/>
              </w:rPr>
              <w:t>Надання фінансової підтримки та відшкодування частини суми кредитів  ОСББ Луцької міської територіальної громади, які беруть участь у програмах державної установи «Фонд енергоефективності», зокрема, програмі «</w:t>
            </w:r>
            <w:r>
              <w:rPr>
                <w:rFonts w:eastAsia="Times New Roman" w:cs="Times New Roman"/>
                <w:iCs/>
                <w:sz w:val="20"/>
                <w:szCs w:val="20"/>
                <w:lang w:val="uk-UA" w:eastAsia="ru-RU"/>
              </w:rPr>
              <w:t>ЕНЕРГОДІМ</w:t>
            </w:r>
            <w:r>
              <w:rPr>
                <w:sz w:val="20"/>
                <w:szCs w:val="20"/>
                <w:lang w:val="uk-UA"/>
              </w:rPr>
              <w:t xml:space="preserve">» та залучають кредитні кошти на впровадження </w:t>
            </w:r>
            <w:r>
              <w:rPr>
                <w:rFonts w:eastAsia="Times New Roman" w:cs="Times New Roman"/>
                <w:iCs/>
                <w:sz w:val="20"/>
                <w:szCs w:val="20"/>
                <w:lang w:val="uk-UA" w:eastAsia="ru-RU"/>
              </w:rPr>
              <w:t>в житлових будинках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bookmarkEnd w:id="0"/>
            <w:r>
              <w:rPr>
                <w:sz w:val="20"/>
                <w:szCs w:val="20"/>
                <w:lang w:val="uk-UA"/>
              </w:rPr>
              <w:t>енергозберігаючих заходів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Департамент ЖКГ Луцької міської ради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Бюджет Луцької міської територіальної громади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15500,0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21900,0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28000,0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39000,0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Cs w:val="20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sz w:val="20"/>
                <w:szCs w:val="20"/>
                <w:lang w:val="uk-UA" w:eastAsia="ru-RU"/>
              </w:rPr>
              <w:t>104400</w:t>
            </w:r>
            <w:r>
              <w:rPr>
                <w:color w:val="auto"/>
                <w:sz w:val="20"/>
                <w:szCs w:val="20"/>
                <w:lang w:val="uk-UA"/>
              </w:rPr>
              <w:t>,0</w:t>
            </w:r>
          </w:p>
        </w:tc>
        <w:tc>
          <w:tcPr>
            <w:tcW w:w="111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067" w:hRule="atLeast"/>
          <w:cantSplit w:val="true"/>
        </w:trPr>
        <w:tc>
          <w:tcPr>
            <w:tcW w:w="4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ОСББ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Кошти співвласників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40000,0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50000,0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80000,0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230000,0</w:t>
            </w:r>
          </w:p>
        </w:tc>
        <w:tc>
          <w:tcPr>
            <w:tcW w:w="111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576" w:hRule="atLeast"/>
          <w:cantSplit w:val="true"/>
        </w:trPr>
        <w:tc>
          <w:tcPr>
            <w:tcW w:w="4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Фонд ЕЕ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Кошти інших джерел Програма ЕНЕРГОДІМ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140000,0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175000,0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210000,0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280000,0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805000,0</w:t>
            </w:r>
          </w:p>
        </w:tc>
        <w:tc>
          <w:tcPr>
            <w:tcW w:w="111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3.</w:t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Розробка, тиражування та поширення поліграфічної продукції навчального, довідкового, рекламного характеру; проведення круглих столів, семінарів, семінарів-тренінгів з питань енергозбереження та енергоефективності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Департамент ЖКГ Луцької міської ради, ОСББ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Фінансування не потребує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1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Забезпечити участь активних мешканців в реалізації місцевої енергетичної політики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Залучення до співпраці активної молоді та людей з громадських організацій і бізнесу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Департамент ЖКГ Луцької міської ради, ОСББ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Фінансування не потребує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Нові ідеї та проекти</w:t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2267" w:hRule="atLeast"/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5.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Підвищити обізнаність населення з питань раціонального споживання енергії та оптимальних технічних рішень для скорочення споживання енергії на рівні кінцевого споживача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3"/>
              <w:widowControl w:val="false"/>
              <w:spacing w:lineRule="auto" w:line="240"/>
              <w:rPr>
                <w:rFonts w:ascii="Times New Roman" w:hAnsi="Times New Roman" w:cs="Times New Roman"/>
                <w:spacing w:val="0"/>
                <w:sz w:val="20"/>
                <w:szCs w:val="20"/>
                <w:lang w:val="uk-UA" w:eastAsia="ru-RU"/>
              </w:rPr>
            </w:pPr>
            <w:r>
              <w:rPr>
                <w:rFonts w:cs="Times New Roman" w:ascii="Times New Roman" w:hAnsi="Times New Roman"/>
                <w:spacing w:val="0"/>
                <w:sz w:val="20"/>
                <w:szCs w:val="20"/>
                <w:lang w:val="uk-UA" w:eastAsia="ru-RU"/>
              </w:rPr>
              <w:t>Створення окремого розділу на сайті міської ради, присвяченого підтримці інформаційних кампаній, місцевій енергетичній політиці. Ведення на сайті ради відкритого реєстру заяв та договорів ОСББ про надання фінансової підтримки.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Департамент ЖКГ Луцької міської ради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Фінансування не потребує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6.</w:t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Просвітницька робота та інформаційні заходи в навчальних закладах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Департамент ЖКГ Луцької міської ради, ОСББ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Фінансування не потребує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11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Залучення кредитних коштів на заходи термомодернізації та підвищення енергоефективності житлових будинків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Відшкодування відсотків</w:t>
            </w:r>
            <w:r>
              <w:rPr>
                <w:color w:val="FF0000"/>
                <w:sz w:val="20"/>
                <w:szCs w:val="20"/>
                <w:lang w:val="uk-UA"/>
              </w:rPr>
              <w:t xml:space="preserve">  </w:t>
            </w:r>
            <w:r>
              <w:rPr>
                <w:sz w:val="20"/>
                <w:szCs w:val="20"/>
                <w:lang w:val="uk-UA"/>
              </w:rPr>
              <w:t xml:space="preserve">за кредитами, залученими ОСББ на заходи  енергозбереження </w:t>
            </w:r>
          </w:p>
          <w:p>
            <w:pPr>
              <w:pStyle w:val="Normal"/>
              <w:widowControl w:val="false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у житлових будинках за час дії Програми по відшкодуванню відсоткових ставок за залученими кредитами у 2013-2017 роках (у тому числі оплата кредиторської заборгованості)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Департамент ЖКГ Луцької міської ради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Бюджет Луцької міської територіальної громади</w:t>
            </w:r>
          </w:p>
          <w:p>
            <w:pPr>
              <w:pStyle w:val="Normal"/>
              <w:widowControl w:val="false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1600,0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2000</w:t>
            </w:r>
            <w:r>
              <w:rPr>
                <w:color w:val="auto"/>
                <w:sz w:val="20"/>
                <w:szCs w:val="20"/>
                <w:lang w:val="uk-UA"/>
              </w:rPr>
              <w:t>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1000,0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57</w:t>
            </w:r>
            <w:r>
              <w:rPr>
                <w:color w:val="auto"/>
                <w:sz w:val="20"/>
                <w:szCs w:val="20"/>
                <w:lang w:val="uk-UA"/>
              </w:rPr>
              <w:t>00,0</w:t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4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highlight w:val="yellow"/>
                <w:lang w:val="uk-UA"/>
              </w:rPr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highlight w:val="yellow"/>
                <w:lang w:val="uk-UA"/>
              </w:rPr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Відшкодування  </w:t>
            </w:r>
            <w:r>
              <w:rPr>
                <w:b/>
                <w:sz w:val="28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частини суми кредитів та відсотки</w:t>
            </w:r>
            <w:r>
              <w:rPr>
                <w:color w:val="FF0000"/>
                <w:sz w:val="20"/>
                <w:szCs w:val="20"/>
                <w:lang w:val="uk-UA"/>
              </w:rPr>
              <w:t xml:space="preserve">  </w:t>
            </w:r>
            <w:r>
              <w:rPr>
                <w:sz w:val="20"/>
                <w:szCs w:val="20"/>
                <w:lang w:val="uk-UA"/>
              </w:rPr>
              <w:t>за кредитами ОСББ міста Луцька, залучених на впровадження в будинках енергоефективних заходів на 2018-2020 роки (у тому числі оплата кредиторської заборгованості)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4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Департамент ЖКГ Луцької міської ради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Бюджет Луцької міської територіальної громади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2900,0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4900,0</w:t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ind w:left="142" w:hanging="0"/>
        <w:rPr>
          <w:b/>
          <w:b/>
          <w:sz w:val="28"/>
          <w:lang w:val="uk-UA"/>
        </w:rPr>
      </w:pPr>
      <w:r>
        <w:rPr>
          <w:lang w:val="uk-UA"/>
        </w:rPr>
        <w:t>Осіюк 773 150</w:t>
      </w:r>
    </w:p>
    <w:p>
      <w:pPr>
        <w:pStyle w:val="Normal"/>
        <w:jc w:val="both"/>
        <w:rPr>
          <w:lang w:val="uk-UA"/>
        </w:rPr>
      </w:pPr>
      <w:r>
        <w:rPr/>
      </w:r>
    </w:p>
    <w:sectPr>
      <w:headerReference w:type="default" r:id="rId3"/>
      <w:footerReference w:type="default" r:id="rId4"/>
      <w:type w:val="nextPage"/>
      <w:pgSz w:orient="landscape" w:w="16838" w:h="11906"/>
      <w:pgMar w:left="851" w:right="851" w:header="709" w:top="1560" w:footer="290" w:bottom="851" w:gutter="0"/>
      <w:pgNumType w:start="10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tabs>
        <w:tab w:val="center" w:pos="4677" w:leader="none"/>
        <w:tab w:val="center" w:pos="7568" w:leader="none"/>
        <w:tab w:val="left" w:pos="8148" w:leader="none"/>
        <w:tab w:val="right" w:pos="9355" w:leader="none"/>
      </w:tabs>
      <w:rPr/>
    </w:pPr>
    <w:r>
      <w:rPr/>
      <w:tab/>
      <w:tab/>
    </w:r>
  </w:p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94022252"/>
    </w:sdtPr>
    <w:sdtContent>
      <w:p>
        <w:pPr>
          <w:pStyle w:val="Style27"/>
          <w:jc w:val="center"/>
          <w:rPr/>
        </w:pPr>
        <w:r>
          <w:rPr>
            <w:sz w:val="28"/>
          </w:rPr>
          <w:fldChar w:fldCharType="begin"/>
        </w:r>
        <w:r>
          <w:rPr>
            <w:sz w:val="28"/>
          </w:rPr>
          <w:instrText> PAGE </w:instrText>
        </w:r>
        <w:r>
          <w:rPr>
            <w:sz w:val="28"/>
          </w:rPr>
          <w:fldChar w:fldCharType="separate"/>
        </w:r>
        <w:r>
          <w:rPr>
            <w:sz w:val="28"/>
          </w:rPr>
          <w:t>3</w:t>
        </w:r>
        <w:r>
          <w:rPr>
            <w:sz w:val="28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2720144"/>
    </w:sdtPr>
    <w:sdtContent>
      <w:p>
        <w:pPr>
          <w:pStyle w:val="Style27"/>
          <w:jc w:val="center"/>
          <w:rPr/>
        </w:pPr>
        <w:r>
          <w:rPr>
            <w:sz w:val="28"/>
          </w:rPr>
          <w:fldChar w:fldCharType="begin"/>
        </w:r>
        <w:r>
          <w:rPr>
            <w:sz w:val="28"/>
          </w:rPr>
          <w:instrText> PAGE </w:instrText>
        </w:r>
        <w:r>
          <w:rPr>
            <w:sz w:val="28"/>
          </w:rPr>
          <w:fldChar w:fldCharType="separate"/>
        </w:r>
        <w:r>
          <w:rPr>
            <w:sz w:val="28"/>
          </w:rPr>
          <w:t>12</w:t>
        </w:r>
        <w:r>
          <w:rPr>
            <w:sz w:val="28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3c4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Cs/>
      <w:color w:val="auto"/>
      <w:kern w:val="0"/>
      <w:sz w:val="24"/>
      <w:szCs w:val="28"/>
      <w:lang w:val="ru-RU" w:eastAsia="ru-RU" w:bidi="ar-SA"/>
    </w:rPr>
  </w:style>
  <w:style w:type="paragraph" w:styleId="1">
    <w:name w:val="Heading 1"/>
    <w:basedOn w:val="Normal"/>
    <w:next w:val="Normal"/>
    <w:uiPriority w:val="9"/>
    <w:qFormat/>
    <w:rsid w:val="00ca4d3c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</w:rPr>
  </w:style>
  <w:style w:type="paragraph" w:styleId="3">
    <w:name w:val="Heading 3"/>
    <w:basedOn w:val="Normal"/>
    <w:next w:val="Normal"/>
    <w:uiPriority w:val="9"/>
    <w:semiHidden/>
    <w:unhideWhenUsed/>
    <w:qFormat/>
    <w:rsid w:val="00fd02e5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Верхний колонтитул Знак"/>
    <w:basedOn w:val="DefaultParagraphFont"/>
    <w:uiPriority w:val="99"/>
    <w:qFormat/>
    <w:rsid w:val="00f13c4d"/>
    <w:rPr>
      <w:rFonts w:ascii="Times New Roman" w:hAnsi="Times New Roman" w:eastAsia="Times New Roman" w:cs="Times New Roman"/>
      <w:iCs/>
      <w:sz w:val="24"/>
      <w:szCs w:val="28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f13c4d"/>
    <w:rPr>
      <w:rFonts w:ascii="Times New Roman" w:hAnsi="Times New Roman" w:eastAsia="Times New Roman" w:cs="Times New Roman"/>
      <w:iCs/>
      <w:sz w:val="24"/>
      <w:szCs w:val="28"/>
      <w:lang w:eastAsia="ru-RU"/>
    </w:rPr>
  </w:style>
  <w:style w:type="character" w:styleId="11" w:customStyle="1">
    <w:name w:val="Заголовок 1 Знак"/>
    <w:basedOn w:val="DefaultParagraphFont"/>
    <w:uiPriority w:val="9"/>
    <w:qFormat/>
    <w:rsid w:val="00ca4d3c"/>
    <w:rPr>
      <w:rFonts w:ascii="Cambria" w:hAnsi="Cambria" w:eastAsia="" w:cs="" w:asciiTheme="majorHAnsi" w:cstheme="majorBidi" w:eastAsiaTheme="majorEastAsia" w:hAnsiTheme="majorHAnsi"/>
      <w:b/>
      <w:bCs/>
      <w:iCs/>
      <w:color w:val="365F91" w:themeColor="accent1" w:themeShade="bf"/>
      <w:sz w:val="28"/>
      <w:szCs w:val="28"/>
      <w:lang w:eastAsia="ru-RU"/>
    </w:rPr>
  </w:style>
  <w:style w:type="character" w:styleId="Style14">
    <w:name w:val="Гіперпосилання"/>
    <w:basedOn w:val="DefaultParagraphFont"/>
    <w:uiPriority w:val="99"/>
    <w:unhideWhenUsed/>
    <w:rsid w:val="00ca4d3c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ca4d3c"/>
    <w:rPr>
      <w:rFonts w:ascii="Tahoma" w:hAnsi="Tahoma" w:eastAsia="Times New Roman" w:cs="Tahoma"/>
      <w:iCs/>
      <w:sz w:val="16"/>
      <w:szCs w:val="16"/>
      <w:lang w:eastAsia="ru-RU"/>
    </w:rPr>
  </w:style>
  <w:style w:type="character" w:styleId="Style16" w:customStyle="1">
    <w:name w:val="Основной текст с отступом Знак"/>
    <w:basedOn w:val="DefaultParagraphFont"/>
    <w:qFormat/>
    <w:rsid w:val="00ca4d3c"/>
    <w:rPr>
      <w:rFonts w:ascii="Times New Roman" w:hAnsi="Times New Roman" w:eastAsia="Times New Roman" w:cs="Times New Roman"/>
      <w:sz w:val="28"/>
      <w:szCs w:val="24"/>
      <w:lang w:val="uk-UA" w:eastAsia="ru-RU"/>
    </w:rPr>
  </w:style>
  <w:style w:type="character" w:styleId="Style17" w:customStyle="1">
    <w:name w:val="Основной текст Знак"/>
    <w:basedOn w:val="DefaultParagraphFont"/>
    <w:qFormat/>
    <w:rsid w:val="00ca4d3c"/>
    <w:rPr>
      <w:rFonts w:ascii="Times New Roman" w:hAnsi="Times New Roman" w:eastAsia="Times New Roman" w:cs="Times New Roman"/>
      <w:sz w:val="28"/>
      <w:szCs w:val="24"/>
      <w:lang w:val="uk-UA" w:eastAsia="ru-RU"/>
    </w:rPr>
  </w:style>
  <w:style w:type="character" w:styleId="2" w:customStyle="1">
    <w:name w:val="Основной текст 2 Знак"/>
    <w:basedOn w:val="DefaultParagraphFont"/>
    <w:qFormat/>
    <w:rsid w:val="00ca4d3c"/>
    <w:rPr>
      <w:rFonts w:ascii="Times New Roman" w:hAnsi="Times New Roman" w:eastAsia="Times New Roman" w:cs="Times New Roman"/>
      <w:sz w:val="24"/>
      <w:szCs w:val="24"/>
      <w:lang w:val="uk-UA" w:eastAsia="ru-RU"/>
    </w:rPr>
  </w:style>
  <w:style w:type="character" w:styleId="31" w:customStyle="1">
    <w:name w:val="Заголовок 3 Знак"/>
    <w:basedOn w:val="DefaultParagraphFont"/>
    <w:uiPriority w:val="9"/>
    <w:semiHidden/>
    <w:qFormat/>
    <w:rsid w:val="00fd02e5"/>
    <w:rPr>
      <w:rFonts w:ascii="Cambria" w:hAnsi="Cambria" w:eastAsia="" w:cs="" w:asciiTheme="majorHAnsi" w:cstheme="majorBidi" w:eastAsiaTheme="majorEastAsia" w:hAnsiTheme="majorHAnsi"/>
      <w:b/>
      <w:bCs/>
      <w:iCs/>
      <w:color w:val="4F81BD" w:themeColor="accent1"/>
      <w:sz w:val="24"/>
      <w:szCs w:val="28"/>
      <w:lang w:eastAsia="ru-RU"/>
    </w:rPr>
  </w:style>
  <w:style w:type="character" w:styleId="FontStyle62" w:customStyle="1">
    <w:name w:val="Font Style62"/>
    <w:basedOn w:val="DefaultParagraphFont"/>
    <w:qFormat/>
    <w:rsid w:val="00121b32"/>
    <w:rPr>
      <w:rFonts w:ascii="Times New Roman" w:hAnsi="Times New Roman" w:cs="Times New Roman"/>
      <w:sz w:val="26"/>
      <w:szCs w:val="26"/>
    </w:rPr>
  </w:style>
  <w:style w:type="character" w:styleId="FontStyle67" w:customStyle="1">
    <w:name w:val="Font Style67"/>
    <w:basedOn w:val="DefaultParagraphFont"/>
    <w:qFormat/>
    <w:rsid w:val="00121b32"/>
    <w:rPr>
      <w:rFonts w:ascii="Times New Roman" w:hAnsi="Times New Roman" w:cs="Times New Roman"/>
      <w:b/>
      <w:bCs/>
      <w:sz w:val="26"/>
      <w:szCs w:val="26"/>
    </w:rPr>
  </w:style>
  <w:style w:type="character" w:styleId="Rvts23" w:customStyle="1">
    <w:name w:val="rvts23"/>
    <w:basedOn w:val="DefaultParagraphFont"/>
    <w:qFormat/>
    <w:rsid w:val="00740fb3"/>
    <w:rPr/>
  </w:style>
  <w:style w:type="character" w:styleId="Appleconvertedspace" w:customStyle="1">
    <w:name w:val="apple-converted-space"/>
    <w:basedOn w:val="DefaultParagraphFont"/>
    <w:qFormat/>
    <w:rsid w:val="00740fb3"/>
    <w:rPr/>
  </w:style>
  <w:style w:type="character" w:styleId="Rvts64" w:customStyle="1">
    <w:name w:val="rvts64"/>
    <w:basedOn w:val="DefaultParagraphFont"/>
    <w:qFormat/>
    <w:rsid w:val="00740fb3"/>
    <w:rPr/>
  </w:style>
  <w:style w:type="character" w:styleId="Rvts9" w:customStyle="1">
    <w:name w:val="rvts9"/>
    <w:basedOn w:val="DefaultParagraphFont"/>
    <w:qFormat/>
    <w:rsid w:val="00740fb3"/>
    <w:rPr/>
  </w:style>
  <w:style w:type="character" w:styleId="Annotationreference">
    <w:name w:val="annotation reference"/>
    <w:basedOn w:val="DefaultParagraphFont"/>
    <w:unhideWhenUsed/>
    <w:qFormat/>
    <w:rsid w:val="00163ca2"/>
    <w:rPr>
      <w:sz w:val="16"/>
      <w:szCs w:val="16"/>
    </w:rPr>
  </w:style>
  <w:style w:type="character" w:styleId="Style18" w:customStyle="1">
    <w:name w:val="Текст примечания Знак"/>
    <w:basedOn w:val="DefaultParagraphFont"/>
    <w:qFormat/>
    <w:rsid w:val="00163ca2"/>
    <w:rPr>
      <w:rFonts w:ascii="Times New Roman" w:hAnsi="Times New Roman" w:eastAsia="Times New Roman" w:cs="Times New Roman"/>
      <w:iCs/>
      <w:sz w:val="20"/>
      <w:szCs w:val="20"/>
      <w:lang w:eastAsia="ru-RU"/>
    </w:rPr>
  </w:style>
  <w:style w:type="character" w:styleId="Style19" w:customStyle="1">
    <w:name w:val="Тема примечания Знак"/>
    <w:basedOn w:val="Style18"/>
    <w:uiPriority w:val="99"/>
    <w:semiHidden/>
    <w:qFormat/>
    <w:rsid w:val="00163ca2"/>
    <w:rPr>
      <w:rFonts w:ascii="Times New Roman" w:hAnsi="Times New Roman" w:eastAsia="Times New Roman" w:cs="Times New Roman"/>
      <w:b/>
      <w:bCs/>
      <w:iCs/>
      <w:sz w:val="20"/>
      <w:szCs w:val="20"/>
      <w:lang w:eastAsia="ru-RU"/>
    </w:rPr>
  </w:style>
  <w:style w:type="character" w:styleId="Style20" w:customStyle="1">
    <w:name w:val="Подзаголовок Знак"/>
    <w:basedOn w:val="DefaultParagraphFont"/>
    <w:qFormat/>
    <w:rsid w:val="004c40f3"/>
    <w:rPr>
      <w:rFonts w:ascii="Arial" w:hAnsi="Arial" w:eastAsia="Times New Roman" w:cs="Times New Roman"/>
      <w:i/>
      <w:sz w:val="24"/>
      <w:szCs w:val="24"/>
      <w:lang w:val="uk-UA" w:eastAsia="ru-RU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</w:rPr>
  </w:style>
  <w:style w:type="paragraph" w:styleId="Style22">
    <w:name w:val="Body Text"/>
    <w:basedOn w:val="Normal"/>
    <w:rsid w:val="00ca4d3c"/>
    <w:pPr>
      <w:jc w:val="both"/>
    </w:pPr>
    <w:rPr>
      <w:iCs w:val="false"/>
      <w:sz w:val="28"/>
      <w:szCs w:val="24"/>
      <w:lang w:val="uk-UA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szCs w:val="24"/>
    </w:rPr>
  </w:style>
  <w:style w:type="paragraph" w:styleId="Style26">
    <w:name w:val="Верхній і нижній колонтитули"/>
    <w:basedOn w:val="Normal"/>
    <w:qFormat/>
    <w:pPr/>
    <w:rPr/>
  </w:style>
  <w:style w:type="paragraph" w:styleId="Style27">
    <w:name w:val="Header"/>
    <w:basedOn w:val="Normal"/>
    <w:uiPriority w:val="99"/>
    <w:unhideWhenUsed/>
    <w:rsid w:val="00f13c4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uiPriority w:val="99"/>
    <w:unhideWhenUsed/>
    <w:rsid w:val="00f13c4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Index Heading"/>
    <w:basedOn w:val="Style21"/>
    <w:pPr/>
    <w:rPr/>
  </w:style>
  <w:style w:type="paragraph" w:styleId="TOCHeading">
    <w:name w:val="TOC Heading"/>
    <w:basedOn w:val="1"/>
    <w:next w:val="Normal"/>
    <w:uiPriority w:val="39"/>
    <w:unhideWhenUsed/>
    <w:qFormat/>
    <w:rsid w:val="00ca4d3c"/>
    <w:pPr>
      <w:spacing w:lineRule="auto" w:line="276"/>
    </w:pPr>
    <w:rPr>
      <w:iCs w:val="false"/>
      <w:lang w:eastAsia="en-US"/>
    </w:rPr>
  </w:style>
  <w:style w:type="paragraph" w:styleId="12">
    <w:name w:val="TOC 1"/>
    <w:basedOn w:val="Normal"/>
    <w:next w:val="Normal"/>
    <w:autoRedefine/>
    <w:uiPriority w:val="39"/>
    <w:unhideWhenUsed/>
    <w:rsid w:val="00ca4d3c"/>
    <w:pPr>
      <w:spacing w:before="0" w:after="10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a4d3c"/>
    <w:pPr/>
    <w:rPr>
      <w:rFonts w:ascii="Tahoma" w:hAnsi="Tahoma" w:cs="Tahoma"/>
      <w:sz w:val="16"/>
      <w:szCs w:val="16"/>
    </w:rPr>
  </w:style>
  <w:style w:type="paragraph" w:styleId="Style30">
    <w:name w:val="Body Text Indent"/>
    <w:basedOn w:val="Normal"/>
    <w:rsid w:val="00ca4d3c"/>
    <w:pPr>
      <w:ind w:firstLine="720"/>
      <w:jc w:val="both"/>
    </w:pPr>
    <w:rPr>
      <w:iCs w:val="false"/>
      <w:sz w:val="28"/>
      <w:szCs w:val="24"/>
      <w:lang w:val="uk-UA"/>
    </w:rPr>
  </w:style>
  <w:style w:type="paragraph" w:styleId="BodyText2">
    <w:name w:val="Body Text 2"/>
    <w:basedOn w:val="Normal"/>
    <w:qFormat/>
    <w:rsid w:val="00ca4d3c"/>
    <w:pPr>
      <w:jc w:val="center"/>
    </w:pPr>
    <w:rPr>
      <w:iCs w:val="false"/>
      <w:szCs w:val="24"/>
      <w:lang w:val="uk-UA"/>
    </w:rPr>
  </w:style>
  <w:style w:type="paragraph" w:styleId="ListParagraph">
    <w:name w:val="List Paragraph"/>
    <w:basedOn w:val="Normal"/>
    <w:uiPriority w:val="99"/>
    <w:qFormat/>
    <w:rsid w:val="008c348c"/>
    <w:pPr>
      <w:spacing w:before="0" w:after="0"/>
      <w:ind w:left="720" w:hanging="0"/>
      <w:contextualSpacing/>
    </w:pPr>
    <w:rPr/>
  </w:style>
  <w:style w:type="paragraph" w:styleId="Default" w:customStyle="1">
    <w:name w:val="Default"/>
    <w:qFormat/>
    <w:rsid w:val="00754b1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NormalWeb">
    <w:name w:val="Normal (Web)"/>
    <w:basedOn w:val="Normal"/>
    <w:uiPriority w:val="99"/>
    <w:qFormat/>
    <w:rsid w:val="003222e5"/>
    <w:pPr>
      <w:spacing w:beforeAutospacing="1" w:afterAutospacing="1"/>
    </w:pPr>
    <w:rPr>
      <w:iCs w:val="false"/>
      <w:szCs w:val="24"/>
    </w:rPr>
  </w:style>
  <w:style w:type="paragraph" w:styleId="Style31" w:customStyle="1">
    <w:name w:val="Style3"/>
    <w:basedOn w:val="Normal"/>
    <w:qFormat/>
    <w:rsid w:val="00121b32"/>
    <w:pPr>
      <w:widowControl w:val="false"/>
      <w:spacing w:lineRule="exact" w:line="323"/>
      <w:ind w:firstLine="710"/>
      <w:jc w:val="both"/>
    </w:pPr>
    <w:rPr>
      <w:iCs w:val="false"/>
      <w:szCs w:val="24"/>
    </w:rPr>
  </w:style>
  <w:style w:type="paragraph" w:styleId="Style281" w:customStyle="1">
    <w:name w:val="Style28"/>
    <w:basedOn w:val="Normal"/>
    <w:qFormat/>
    <w:rsid w:val="00121b32"/>
    <w:pPr>
      <w:widowControl w:val="false"/>
      <w:spacing w:lineRule="exact" w:line="326"/>
      <w:jc w:val="both"/>
    </w:pPr>
    <w:rPr>
      <w:iCs w:val="false"/>
      <w:szCs w:val="24"/>
    </w:rPr>
  </w:style>
  <w:style w:type="paragraph" w:styleId="Style301" w:customStyle="1">
    <w:name w:val="Style30"/>
    <w:basedOn w:val="Normal"/>
    <w:qFormat/>
    <w:rsid w:val="00121b32"/>
    <w:pPr>
      <w:widowControl w:val="false"/>
      <w:spacing w:lineRule="exact" w:line="322"/>
      <w:ind w:firstLine="360"/>
      <w:jc w:val="both"/>
    </w:pPr>
    <w:rPr>
      <w:iCs w:val="false"/>
      <w:szCs w:val="24"/>
    </w:rPr>
  </w:style>
  <w:style w:type="paragraph" w:styleId="Style311" w:customStyle="1">
    <w:name w:val="Style31"/>
    <w:basedOn w:val="Normal"/>
    <w:qFormat/>
    <w:rsid w:val="00121b32"/>
    <w:pPr>
      <w:widowControl w:val="false"/>
      <w:spacing w:lineRule="exact" w:line="331"/>
      <w:ind w:hanging="384"/>
      <w:jc w:val="both"/>
    </w:pPr>
    <w:rPr>
      <w:iCs w:val="false"/>
      <w:szCs w:val="24"/>
    </w:rPr>
  </w:style>
  <w:style w:type="paragraph" w:styleId="Rvps17" w:customStyle="1">
    <w:name w:val="rvps17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Rvps3" w:customStyle="1">
    <w:name w:val="rvps3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Rvps6" w:customStyle="1">
    <w:name w:val="rvps6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Annotationtext">
    <w:name w:val="annotation text"/>
    <w:basedOn w:val="Normal"/>
    <w:unhideWhenUsed/>
    <w:qFormat/>
    <w:rsid w:val="00163ca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163ca2"/>
    <w:pPr/>
    <w:rPr>
      <w:b/>
      <w:bCs/>
    </w:rPr>
  </w:style>
  <w:style w:type="paragraph" w:styleId="Rvps2" w:customStyle="1">
    <w:name w:val="rvps2"/>
    <w:basedOn w:val="Normal"/>
    <w:qFormat/>
    <w:rsid w:val="00215d69"/>
    <w:pPr>
      <w:spacing w:beforeAutospacing="1" w:afterAutospacing="1"/>
    </w:pPr>
    <w:rPr>
      <w:iCs w:val="false"/>
      <w:szCs w:val="24"/>
      <w:lang w:val="uk-UA" w:eastAsia="uk-UA"/>
    </w:rPr>
  </w:style>
  <w:style w:type="paragraph" w:styleId="Style32">
    <w:name w:val="Subtitle"/>
    <w:basedOn w:val="Normal"/>
    <w:qFormat/>
    <w:rsid w:val="004c40f3"/>
    <w:pPr>
      <w:spacing w:before="0" w:after="60"/>
      <w:jc w:val="center"/>
    </w:pPr>
    <w:rPr>
      <w:rFonts w:ascii="Arial" w:hAnsi="Arial"/>
      <w:i/>
      <w:iCs w:val="false"/>
      <w:szCs w:val="24"/>
      <w:lang w:val="uk-UA"/>
    </w:rPr>
  </w:style>
  <w:style w:type="paragraph" w:styleId="Docdata" w:customStyle="1">
    <w:name w:val="docdata"/>
    <w:basedOn w:val="Normal"/>
    <w:qFormat/>
    <w:rsid w:val="00304e6f"/>
    <w:pPr>
      <w:spacing w:beforeAutospacing="1" w:afterAutospacing="1"/>
    </w:pPr>
    <w:rPr>
      <w:iCs w:val="false"/>
      <w:szCs w:val="24"/>
    </w:rPr>
  </w:style>
  <w:style w:type="paragraph" w:styleId="Style33" w:customStyle="1">
    <w:name w:val="Обычный + полужирный"/>
    <w:basedOn w:val="Normal"/>
    <w:qFormat/>
    <w:rsid w:val="00fc6d6b"/>
    <w:pPr>
      <w:spacing w:lineRule="atLeast" w:line="240"/>
    </w:pPr>
    <w:rPr>
      <w:rFonts w:ascii="Arial" w:hAnsi="Arial" w:cs="Tahoma"/>
      <w:iCs w:val="false"/>
      <w:spacing w:val="4"/>
      <w:sz w:val="16"/>
      <w:szCs w:val="16"/>
      <w:lang w:val="en-GB" w:eastAsia="de-DE"/>
    </w:rPr>
  </w:style>
  <w:style w:type="paragraph" w:styleId="Style34">
    <w:name w:val="Вміст таблиці"/>
    <w:basedOn w:val="Normal"/>
    <w:qFormat/>
    <w:pPr>
      <w:widowControl w:val="false"/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rsid w:val="008718af"/>
    <w:rPr>
      <w:lang w:eastAsia="ru-RU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41112-92A4-4277-9C3F-6F68CA3D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Application>LibreOffice/7.1.4.2$Windows_X86_64 LibreOffice_project/a529a4fab45b75fefc5b6226684193eb000654f6</Application>
  <AppVersion>15.0000</AppVersion>
  <Pages>5</Pages>
  <Words>794</Words>
  <Characters>5250</Characters>
  <CharactersWithSpaces>5896</CharactersWithSpaces>
  <Paragraphs>189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2021-01-25T13:07:00Z</dcterms:created>
  <dc:creator>DNA7 X64</dc:creator>
  <dc:description/>
  <dc:language>uk-UA</dc:language>
  <cp:lastModifiedBy/>
  <cp:lastPrinted>2021-01-27T12:55:00Z</cp:lastPrinted>
  <dcterms:modified xsi:type="dcterms:W3CDTF">2023-08-07T12:56:29Z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