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left="0" w:right="0" w:hanging="0"/>
        <w:jc w:val="left"/>
        <w:rPr>
          <w:b/>
          <w:b/>
          <w:bCs w:val="false"/>
          <w:color w:val="000000"/>
          <w:kern w:val="2"/>
          <w:sz w:val="24"/>
          <w:szCs w:val="24"/>
        </w:rPr>
      </w:pPr>
      <w:r>
        <w:rPr>
          <w:b/>
          <w:bCs/>
          <w:color w:val="000000"/>
          <w:kern w:val="2"/>
          <w:sz w:val="28"/>
          <w:szCs w:val="28"/>
        </w:rPr>
        <w:t xml:space="preserve"> </w:t>
      </w:r>
      <w:r>
        <w:rPr>
          <w:b/>
          <w:bCs/>
          <w:color w:val="000000"/>
          <w:kern w:val="2"/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</w:r>
      <w:r>
        <w:rPr>
          <w:b w:val="false"/>
          <w:bCs w:val="false"/>
          <w:color w:val="000000"/>
          <w:kern w:val="2"/>
          <w:sz w:val="28"/>
          <w:szCs w:val="28"/>
        </w:rPr>
        <w:t>Додаток 2</w:t>
      </w:r>
    </w:p>
    <w:p>
      <w:pPr>
        <w:pStyle w:val="Normal"/>
        <w:ind w:left="0" w:right="0" w:hanging="0"/>
        <w:jc w:val="left"/>
        <w:rPr>
          <w:b/>
          <w:b/>
          <w:bCs w:val="false"/>
          <w:color w:val="000000"/>
          <w:kern w:val="2"/>
          <w:sz w:val="24"/>
          <w:szCs w:val="24"/>
        </w:rPr>
      </w:pPr>
      <w:r>
        <w:rPr>
          <w:b w:val="false"/>
          <w:bCs w:val="false"/>
          <w:color w:val="000000"/>
          <w:kern w:val="2"/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до Програми розвитку туризму </w:t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Луцької міської територіальної </w:t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>громади на 2021-2023 роки</w:t>
      </w:r>
    </w:p>
    <w:p>
      <w:pPr>
        <w:pStyle w:val="Normal"/>
        <w:jc w:val="right"/>
        <w:rPr>
          <w:b/>
          <w:b/>
          <w:bCs w:val="false"/>
          <w:color w:val="000000"/>
          <w:kern w:val="2"/>
          <w:sz w:val="24"/>
          <w:szCs w:val="24"/>
        </w:rPr>
      </w:pPr>
      <w:r>
        <w:rPr>
          <w:b/>
          <w:bCs w:val="false"/>
          <w:color w:val="000000"/>
          <w:kern w:val="2"/>
          <w:sz w:val="24"/>
          <w:szCs w:val="24"/>
        </w:rPr>
      </w:r>
    </w:p>
    <w:p>
      <w:pPr>
        <w:pStyle w:val="Normal"/>
        <w:jc w:val="center"/>
        <w:rPr>
          <w:color w:val="000000"/>
          <w:kern w:val="2"/>
          <w:sz w:val="24"/>
          <w:szCs w:val="24"/>
        </w:rPr>
      </w:pPr>
      <w:r>
        <w:rPr>
          <w:b/>
          <w:bCs w:val="false"/>
          <w:color w:val="000000"/>
          <w:kern w:val="2"/>
          <w:sz w:val="28"/>
          <w:szCs w:val="28"/>
        </w:rPr>
        <w:t xml:space="preserve">Напрями діяльності, завдання та заходи  </w:t>
      </w:r>
    </w:p>
    <w:p>
      <w:pPr>
        <w:pStyle w:val="Normal"/>
        <w:jc w:val="center"/>
        <w:rPr>
          <w:color w:val="000000"/>
          <w:kern w:val="2"/>
          <w:sz w:val="24"/>
          <w:szCs w:val="24"/>
        </w:rPr>
      </w:pPr>
      <w:r>
        <w:rPr>
          <w:b/>
          <w:bCs w:val="false"/>
          <w:color w:val="000000"/>
          <w:kern w:val="2"/>
          <w:sz w:val="28"/>
          <w:szCs w:val="28"/>
        </w:rPr>
        <w:t xml:space="preserve">Програми розвитку туризму Луцької міської територіальної громади </w:t>
      </w:r>
    </w:p>
    <w:p>
      <w:pPr>
        <w:pStyle w:val="Normal"/>
        <w:jc w:val="center"/>
        <w:rPr>
          <w:b/>
          <w:b/>
          <w:bCs w:val="false"/>
          <w:color w:val="000000"/>
          <w:kern w:val="2"/>
          <w:sz w:val="24"/>
          <w:szCs w:val="24"/>
        </w:rPr>
      </w:pPr>
      <w:r>
        <w:rPr>
          <w:b/>
          <w:bCs w:val="false"/>
          <w:color w:val="000000"/>
          <w:kern w:val="2"/>
          <w:sz w:val="28"/>
          <w:szCs w:val="28"/>
        </w:rPr>
        <w:t>на 2021-2023 роки</w:t>
      </w:r>
    </w:p>
    <w:p>
      <w:pPr>
        <w:pStyle w:val="Normal"/>
        <w:jc w:val="center"/>
        <w:rPr>
          <w:b/>
          <w:b/>
          <w:bCs w:val="false"/>
          <w:color w:val="000000"/>
          <w:kern w:val="2"/>
          <w:sz w:val="24"/>
          <w:szCs w:val="24"/>
        </w:rPr>
      </w:pPr>
      <w:r>
        <w:rPr>
          <w:b/>
          <w:bCs w:val="false"/>
          <w:color w:val="000000"/>
          <w:kern w:val="2"/>
          <w:sz w:val="24"/>
          <w:szCs w:val="24"/>
        </w:rPr>
      </w:r>
    </w:p>
    <w:tbl>
      <w:tblPr>
        <w:tblW w:w="15461" w:type="dxa"/>
        <w:jc w:val="left"/>
        <w:tblInd w:w="-82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88" w:type="dxa"/>
          <w:bottom w:w="0" w:type="dxa"/>
          <w:right w:w="108" w:type="dxa"/>
        </w:tblCellMar>
      </w:tblPr>
      <w:tblGrid>
        <w:gridCol w:w="505"/>
        <w:gridCol w:w="2090"/>
        <w:gridCol w:w="2378"/>
        <w:gridCol w:w="1532"/>
        <w:gridCol w:w="2137"/>
        <w:gridCol w:w="1968"/>
        <w:gridCol w:w="1863"/>
        <w:gridCol w:w="2986"/>
      </w:tblGrid>
      <w:tr>
        <w:trPr/>
        <w:tc>
          <w:tcPr>
            <w:tcW w:w="5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AutoHyphens w:val="false"/>
              <w:jc w:val="center"/>
              <w:rPr>
                <w:sz w:val="24"/>
                <w:szCs w:val="24"/>
              </w:rPr>
            </w:pPr>
            <w:r>
              <w:rPr>
                <w:b/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№ </w:t>
            </w:r>
            <w:r>
              <w:rPr>
                <w:b/>
                <w:bCs w:val="false"/>
                <w:iCs w:val="false"/>
                <w:color w:val="000000"/>
                <w:kern w:val="2"/>
                <w:sz w:val="24"/>
                <w:szCs w:val="24"/>
              </w:rPr>
              <w:t>з/п</w:t>
            </w:r>
          </w:p>
        </w:tc>
        <w:tc>
          <w:tcPr>
            <w:tcW w:w="20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AutoHyphens w:val="false"/>
              <w:jc w:val="center"/>
              <w:rPr>
                <w:b/>
                <w:b/>
                <w:color w:val="000000"/>
                <w:kern w:val="2"/>
                <w:sz w:val="24"/>
                <w:szCs w:val="24"/>
              </w:rPr>
            </w:pPr>
            <w:r>
              <w:rPr>
                <w:b/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Напрями 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b/>
                <w:b/>
                <w:color w:val="000000"/>
                <w:kern w:val="2"/>
                <w:sz w:val="24"/>
                <w:szCs w:val="24"/>
              </w:rPr>
            </w:pPr>
            <w:r>
              <w:rPr>
                <w:b/>
                <w:bCs w:val="false"/>
                <w:iCs w:val="false"/>
                <w:color w:val="000000"/>
                <w:kern w:val="2"/>
                <w:sz w:val="24"/>
                <w:szCs w:val="24"/>
              </w:rPr>
              <w:t>діяльності</w:t>
            </w:r>
          </w:p>
        </w:tc>
        <w:tc>
          <w:tcPr>
            <w:tcW w:w="23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AutoHyphens w:val="false"/>
              <w:ind w:left="-18" w:right="-90" w:hanging="0"/>
              <w:jc w:val="center"/>
              <w:rPr>
                <w:b/>
                <w:b/>
                <w:color w:val="000000"/>
                <w:kern w:val="2"/>
                <w:sz w:val="24"/>
                <w:szCs w:val="24"/>
              </w:rPr>
            </w:pPr>
            <w:r>
              <w:rPr>
                <w:b/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Перелік заходів </w:t>
            </w:r>
          </w:p>
          <w:p>
            <w:pPr>
              <w:pStyle w:val="Normal"/>
              <w:widowControl w:val="false"/>
              <w:suppressAutoHyphens w:val="false"/>
              <w:ind w:left="-18" w:right="-90" w:hanging="0"/>
              <w:jc w:val="center"/>
              <w:rPr>
                <w:b/>
                <w:b/>
                <w:color w:val="000000"/>
                <w:kern w:val="2"/>
                <w:sz w:val="24"/>
                <w:szCs w:val="24"/>
              </w:rPr>
            </w:pPr>
            <w:r>
              <w:rPr>
                <w:b/>
                <w:bCs w:val="false"/>
                <w:iCs w:val="false"/>
                <w:color w:val="000000"/>
                <w:kern w:val="2"/>
                <w:sz w:val="24"/>
                <w:szCs w:val="24"/>
              </w:rPr>
              <w:t>Програми</w:t>
            </w:r>
          </w:p>
        </w:tc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AutoHyphens w:val="false"/>
              <w:jc w:val="center"/>
              <w:rPr>
                <w:b/>
                <w:b/>
                <w:color w:val="000000"/>
                <w:kern w:val="2"/>
                <w:sz w:val="24"/>
                <w:szCs w:val="24"/>
              </w:rPr>
            </w:pPr>
            <w:r>
              <w:rPr>
                <w:b/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Терміни </w:t>
            </w:r>
          </w:p>
          <w:p>
            <w:pPr>
              <w:pStyle w:val="Normal"/>
              <w:widowControl w:val="false"/>
              <w:suppressAutoHyphens w:val="false"/>
              <w:ind w:left="0" w:right="-115" w:hanging="0"/>
              <w:jc w:val="center"/>
              <w:rPr>
                <w:b/>
                <w:b/>
                <w:color w:val="000000"/>
                <w:kern w:val="2"/>
                <w:sz w:val="24"/>
                <w:szCs w:val="24"/>
              </w:rPr>
            </w:pPr>
            <w:r>
              <w:rPr>
                <w:b/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виконання </w:t>
            </w:r>
          </w:p>
        </w:tc>
        <w:tc>
          <w:tcPr>
            <w:tcW w:w="2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AutoHyphens w:val="false"/>
              <w:jc w:val="center"/>
              <w:rPr>
                <w:b/>
                <w:b/>
                <w:color w:val="000000"/>
                <w:kern w:val="2"/>
                <w:sz w:val="24"/>
                <w:szCs w:val="24"/>
              </w:rPr>
            </w:pPr>
            <w:r>
              <w:rPr>
                <w:b/>
                <w:bCs w:val="false"/>
                <w:iCs w:val="false"/>
                <w:color w:val="000000"/>
                <w:kern w:val="2"/>
                <w:sz w:val="24"/>
                <w:szCs w:val="24"/>
              </w:rPr>
              <w:t>Виконавці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AutoHyphens w:val="false"/>
              <w:ind w:left="-108" w:right="-131" w:hanging="0"/>
              <w:jc w:val="center"/>
              <w:rPr>
                <w:b/>
                <w:b/>
                <w:color w:val="000000"/>
                <w:kern w:val="2"/>
                <w:sz w:val="24"/>
                <w:szCs w:val="24"/>
              </w:rPr>
            </w:pPr>
            <w:r>
              <w:rPr>
                <w:b/>
                <w:bCs w:val="false"/>
                <w:iCs w:val="false"/>
                <w:color w:val="000000"/>
                <w:kern w:val="2"/>
                <w:sz w:val="24"/>
                <w:szCs w:val="24"/>
              </w:rPr>
              <w:t>Джерела фінансування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AutoHyphens w:val="false"/>
              <w:jc w:val="center"/>
              <w:rPr>
                <w:b/>
                <w:b/>
                <w:color w:val="000000"/>
                <w:kern w:val="2"/>
                <w:sz w:val="24"/>
                <w:szCs w:val="24"/>
              </w:rPr>
            </w:pPr>
            <w:r>
              <w:rPr>
                <w:b/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Орієнтовні обсяги фінансування 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b/>
                <w:b/>
                <w:color w:val="000000"/>
                <w:kern w:val="2"/>
                <w:sz w:val="24"/>
                <w:szCs w:val="24"/>
              </w:rPr>
            </w:pPr>
            <w:r>
              <w:rPr>
                <w:b/>
                <w:bCs w:val="false"/>
                <w:iCs w:val="false"/>
                <w:color w:val="000000"/>
                <w:kern w:val="2"/>
                <w:sz w:val="24"/>
                <w:szCs w:val="24"/>
              </w:rPr>
              <w:t>(тис. грн)</w:t>
            </w:r>
          </w:p>
        </w:tc>
        <w:tc>
          <w:tcPr>
            <w:tcW w:w="2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AutoHyphens w:val="false"/>
              <w:ind w:left="-46" w:right="0" w:hanging="0"/>
              <w:jc w:val="center"/>
              <w:rPr>
                <w:b/>
                <w:b/>
                <w:color w:val="000000"/>
                <w:kern w:val="2"/>
                <w:sz w:val="24"/>
                <w:szCs w:val="24"/>
              </w:rPr>
            </w:pPr>
            <w:r>
              <w:rPr>
                <w:b/>
                <w:bCs w:val="false"/>
                <w:iCs w:val="false"/>
                <w:color w:val="000000"/>
                <w:kern w:val="2"/>
                <w:sz w:val="24"/>
                <w:szCs w:val="24"/>
              </w:rPr>
              <w:t>Очікуваний результат</w:t>
            </w:r>
          </w:p>
        </w:tc>
      </w:tr>
      <w:tr>
        <w:trPr>
          <w:trHeight w:val="761" w:hRule="atLeast"/>
        </w:trPr>
        <w:tc>
          <w:tcPr>
            <w:tcW w:w="5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sz w:val="24"/>
                <w:szCs w:val="24"/>
              </w:rPr>
              <w:t>1.</w:t>
            </w:r>
          </w:p>
        </w:tc>
        <w:tc>
          <w:tcPr>
            <w:tcW w:w="209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ind w:left="0" w:right="-97" w:hanging="0"/>
              <w:rPr>
                <w:bCs w:val="false"/>
                <w:color w:val="000000"/>
                <w:kern w:val="2"/>
                <w:sz w:val="24"/>
                <w:szCs w:val="24"/>
                <w:lang w:eastAsia="uk-UA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Забезпечення ефективного управління туристичною галуззю Луцької міської територіальної громади</w:t>
            </w:r>
          </w:p>
        </w:tc>
        <w:tc>
          <w:tcPr>
            <w:tcW w:w="23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ind w:left="-18" w:right="-90" w:hanging="0"/>
              <w:rPr>
                <w:bCs w:val="false"/>
                <w:color w:val="000000"/>
                <w:kern w:val="2"/>
                <w:sz w:val="24"/>
                <w:szCs w:val="24"/>
                <w:lang w:eastAsia="uk-UA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1.1. Проведення маркетингових досліджень та моніторингу туристичних потоків</w:t>
            </w:r>
          </w:p>
          <w:p>
            <w:pPr>
              <w:pStyle w:val="Normal"/>
              <w:widowControl w:val="false"/>
              <w:suppressAutoHyphens w:val="false"/>
              <w:snapToGrid w:val="false"/>
              <w:ind w:left="-18" w:right="-90" w:hanging="0"/>
              <w:jc w:val="both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р.</w:t>
            </w:r>
          </w:p>
        </w:tc>
        <w:tc>
          <w:tcPr>
            <w:tcW w:w="2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Управління туризму та промоції міста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ind w:left="-40" w:right="0" w:hanging="0"/>
              <w:jc w:val="center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бюджет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 xml:space="preserve"> міської територіальної громади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150,00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– 0,00</w:t>
            </w:r>
          </w:p>
        </w:tc>
        <w:tc>
          <w:tcPr>
            <w:tcW w:w="2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ind w:left="-46" w:right="0" w:hanging="0"/>
              <w:rPr>
                <w:bCs w:val="false"/>
                <w:color w:val="000000"/>
                <w:kern w:val="2"/>
                <w:sz w:val="24"/>
                <w:szCs w:val="24"/>
                <w:lang w:eastAsia="uk-UA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Отримання статистичних даних, які відображають стан галузі у Луцьку: туристичні потоки та їх динаміку, профіль туриста, економічні показники діяльності галузі туризму</w:t>
            </w:r>
          </w:p>
          <w:p>
            <w:pPr>
              <w:pStyle w:val="Normal"/>
              <w:widowControl w:val="false"/>
              <w:suppressAutoHyphens w:val="false"/>
              <w:snapToGrid w:val="false"/>
              <w:ind w:left="-46" w:right="0" w:hanging="0"/>
              <w:rPr>
                <w:bCs w:val="false"/>
                <w:color w:val="000000"/>
                <w:kern w:val="2"/>
                <w:sz w:val="24"/>
                <w:szCs w:val="24"/>
                <w:lang w:eastAsia="uk-UA"/>
              </w:rPr>
            </w:pPr>
            <w:r>
              <w:rPr>
                <w:bCs w:val="false"/>
                <w:color w:val="000000"/>
                <w:kern w:val="2"/>
                <w:sz w:val="24"/>
                <w:szCs w:val="24"/>
                <w:lang w:eastAsia="uk-UA"/>
              </w:rPr>
            </w:r>
          </w:p>
        </w:tc>
      </w:tr>
      <w:tr>
        <w:trPr>
          <w:trHeight w:val="808" w:hRule="atLeast"/>
        </w:trPr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ind w:left="-18" w:right="-90" w:hanging="0"/>
              <w:rPr>
                <w:bCs w:val="false"/>
                <w:color w:val="000000"/>
                <w:kern w:val="2"/>
                <w:sz w:val="24"/>
                <w:szCs w:val="24"/>
                <w:lang w:eastAsia="uk-UA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1.2. Створення Стратегії туристичного розвитку Луцька на 202</w:t>
            </w:r>
            <w:r>
              <w:rPr>
                <w:rFonts w:eastAsia="Times New Roman" w:cs="Times New Roman"/>
                <w:bCs w:val="false"/>
                <w:iCs w:val="false"/>
                <w:color w:val="000000"/>
                <w:kern w:val="2"/>
                <w:sz w:val="24"/>
                <w:szCs w:val="24"/>
                <w:lang w:val="uk-UA" w:eastAsia="uk-UA" w:bidi="ar-SA"/>
              </w:rPr>
              <w:t>3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-2033 роки</w:t>
            </w:r>
          </w:p>
          <w:p>
            <w:pPr>
              <w:pStyle w:val="Normal"/>
              <w:widowControl w:val="false"/>
              <w:suppressAutoHyphens w:val="false"/>
              <w:snapToGrid w:val="false"/>
              <w:ind w:left="-18" w:right="-90" w:hanging="0"/>
              <w:jc w:val="both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р.</w:t>
            </w:r>
          </w:p>
        </w:tc>
        <w:tc>
          <w:tcPr>
            <w:tcW w:w="213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Управління туризму та промоції міста, КП «Центр туристичної інформації та послуг»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ind w:left="-250" w:right="-131" w:hanging="0"/>
              <w:jc w:val="center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бюджет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міської територіальної громади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300,00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– 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298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ind w:left="-46" w:right="0" w:hanging="0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 xml:space="preserve">Визначеність шляху розвитку Луцька як туристичної дестинації, забезпечення системного розвитку туризму як важливої стратегічної галузі  Луцької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val="uk-UA" w:eastAsia="uk-UA"/>
              </w:rPr>
              <w:t>міської територіальної громади</w:t>
            </w:r>
          </w:p>
          <w:p>
            <w:pPr>
              <w:pStyle w:val="Normal"/>
              <w:widowControl w:val="false"/>
              <w:suppressAutoHyphens w:val="false"/>
              <w:snapToGrid w:val="false"/>
              <w:ind w:left="-46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2137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jc w:val="center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інші джерела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50,00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2023 – </w:t>
            </w:r>
            <w:r>
              <w:rPr>
                <w:rFonts w:eastAsia="Times New Roman" w:cs="Times New Roman"/>
                <w:bCs/>
                <w:iCs w:val="false"/>
                <w:color w:val="000000"/>
                <w:kern w:val="2"/>
                <w:sz w:val="24"/>
                <w:szCs w:val="24"/>
                <w:lang w:val="uk-UA" w:eastAsia="zh-CN" w:bidi="ar-SA"/>
              </w:rPr>
              <w:t>20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0,00</w:t>
            </w:r>
          </w:p>
        </w:tc>
        <w:tc>
          <w:tcPr>
            <w:tcW w:w="298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</w:tr>
      <w:tr>
        <w:trPr>
          <w:trHeight w:val="1412" w:hRule="atLeast"/>
        </w:trPr>
        <w:tc>
          <w:tcPr>
            <w:tcW w:w="5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jc w:val="center"/>
              <w:rPr>
                <w:color w:val="00000A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2.</w:t>
            </w:r>
          </w:p>
        </w:tc>
        <w:tc>
          <w:tcPr>
            <w:tcW w:w="209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tabs>
                <w:tab w:val="left" w:pos="5580" w:leader="none"/>
              </w:tabs>
              <w:suppressAutoHyphens w:val="false"/>
              <w:snapToGrid w:val="false"/>
              <w:ind w:left="0" w:right="-56" w:hanging="0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Маркетинг та промоція Луцької міської територіальної громади</w:t>
            </w:r>
          </w:p>
        </w:tc>
        <w:tc>
          <w:tcPr>
            <w:tcW w:w="23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tabs>
                <w:tab w:val="left" w:pos="5580" w:leader="none"/>
              </w:tabs>
              <w:suppressAutoHyphens w:val="false"/>
              <w:snapToGrid w:val="false"/>
              <w:ind w:left="-18" w:right="-90" w:hanging="0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2.1. Впровадження шкільної програми курсу «Луцькознавство»</w:t>
            </w:r>
          </w:p>
          <w:p>
            <w:pPr>
              <w:pStyle w:val="Normal"/>
              <w:widowControl w:val="false"/>
              <w:tabs>
                <w:tab w:val="left" w:pos="5580" w:leader="none"/>
              </w:tabs>
              <w:suppressAutoHyphens w:val="false"/>
              <w:snapToGrid w:val="false"/>
              <w:ind w:left="-18" w:right="-90" w:hanging="0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р.</w:t>
            </w:r>
          </w:p>
        </w:tc>
        <w:tc>
          <w:tcPr>
            <w:tcW w:w="2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Управління туризму та промоції міста, д</w:t>
            </w:r>
            <w:r>
              <w:rPr>
                <w:rFonts w:eastAsia="Times New Roman" w:cs="Times New Roman"/>
                <w:bCs w:val="false"/>
                <w:iCs w:val="false"/>
                <w:color w:val="000000"/>
                <w:kern w:val="2"/>
                <w:sz w:val="24"/>
                <w:szCs w:val="24"/>
                <w:lang w:val="uk-UA" w:eastAsia="zh-CN" w:bidi="ar-SA"/>
              </w:rPr>
              <w:t>епартамент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 освіти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bCs w:val="false"/>
                <w:color w:val="000000"/>
                <w:kern w:val="2"/>
                <w:sz w:val="24"/>
                <w:szCs w:val="24"/>
                <w:lang w:eastAsia="uk-UA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бюджет міської територіальної громади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50,00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– 0,00</w:t>
            </w:r>
          </w:p>
        </w:tc>
        <w:tc>
          <w:tcPr>
            <w:tcW w:w="2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ind w:left="-46" w:right="0" w:hanging="0"/>
              <w:rPr>
                <w:bCs w:val="false"/>
                <w:color w:val="000000"/>
                <w:kern w:val="2"/>
                <w:sz w:val="24"/>
                <w:szCs w:val="24"/>
                <w:lang w:eastAsia="uk-UA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Виховання у школярів любові й поваги до рідного міста, підвищення поінформованості про його історичну роль, місце і значення в українській та європейській історії різних періодів; поширення знань про культуру, архітектуру,  мистецтво, видатних особистостей, причетних до його становлення; виховання особистості лучанина/лучанки</w:t>
            </w:r>
          </w:p>
        </w:tc>
      </w:tr>
      <w:tr>
        <w:trPr>
          <w:trHeight w:val="644" w:hRule="atLeast"/>
        </w:trPr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bCs w:val="false"/>
                <w:color w:val="000000"/>
                <w:kern w:val="2"/>
                <w:sz w:val="24"/>
                <w:szCs w:val="24"/>
                <w:lang w:eastAsia="uk-UA"/>
              </w:rPr>
            </w:pPr>
            <w:r>
              <w:rPr>
                <w:bCs w:val="false"/>
                <w:color w:val="000000"/>
                <w:kern w:val="2"/>
                <w:sz w:val="24"/>
                <w:szCs w:val="24"/>
                <w:lang w:eastAsia="uk-UA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bCs w:val="false"/>
                <w:color w:val="000000"/>
                <w:kern w:val="2"/>
                <w:sz w:val="24"/>
                <w:szCs w:val="24"/>
                <w:lang w:eastAsia="uk-UA"/>
              </w:rPr>
            </w:pPr>
            <w:r>
              <w:rPr>
                <w:bCs w:val="false"/>
                <w:color w:val="000000"/>
                <w:kern w:val="2"/>
                <w:sz w:val="24"/>
                <w:szCs w:val="24"/>
                <w:lang w:eastAsia="uk-UA"/>
              </w:rPr>
            </w:r>
          </w:p>
        </w:tc>
        <w:tc>
          <w:tcPr>
            <w:tcW w:w="23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2.2. Створення фото та відеоконтенту як ефективного способу промоції міста</w:t>
            </w:r>
          </w:p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Щороку</w:t>
            </w:r>
          </w:p>
        </w:tc>
        <w:tc>
          <w:tcPr>
            <w:tcW w:w="2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Управління туризму та промоції міста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bCs w:val="false"/>
                <w:color w:val="000000"/>
                <w:kern w:val="2"/>
                <w:sz w:val="24"/>
                <w:szCs w:val="24"/>
                <w:lang w:eastAsia="uk-UA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бюджет міської територіальної громади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200,00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200,00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– 100,00</w:t>
            </w:r>
          </w:p>
        </w:tc>
        <w:tc>
          <w:tcPr>
            <w:tcW w:w="2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Поширення промоційних роликів з позитивною інформацією про місто, події, особистостей, пов'язаних з ним</w:t>
            </w:r>
          </w:p>
        </w:tc>
      </w:tr>
      <w:tr>
        <w:trPr>
          <w:trHeight w:val="744" w:hRule="atLeast"/>
        </w:trPr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2.3. Проведення в Луцьку літературної  резиденції  за участю популярних авторів. Забезпечення їх комфортного перебування в місті (проживання, харчування)</w:t>
            </w:r>
          </w:p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eastAsia="Times New Roman" w:cs="Times New Roman"/>
                <w:bCs/>
                <w:color w:val="000000"/>
                <w:kern w:val="2"/>
                <w:sz w:val="24"/>
                <w:szCs w:val="24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iCs w:val="false"/>
                <w:color w:val="000000"/>
                <w:kern w:val="2"/>
                <w:sz w:val="24"/>
                <w:szCs w:val="24"/>
                <w:lang w:val="uk-UA" w:eastAsia="zh-CN" w:bidi="ar-SA"/>
              </w:rPr>
              <w:t>Щороку</w:t>
            </w:r>
          </w:p>
        </w:tc>
        <w:tc>
          <w:tcPr>
            <w:tcW w:w="213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Управління туризму та промоції міста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бюджет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міської територіальної громади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300,00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2022 –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val="en-US"/>
              </w:rPr>
              <w:t>1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– 70,00</w:t>
            </w:r>
          </w:p>
        </w:tc>
        <w:tc>
          <w:tcPr>
            <w:tcW w:w="298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Створення низки творів різних жанрів про Луцьк та видання книги з подальшою презентацією на загальноукраїнських літературних подіях і розповсюдження у роздрібних мережах</w:t>
            </w:r>
          </w:p>
        </w:tc>
      </w:tr>
      <w:tr>
        <w:trPr/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2137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napToGrid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jc w:val="center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інші джерела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50,00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2023 – </w:t>
            </w:r>
            <w:r>
              <w:rPr>
                <w:rFonts w:eastAsia="Times New Roman" w:cs="Times New Roman"/>
                <w:bCs/>
                <w:iCs w:val="false"/>
                <w:color w:val="000000"/>
                <w:kern w:val="2"/>
                <w:sz w:val="24"/>
                <w:szCs w:val="24"/>
                <w:lang w:val="uk-UA" w:eastAsia="zh-CN" w:bidi="ar-SA"/>
              </w:rPr>
              <w:t>5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0,00</w:t>
            </w:r>
          </w:p>
        </w:tc>
        <w:tc>
          <w:tcPr>
            <w:tcW w:w="298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</w:tr>
      <w:tr>
        <w:trPr>
          <w:trHeight w:val="1493" w:hRule="atLeast"/>
        </w:trPr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2.4. Організація та проведення прес-турів, презентацій для вітчизняних та закордонних ЗМІ,  блогерів, фамтурів для туристичних операторів</w:t>
            </w:r>
          </w:p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Щороку</w:t>
            </w:r>
          </w:p>
        </w:tc>
        <w:tc>
          <w:tcPr>
            <w:tcW w:w="213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Управління туризму та промоції міста, </w:t>
            </w:r>
            <w:r>
              <w:rPr>
                <w:rFonts w:eastAsia="Times New Roman" w:cs="Times New Roman"/>
                <w:bCs w:val="false"/>
                <w:iCs w:val="false"/>
                <w:color w:val="000000"/>
                <w:kern w:val="2"/>
                <w:sz w:val="24"/>
                <w:szCs w:val="24"/>
                <w:lang w:val="uk-UA" w:eastAsia="zh-CN" w:bidi="ar-SA"/>
              </w:rPr>
              <w:t>управління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 інформаційної роботи,  КП «Центр туристичної інформації та послуг», музеї міста,  Адміністрація державного історико-культурного заповідника у м. Луцьку (за згодою)</w:t>
            </w:r>
          </w:p>
          <w:p>
            <w:pPr>
              <w:pStyle w:val="Normal"/>
              <w:widowControl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бюджет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міської територіальної громади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60,00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60,00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– 70,00</w:t>
            </w:r>
          </w:p>
        </w:tc>
        <w:tc>
          <w:tcPr>
            <w:tcW w:w="298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ind w:left="-46" w:right="0" w:hanging="0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Розміщення промоційних статей про Луцьку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val="uk-UA"/>
              </w:rPr>
              <w:t>міську територіальну громаду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 у спеціалізованих друкованих та електронних ЗМІ.</w:t>
            </w:r>
          </w:p>
          <w:p>
            <w:pPr>
              <w:pStyle w:val="Normal"/>
              <w:widowControl w:val="false"/>
              <w:suppressLineNumbers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Ознайомлення широкої аудиторії в Україні із туристичним та культурно-мистецьким потенціалом Луцька, поширення інформації про місто у вітчизняних та закордонних ЗМІ, в Інтернет ресурсах</w:t>
            </w:r>
          </w:p>
        </w:tc>
      </w:tr>
      <w:tr>
        <w:trPr/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2137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napToGrid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jc w:val="center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інші джерела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10,00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10,00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– 10,00</w:t>
            </w:r>
          </w:p>
        </w:tc>
        <w:tc>
          <w:tcPr>
            <w:tcW w:w="298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</w:tr>
      <w:tr>
        <w:trPr>
          <w:trHeight w:val="899" w:hRule="atLeast"/>
        </w:trPr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2.5. Промоція З'їзду європейських монархів 1429 року у Луцьку як брендоутворюючої події для Луцької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val="uk-UA"/>
              </w:rPr>
              <w:t>міської територіальної громади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.</w:t>
            </w:r>
          </w:p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Щороку</w:t>
            </w:r>
          </w:p>
        </w:tc>
        <w:tc>
          <w:tcPr>
            <w:tcW w:w="213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Управління туризму та промоції міста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бюджет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міської територіальної громади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300,00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300,00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– 0,00</w:t>
            </w:r>
          </w:p>
        </w:tc>
        <w:tc>
          <w:tcPr>
            <w:tcW w:w="298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Використання знакової історичної події міста Луцька для посилення його видимості на міжнародному та національному туристичному ринках, монетизація цієї події. За сприятливих обставин та відміни </w:t>
            </w:r>
            <w:r>
              <w:rPr>
                <w:rFonts w:eastAsia="Times New Roman" w:cs="Times New Roman"/>
                <w:bCs w:val="false"/>
                <w:iCs w:val="false"/>
                <w:color w:val="000000"/>
                <w:kern w:val="2"/>
                <w:sz w:val="24"/>
                <w:szCs w:val="24"/>
                <w:lang w:val="uk-UA" w:eastAsia="zh-CN" w:bidi="ar-SA"/>
              </w:rPr>
              <w:t>воєнного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 стану - проведення фестивалю «Князівський бенкет»</w:t>
            </w:r>
          </w:p>
        </w:tc>
      </w:tr>
      <w:tr>
        <w:trPr/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2137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napToGrid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jc w:val="center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інші джерела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50,00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50,00</w:t>
            </w:r>
          </w:p>
        </w:tc>
        <w:tc>
          <w:tcPr>
            <w:tcW w:w="298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</w:tr>
      <w:tr>
        <w:trPr>
          <w:trHeight w:val="1153" w:hRule="atLeast"/>
        </w:trPr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2.6. Підтримка і розвиток проєкту «Луцький кликун» </w:t>
            </w:r>
          </w:p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Щороку</w:t>
            </w:r>
          </w:p>
        </w:tc>
        <w:tc>
          <w:tcPr>
            <w:tcW w:w="213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Управління туризму та промоції міста, Адміністрація державного історико-культурного заповідника у м. Луцьку (за згодою)</w:t>
            </w:r>
          </w:p>
          <w:p>
            <w:pPr>
              <w:pStyle w:val="Normal"/>
              <w:widowControl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бюджет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міської територіальної громади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150,00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150,00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– 70,00</w:t>
            </w:r>
          </w:p>
        </w:tc>
        <w:tc>
          <w:tcPr>
            <w:tcW w:w="298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Популяризація образу міського героя – Луцького кликуна. Оплата праці луцького кликуна. </w:t>
            </w:r>
          </w:p>
        </w:tc>
      </w:tr>
      <w:tr>
        <w:trPr/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2137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napToGrid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jc w:val="center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інші джерела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20,00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20,00</w:t>
            </w:r>
          </w:p>
        </w:tc>
        <w:tc>
          <w:tcPr>
            <w:tcW w:w="298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</w:tr>
      <w:tr>
        <w:trPr>
          <w:trHeight w:val="749" w:hRule="atLeast"/>
        </w:trPr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2.7. Презентація туристичного потенціалу міста на міжнародних та національних туристичних виставках, форумах, конференціях, семінарах тощо (</w:t>
            </w:r>
            <w:r>
              <w:rPr>
                <w:rFonts w:eastAsia="Times New Roman" w:cs="Times New Roman"/>
                <w:bCs w:val="false"/>
                <w:iCs w:val="false"/>
                <w:color w:val="000000"/>
                <w:kern w:val="2"/>
                <w:sz w:val="24"/>
                <w:szCs w:val="24"/>
                <w:lang w:val="uk-UA" w:eastAsia="zh-CN" w:bidi="ar-SA"/>
              </w:rPr>
              <w:t>відрядні витрати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, </w:t>
            </w:r>
            <w:r>
              <w:rPr>
                <w:rFonts w:eastAsia="Times New Roman" w:cs="Times New Roman"/>
                <w:bCs/>
                <w:iCs w:val="false"/>
                <w:color w:val="000000"/>
                <w:kern w:val="2"/>
                <w:sz w:val="24"/>
                <w:szCs w:val="24"/>
                <w:lang w:val="uk-UA" w:eastAsia="zh-CN" w:bidi="ar-SA"/>
              </w:rPr>
              <w:t>доїзд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)</w:t>
            </w:r>
          </w:p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Щороку</w:t>
            </w:r>
          </w:p>
        </w:tc>
        <w:tc>
          <w:tcPr>
            <w:tcW w:w="213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Управління туризму та промоції міста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бюджет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міської територіальної громади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150,00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200,00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/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– 00,00</w:t>
            </w:r>
          </w:p>
        </w:tc>
        <w:tc>
          <w:tcPr>
            <w:tcW w:w="298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Формування позитивного іміджу міста у туристів,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val="uk-UA"/>
              </w:rPr>
              <w:t>туропер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val="en-US"/>
              </w:rPr>
              <w:t>аторів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 та турагентів, а також поширення інформації про його туристичні ресурси на внутрішньому та міжнародному туристичних ринках</w:t>
            </w:r>
          </w:p>
        </w:tc>
      </w:tr>
      <w:tr>
        <w:trPr/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2137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napToGrid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jc w:val="center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інші джерела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30,00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30,00</w:t>
            </w:r>
          </w:p>
        </w:tc>
        <w:tc>
          <w:tcPr>
            <w:tcW w:w="298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</w:tr>
      <w:tr>
        <w:trPr>
          <w:trHeight w:val="1451" w:hRule="atLeast"/>
        </w:trPr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2.</w:t>
            </w:r>
            <w:r>
              <w:rPr>
                <w:rFonts w:eastAsia="Times New Roman" w:cs="Times New Roman"/>
                <w:bCs/>
                <w:iCs w:val="false"/>
                <w:color w:val="000000"/>
                <w:kern w:val="2"/>
                <w:sz w:val="24"/>
                <w:szCs w:val="24"/>
                <w:lang w:val="uk-UA" w:eastAsia="zh-CN" w:bidi="ar-SA"/>
              </w:rPr>
              <w:t>8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. Організація та проведення туристичних форумів, презентацій, конференцій, круглих столів, майстер-класів, лекцій тощо</w:t>
            </w:r>
          </w:p>
        </w:tc>
        <w:tc>
          <w:tcPr>
            <w:tcW w:w="153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Щороку</w:t>
            </w:r>
          </w:p>
        </w:tc>
        <w:tc>
          <w:tcPr>
            <w:tcW w:w="213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Управління туризму та промоції міста, КП «Центр туристичної інформації та послуг»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бюджет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міської територіальної громади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70,00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200,00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– 0,00</w:t>
            </w:r>
          </w:p>
        </w:tc>
        <w:tc>
          <w:tcPr>
            <w:tcW w:w="298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Створення сприятливого простору для пошуку партнерів, обміну досвідом та налагодження співпраці у туристичній сфері. Сприяння формуванню нових напрямів розвитку туристичної галузі та обговорення плану дій щодо розвитку туризму як на місцевому рівні, так і на загальнодержавному</w:t>
            </w:r>
          </w:p>
          <w:p>
            <w:pPr>
              <w:pStyle w:val="Normal"/>
              <w:widowControl w:val="false"/>
              <w:suppressLineNumbers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</w:tr>
      <w:tr>
        <w:trPr/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2137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napToGrid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jc w:val="center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інші джерела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30,00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30,00</w:t>
            </w:r>
          </w:p>
        </w:tc>
        <w:tc>
          <w:tcPr>
            <w:tcW w:w="298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</w:tr>
      <w:tr>
        <w:trPr>
          <w:trHeight w:val="897" w:hRule="atLeast"/>
        </w:trPr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2.</w:t>
            </w:r>
            <w:r>
              <w:rPr>
                <w:rFonts w:eastAsia="Times New Roman" w:cs="Times New Roman"/>
                <w:bCs/>
                <w:iCs w:val="false"/>
                <w:color w:val="000000"/>
                <w:kern w:val="2"/>
                <w:sz w:val="24"/>
                <w:szCs w:val="24"/>
                <w:lang w:val="uk-UA" w:eastAsia="zh-CN" w:bidi="ar-SA"/>
              </w:rPr>
              <w:t>9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. Відкриття туристичного сезону та проведення заходу «Арт-променд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val="ru-RU"/>
              </w:rPr>
              <w:t>“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Так звучить Луцьк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val="ru-RU"/>
              </w:rPr>
              <w:t>”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»</w:t>
            </w:r>
          </w:p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Щороку</w:t>
            </w:r>
          </w:p>
        </w:tc>
        <w:tc>
          <w:tcPr>
            <w:tcW w:w="213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Управління туризму та промоції міста, </w:t>
            </w:r>
            <w:r>
              <w:rPr>
                <w:rFonts w:eastAsia="Times New Roman" w:cs="Times New Roman"/>
                <w:bCs w:val="false"/>
                <w:iCs w:val="false"/>
                <w:color w:val="000000"/>
                <w:kern w:val="2"/>
                <w:sz w:val="24"/>
                <w:szCs w:val="24"/>
                <w:lang w:val="uk-UA" w:eastAsia="zh-CN" w:bidi="ar-SA"/>
              </w:rPr>
              <w:t xml:space="preserve">управління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 інформаційної роботи, Волинська обласна філармонія, Волинський коледж культури і мистецтв імені І.Ф.Стравінського (за згодою)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бюджет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міської територіальної громади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200,00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200,00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/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2023 –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18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0,00</w:t>
            </w:r>
          </w:p>
        </w:tc>
        <w:tc>
          <w:tcPr>
            <w:tcW w:w="298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ind w:left="-46" w:right="0" w:hanging="0"/>
              <w:rPr/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Належне проведення заходу до Дня міста, популяризація туристичного потенціалу Луцька, організація дозвілля лучан та туристів, популяризація мистецького потенціалу, збільшення кількості туристів</w:t>
            </w:r>
          </w:p>
        </w:tc>
      </w:tr>
      <w:tr>
        <w:trPr/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2137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napToGrid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jc w:val="center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інші джерела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30,00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30,00</w:t>
            </w:r>
          </w:p>
        </w:tc>
        <w:tc>
          <w:tcPr>
            <w:tcW w:w="298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</w:tr>
      <w:tr>
        <w:trPr>
          <w:trHeight w:val="1206" w:hRule="atLeast"/>
        </w:trPr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2.10. Відзначення Дня туризму (проведення інтелектуальних ігор для вузів, представників туристичного активу, проведення театралізованих екскурсій та інших тематичних заходів)</w:t>
            </w:r>
          </w:p>
        </w:tc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Щороку</w:t>
            </w:r>
          </w:p>
        </w:tc>
        <w:tc>
          <w:tcPr>
            <w:tcW w:w="2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Управління туризму та промоції міста, КП «Центр туристичної інформації та послуг», ГС «Туристичний альянс Луцька»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бюджет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міської територіальної громади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70,00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80,00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– 50,00</w:t>
            </w:r>
          </w:p>
        </w:tc>
        <w:tc>
          <w:tcPr>
            <w:tcW w:w="2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Консолідація гравців туристичного ринку Луцька, популяризація туристичного потенціалу міста, поширення знань про місто</w:t>
            </w:r>
          </w:p>
        </w:tc>
      </w:tr>
      <w:tr>
        <w:trPr>
          <w:trHeight w:val="678" w:hRule="atLeast"/>
        </w:trPr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2.11. Розробка, дизайн та виготовлення промоційної поліграфічної та сувенірної продукції</w:t>
            </w:r>
          </w:p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Щороку</w:t>
            </w:r>
          </w:p>
        </w:tc>
        <w:tc>
          <w:tcPr>
            <w:tcW w:w="2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Управління туризму та промоції міста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бюджет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міської територіальної громади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150,00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150,00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– 150,00</w:t>
            </w:r>
          </w:p>
        </w:tc>
        <w:tc>
          <w:tcPr>
            <w:tcW w:w="2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Підтримка єдиного стилю сувенірної та поліграфічної продукції, що сприятиме популяризації та впізнаваності бренду міста</w:t>
            </w:r>
          </w:p>
        </w:tc>
      </w:tr>
      <w:tr>
        <w:trPr>
          <w:trHeight w:val="705" w:hRule="atLeast"/>
        </w:trPr>
        <w:tc>
          <w:tcPr>
            <w:tcW w:w="5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jc w:val="center"/>
              <w:rPr>
                <w:color w:val="00000A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3.</w:t>
            </w:r>
          </w:p>
        </w:tc>
        <w:tc>
          <w:tcPr>
            <w:tcW w:w="209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ind w:left="0" w:right="-56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Розвиток туристичної інфраструктури</w:t>
            </w:r>
          </w:p>
        </w:tc>
        <w:tc>
          <w:tcPr>
            <w:tcW w:w="237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3.1. Розширення та вдосконалення системи туристичного ознакування. Сканування пам’яток архітектури.</w:t>
            </w:r>
          </w:p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Щороку</w:t>
            </w:r>
          </w:p>
        </w:tc>
        <w:tc>
          <w:tcPr>
            <w:tcW w:w="213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Управління туризму та промоції міста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бюджет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міської територіальної громади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100,00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150,00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– 100,00</w:t>
            </w:r>
          </w:p>
        </w:tc>
        <w:tc>
          <w:tcPr>
            <w:tcW w:w="298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ind w:left="-46" w:right="0" w:hanging="0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Створення для туристів сприятливих умов для орієнтування  в межах Луцької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val="uk-UA"/>
              </w:rPr>
              <w:t xml:space="preserve">міської територіальної громади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(встановлення туристичних знаків, вказівників, інформаційних таблиць)</w:t>
            </w:r>
          </w:p>
        </w:tc>
      </w:tr>
      <w:tr>
        <w:trPr>
          <w:trHeight w:val="705" w:hRule="atLeast"/>
        </w:trPr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jc w:val="center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ind w:left="0" w:right="-56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2137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інші джерела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2023 – </w:t>
            </w:r>
            <w:r>
              <w:rPr>
                <w:rFonts w:eastAsia="Times New Roman" w:cs="Times New Roman"/>
                <w:bCs/>
                <w:iCs w:val="false"/>
                <w:color w:val="000000"/>
                <w:kern w:val="2"/>
                <w:sz w:val="24"/>
                <w:szCs w:val="24"/>
                <w:lang w:val="uk-UA" w:eastAsia="zh-CN" w:bidi="ar-SA"/>
              </w:rPr>
              <w:t>100,00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298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ind w:left="-46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1199" w:hRule="atLeast"/>
        </w:trPr>
        <w:tc>
          <w:tcPr>
            <w:tcW w:w="5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jc w:val="center"/>
              <w:rPr>
                <w:color w:val="00000A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4.</w:t>
            </w:r>
          </w:p>
        </w:tc>
        <w:tc>
          <w:tcPr>
            <w:tcW w:w="209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ind w:left="0" w:right="-56" w:hanging="0"/>
              <w:rPr>
                <w:color w:val="00000A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Підвищення професійного рівня працівників туристичної галузі та працівників управління</w:t>
            </w:r>
          </w:p>
          <w:p>
            <w:pPr>
              <w:pStyle w:val="Normal"/>
              <w:widowControl w:val="false"/>
              <w:suppressLineNumbers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4.1. Проведення заходів з підготовки, перепідготовки та підвищення кваліфікації екскурсоводів і гідів-перекладачів. Забезпечення функціонування школи гідів</w:t>
            </w:r>
          </w:p>
        </w:tc>
        <w:tc>
          <w:tcPr>
            <w:tcW w:w="153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213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Управління туризму та промоції міста, КП «Центр туристичної інформації та послуг», вищі навчальні заклади міста, Луцький центр зайнятості (за згодою)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бюджет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міської територіальної громади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80,00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80,00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– 50,00</w:t>
            </w:r>
          </w:p>
        </w:tc>
        <w:tc>
          <w:tcPr>
            <w:tcW w:w="298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Підготовка висококваліфікованих екскурсоводів, підвищення якості надання екскурсійних послуг</w:t>
            </w:r>
          </w:p>
        </w:tc>
      </w:tr>
      <w:tr>
        <w:trPr>
          <w:trHeight w:val="1199" w:hRule="atLeast"/>
        </w:trPr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2137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napToGrid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інші джерела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20,00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20,00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298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</w:tr>
      <w:tr>
        <w:trPr/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4.2. Затвердження єдиних правил ведення екскурсійної діяльності</w:t>
            </w:r>
          </w:p>
        </w:tc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р.</w:t>
            </w:r>
          </w:p>
        </w:tc>
        <w:tc>
          <w:tcPr>
            <w:tcW w:w="2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Управління туризму та промоції міста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ind w:left="-108" w:right="-131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-</w:t>
            </w:r>
          </w:p>
        </w:tc>
        <w:tc>
          <w:tcPr>
            <w:tcW w:w="2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Регламентоване ведення екскурсійної діяльності</w:t>
            </w:r>
          </w:p>
          <w:p>
            <w:pPr>
              <w:pStyle w:val="Normal"/>
              <w:widowControl w:val="false"/>
              <w:suppressLineNumbers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</w:tr>
      <w:tr>
        <w:trPr>
          <w:trHeight w:val="938" w:hRule="atLeast"/>
        </w:trPr>
        <w:tc>
          <w:tcPr>
            <w:tcW w:w="5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4.3. Проведення зустрічей, семінарів, майстер-класів для представників готельного та ресторанного бізнесу із залученням експертів національного та міжнародного рівня</w:t>
            </w:r>
          </w:p>
        </w:tc>
        <w:tc>
          <w:tcPr>
            <w:tcW w:w="153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Щороку</w:t>
            </w:r>
          </w:p>
        </w:tc>
        <w:tc>
          <w:tcPr>
            <w:tcW w:w="213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Управління туризму та промоції міста, КП «Центр туристичної інформації та послуг», </w:t>
            </w:r>
            <w:r>
              <w:rPr>
                <w:rFonts w:eastAsia="Times New Roman" w:cs="Times New Roman"/>
                <w:bCs w:val="false"/>
                <w:iCs w:val="false"/>
                <w:color w:val="000000"/>
                <w:kern w:val="2"/>
                <w:sz w:val="24"/>
                <w:szCs w:val="24"/>
                <w:lang w:val="uk-UA" w:eastAsia="zh-CN" w:bidi="ar-SA"/>
              </w:rPr>
              <w:t>департамент економічної політики,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 ГС «Туристичний альянс Луцька» (за згодою)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бюджет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міської територіальної громади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60,00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60,00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– 0,00</w:t>
            </w:r>
          </w:p>
        </w:tc>
        <w:tc>
          <w:tcPr>
            <w:tcW w:w="298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Забезпечення належного рівня обслуговування туристів у закладах харчування, проживання тощо; створення нових туристичних продуктів</w:t>
            </w:r>
          </w:p>
        </w:tc>
      </w:tr>
      <w:tr>
        <w:trPr/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2137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napToGrid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інші джерела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30,00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30,00</w:t>
            </w:r>
          </w:p>
        </w:tc>
        <w:tc>
          <w:tcPr>
            <w:tcW w:w="298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</w:tr>
      <w:tr>
        <w:trPr>
          <w:trHeight w:val="1527" w:hRule="atLeast"/>
        </w:trPr>
        <w:tc>
          <w:tcPr>
            <w:tcW w:w="5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jc w:val="center"/>
              <w:rPr>
                <w:color w:val="00000A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5.</w:t>
            </w:r>
          </w:p>
        </w:tc>
        <w:tc>
          <w:tcPr>
            <w:tcW w:w="20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ind w:left="0" w:right="-198" w:hanging="0"/>
              <w:rPr>
                <w:color w:val="000000"/>
                <w:kern w:val="2"/>
                <w:sz w:val="24"/>
                <w:szCs w:val="24"/>
                <w:lang w:eastAsia="ru-RU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ru-RU"/>
              </w:rPr>
              <w:t>Співпраця з громадою Луцької міської територіальної громади, бізнесом, Адміністрацією державного історико-культурного заповідника у м. Луцьку, музеями та навчальними закладами</w:t>
            </w:r>
          </w:p>
        </w:tc>
        <w:tc>
          <w:tcPr>
            <w:tcW w:w="23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ind w:left="-18" w:right="-90" w:hanging="0"/>
              <w:rPr>
                <w:color w:val="000000"/>
                <w:kern w:val="2"/>
                <w:sz w:val="24"/>
                <w:szCs w:val="24"/>
                <w:lang w:eastAsia="ru-RU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ru-RU"/>
              </w:rPr>
              <w:t>5.1. Проведення спільних заходів та акцій, реалізація проєктів</w:t>
            </w:r>
          </w:p>
        </w:tc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/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Щороку</w:t>
            </w:r>
          </w:p>
        </w:tc>
        <w:tc>
          <w:tcPr>
            <w:tcW w:w="2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Управління туризму та промоції міста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бюджет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міської територіальної громади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200,00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200,00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2023 – </w:t>
            </w:r>
            <w:r>
              <w:rPr>
                <w:rFonts w:eastAsia="Times New Roman" w:cs="Times New Roman"/>
                <w:bCs/>
                <w:iCs w:val="false"/>
                <w:color w:val="000000"/>
                <w:kern w:val="2"/>
                <w:sz w:val="24"/>
                <w:szCs w:val="24"/>
                <w:lang w:val="uk-UA" w:eastAsia="zh-CN" w:bidi="ar-SA"/>
              </w:rPr>
              <w:t>3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0,00</w:t>
            </w:r>
          </w:p>
        </w:tc>
        <w:tc>
          <w:tcPr>
            <w:tcW w:w="2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ind w:left="-46" w:right="0" w:hanging="0"/>
              <w:rPr>
                <w:color w:val="000000"/>
                <w:kern w:val="2"/>
                <w:sz w:val="24"/>
                <w:szCs w:val="24"/>
                <w:lang w:eastAsia="ru-RU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ru-RU"/>
              </w:rPr>
              <w:t>Налагодження діалогу з гравцями туристичного ринку, підвищення якості обслуговування туристів, створення нових туристичних продуктів; залучення науковців та студентів ВНЗ до розвитку туристичної галузі міста Луцька, збільшення асортименту туристичних послуг; створення у громади міста почуття співучасті та відповідальності за розвиток міста, участь громадськості у формуванні туристичної галузі міста, а також її залучення до творення образу міста як туристичної дестинації</w:t>
            </w:r>
          </w:p>
        </w:tc>
      </w:tr>
      <w:tr>
        <w:trPr/>
        <w:tc>
          <w:tcPr>
            <w:tcW w:w="5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jc w:val="center"/>
              <w:rPr>
                <w:color w:val="00000A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6.</w:t>
            </w:r>
          </w:p>
        </w:tc>
        <w:tc>
          <w:tcPr>
            <w:tcW w:w="20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Інші проєкти</w:t>
            </w:r>
          </w:p>
        </w:tc>
        <w:tc>
          <w:tcPr>
            <w:tcW w:w="23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ind w:left="-18" w:right="-90" w:hanging="0"/>
              <w:rPr/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6.1. Проведення інших заходів, що сприятимуть підвищенню  туристичної привабливості дестинації; підготовка грантових проєктів пріоритетних для галузі туризму міста Луцька</w:t>
            </w:r>
          </w:p>
        </w:tc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Щороку</w:t>
            </w:r>
          </w:p>
        </w:tc>
        <w:tc>
          <w:tcPr>
            <w:tcW w:w="2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Управління туризму та промоції міста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бюджет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міської територіальної громади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200,00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2022 –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val="en-US"/>
              </w:rPr>
              <w:t>1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/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2023 – </w:t>
            </w:r>
            <w:r>
              <w:rPr>
                <w:rFonts w:eastAsia="Times New Roman" w:cs="Times New Roman"/>
                <w:bCs/>
                <w:iCs w:val="false"/>
                <w:color w:val="000000"/>
                <w:kern w:val="2"/>
                <w:sz w:val="24"/>
                <w:szCs w:val="24"/>
                <w:lang w:val="uk-UA" w:eastAsia="zh-CN" w:bidi="ar-SA"/>
              </w:rPr>
              <w:t>5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0,00</w:t>
            </w:r>
          </w:p>
        </w:tc>
        <w:tc>
          <w:tcPr>
            <w:tcW w:w="2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ind w:left="-46" w:right="0" w:hanging="0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Підвищення туристичної привабливості дестинації; залучення грантових коштів для підвищення туристичної привабливості дестинації, залучення фахівців до написання грантових проєктів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sz w:val="24"/>
          <w:szCs w:val="24"/>
        </w:rPr>
        <w:t>Теліпська</w:t>
      </w:r>
      <w:r>
        <w:rPr>
          <w:sz w:val="24"/>
          <w:szCs w:val="24"/>
        </w:rPr>
        <w:t xml:space="preserve"> 777 956</w:t>
      </w:r>
    </w:p>
    <w:sectPr>
      <w:headerReference w:type="default" r:id="rId2"/>
      <w:type w:val="nextPage"/>
      <w:pgSz w:orient="landscape" w:w="16838" w:h="11906"/>
      <w:pgMar w:left="1134" w:right="674" w:header="567" w:top="624" w:footer="0" w:bottom="1984" w:gutter="0"/>
      <w:pgNumType w:start="2" w:fmt="decimal"/>
      <w:formProt w:val="false"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7"/>
      <w:jc w:val="center"/>
      <w:rPr/>
    </w:pPr>
    <w:r>
      <w:rPr/>
    </w:r>
  </w:p>
  <w:p>
    <w:pPr>
      <w:pStyle w:val="Style27"/>
      <w:rPr>
        <w:sz w:val="16"/>
        <w:szCs w:val="16"/>
      </w:rPr>
    </w:pPr>
    <w:r>
      <w:rPr>
        <w:sz w:val="16"/>
        <w:szCs w:val="16"/>
      </w:rPr>
    </w:r>
  </w:p>
</w:hdr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  <w:textAlignment w:val="top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spacing w:before="240" w:after="60"/>
      <w:outlineLvl w:val="2"/>
    </w:pPr>
    <w:rPr>
      <w:rFonts w:ascii="Cambria" w:hAnsi="Cambria" w:cs="Cambria"/>
      <w:b/>
      <w:sz w:val="26"/>
      <w:szCs w:val="26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Times New Roman" w:hAnsi="Times New Roman" w:cs="Times New Roman"/>
      <w:color w:val="000000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rFonts w:ascii="Times New Roman" w:hAnsi="Times New Roman" w:cs="Times New Roman"/>
      <w:color w:val="000000"/>
    </w:rPr>
  </w:style>
  <w:style w:type="character" w:styleId="Style11">
    <w:name w:val="Основной шрифт абзаца"/>
    <w:qFormat/>
    <w:rPr/>
  </w:style>
  <w:style w:type="character" w:styleId="9">
    <w:name w:val="Основной шрифт абзаца9"/>
    <w:qFormat/>
    <w:rPr/>
  </w:style>
  <w:style w:type="character" w:styleId="8">
    <w:name w:val="Основной шрифт абзаца8"/>
    <w:qFormat/>
    <w:rPr/>
  </w:style>
  <w:style w:type="character" w:styleId="7">
    <w:name w:val="Основной шрифт абзаца7"/>
    <w:qFormat/>
    <w:rPr/>
  </w:style>
  <w:style w:type="character" w:styleId="6">
    <w:name w:val="Основной шрифт абзаца6"/>
    <w:qFormat/>
    <w:rPr/>
  </w:style>
  <w:style w:type="character" w:styleId="WW8Num4z0">
    <w:name w:val="WW8Num4z0"/>
    <w:qFormat/>
    <w:rPr>
      <w:rFonts w:ascii="Wingdings" w:hAnsi="Wingdings" w:cs="Wingdings"/>
      <w:color w:val="000000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3">
    <w:name w:val="WW8Num4z3"/>
    <w:qFormat/>
    <w:rPr>
      <w:rFonts w:ascii="Symbol" w:hAnsi="Symbol" w:cs="Symbol"/>
    </w:rPr>
  </w:style>
  <w:style w:type="character" w:styleId="5">
    <w:name w:val="Основной шрифт абзаца5"/>
    <w:qFormat/>
    <w:rPr/>
  </w:style>
  <w:style w:type="character" w:styleId="4">
    <w:name w:val="Основной шрифт абзаца4"/>
    <w:qFormat/>
    <w:rPr/>
  </w:style>
  <w:style w:type="character" w:styleId="31">
    <w:name w:val="Основной шрифт абзаца3"/>
    <w:qFormat/>
    <w:rPr/>
  </w:style>
  <w:style w:type="character" w:styleId="21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character" w:styleId="Style12">
    <w:name w:val="Номер сторінки"/>
    <w:basedOn w:val="11"/>
    <w:rPr/>
  </w:style>
  <w:style w:type="character" w:styleId="Style13">
    <w:name w:val="Виділення жирним"/>
    <w:qFormat/>
    <w:rPr>
      <w:b/>
      <w:bCs/>
    </w:rPr>
  </w:style>
  <w:style w:type="character" w:styleId="Style14">
    <w:name w:val="Основний текст_"/>
    <w:qFormat/>
    <w:rPr>
      <w:sz w:val="21"/>
      <w:szCs w:val="21"/>
      <w:lang w:bidi="ar-SA"/>
    </w:rPr>
  </w:style>
  <w:style w:type="character" w:styleId="Rvts0">
    <w:name w:val="rvts0"/>
    <w:qFormat/>
    <w:rPr>
      <w:rFonts w:cs="Times New Roman"/>
    </w:rPr>
  </w:style>
  <w:style w:type="character" w:styleId="HTMLPreformattedChar">
    <w:name w:val="HTML Preformatted Char"/>
    <w:qFormat/>
    <w:rPr>
      <w:rFonts w:ascii="Courier New" w:hAnsi="Courier New" w:eastAsia="Calibri" w:cs="Courier New"/>
      <w:lang w:val="ru-RU" w:bidi="ar-SA"/>
    </w:rPr>
  </w:style>
  <w:style w:type="character" w:styleId="Rvts23">
    <w:name w:val="rvts23"/>
    <w:qFormat/>
    <w:rPr>
      <w:rFonts w:cs="Times New Roman"/>
    </w:rPr>
  </w:style>
  <w:style w:type="character" w:styleId="Style15">
    <w:name w:val="Гіперпосилання"/>
    <w:rPr>
      <w:color w:val="0000FF"/>
      <w:u w:val="single"/>
    </w:rPr>
  </w:style>
  <w:style w:type="character" w:styleId="32">
    <w:name w:val="Заголовок 3 Знак"/>
    <w:qFormat/>
    <w:rPr>
      <w:rFonts w:ascii="Cambria" w:hAnsi="Cambria" w:cs="Cambria"/>
      <w:b/>
      <w:bCs/>
      <w:sz w:val="26"/>
      <w:szCs w:val="26"/>
      <w:lang w:val="uk-UA" w:eastAsia="zh-CN" w:bidi="ar-SA"/>
    </w:rPr>
  </w:style>
  <w:style w:type="character" w:styleId="Style16">
    <w:name w:val="Виділення"/>
    <w:qFormat/>
    <w:rPr>
      <w:i/>
      <w:iCs/>
    </w:rPr>
  </w:style>
  <w:style w:type="character" w:styleId="Appleconvertedspace">
    <w:name w:val="apple-converted-space"/>
    <w:qFormat/>
    <w:rPr/>
  </w:style>
  <w:style w:type="character" w:styleId="Style17">
    <w:name w:val="Нижний колонтитул Знак"/>
    <w:qFormat/>
    <w:rPr>
      <w:bCs/>
      <w:sz w:val="28"/>
      <w:szCs w:val="24"/>
      <w:lang w:eastAsia="zh-CN"/>
    </w:rPr>
  </w:style>
  <w:style w:type="character" w:styleId="Style18">
    <w:name w:val="Текст выноски Знак"/>
    <w:qFormat/>
    <w:rPr>
      <w:rFonts w:ascii="Tahoma" w:hAnsi="Tahoma" w:cs="Tahoma"/>
      <w:bCs/>
      <w:sz w:val="16"/>
      <w:szCs w:val="16"/>
      <w:lang w:eastAsia="zh-CN"/>
    </w:rPr>
  </w:style>
  <w:style w:type="character" w:styleId="Style19">
    <w:name w:val="Верхний колонтитул Знак"/>
    <w:qFormat/>
    <w:rPr>
      <w:bCs/>
      <w:sz w:val="28"/>
      <w:szCs w:val="24"/>
      <w:lang w:eastAsia="zh-CN"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;Arial" w:hAnsi="Liberation Sans;Arial" w:eastAsia="Droid Sans Fallback" w:cs="FreeSans;Calibri"/>
      <w:sz w:val="28"/>
      <w:szCs w:val="28"/>
    </w:rPr>
  </w:style>
  <w:style w:type="paragraph" w:styleId="Style21">
    <w:name w:val="Body Text"/>
    <w:basedOn w:val="Normal"/>
    <w:pPr>
      <w:spacing w:before="0" w:after="120"/>
    </w:pPr>
    <w:rPr/>
  </w:style>
  <w:style w:type="paragraph" w:styleId="Style22">
    <w:name w:val="List"/>
    <w:basedOn w:val="Style21"/>
    <w:pPr/>
    <w:rPr>
      <w:rFonts w:cs="Mang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FreeSans;Calibri"/>
      <w:i/>
      <w:iCs/>
      <w:sz w:val="24"/>
      <w:szCs w:val="24"/>
    </w:rPr>
  </w:style>
  <w:style w:type="paragraph" w:styleId="Style24">
    <w:name w:val="Покажчик"/>
    <w:basedOn w:val="Normal"/>
    <w:qFormat/>
    <w:pPr>
      <w:suppressLineNumbers/>
    </w:pPr>
    <w:rPr>
      <w:rFonts w:cs="FreeSans;Calibri"/>
    </w:rPr>
  </w:style>
  <w:style w:type="paragraph" w:styleId="Style25">
    <w:name w:val="Название объекта"/>
    <w:basedOn w:val="Normal"/>
    <w:qFormat/>
    <w:pPr>
      <w:suppressLineNumbers/>
      <w:spacing w:before="120" w:after="120"/>
    </w:pPr>
    <w:rPr>
      <w:rFonts w:cs="FreeSans;Calibri"/>
      <w:i/>
      <w:iCs/>
      <w:sz w:val="24"/>
      <w:szCs w:val="24"/>
    </w:rPr>
  </w:style>
  <w:style w:type="paragraph" w:styleId="12">
    <w:name w:val="Заголовок1"/>
    <w:basedOn w:val="Normal"/>
    <w:qFormat/>
    <w:pPr>
      <w:keepNext w:val="true"/>
      <w:spacing w:before="240" w:after="120"/>
    </w:pPr>
    <w:rPr>
      <w:rFonts w:ascii="Times New Roman" w:hAnsi="Times New Roman" w:eastAsia="Lucida Sans Unicode" w:cs="Mangal"/>
      <w:sz w:val="28"/>
      <w:szCs w:val="28"/>
    </w:rPr>
  </w:style>
  <w:style w:type="paragraph" w:styleId="81">
    <w:name w:val="Название объекта8"/>
    <w:basedOn w:val="Normal"/>
    <w:qFormat/>
    <w:pPr>
      <w:suppressLineNumbers/>
      <w:spacing w:before="120" w:after="120"/>
    </w:pPr>
    <w:rPr>
      <w:rFonts w:cs="FreeSans;Calibri"/>
      <w:i/>
      <w:iCs/>
      <w:sz w:val="24"/>
      <w:szCs w:val="24"/>
    </w:rPr>
  </w:style>
  <w:style w:type="paragraph" w:styleId="71">
    <w:name w:val="Название объекта7"/>
    <w:basedOn w:val="Normal"/>
    <w:qFormat/>
    <w:pPr>
      <w:suppressLineNumbers/>
      <w:spacing w:before="120" w:after="120"/>
    </w:pPr>
    <w:rPr>
      <w:rFonts w:cs="FreeSans;Calibri"/>
      <w:i/>
      <w:iCs/>
      <w:sz w:val="24"/>
      <w:szCs w:val="24"/>
    </w:rPr>
  </w:style>
  <w:style w:type="paragraph" w:styleId="61">
    <w:name w:val="Название объекта6"/>
    <w:basedOn w:val="Normal"/>
    <w:qFormat/>
    <w:pPr>
      <w:suppressLineNumbers/>
      <w:spacing w:before="120" w:after="120"/>
    </w:pPr>
    <w:rPr>
      <w:rFonts w:cs="FreeSans;Calibri"/>
      <w:i/>
      <w:iCs/>
      <w:sz w:val="24"/>
      <w:szCs w:val="24"/>
    </w:rPr>
  </w:style>
  <w:style w:type="paragraph" w:styleId="51">
    <w:name w:val="Название объекта5"/>
    <w:basedOn w:val="Normal"/>
    <w:qFormat/>
    <w:pPr>
      <w:suppressLineNumbers/>
      <w:spacing w:before="120" w:after="120"/>
    </w:pPr>
    <w:rPr>
      <w:rFonts w:cs="FreeSans;Calibri"/>
      <w:i/>
      <w:iCs/>
      <w:sz w:val="24"/>
      <w:szCs w:val="24"/>
    </w:rPr>
  </w:style>
  <w:style w:type="paragraph" w:styleId="41">
    <w:name w:val="Название объекта4"/>
    <w:basedOn w:val="Normal"/>
    <w:qFormat/>
    <w:pPr>
      <w:suppressLineNumbers/>
      <w:spacing w:before="120" w:after="120"/>
    </w:pPr>
    <w:rPr>
      <w:rFonts w:cs="FreeSans;Calibri"/>
      <w:i/>
      <w:iCs/>
      <w:sz w:val="24"/>
      <w:szCs w:val="24"/>
    </w:rPr>
  </w:style>
  <w:style w:type="paragraph" w:styleId="33">
    <w:name w:val="Название объекта3"/>
    <w:basedOn w:val="Normal"/>
    <w:qFormat/>
    <w:pPr>
      <w:suppressLineNumbers/>
      <w:spacing w:before="120" w:after="120"/>
    </w:pPr>
    <w:rPr>
      <w:rFonts w:cs="FreeSans;Calibri"/>
      <w:i/>
      <w:iCs/>
      <w:sz w:val="24"/>
      <w:szCs w:val="24"/>
    </w:rPr>
  </w:style>
  <w:style w:type="paragraph" w:styleId="22">
    <w:name w:val="Название2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23">
    <w:name w:val="Указатель2"/>
    <w:basedOn w:val="Normal"/>
    <w:qFormat/>
    <w:pPr>
      <w:suppressLineNumbers/>
    </w:pPr>
    <w:rPr>
      <w:rFonts w:cs="Mangal"/>
    </w:rPr>
  </w:style>
  <w:style w:type="paragraph" w:styleId="24">
    <w:name w:val="Название объекта2"/>
    <w:basedOn w:val="Normal"/>
    <w:qFormat/>
    <w:pPr>
      <w:suppressLineNumbers/>
      <w:spacing w:before="120" w:after="120"/>
    </w:pPr>
    <w:rPr>
      <w:rFonts w:ascii="Times New Roman" w:hAnsi="Times New Roman" w:cs="Mangal"/>
      <w:i/>
      <w:iCs/>
      <w:sz w:val="28"/>
      <w:szCs w:val="24"/>
    </w:rPr>
  </w:style>
  <w:style w:type="paragraph" w:styleId="13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Mangal"/>
      <w:i/>
      <w:iCs/>
      <w:sz w:val="28"/>
      <w:szCs w:val="24"/>
    </w:rPr>
  </w:style>
  <w:style w:type="paragraph" w:styleId="14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15">
    <w:name w:val="Указатель1"/>
    <w:basedOn w:val="Normal"/>
    <w:qFormat/>
    <w:pPr>
      <w:suppressLineNumbers/>
    </w:pPr>
    <w:rPr>
      <w:rFonts w:cs="Mangal"/>
    </w:rPr>
  </w:style>
  <w:style w:type="paragraph" w:styleId="Style26">
    <w:name w:val="Верхній і нижній колонтитули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Style27">
    <w:name w:val="Header"/>
    <w:basedOn w:val="Normal"/>
    <w:pPr>
      <w:tabs>
        <w:tab w:val="center" w:pos="4677" w:leader="none"/>
        <w:tab w:val="right" w:pos="9355" w:leader="none"/>
      </w:tabs>
    </w:pPr>
    <w:rPr/>
  </w:style>
  <w:style w:type="paragraph" w:styleId="Style28">
    <w:name w:val="Body Text Indent"/>
    <w:basedOn w:val="Normal"/>
    <w:pPr>
      <w:ind w:left="0" w:right="0" w:firstLine="545"/>
      <w:jc w:val="both"/>
    </w:pPr>
    <w:rPr>
      <w:bCs w:val="false"/>
    </w:rPr>
  </w:style>
  <w:style w:type="paragraph" w:styleId="16">
    <w:name w:val="Обычный (веб)1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WW">
    <w:name w:val="WW-Основний текст"/>
    <w:basedOn w:val="Normal"/>
    <w:qFormat/>
    <w:pPr>
      <w:shd w:val="clear" w:fill="FFFFFF"/>
      <w:spacing w:lineRule="exact" w:line="276"/>
      <w:jc w:val="both"/>
    </w:pPr>
    <w:rPr>
      <w:bCs w:val="false"/>
      <w:sz w:val="21"/>
      <w:szCs w:val="21"/>
      <w:lang w:val="uk-UA" w:eastAsia="uk-UA"/>
    </w:rPr>
  </w:style>
  <w:style w:type="paragraph" w:styleId="Style29">
    <w:name w:val="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17">
    <w:name w:val="Абзац списка1"/>
    <w:basedOn w:val="Normal"/>
    <w:qFormat/>
    <w:pPr>
      <w:ind w:left="720" w:right="0" w:hanging="0"/>
    </w:pPr>
    <w:rPr>
      <w:rFonts w:eastAsia="Calibri"/>
      <w:bCs w:val="false"/>
      <w:szCs w:val="28"/>
      <w:lang w:val="ru-RU"/>
    </w:rPr>
  </w:style>
  <w:style w:type="paragraph" w:styleId="HTML1">
    <w:name w:val="Стандартный HTML1"/>
    <w:basedOn w:val="Normal"/>
    <w:qFormat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bCs w:val="false"/>
      <w:sz w:val="20"/>
      <w:szCs w:val="20"/>
      <w:lang w:val="ru-RU"/>
    </w:rPr>
  </w:style>
  <w:style w:type="paragraph" w:styleId="Western">
    <w:name w:val="western"/>
    <w:basedOn w:val="Normal"/>
    <w:qFormat/>
    <w:pPr>
      <w:spacing w:before="280" w:after="280"/>
    </w:pPr>
    <w:rPr>
      <w:rFonts w:eastAsia="Calibri"/>
      <w:bCs w:val="false"/>
      <w:sz w:val="24"/>
      <w:lang w:val="ru-RU"/>
    </w:rPr>
  </w:style>
  <w:style w:type="paragraph" w:styleId="Style30">
    <w:name w:val="Содержимое врезки"/>
    <w:basedOn w:val="Style21"/>
    <w:qFormat/>
    <w:pPr/>
    <w:rPr/>
  </w:style>
  <w:style w:type="paragraph" w:styleId="Style31">
    <w:name w:val="Foot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Style32">
    <w:name w:val="Содержимое таблицы"/>
    <w:basedOn w:val="Normal"/>
    <w:qFormat/>
    <w:pPr>
      <w:suppressLineNumbers/>
    </w:pPr>
    <w:rPr/>
  </w:style>
  <w:style w:type="paragraph" w:styleId="Style33">
    <w:name w:val="Заголовок таблицы"/>
    <w:basedOn w:val="Style32"/>
    <w:qFormat/>
    <w:pPr>
      <w:suppressLineNumbers/>
      <w:jc w:val="center"/>
    </w:pPr>
    <w:rPr>
      <w:b/>
      <w:bCs/>
    </w:rPr>
  </w:style>
  <w:style w:type="paragraph" w:styleId="Style34">
    <w:name w:val="Вміст таблиці"/>
    <w:basedOn w:val="Normal"/>
    <w:qFormat/>
    <w:pPr>
      <w:suppressLineNumbers/>
    </w:pPr>
    <w:rPr/>
  </w:style>
  <w:style w:type="paragraph" w:styleId="Style35">
    <w:name w:val="Заголовок таблиці"/>
    <w:basedOn w:val="Style34"/>
    <w:qFormat/>
    <w:pPr>
      <w:suppressLineNumbers/>
      <w:jc w:val="center"/>
    </w:pPr>
    <w:rPr>
      <w:b/>
      <w:bCs/>
    </w:rPr>
  </w:style>
  <w:style w:type="paragraph" w:styleId="Style36">
    <w:name w:val="Вміст кадру"/>
    <w:basedOn w:val="Normal"/>
    <w:qFormat/>
    <w:pPr/>
    <w:rPr/>
  </w:style>
  <w:style w:type="paragraph" w:styleId="Style37">
    <w:name w:val="Вміст рамки"/>
    <w:basedOn w:val="Normal"/>
    <w:qFormat/>
    <w:pPr/>
    <w:rPr/>
  </w:style>
  <w:style w:type="paragraph" w:styleId="18">
    <w:name w:val="Текст выноски1"/>
    <w:basedOn w:val="Normal"/>
    <w:qFormat/>
    <w:pPr/>
    <w:rPr>
      <w:rFonts w:ascii="Tahoma" w:hAnsi="Tahoma" w:cs="Tahoma"/>
      <w:sz w:val="16"/>
      <w:szCs w:val="16"/>
    </w:rPr>
  </w:style>
  <w:style w:type="paragraph" w:styleId="FrameContents">
    <w:name w:val="Frame Contents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1062</TotalTime>
  <Application>LibreOffice/5.4.2.2$Windows_x86 LibreOffice_project/22b09f6418e8c2d508a9eaf86b2399209b0990f4</Application>
  <Pages>8</Pages>
  <Words>1222</Words>
  <Characters>8736</Characters>
  <CharactersWithSpaces>9906</CharactersWithSpaces>
  <Paragraphs>209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1995-11-21T18:41:00Z</dcterms:created>
  <dc:creator>nkhmel</dc:creator>
  <dc:description/>
  <dc:language>uk-UA</dc:language>
  <cp:lastModifiedBy/>
  <dcterms:modified xsi:type="dcterms:W3CDTF">2023-08-22T10:11:47Z</dcterms:modified>
  <cp:revision>70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