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sdt>
      <w:sdtPr>
        <w:docPartObj>
          <w:docPartGallery w:val="Cover Pages"/>
          <w:docPartUnique w:val="true"/>
        </w:docPartObj>
        <w:id w:val="454063301"/>
      </w:sdtPr>
      <w:sdtContent>
        <w:p>
          <w:pPr>
            <w:pStyle w:val="Normal"/>
            <w:suppressAutoHyphens w:val="false"/>
            <w:rPr>
              <w:bCs/>
              <w:szCs w:val="28"/>
              <w:lang w:val="uk-UA"/>
            </w:rPr>
          </w:pPr>
          <w:r>
            <w:rPr>
              <w:bCs/>
              <w:szCs w:val="28"/>
              <w:lang w:val="uk-UA"/>
            </w:rPr>
          </w:r>
        </w:p>
      </w:sdtContent>
    </w:sdt>
    <w:p>
      <w:pPr>
        <w:pStyle w:val="Normal"/>
        <w:ind w:left="5670" w:hanging="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Додаток </w:t>
      </w:r>
    </w:p>
    <w:p>
      <w:pPr>
        <w:pStyle w:val="Normal"/>
        <w:ind w:left="5670" w:hanging="0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до рішення міської ради</w:t>
      </w:r>
    </w:p>
    <w:p>
      <w:pPr>
        <w:pStyle w:val="Normal"/>
        <w:ind w:left="5670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_______________№_____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>ПРОГРАМА</w:t>
      </w:r>
    </w:p>
    <w:p>
      <w:pPr>
        <w:pStyle w:val="Normal"/>
        <w:tabs>
          <w:tab w:val="clear" w:pos="708"/>
          <w:tab w:val="left" w:pos="4962" w:leader="none"/>
          <w:tab w:val="left" w:pos="5505" w:leader="none"/>
        </w:tabs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color w:val="000000"/>
          <w:spacing w:val="-1"/>
          <w:sz w:val="28"/>
          <w:szCs w:val="28"/>
          <w:lang w:val="uk-UA" w:eastAsia="uk-UA"/>
        </w:rPr>
        <w:t>«Впровадження міжнародного проєкту “Спільний пошук нових рішень</w:t>
      </w:r>
    </w:p>
    <w:p>
      <w:pPr>
        <w:pStyle w:val="Normal"/>
        <w:tabs>
          <w:tab w:val="clear" w:pos="708"/>
          <w:tab w:val="left" w:pos="4962" w:leader="none"/>
          <w:tab w:val="left" w:pos="5505" w:leader="none"/>
        </w:tabs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color w:val="000000"/>
          <w:spacing w:val="-1"/>
          <w:sz w:val="28"/>
          <w:szCs w:val="28"/>
          <w:lang w:val="uk-UA" w:eastAsia="uk-UA"/>
        </w:rPr>
        <w:t>у комунальному господарстві: поводження з органічними відходами</w:t>
      </w:r>
    </w:p>
    <w:p>
      <w:pPr>
        <w:pStyle w:val="Normal"/>
        <w:tabs>
          <w:tab w:val="clear" w:pos="708"/>
          <w:tab w:val="left" w:pos="4962" w:leader="none"/>
          <w:tab w:val="left" w:pos="5505" w:leader="none"/>
        </w:tabs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color w:val="000000"/>
          <w:spacing w:val="-1"/>
          <w:sz w:val="28"/>
          <w:szCs w:val="28"/>
          <w:lang w:val="uk-UA" w:eastAsia="uk-UA"/>
        </w:rPr>
        <w:t>у Луцькій міській територіальній громаді”»</w:t>
      </w:r>
    </w:p>
    <w:p>
      <w:pPr>
        <w:pStyle w:val="Normal"/>
        <w:jc w:val="center"/>
        <w:rPr>
          <w:b w:val="false"/>
          <w:b w:val="false"/>
          <w:bCs w:val="false"/>
          <w:color w:val="5C6266"/>
          <w:spacing w:val="-1"/>
          <w:sz w:val="28"/>
          <w:szCs w:val="28"/>
          <w:lang w:val="uk-UA" w:eastAsia="uk-UA"/>
        </w:rPr>
      </w:pPr>
      <w:r>
        <w:rPr>
          <w:b w:val="false"/>
          <w:bCs w:val="false"/>
          <w:color w:val="5C6266"/>
          <w:spacing w:val="-1"/>
          <w:sz w:val="28"/>
          <w:szCs w:val="28"/>
          <w:lang w:val="uk-UA" w:eastAsia="uk-UA"/>
        </w:rPr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>ПАСПОРТ ПРОГРАМИ</w:t>
      </w:r>
    </w:p>
    <w:p>
      <w:pPr>
        <w:pStyle w:val="15"/>
        <w:spacing w:before="0" w:after="0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tbl>
      <w:tblPr>
        <w:tblW w:w="9294" w:type="dxa"/>
        <w:jc w:val="left"/>
        <w:tblInd w:w="55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37"/>
        <w:gridCol w:w="4081"/>
        <w:gridCol w:w="4476"/>
      </w:tblGrid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1.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Ініціатор розроблення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Луцька міська рада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Дата, номер і назва розпорядчого документа органу виконавчої влади про розроблення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– 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3.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Розробник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4. 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Відповідальний виконавець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5.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Учасники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Управління міжнародного співробітництва та проектної діяльності, департамент житлово-комунального господарства, відділ екології, відділ обліку та звітності, Луцьке спеціальне комунальне автотранспортне підприємство «Луцькспецкомунтранс»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6.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Термін реалізації Програми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2021–2023 роки</w:t>
            </w:r>
          </w:p>
        </w:tc>
      </w:tr>
      <w:tr>
        <w:trPr/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7.</w:t>
            </w:r>
          </w:p>
        </w:tc>
        <w:tc>
          <w:tcPr>
            <w:tcW w:w="4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 xml:space="preserve">Загальний обсяг фінансових ресурсів, необхідних для реалізації Програми, всього </w:t>
            </w:r>
          </w:p>
        </w:tc>
        <w:tc>
          <w:tcPr>
            <w:tcW w:w="4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textAlignment w:val="top"/>
              <w:rPr>
                <w:bCs/>
                <w:lang w:val="uk-UA"/>
              </w:rPr>
            </w:pPr>
            <w:r>
              <w:rPr>
                <w:bCs/>
                <w:lang w:val="uk-U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textAlignment w:val="top"/>
              <w:rPr/>
            </w:pPr>
            <w:bookmarkStart w:id="0" w:name="__DdeLink__2511_2137129410"/>
            <w:r>
              <w:rPr>
                <w:bCs/>
                <w:sz w:val="28"/>
                <w:szCs w:val="28"/>
                <w:lang w:val="uk-UA"/>
              </w:rPr>
              <w:t>1</w:t>
            </w:r>
            <w:r>
              <w:rPr>
                <w:bCs/>
                <w:sz w:val="28"/>
                <w:szCs w:val="28"/>
                <w:lang w:val="en-US"/>
              </w:rPr>
              <w:t>7</w:t>
            </w:r>
            <w:r>
              <w:rPr>
                <w:bCs/>
                <w:sz w:val="28"/>
                <w:szCs w:val="28"/>
                <w:lang w:val="uk-UA"/>
              </w:rPr>
              <w:t>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460</w:t>
            </w:r>
            <w:r>
              <w:rPr>
                <w:bCs/>
                <w:sz w:val="28"/>
                <w:szCs w:val="28"/>
                <w:lang w:val="uk-UA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  <w:bookmarkEnd w:id="0"/>
            <w:r>
              <w:rPr>
                <w:bCs/>
                <w:sz w:val="28"/>
                <w:szCs w:val="28"/>
                <w:lang w:val="uk-UA"/>
              </w:rPr>
              <w:t xml:space="preserve"> тис. </w:t>
            </w:r>
            <w:bookmarkStart w:id="1" w:name="__DdeLink__4228_2071896020"/>
            <w:r>
              <w:rPr>
                <w:bCs/>
                <w:color w:val="000000"/>
                <w:sz w:val="28"/>
                <w:szCs w:val="28"/>
                <w:lang w:val="uk-UA"/>
              </w:rPr>
              <w:t>грн</w:t>
            </w:r>
            <w:bookmarkEnd w:id="1"/>
          </w:p>
        </w:tc>
      </w:tr>
      <w:tr>
        <w:trPr>
          <w:trHeight w:val="360" w:hRule="atLeast"/>
        </w:trPr>
        <w:tc>
          <w:tcPr>
            <w:tcW w:w="929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713" w:hang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у тому числі:</w:t>
            </w:r>
          </w:p>
        </w:tc>
      </w:tr>
      <w:tr>
        <w:trPr/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7.1.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коштів бюджету Луцької міської територіальної громади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rPr/>
            </w:pPr>
            <w:r>
              <w:rPr>
                <w:bCs/>
                <w:sz w:val="28"/>
                <w:szCs w:val="28"/>
                <w:lang w:val="uk-UA"/>
              </w:rPr>
              <w:t>5 </w:t>
            </w:r>
            <w:r>
              <w:rPr>
                <w:bCs/>
                <w:sz w:val="28"/>
                <w:szCs w:val="28"/>
                <w:lang w:val="en-US"/>
              </w:rPr>
              <w:t>8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</w:t>
            </w:r>
            <w:r>
              <w:rPr>
                <w:bCs/>
                <w:sz w:val="28"/>
                <w:szCs w:val="28"/>
                <w:lang w:val="uk-UA"/>
              </w:rPr>
              <w:t xml:space="preserve">,00 тис. 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грн</w:t>
            </w:r>
          </w:p>
        </w:tc>
      </w:tr>
      <w:tr>
        <w:trPr>
          <w:trHeight w:val="365" w:hRule="atLeast"/>
        </w:trPr>
        <w:tc>
          <w:tcPr>
            <w:tcW w:w="73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7.2.</w:t>
            </w:r>
          </w:p>
        </w:tc>
        <w:tc>
          <w:tcPr>
            <w:tcW w:w="408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коштів інших джерел</w:t>
            </w:r>
          </w:p>
        </w:tc>
        <w:tc>
          <w:tcPr>
            <w:tcW w:w="44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1"/>
              <w:widowControl w:val="false"/>
              <w:suppressLineNumbers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left"/>
              <w:rPr/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11 </w:t>
            </w:r>
            <w:r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val="en-US" w:eastAsia="zh-CN" w:bidi="ar-SA"/>
              </w:rPr>
              <w:t>600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>,</w:t>
            </w:r>
            <w:r>
              <w:rPr>
                <w:rFonts w:eastAsia="Times New Roman" w:cs="Times New Roman"/>
                <w:bCs/>
                <w:color w:val="000000"/>
                <w:kern w:val="0"/>
                <w:sz w:val="28"/>
                <w:szCs w:val="28"/>
                <w:lang w:val="en-US" w:eastAsia="zh-CN" w:bidi="ar-SA"/>
              </w:rPr>
              <w:t>00</w:t>
            </w:r>
            <w:r>
              <w:rPr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val="uk-UA"/>
              </w:rPr>
              <w:t>тис. грн</w:t>
            </w:r>
          </w:p>
        </w:tc>
      </w:tr>
    </w:tbl>
    <w:p>
      <w:pPr>
        <w:pStyle w:val="Normal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sectPr>
          <w:type w:val="nextPage"/>
          <w:pgSz w:w="11906" w:h="16838"/>
          <w:pgMar w:left="1985" w:right="567" w:header="0" w:top="567" w:footer="0" w:bottom="1701" w:gutter="0"/>
          <w:pgNumType w:start="1" w:fmt="decimal"/>
          <w:formProt w:val="false"/>
          <w:textDirection w:val="lrTb"/>
          <w:docGrid w:type="default" w:linePitch="381" w:charSpace="0"/>
        </w:sectPr>
        <w:pStyle w:val="Normal"/>
        <w:jc w:val="both"/>
        <w:rPr/>
      </w:pPr>
      <w:r>
        <w:rPr>
          <w:sz w:val="24"/>
          <w:lang w:val="uk-UA"/>
        </w:rPr>
        <w:t>Вінцюк 777 995</w:t>
      </w:r>
    </w:p>
    <w:p>
      <w:pPr>
        <w:pStyle w:val="Normal"/>
        <w:shd w:val="clear" w:color="auto" w:fill="FFFFFF"/>
        <w:spacing w:lineRule="exact" w:line="317"/>
        <w:ind w:left="9923" w:right="14" w:hanging="0"/>
        <w:rPr>
          <w:szCs w:val="28"/>
        </w:rPr>
      </w:pPr>
      <w:r>
        <w:rPr>
          <w:color w:val="000000"/>
          <w:sz w:val="28"/>
          <w:szCs w:val="28"/>
          <w:lang w:val="uk-UA"/>
        </w:rPr>
        <w:t xml:space="preserve">Додаток 1 </w:t>
      </w:r>
    </w:p>
    <w:p>
      <w:pPr>
        <w:pStyle w:val="Normal"/>
        <w:shd w:val="clear" w:color="auto" w:fill="FFFFFF"/>
        <w:spacing w:lineRule="exact" w:line="317"/>
        <w:ind w:left="9923" w:right="14" w:hanging="0"/>
        <w:jc w:val="both"/>
        <w:rPr>
          <w:szCs w:val="28"/>
        </w:rPr>
      </w:pPr>
      <w:r>
        <w:rPr>
          <w:color w:val="000000"/>
          <w:sz w:val="28"/>
          <w:szCs w:val="28"/>
          <w:lang w:val="uk-UA"/>
        </w:rPr>
        <w:t xml:space="preserve">до </w:t>
      </w:r>
      <w:r>
        <w:rPr>
          <w:sz w:val="28"/>
          <w:szCs w:val="28"/>
          <w:lang w:val="uk-UA"/>
        </w:rPr>
        <w:t>Програми 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</w:t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jc w:val="center"/>
        <w:rPr>
          <w:szCs w:val="28"/>
        </w:rPr>
      </w:pPr>
      <w:r>
        <w:rPr>
          <w:bCs/>
          <w:color w:val="000000"/>
          <w:sz w:val="28"/>
          <w:szCs w:val="28"/>
          <w:lang w:val="uk-UA"/>
        </w:rPr>
        <w:t>Ресурсне забезпечення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jc w:val="center"/>
        <w:rPr>
          <w:szCs w:val="28"/>
        </w:rPr>
      </w:pPr>
      <w:r>
        <w:rPr>
          <w:bCs/>
          <w:sz w:val="28"/>
          <w:szCs w:val="28"/>
          <w:lang w:val="uk-UA"/>
        </w:rPr>
        <w:t>Програми 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</w:t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</w:r>
    </w:p>
    <w:tbl>
      <w:tblPr>
        <w:tblW w:w="15149" w:type="dxa"/>
        <w:jc w:val="left"/>
        <w:tblInd w:w="2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75"/>
        <w:gridCol w:w="3710"/>
        <w:gridCol w:w="1580"/>
        <w:gridCol w:w="1983"/>
        <w:gridCol w:w="2695"/>
        <w:gridCol w:w="4405"/>
      </w:tblGrid>
      <w:tr>
        <w:trPr>
          <w:trHeight w:val="1278" w:hRule="atLeast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 xml:space="preserve">№ </w:t>
            </w:r>
          </w:p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Обсяг коштів, які пропонується залучити на виконання Програми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2021 рік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ІІ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2022 рік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ІІІ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2023 рік</w:t>
            </w:r>
          </w:p>
        </w:tc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Усього витрат на виконання Програми</w:t>
            </w:r>
          </w:p>
        </w:tc>
      </w:tr>
      <w:tr>
        <w:trPr>
          <w:trHeight w:val="475" w:hRule="atLeast"/>
        </w:trPr>
        <w:tc>
          <w:tcPr>
            <w:tcW w:w="7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1.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napToGrid w:val="false"/>
              <w:ind w:left="-113" w:right="-113" w:hanging="0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  <w:t>(тис. грн)</w:t>
            </w:r>
          </w:p>
        </w:tc>
      </w:tr>
      <w:tr>
        <w:trPr>
          <w:trHeight w:val="152" w:hRule="atLeast"/>
        </w:trPr>
        <w:tc>
          <w:tcPr>
            <w:tcW w:w="7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-113" w:right="-113" w:hanging="0"/>
              <w:jc w:val="center"/>
              <w:rPr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bCs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5" w:right="-113" w:hanging="0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Обсяг ресурсів загалом 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16</w:t>
            </w: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57" w:right="-113" w:hanging="0"/>
              <w:jc w:val="center"/>
              <w:textAlignment w:val="top"/>
              <w:rPr/>
            </w:pPr>
            <w:r>
              <w:rPr>
                <w:rFonts w:eastAsia="Times New Roman" w:cs="Times New Roman"/>
                <w:bCs/>
                <w:color w:val="00000A"/>
                <w:kern w:val="2"/>
                <w:sz w:val="28"/>
                <w:szCs w:val="28"/>
                <w:lang w:val="uk-UA" w:eastAsia="zh-CN" w:bidi="ar-SA"/>
              </w:rPr>
              <w:t>17 300,00</w:t>
            </w:r>
            <w:r>
              <w:rPr>
                <w:bCs/>
                <w:color w:val="00000A"/>
                <w:kern w:val="2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suppressAutoHyphens w:val="true"/>
              <w:bidi w:val="0"/>
              <w:spacing w:before="0" w:after="0"/>
              <w:ind w:left="0" w:right="-113" w:hanging="0"/>
              <w:jc w:val="center"/>
              <w:textAlignment w:val="top"/>
              <w:rPr/>
            </w:pPr>
            <w:r>
              <w:rPr>
                <w:bCs/>
                <w:sz w:val="28"/>
                <w:szCs w:val="28"/>
                <w:lang w:val="uk-UA"/>
              </w:rPr>
              <w:t>1</w:t>
            </w:r>
            <w:r>
              <w:rPr>
                <w:bCs/>
                <w:sz w:val="28"/>
                <w:szCs w:val="28"/>
                <w:lang w:val="en-US"/>
              </w:rPr>
              <w:t>7</w:t>
            </w:r>
            <w:r>
              <w:rPr>
                <w:bCs/>
                <w:sz w:val="28"/>
                <w:szCs w:val="28"/>
                <w:lang w:val="uk-UA"/>
              </w:rPr>
              <w:t>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460</w:t>
            </w:r>
            <w:r>
              <w:rPr>
                <w:bCs/>
                <w:sz w:val="28"/>
                <w:szCs w:val="28"/>
                <w:lang w:val="uk-UA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</w:p>
        </w:tc>
      </w:tr>
      <w:tr>
        <w:trPr>
          <w:trHeight w:val="237" w:hRule="atLeast"/>
        </w:trPr>
        <w:tc>
          <w:tcPr>
            <w:tcW w:w="151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706" w:right="-113" w:hanging="0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у тому числі:</w:t>
            </w:r>
          </w:p>
        </w:tc>
      </w:tr>
      <w:tr>
        <w:trPr>
          <w:trHeight w:val="491" w:hRule="atLeast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2.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5" w:right="-113" w:hanging="0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кошти бюджету Луцької МТГ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16</w:t>
            </w: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bCs/>
                <w:sz w:val="28"/>
                <w:szCs w:val="28"/>
                <w:lang w:val="uk-UA"/>
              </w:rPr>
              <w:t>5 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700</w:t>
            </w:r>
            <w:r>
              <w:rPr>
                <w:bCs/>
                <w:sz w:val="28"/>
                <w:szCs w:val="28"/>
                <w:lang w:val="uk-UA"/>
              </w:rPr>
              <w:t>, 00</w:t>
            </w:r>
          </w:p>
        </w:tc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bCs/>
                <w:sz w:val="28"/>
                <w:szCs w:val="28"/>
                <w:lang w:val="uk-UA"/>
              </w:rPr>
              <w:t>5 </w:t>
            </w:r>
            <w:r>
              <w:rPr>
                <w:bCs/>
                <w:sz w:val="28"/>
                <w:szCs w:val="28"/>
                <w:lang w:val="en-US"/>
              </w:rPr>
              <w:t>8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60,</w:t>
            </w:r>
            <w:r>
              <w:rPr>
                <w:bCs/>
                <w:sz w:val="28"/>
                <w:szCs w:val="28"/>
                <w:lang w:val="uk-UA"/>
              </w:rPr>
              <w:t>00</w:t>
            </w:r>
          </w:p>
        </w:tc>
      </w:tr>
      <w:tr>
        <w:trPr>
          <w:trHeight w:val="491" w:hRule="atLeast"/>
        </w:trPr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13" w:right="-113" w:hanging="0"/>
              <w:jc w:val="center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3.</w:t>
            </w:r>
          </w:p>
        </w:tc>
        <w:tc>
          <w:tcPr>
            <w:tcW w:w="3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5" w:right="-113" w:hanging="0"/>
              <w:rPr>
                <w:szCs w:val="28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кошти інших джерел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szCs w:val="28"/>
              </w:rPr>
            </w:pPr>
            <w:r>
              <w:rPr>
                <w:bCs/>
                <w:sz w:val="28"/>
                <w:szCs w:val="28"/>
                <w:lang w:val="uk-UA"/>
              </w:rPr>
              <w:t>0,00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bCs/>
                <w:sz w:val="28"/>
                <w:szCs w:val="28"/>
                <w:lang w:val="en-US"/>
              </w:rPr>
              <w:t>11</w:t>
            </w:r>
            <w:r>
              <w:rPr>
                <w:bCs/>
                <w:sz w:val="28"/>
                <w:szCs w:val="28"/>
                <w:lang w:val="uk-UA"/>
              </w:rPr>
              <w:t>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600</w:t>
            </w:r>
            <w:r>
              <w:rPr>
                <w:bCs/>
                <w:sz w:val="28"/>
                <w:szCs w:val="28"/>
                <w:lang w:val="en-US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</w:p>
        </w:tc>
        <w:tc>
          <w:tcPr>
            <w:tcW w:w="4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1"/>
              <w:widowControl w:val="false"/>
              <w:tabs>
                <w:tab w:val="clear" w:pos="708"/>
                <w:tab w:val="left" w:pos="100" w:leader="none"/>
              </w:tabs>
              <w:ind w:left="-113" w:right="-113" w:hanging="0"/>
              <w:jc w:val="center"/>
              <w:rPr>
                <w:highlight w:val="yellow"/>
              </w:rPr>
            </w:pPr>
            <w:r>
              <w:rPr>
                <w:bCs/>
                <w:sz w:val="28"/>
                <w:szCs w:val="28"/>
                <w:lang w:val="en-US"/>
              </w:rPr>
              <w:t>11</w:t>
            </w:r>
            <w:r>
              <w:rPr>
                <w:bCs/>
                <w:sz w:val="28"/>
                <w:szCs w:val="28"/>
                <w:lang w:val="uk-UA"/>
              </w:rPr>
              <w:t> 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600</w:t>
            </w:r>
            <w:r>
              <w:rPr>
                <w:bCs/>
                <w:sz w:val="28"/>
                <w:szCs w:val="28"/>
                <w:lang w:val="en-US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sz w:val="28"/>
                <w:szCs w:val="28"/>
                <w:lang w:val="en-US" w:eastAsia="zh-CN" w:bidi="ar-SA"/>
              </w:rPr>
              <w:t>00</w:t>
            </w:r>
          </w:p>
        </w:tc>
      </w:tr>
    </w:tbl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14" w:hanging="0"/>
        <w:jc w:val="center"/>
        <w:rPr>
          <w:color w:val="000000"/>
          <w:sz w:val="28"/>
          <w:szCs w:val="28"/>
          <w:highlight w:val="red"/>
          <w:lang w:val="uk-UA"/>
        </w:rPr>
      </w:pPr>
      <w:r>
        <w:rPr>
          <w:color w:val="000000"/>
          <w:sz w:val="28"/>
          <w:szCs w:val="28"/>
          <w:highlight w:val="red"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ind w:right="14" w:hanging="0"/>
        <w:jc w:val="center"/>
        <w:rPr>
          <w:color w:val="000000"/>
          <w:sz w:val="28"/>
          <w:szCs w:val="28"/>
          <w:highlight w:val="red"/>
          <w:lang w:val="uk-UA"/>
        </w:rPr>
      </w:pPr>
      <w:r>
        <w:rPr>
          <w:color w:val="000000"/>
          <w:sz w:val="28"/>
          <w:szCs w:val="28"/>
          <w:highlight w:val="red"/>
          <w:lang w:val="uk-UA"/>
        </w:rPr>
      </w:r>
    </w:p>
    <w:p>
      <w:pPr>
        <w:sectPr>
          <w:headerReference w:type="default" r:id="rId2"/>
          <w:type w:val="nextPage"/>
          <w:pgSz w:orient="landscape" w:w="16838" w:h="11906"/>
          <w:pgMar w:left="1134" w:right="635" w:header="993" w:top="1985" w:footer="0" w:bottom="1701" w:gutter="0"/>
          <w:pgNumType w:start="2" w:fmt="decimal"/>
          <w:formProt w:val="false"/>
          <w:textDirection w:val="lrTb"/>
          <w:docGrid w:type="default" w:linePitch="360" w:charSpace="0"/>
        </w:sectPr>
        <w:pStyle w:val="Normal"/>
        <w:shd w:val="clear" w:color="auto" w:fill="FFFFFF"/>
        <w:tabs>
          <w:tab w:val="clear" w:pos="708"/>
          <w:tab w:val="left" w:pos="100" w:leader="none"/>
        </w:tabs>
        <w:ind w:right="14" w:hanging="0"/>
        <w:rPr>
          <w:sz w:val="24"/>
          <w:szCs w:val="24"/>
        </w:rPr>
      </w:pPr>
      <w:r>
        <w:rPr>
          <w:sz w:val="24"/>
          <w:szCs w:val="24"/>
          <w:lang w:val="uk-UA"/>
        </w:rPr>
        <w:t>Вінцюк 777 995</w:t>
      </w:r>
    </w:p>
    <w:p>
      <w:pPr>
        <w:pStyle w:val="Normal"/>
        <w:tabs>
          <w:tab w:val="clear" w:pos="708"/>
          <w:tab w:val="left" w:pos="5580" w:leader="none"/>
        </w:tabs>
        <w:ind w:firstLine="9356"/>
        <w:textAlignment w:val="top"/>
        <w:rPr>
          <w:sz w:val="26"/>
          <w:szCs w:val="26"/>
        </w:rPr>
      </w:pPr>
      <w:r>
        <w:rPr>
          <w:bCs/>
          <w:color w:val="000000"/>
          <w:kern w:val="2"/>
          <w:sz w:val="28"/>
          <w:szCs w:val="28"/>
          <w:lang w:val="uk-UA"/>
        </w:rPr>
        <w:t xml:space="preserve">Додаток 2 </w:t>
      </w:r>
    </w:p>
    <w:p>
      <w:pPr>
        <w:pStyle w:val="Normal"/>
        <w:shd w:val="clear" w:color="auto" w:fill="FFFFFF"/>
        <w:ind w:left="9356" w:right="11" w:hanging="0"/>
        <w:jc w:val="both"/>
        <w:textAlignment w:val="top"/>
        <w:rPr>
          <w:sz w:val="26"/>
          <w:szCs w:val="26"/>
        </w:rPr>
      </w:pPr>
      <w:r>
        <w:rPr>
          <w:bCs/>
          <w:color w:val="000000"/>
          <w:kern w:val="2"/>
          <w:sz w:val="28"/>
          <w:szCs w:val="28"/>
          <w:lang w:val="uk-UA"/>
        </w:rPr>
        <w:t xml:space="preserve">до </w:t>
      </w:r>
      <w:r>
        <w:rPr>
          <w:bCs/>
          <w:color w:val="00000A"/>
          <w:kern w:val="2"/>
          <w:sz w:val="28"/>
          <w:szCs w:val="28"/>
          <w:lang w:val="uk-UA"/>
        </w:rPr>
        <w:t xml:space="preserve">Програми </w:t>
      </w:r>
      <w:r>
        <w:rPr>
          <w:color w:val="00000A"/>
          <w:kern w:val="2"/>
          <w:sz w:val="28"/>
          <w:szCs w:val="28"/>
          <w:lang w:val="uk-UA"/>
        </w:rPr>
        <w:t xml:space="preserve">«Впровадження міжнародного проєкту “Спільний пошук нових рішень у комунальному господарстві: поводження з органічними відходами у Луцькій міській територіальній громаді”» </w:t>
      </w:r>
    </w:p>
    <w:p>
      <w:pPr>
        <w:pStyle w:val="Normal"/>
        <w:tabs>
          <w:tab w:val="clear" w:pos="708"/>
          <w:tab w:val="left" w:pos="5580" w:leader="none"/>
        </w:tabs>
        <w:jc w:val="both"/>
        <w:textAlignment w:val="top"/>
        <w:rPr>
          <w:bCs/>
          <w:color w:val="000000"/>
          <w:kern w:val="2"/>
          <w:sz w:val="28"/>
          <w:szCs w:val="28"/>
          <w:lang w:val="uk-UA"/>
        </w:rPr>
      </w:pPr>
      <w:r>
        <w:rPr>
          <w:bCs/>
          <w:color w:val="000000"/>
          <w:kern w:val="2"/>
          <w:sz w:val="28"/>
          <w:szCs w:val="28"/>
          <w:lang w:val="uk-UA"/>
        </w:rPr>
      </w:r>
    </w:p>
    <w:p>
      <w:pPr>
        <w:pStyle w:val="Normal"/>
        <w:jc w:val="center"/>
        <w:textAlignment w:val="top"/>
        <w:rPr>
          <w:sz w:val="26"/>
          <w:szCs w:val="26"/>
        </w:rPr>
      </w:pPr>
      <w:r>
        <w:rPr>
          <w:color w:val="00000A"/>
          <w:kern w:val="2"/>
          <w:sz w:val="28"/>
          <w:szCs w:val="28"/>
          <w:lang w:val="uk-UA"/>
        </w:rPr>
        <w:t>Напрями діяльності та заходи Програми</w:t>
      </w:r>
    </w:p>
    <w:p>
      <w:pPr>
        <w:pStyle w:val="Normal"/>
        <w:jc w:val="center"/>
        <w:textAlignment w:val="top"/>
        <w:rPr>
          <w:sz w:val="26"/>
          <w:szCs w:val="26"/>
        </w:rPr>
      </w:pPr>
      <w:r>
        <w:rPr>
          <w:color w:val="000000"/>
          <w:spacing w:val="-1"/>
          <w:kern w:val="2"/>
          <w:sz w:val="28"/>
          <w:szCs w:val="28"/>
          <w:lang w:val="uk-UA" w:eastAsia="uk-UA"/>
        </w:rPr>
        <w:t xml:space="preserve">«Впровадження міжнародного проєкту “Спільний пошук нових рішень </w:t>
      </w:r>
    </w:p>
    <w:p>
      <w:pPr>
        <w:pStyle w:val="Normal"/>
        <w:jc w:val="center"/>
        <w:textAlignment w:val="top"/>
        <w:rPr>
          <w:sz w:val="26"/>
          <w:szCs w:val="26"/>
        </w:rPr>
      </w:pPr>
      <w:r>
        <w:rPr>
          <w:color w:val="00000A"/>
          <w:spacing w:val="-1"/>
          <w:kern w:val="2"/>
          <w:sz w:val="28"/>
          <w:szCs w:val="28"/>
          <w:lang w:val="uk-UA" w:eastAsia="uk-UA"/>
        </w:rPr>
        <w:t>у комунальному господарстві: поводження з органічними відходами у Луцькій міській територіальній громаді”»</w:t>
      </w:r>
    </w:p>
    <w:p>
      <w:pPr>
        <w:pStyle w:val="Normal"/>
        <w:jc w:val="center"/>
        <w:textAlignment w:val="top"/>
        <w:rPr>
          <w:color w:val="00000A"/>
          <w:spacing w:val="-1"/>
          <w:kern w:val="2"/>
          <w:sz w:val="28"/>
          <w:szCs w:val="28"/>
          <w:lang w:val="uk-UA" w:eastAsia="uk-UA"/>
        </w:rPr>
      </w:pPr>
      <w:r>
        <w:rPr>
          <w:color w:val="00000A"/>
          <w:spacing w:val="-1"/>
          <w:kern w:val="2"/>
          <w:sz w:val="28"/>
          <w:szCs w:val="28"/>
          <w:lang w:val="uk-UA" w:eastAsia="uk-UA"/>
        </w:rPr>
      </w:r>
    </w:p>
    <w:tbl>
      <w:tblPr>
        <w:tblW w:w="15182" w:type="dxa"/>
        <w:jc w:val="left"/>
        <w:tblInd w:w="-7" w:type="dxa"/>
        <w:tblCellMar>
          <w:top w:w="0" w:type="dxa"/>
          <w:left w:w="5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470"/>
        <w:gridCol w:w="2053"/>
        <w:gridCol w:w="2406"/>
        <w:gridCol w:w="2839"/>
        <w:gridCol w:w="1248"/>
        <w:gridCol w:w="1544"/>
        <w:gridCol w:w="1981"/>
        <w:gridCol w:w="2639"/>
      </w:tblGrid>
      <w:tr>
        <w:trPr/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№</w:t>
            </w:r>
          </w:p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з/п</w:t>
            </w:r>
          </w:p>
        </w:tc>
        <w:tc>
          <w:tcPr>
            <w:tcW w:w="2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Назва завдання</w:t>
            </w:r>
          </w:p>
        </w:tc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Назва заходу</w:t>
            </w:r>
          </w:p>
        </w:tc>
        <w:tc>
          <w:tcPr>
            <w:tcW w:w="2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Виконавці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Терміни виконання</w:t>
            </w:r>
          </w:p>
        </w:tc>
        <w:tc>
          <w:tcPr>
            <w:tcW w:w="3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Фінансування</w:t>
            </w:r>
          </w:p>
        </w:tc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Результативні показники</w:t>
            </w:r>
          </w:p>
          <w:p>
            <w:pPr>
              <w:pStyle w:val="Style26"/>
              <w:widowControl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(планові)</w:t>
            </w:r>
          </w:p>
        </w:tc>
      </w:tr>
      <w:tr>
        <w:trPr>
          <w:trHeight w:val="360" w:hRule="atLeast"/>
        </w:trPr>
        <w:tc>
          <w:tcPr>
            <w:tcW w:w="4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28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snapToGrid w:val="false"/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Джерела фінансування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Обсяги, тис. грн</w:t>
            </w:r>
          </w:p>
        </w:tc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</w:tr>
      <w:tr>
        <w:trPr>
          <w:trHeight w:val="1875" w:hRule="atLeast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1.</w:t>
            </w:r>
          </w:p>
        </w:tc>
        <w:tc>
          <w:tcPr>
            <w:tcW w:w="2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napToGrid w:val="false"/>
              <w:spacing w:before="0" w:after="0"/>
              <w:ind w:left="0" w:right="57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Розвиток інфраструктури Луцької міської територіальної громади в сфері поводження з органічними відходами</w:t>
            </w:r>
          </w:p>
        </w:tc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1.1. Закупівля та встановлення обладнання для очистки фільтрату.</w:t>
            </w:r>
          </w:p>
          <w:p>
            <w:pPr>
              <w:pStyle w:val="Style26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bidi w:val="0"/>
              <w:spacing w:before="0" w:after="0"/>
              <w:ind w:left="57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УМСПД, ДЖКГ, відділ екології, ЛСКАП</w:t>
            </w:r>
          </w:p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«Луцькспецкомунтранс»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2022-2023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ind w:right="-170" w:hanging="0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бюджет </w:t>
            </w:r>
            <w:r>
              <w:rPr>
                <w:color w:val="000000"/>
                <w:sz w:val="26"/>
                <w:szCs w:val="26"/>
                <w:lang w:val="uk-UA"/>
              </w:rPr>
              <w:t>громади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bCs/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2022 р. – 0,00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/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2023 р. –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 xml:space="preserve"> 5 </w:t>
            </w:r>
            <w:r>
              <w:rPr>
                <w:rFonts w:eastAsia="Times New Roman" w:cs="Times New Roman"/>
                <w:color w:val="00000A"/>
                <w:kern w:val="2"/>
                <w:sz w:val="26"/>
                <w:szCs w:val="26"/>
                <w:lang w:val="en-US" w:eastAsia="zh-CN" w:bidi="ar-SA"/>
              </w:rPr>
              <w:t>040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,00</w:t>
            </w:r>
          </w:p>
        </w:tc>
        <w:tc>
          <w:tcPr>
            <w:tcW w:w="26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На полігоні для збору ТПВ у с. Брище Луцького району буде встановлено обладнання для очистки фільтрату, що забезпечить покращення санітарного та епідемічного стану навколишнього середовища (1 комплект).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Закуплене та встановлене обладнання стане частиною проєкту з рекультивації полігону для збору ТПВ у с. Брище.</w:t>
            </w:r>
          </w:p>
        </w:tc>
      </w:tr>
      <w:tr>
        <w:trPr>
          <w:trHeight w:val="1196" w:hRule="atLeast"/>
        </w:trPr>
        <w:tc>
          <w:tcPr>
            <w:tcW w:w="4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textAlignment w:val="top"/>
              <w:rPr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8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12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грантові</w:t>
            </w:r>
          </w:p>
          <w:p>
            <w:pPr>
              <w:pStyle w:val="Normal"/>
              <w:widowControl w:val="false"/>
              <w:suppressAutoHyphens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кошти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2022 р. – 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0,00</w:t>
            </w:r>
          </w:p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/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2023 р. – </w:t>
            </w:r>
            <w:r>
              <w:rPr>
                <w:color w:val="000000"/>
                <w:kern w:val="2"/>
                <w:sz w:val="26"/>
                <w:szCs w:val="26"/>
                <w:lang w:val="en-US"/>
              </w:rPr>
              <w:t>11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 </w:t>
            </w:r>
            <w:r>
              <w:rPr>
                <w:color w:val="000000"/>
                <w:kern w:val="2"/>
                <w:sz w:val="26"/>
                <w:szCs w:val="26"/>
                <w:lang w:val="en-US"/>
              </w:rPr>
              <w:t>6</w:t>
            </w:r>
            <w:r>
              <w:rPr>
                <w:rFonts w:eastAsia="Times New Roman" w:cs="Times New Roman"/>
                <w:color w:val="000000"/>
                <w:kern w:val="2"/>
                <w:sz w:val="26"/>
                <w:szCs w:val="26"/>
                <w:lang w:val="en-US" w:eastAsia="zh-CN" w:bidi="ar-SA"/>
              </w:rPr>
              <w:t>00</w:t>
            </w:r>
            <w:r>
              <w:rPr>
                <w:color w:val="000000"/>
                <w:kern w:val="2"/>
                <w:sz w:val="26"/>
                <w:szCs w:val="26"/>
                <w:lang w:val="en-US"/>
              </w:rPr>
              <w:t>,</w:t>
            </w:r>
            <w:r>
              <w:rPr>
                <w:rFonts w:eastAsia="Times New Roman" w:cs="Times New Roman"/>
                <w:color w:val="000000"/>
                <w:kern w:val="2"/>
                <w:sz w:val="26"/>
                <w:szCs w:val="26"/>
                <w:lang w:val="en-US" w:eastAsia="zh-CN" w:bidi="ar-SA"/>
              </w:rPr>
              <w:t>00</w:t>
            </w:r>
          </w:p>
        </w:tc>
        <w:tc>
          <w:tcPr>
            <w:tcW w:w="263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left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</w:tr>
      <w:tr>
        <w:trPr/>
        <w:tc>
          <w:tcPr>
            <w:tcW w:w="4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snapToGrid w:val="false"/>
              <w:jc w:val="center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1.2. Закупівля та встановлення компостерів на території шкіл Луцької МТГ.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УМСПД, ДЖКГ, відділ екології, </w:t>
            </w:r>
            <w:r>
              <w:rPr>
                <w:color w:val="000000"/>
                <w:kern w:val="2"/>
                <w:sz w:val="26"/>
                <w:szCs w:val="26"/>
              </w:rPr>
              <w:t xml:space="preserve">ЛСКАП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«</w:t>
            </w:r>
            <w:bookmarkStart w:id="2" w:name="__DdeLink__1945_3700142401"/>
            <w:r>
              <w:rPr>
                <w:color w:val="000000"/>
                <w:kern w:val="2"/>
                <w:sz w:val="26"/>
                <w:szCs w:val="26"/>
              </w:rPr>
              <w:t>Луцькспецкомунтранс</w:t>
            </w:r>
            <w:bookmarkEnd w:id="2"/>
            <w:r>
              <w:rPr>
                <w:color w:val="000000"/>
                <w:kern w:val="2"/>
                <w:sz w:val="26"/>
                <w:szCs w:val="26"/>
                <w:lang w:val="uk-UA"/>
              </w:rPr>
              <w:t>»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>2022-2023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бюджет </w:t>
            </w:r>
            <w:r>
              <w:rPr>
                <w:color w:val="000000"/>
                <w:sz w:val="26"/>
                <w:szCs w:val="26"/>
                <w:lang w:val="uk-UA"/>
              </w:rPr>
              <w:t>громади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A"/>
                <w:kern w:val="2"/>
                <w:sz w:val="26"/>
                <w:szCs w:val="26"/>
                <w:lang w:val="uk-UA"/>
              </w:rPr>
            </w:pPr>
            <w:bookmarkStart w:id="3" w:name="__DdeLink__506_4180255722"/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2022 р. –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0,00</w:t>
            </w:r>
            <w:bookmarkEnd w:id="3"/>
          </w:p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0"/>
                <w:kern w:val="2"/>
                <w:sz w:val="26"/>
                <w:szCs w:val="26"/>
                <w:lang w:val="en-US"/>
              </w:rPr>
              <w:t xml:space="preserve">2023 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р. – 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>140,00</w:t>
            </w:r>
          </w:p>
          <w:p>
            <w:pPr>
              <w:pStyle w:val="Style26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  <w:lang w:val="uk-UA"/>
              </w:rPr>
              <w:t>На території шкіл Луцької громади встановлено 20 компостерів для органічних відходів.</w:t>
            </w:r>
          </w:p>
        </w:tc>
      </w:tr>
      <w:tr>
        <w:trPr>
          <w:trHeight w:val="1322" w:hRule="atLeast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Стратегічне вдосконалення системи управління органічними відходами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2.1. Розробка Концепції управління органічними відходами на території Луцької МТГ.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УМСПД, ДЖКГ,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відділ екології, </w:t>
            </w:r>
            <w:r>
              <w:rPr>
                <w:color w:val="000000"/>
                <w:kern w:val="2"/>
                <w:sz w:val="26"/>
                <w:szCs w:val="26"/>
              </w:rPr>
              <w:t xml:space="preserve">ЛСКАП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«Луцькспецкомунтранс»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2022</w:t>
            </w:r>
            <w:r>
              <w:rPr>
                <w:bCs/>
                <w:color w:val="00000A"/>
                <w:kern w:val="2"/>
                <w:sz w:val="26"/>
                <w:szCs w:val="26"/>
                <w:lang w:val="uk-UA"/>
              </w:rPr>
              <w:t>-</w:t>
            </w:r>
            <w:r>
              <w:rPr>
                <w:bCs/>
                <w:color w:val="00000A"/>
                <w:kern w:val="2"/>
                <w:sz w:val="26"/>
                <w:szCs w:val="26"/>
                <w:lang w:val="en-US"/>
              </w:rPr>
              <w:t>2023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2022 р. –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0,00</w:t>
            </w:r>
          </w:p>
          <w:p>
            <w:pPr>
              <w:pStyle w:val="Style26"/>
              <w:widowControl w:val="false"/>
              <w:rPr/>
            </w:pPr>
            <w:r>
              <w:rPr>
                <w:kern w:val="2"/>
                <w:sz w:val="26"/>
                <w:szCs w:val="26"/>
                <w:lang w:val="uk-UA"/>
              </w:rPr>
              <w:t>202</w:t>
            </w:r>
            <w:r>
              <w:rPr>
                <w:kern w:val="2"/>
                <w:sz w:val="26"/>
                <w:szCs w:val="26"/>
                <w:lang w:val="en-US"/>
              </w:rPr>
              <w:t>3</w:t>
            </w:r>
            <w:r>
              <w:rPr>
                <w:kern w:val="2"/>
                <w:sz w:val="26"/>
                <w:szCs w:val="26"/>
                <w:lang w:val="uk-UA"/>
              </w:rPr>
              <w:t xml:space="preserve"> р. – </w:t>
            </w:r>
            <w:r>
              <w:rPr>
                <w:rFonts w:eastAsia="Times New Roman" w:cs="Times New Roman"/>
                <w:color w:val="auto"/>
                <w:kern w:val="2"/>
                <w:sz w:val="26"/>
                <w:szCs w:val="26"/>
                <w:lang w:val="en-US" w:eastAsia="zh-CN" w:bidi="ar-SA"/>
              </w:rPr>
              <w:t>90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,00</w:t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center"/>
              <w:rPr>
                <w:kern w:val="2"/>
                <w:sz w:val="26"/>
                <w:szCs w:val="26"/>
                <w:lang w:val="uk-UA"/>
              </w:rPr>
            </w:pPr>
            <w:r>
              <w:rPr>
                <w:kern w:val="2"/>
                <w:sz w:val="26"/>
                <w:szCs w:val="26"/>
                <w:lang w:val="uk-UA"/>
              </w:rPr>
              <w:t>Розроблено Концепцію управління органічними відходами на території Луцької МТГ.</w:t>
            </w:r>
          </w:p>
        </w:tc>
      </w:tr>
      <w:tr>
        <w:trPr>
          <w:trHeight w:val="1322" w:hRule="atLeast"/>
        </w:trPr>
        <w:tc>
          <w:tcPr>
            <w:tcW w:w="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3.</w:t>
            </w:r>
          </w:p>
        </w:tc>
        <w:tc>
          <w:tcPr>
            <w:tcW w:w="20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false"/>
              <w:bidi w:val="0"/>
              <w:snapToGrid w:val="false"/>
              <w:spacing w:before="0" w:after="0"/>
              <w:ind w:left="0" w:right="0" w:hanging="0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Адміністрування проєкту, промоція 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3.1. Управління проєктом, аудит.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УМСПД, ДЖКГ</w:t>
            </w:r>
          </w:p>
        </w:tc>
        <w:tc>
          <w:tcPr>
            <w:tcW w:w="12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2022-2023</w:t>
            </w:r>
          </w:p>
        </w:tc>
        <w:tc>
          <w:tcPr>
            <w:tcW w:w="1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>бюджет громади</w:t>
            </w:r>
          </w:p>
        </w:tc>
        <w:tc>
          <w:tcPr>
            <w:tcW w:w="1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>
                <w:sz w:val="26"/>
                <w:szCs w:val="26"/>
              </w:rPr>
            </w:pPr>
            <w:r>
              <w:rPr>
                <w:kern w:val="2"/>
                <w:sz w:val="26"/>
                <w:szCs w:val="26"/>
                <w:lang w:val="uk-UA"/>
              </w:rPr>
              <w:t>2022 р. – 160,00</w:t>
            </w:r>
          </w:p>
          <w:p>
            <w:pPr>
              <w:pStyle w:val="Style26"/>
              <w:widowControl w:val="false"/>
              <w:rPr/>
            </w:pPr>
            <w:r>
              <w:rPr>
                <w:kern w:val="2"/>
                <w:sz w:val="26"/>
                <w:szCs w:val="26"/>
                <w:lang w:val="uk-UA"/>
              </w:rPr>
              <w:t xml:space="preserve">2023 р. – </w:t>
            </w:r>
            <w:r>
              <w:rPr>
                <w:rFonts w:eastAsia="Times New Roman" w:cs="Times New Roman"/>
                <w:color w:val="auto"/>
                <w:kern w:val="2"/>
                <w:sz w:val="26"/>
                <w:szCs w:val="26"/>
                <w:lang w:val="en-US" w:eastAsia="zh-CN" w:bidi="ar-SA"/>
              </w:rPr>
              <w:t>430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,00</w:t>
            </w:r>
          </w:p>
          <w:p>
            <w:pPr>
              <w:pStyle w:val="Style26"/>
              <w:widowControl w:val="false"/>
              <w:rPr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Якісно реалізовано проєкт, якісно розроблено Концепцію управління органічними відходами.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Налагоджено комунікацію з партнерами, якісно підготовлено звітність з проєкту німецькою та українською мовами.</w:t>
            </w:r>
          </w:p>
        </w:tc>
      </w:tr>
      <w:tr>
        <w:trPr>
          <w:trHeight w:val="1322" w:hRule="atLeast"/>
        </w:trPr>
        <w:tc>
          <w:tcPr>
            <w:tcW w:w="47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bCs/>
                <w:color w:val="00000A"/>
                <w:kern w:val="2"/>
                <w:sz w:val="26"/>
                <w:szCs w:val="26"/>
                <w:lang w:val="uk-UA"/>
              </w:rPr>
            </w:pPr>
            <w:r>
              <w:rPr>
                <w:bCs/>
                <w:color w:val="00000A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05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false"/>
              <w:snapToGrid w:val="false"/>
              <w:textAlignment w:val="top"/>
              <w:rPr>
                <w:bCs/>
                <w:color w:val="000000"/>
                <w:kern w:val="2"/>
                <w:sz w:val="26"/>
                <w:szCs w:val="26"/>
                <w:lang w:val="uk-UA"/>
              </w:rPr>
            </w:pPr>
            <w:r>
              <w:rPr>
                <w:bCs/>
                <w:color w:val="000000"/>
                <w:kern w:val="2"/>
                <w:sz w:val="26"/>
                <w:szCs w:val="26"/>
                <w:lang w:val="uk-UA"/>
              </w:rPr>
            </w:r>
          </w:p>
        </w:tc>
        <w:tc>
          <w:tcPr>
            <w:tcW w:w="2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left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3.2. Проведення інформаційно- промоційних заходів, обмінних візитів,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 закупівля комплектів ферментів для компостування.</w:t>
            </w:r>
          </w:p>
        </w:tc>
        <w:tc>
          <w:tcPr>
            <w:tcW w:w="283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УМСПД, ДЖКГ, </w:t>
            </w:r>
          </w:p>
          <w:p>
            <w:pPr>
              <w:pStyle w:val="Normal"/>
              <w:widowControl w:val="false"/>
              <w:suppressAutoHyphens w:val="false"/>
              <w:bidi w:val="0"/>
              <w:spacing w:before="0" w:after="0"/>
              <w:ind w:left="0" w:right="0" w:hanging="0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відділ екології,  </w:t>
            </w:r>
            <w:r>
              <w:rPr>
                <w:color w:val="000000"/>
                <w:kern w:val="2"/>
                <w:sz w:val="26"/>
                <w:szCs w:val="26"/>
              </w:rPr>
              <w:t xml:space="preserve">ЛСКАП 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 xml:space="preserve"> «</w:t>
            </w:r>
            <w:r>
              <w:rPr>
                <w:color w:val="000000"/>
                <w:kern w:val="2"/>
                <w:sz w:val="26"/>
                <w:szCs w:val="26"/>
              </w:rPr>
              <w:t>Луцькспецкомунтранс</w:t>
            </w:r>
            <w:r>
              <w:rPr>
                <w:color w:val="000000"/>
                <w:kern w:val="2"/>
                <w:sz w:val="26"/>
                <w:szCs w:val="26"/>
                <w:lang w:val="uk-UA"/>
              </w:rPr>
              <w:t>»</w:t>
            </w:r>
          </w:p>
          <w:p>
            <w:pPr>
              <w:pStyle w:val="Normal"/>
              <w:widowControl w:val="false"/>
              <w:suppressAutoHyphens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widowControl w:val="false"/>
              <w:suppressAutoHyphens w:val="false"/>
              <w:jc w:val="both"/>
              <w:textAlignment w:val="top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2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both"/>
              <w:textAlignment w:val="top"/>
              <w:rPr>
                <w:bCs/>
                <w:color w:val="00000A"/>
                <w:kern w:val="2"/>
                <w:sz w:val="26"/>
                <w:szCs w:val="26"/>
                <w:lang w:val="en-US"/>
              </w:rPr>
            </w:pPr>
            <w:r>
              <w:rPr/>
            </w:r>
          </w:p>
        </w:tc>
        <w:tc>
          <w:tcPr>
            <w:tcW w:w="154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Normal"/>
              <w:widowControl w:val="false"/>
              <w:jc w:val="center"/>
              <w:textAlignment w:val="top"/>
              <w:rPr>
                <w:bCs/>
                <w:color w:val="00000A"/>
                <w:kern w:val="2"/>
                <w:sz w:val="26"/>
                <w:szCs w:val="26"/>
                <w:lang w:val="uk-UA"/>
              </w:rPr>
            </w:pPr>
            <w:r>
              <w:rPr/>
            </w:r>
          </w:p>
        </w:tc>
        <w:tc>
          <w:tcPr>
            <w:tcW w:w="1981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/>
            </w:pPr>
            <w:r>
              <w:rPr/>
            </w:r>
          </w:p>
        </w:tc>
        <w:tc>
          <w:tcPr>
            <w:tcW w:w="26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center"/>
              <w:rPr/>
            </w:pPr>
            <w:r>
              <w:rPr>
                <w:sz w:val="26"/>
                <w:szCs w:val="26"/>
                <w:lang w:val="uk-UA"/>
              </w:rPr>
              <w:t>Перейнято позитивний досвід партнерів – відбудеться 3 обмінних візити.</w:t>
            </w:r>
          </w:p>
          <w:p>
            <w:pPr>
              <w:pStyle w:val="Style26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Проведено 3 тематичні промоційні кампанії та практичні навчання у 20-ти школах Луцької МТГ.</w:t>
            </w:r>
          </w:p>
        </w:tc>
      </w:tr>
      <w:tr>
        <w:trPr/>
        <w:tc>
          <w:tcPr>
            <w:tcW w:w="105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Всього за роками, у тому числі:</w:t>
            </w:r>
          </w:p>
        </w:tc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 xml:space="preserve">2022: </w:t>
            </w:r>
            <w:r>
              <w:rPr>
                <w:sz w:val="26"/>
                <w:szCs w:val="26"/>
                <w:lang w:val="en-US"/>
              </w:rPr>
              <w:t>16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0,00 тис. грн</w:t>
            </w:r>
          </w:p>
          <w:p>
            <w:pPr>
              <w:pStyle w:val="Style26"/>
              <w:widowControl w:val="false"/>
              <w:rPr/>
            </w:pPr>
            <w:r>
              <w:rPr>
                <w:sz w:val="26"/>
                <w:szCs w:val="26"/>
                <w:lang w:val="uk-UA"/>
              </w:rPr>
              <w:t xml:space="preserve">2023: 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1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>7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 </w:t>
            </w:r>
            <w:r>
              <w:rPr>
                <w:rFonts w:eastAsia="Times New Roman" w:cs="Times New Roman"/>
                <w:color w:val="00000A"/>
                <w:kern w:val="2"/>
                <w:sz w:val="26"/>
                <w:szCs w:val="26"/>
                <w:lang w:val="en-US" w:eastAsia="zh-CN" w:bidi="ar-SA"/>
              </w:rPr>
              <w:t>300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>,</w:t>
            </w:r>
            <w:r>
              <w:rPr>
                <w:color w:val="00000A"/>
                <w:kern w:val="2"/>
                <w:sz w:val="26"/>
                <w:szCs w:val="26"/>
                <w:lang w:val="en-US"/>
              </w:rPr>
              <w:t>00</w:t>
            </w:r>
            <w:r>
              <w:rPr>
                <w:color w:val="00000A"/>
                <w:kern w:val="2"/>
                <w:sz w:val="26"/>
                <w:szCs w:val="26"/>
                <w:lang w:val="uk-UA"/>
              </w:rPr>
              <w:t xml:space="preserve"> тис. грн</w:t>
            </w:r>
          </w:p>
        </w:tc>
      </w:tr>
      <w:tr>
        <w:trPr/>
        <w:tc>
          <w:tcPr>
            <w:tcW w:w="10560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uk-UA"/>
              </w:rPr>
              <w:t>Всього за джерелами фінансування, у тому числі:</w:t>
            </w:r>
          </w:p>
        </w:tc>
        <w:tc>
          <w:tcPr>
            <w:tcW w:w="46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Style26"/>
              <w:widowControl w:val="false"/>
              <w:rPr/>
            </w:pPr>
            <w:r>
              <w:rPr>
                <w:sz w:val="26"/>
                <w:szCs w:val="26"/>
                <w:lang w:val="uk-UA"/>
              </w:rPr>
              <w:t>Бюджет громади: 5 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en-US" w:eastAsia="zh-CN" w:bidi="ar-SA"/>
              </w:rPr>
              <w:t>60</w:t>
            </w:r>
            <w:r>
              <w:rPr>
                <w:sz w:val="26"/>
                <w:szCs w:val="26"/>
                <w:lang w:val="uk-UA"/>
              </w:rPr>
              <w:t>,00 тис. грн</w:t>
            </w:r>
          </w:p>
          <w:p>
            <w:pPr>
              <w:pStyle w:val="Style26"/>
              <w:widowControl w:val="false"/>
              <w:rPr/>
            </w:pPr>
            <w:r>
              <w:rPr>
                <w:sz w:val="26"/>
                <w:szCs w:val="26"/>
                <w:lang w:val="uk-UA"/>
              </w:rPr>
              <w:t xml:space="preserve">Грантові кошти: </w:t>
            </w:r>
            <w:r>
              <w:rPr>
                <w:sz w:val="26"/>
                <w:szCs w:val="26"/>
                <w:lang w:val="en-US"/>
              </w:rPr>
              <w:t>11</w:t>
            </w:r>
            <w:r>
              <w:rPr>
                <w:sz w:val="26"/>
                <w:szCs w:val="26"/>
                <w:lang w:val="uk-UA"/>
              </w:rPr>
              <w:t> </w:t>
            </w:r>
            <w:r>
              <w:rPr>
                <w:sz w:val="26"/>
                <w:szCs w:val="26"/>
                <w:lang w:val="en-US"/>
              </w:rPr>
              <w:t>6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en-US" w:eastAsia="zh-CN" w:bidi="ar-SA"/>
              </w:rPr>
              <w:t>00</w:t>
            </w:r>
            <w:r>
              <w:rPr>
                <w:sz w:val="26"/>
                <w:szCs w:val="26"/>
                <w:lang w:val="en-US"/>
              </w:rPr>
              <w:t>,</w:t>
            </w:r>
            <w:r>
              <w:rPr>
                <w:rFonts w:eastAsia="Times New Roman" w:cs="Times New Roman"/>
                <w:color w:val="auto"/>
                <w:kern w:val="0"/>
                <w:sz w:val="26"/>
                <w:szCs w:val="26"/>
                <w:lang w:val="en-US" w:eastAsia="zh-CN" w:bidi="ar-SA"/>
              </w:rPr>
              <w:t>00</w:t>
            </w:r>
            <w:r>
              <w:rPr>
                <w:sz w:val="26"/>
                <w:szCs w:val="26"/>
                <w:lang w:val="uk-UA"/>
              </w:rPr>
              <w:t xml:space="preserve"> тис. грн</w:t>
            </w:r>
          </w:p>
        </w:tc>
      </w:tr>
    </w:tbl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100" w:leader="none"/>
        </w:tabs>
        <w:spacing w:lineRule="exact" w:line="317"/>
        <w:ind w:right="14" w:hanging="0"/>
        <w:jc w:val="both"/>
        <w:rPr/>
      </w:pPr>
      <w:r>
        <w:rPr>
          <w:rFonts w:eastAsia="Times New Roman" w:cs="Times New Roman"/>
          <w:color w:val="000000"/>
          <w:sz w:val="24"/>
          <w:szCs w:val="24"/>
          <w:lang w:val="uk-UA"/>
        </w:rPr>
        <w:t>Вінцюк 777 995</w:t>
      </w:r>
    </w:p>
    <w:sectPr>
      <w:headerReference w:type="default" r:id="rId3"/>
      <w:headerReference w:type="first" r:id="rId4"/>
      <w:type w:val="nextPage"/>
      <w:pgSz w:orient="landscape" w:w="16838" w:h="11906"/>
      <w:pgMar w:left="1134" w:right="635" w:header="1135" w:top="1985" w:footer="0" w:bottom="1701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9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69438200"/>
    </w:sdtPr>
    <w:sdtContent>
      <w:p>
        <w:pPr>
          <w:pStyle w:val="Style29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Style29"/>
      <w:jc w:val="cent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2109240777"/>
    </w:sdtPr>
    <w:sdtContent>
      <w:p>
        <w:pPr>
          <w:pStyle w:val="Style29"/>
          <w:jc w:val="center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</w:hdr>
</file>

<file path=word/settings.xml><?xml version="1.0" encoding="utf-8"?>
<w:settings xmlns:w="http://schemas.openxmlformats.org/wordprocessingml/2006/main">
  <w:zoom w:percent="65"/>
  <w:displayBackgroundShape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2">
    <w:name w:val="Heading 2"/>
    <w:basedOn w:val="Normal"/>
    <w:next w:val="Style21"/>
    <w:qFormat/>
    <w:pPr>
      <w:suppressAutoHyphens w:val="false"/>
      <w:spacing w:before="280" w:after="280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5" w:customStyle="1">
    <w:name w:val="Основной шрифт абзаца5"/>
    <w:qFormat/>
    <w:rPr/>
  </w:style>
  <w:style w:type="character" w:styleId="4" w:customStyle="1">
    <w:name w:val="Основной шрифт абзаца4"/>
    <w:qFormat/>
    <w:rPr/>
  </w:style>
  <w:style w:type="character" w:styleId="3" w:customStyle="1">
    <w:name w:val="Основной шрифт абзаца3"/>
    <w:qFormat/>
    <w:rPr/>
  </w:style>
  <w:style w:type="character" w:styleId="WW8Num2z0" w:customStyle="1">
    <w:name w:val="WW8Num2z0"/>
    <w:qFormat/>
    <w:rPr>
      <w:b/>
      <w:bCs/>
      <w:color w:val="000000"/>
      <w:szCs w:val="28"/>
      <w:lang w:val="uk-UA"/>
    </w:rPr>
  </w:style>
  <w:style w:type="character" w:styleId="21" w:customStyle="1">
    <w:name w:val="Основной шрифт абзаца2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b/>
      <w:bCs/>
      <w:color w:val="000000"/>
      <w:szCs w:val="28"/>
      <w:lang w:val="uk-UA"/>
    </w:rPr>
  </w:style>
  <w:style w:type="character" w:styleId="WW8Num4z0" w:customStyle="1">
    <w:name w:val="WW8Num4z0"/>
    <w:qFormat/>
    <w:rPr>
      <w:rFonts w:ascii="Symbol" w:hAnsi="Symbol" w:cs="OpenSymbol"/>
      <w:caps w:val="false"/>
      <w:smallCaps w:val="false"/>
      <w:color w:val="000000"/>
      <w:spacing w:val="0"/>
      <w:sz w:val="28"/>
      <w:szCs w:val="28"/>
      <w:lang w:val="en-US"/>
    </w:rPr>
  </w:style>
  <w:style w:type="character" w:styleId="WW8Num4z1" w:customStyle="1">
    <w:name w:val="WW8Num4z1"/>
    <w:qFormat/>
    <w:rPr>
      <w:rFonts w:ascii="OpenSymbol" w:hAnsi="OpenSymbol" w:cs="OpenSymbol"/>
    </w:rPr>
  </w:style>
  <w:style w:type="character" w:styleId="Style14" w:customStyle="1">
    <w:name w:val="Шрифт абзацу за промовчанням"/>
    <w:qFormat/>
    <w:rPr/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color w:val="000000"/>
    </w:rPr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b w:val="false"/>
      <w:color w:val="008000"/>
    </w:rPr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>
      <w:b/>
      <w:bCs/>
      <w:color w:val="000000"/>
      <w:szCs w:val="28"/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color w:val="000000"/>
    </w:rPr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1" w:customStyle="1">
    <w:name w:val="Шрифт абзацу за промовчанням1"/>
    <w:qFormat/>
    <w:rPr/>
  </w:style>
  <w:style w:type="character" w:styleId="11" w:customStyle="1">
    <w:name w:val="Основной шрифт абзаца1"/>
    <w:qFormat/>
    <w:rPr/>
  </w:style>
  <w:style w:type="character" w:styleId="Style15" w:customStyle="1">
    <w:name w:val="Текст у виносці Знак"/>
    <w:qFormat/>
    <w:rPr>
      <w:rFonts w:ascii="Segoe UI" w:hAnsi="Segoe UI" w:cs="Segoe UI"/>
      <w:sz w:val="18"/>
      <w:szCs w:val="18"/>
      <w:lang w:eastAsia="zh-CN"/>
    </w:rPr>
  </w:style>
  <w:style w:type="character" w:styleId="Appleconvertedspace" w:customStyle="1">
    <w:name w:val="apple-converted-space"/>
    <w:qFormat/>
    <w:rPr/>
  </w:style>
  <w:style w:type="character" w:styleId="HTML" w:customStyle="1">
    <w:name w:val="Стандартний HTML Знак"/>
    <w:qFormat/>
    <w:rPr>
      <w:rFonts w:ascii="Courier New" w:hAnsi="Courier New" w:cs="Courier New"/>
    </w:rPr>
  </w:style>
  <w:style w:type="character" w:styleId="Style16" w:customStyle="1">
    <w:name w:val="Верхній колонтитул Знак"/>
    <w:uiPriority w:val="99"/>
    <w:qFormat/>
    <w:rPr>
      <w:sz w:val="28"/>
      <w:szCs w:val="24"/>
      <w:lang w:eastAsia="zh-CN"/>
    </w:rPr>
  </w:style>
  <w:style w:type="character" w:styleId="Style17" w:customStyle="1">
    <w:name w:val="Нижній колонтитул Знак"/>
    <w:qFormat/>
    <w:rPr>
      <w:sz w:val="28"/>
      <w:szCs w:val="24"/>
      <w:lang w:eastAsia="zh-CN"/>
    </w:rPr>
  </w:style>
  <w:style w:type="character" w:styleId="22" w:customStyle="1">
    <w:name w:val="Заголовок 2 Знак"/>
    <w:qFormat/>
    <w:rPr>
      <w:b/>
      <w:bCs/>
      <w:sz w:val="36"/>
      <w:szCs w:val="36"/>
    </w:rPr>
  </w:style>
  <w:style w:type="character" w:styleId="Style18" w:customStyle="1">
    <w:name w:val="Маркери списку"/>
    <w:qFormat/>
    <w:rPr>
      <w:rFonts w:ascii="OpenSymbol" w:hAnsi="OpenSymbol" w:eastAsia="OpenSymbol" w:cs="OpenSymbol"/>
    </w:rPr>
  </w:style>
  <w:style w:type="character" w:styleId="Style19" w:customStyle="1">
    <w:name w:val="Без інтервалів Знак"/>
    <w:basedOn w:val="DefaultParagraphFont"/>
    <w:link w:val="NoSpacing"/>
    <w:uiPriority w:val="1"/>
    <w:qFormat/>
    <w:rsid w:val="006f00a1"/>
    <w:rPr>
      <w:rFonts w:ascii="Calibri" w:hAnsi="Calibri" w:eastAsia="" w:cs="" w:asciiTheme="minorHAnsi" w:cstheme="minorBidi" w:eastAsiaTheme="minorEastAsia" w:hAnsiTheme="minorHAnsi"/>
      <w:sz w:val="22"/>
      <w:szCs w:val="22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21">
    <w:name w:val="Body Text"/>
    <w:basedOn w:val="Normal"/>
    <w:pPr>
      <w:spacing w:lineRule="auto" w:line="288" w:before="0" w:after="140"/>
    </w:pPr>
    <w:rPr/>
  </w:style>
  <w:style w:type="paragraph" w:styleId="Style22">
    <w:name w:val="List"/>
    <w:basedOn w:val="Style21"/>
    <w:pPr/>
    <w:rPr>
      <w:rFonts w:cs="Free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5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31" w:customStyle="1">
    <w:name w:val="Заголовок3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41" w:customStyle="1">
    <w:name w:val="Название объекта4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3" w:customStyle="1">
    <w:name w:val="Заголовок2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2" w:customStyle="1">
    <w:name w:val="Заголовок1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Droid Sans Fallback" w:cs="FreeSans"/>
      <w:szCs w:val="28"/>
    </w:rPr>
  </w:style>
  <w:style w:type="paragraph" w:styleId="24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5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Назва об'єкта1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15" w:customStyle="1">
    <w:name w:val="Звичайний (веб)1"/>
    <w:basedOn w:val="Normal"/>
    <w:qFormat/>
    <w:pPr>
      <w:spacing w:before="280" w:after="280"/>
    </w:pPr>
    <w:rPr>
      <w:sz w:val="24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  <w:bCs/>
    </w:rPr>
  </w:style>
  <w:style w:type="paragraph" w:styleId="16" w:customStyle="1">
    <w:name w:val="Текст у виносці1"/>
    <w:basedOn w:val="Normal"/>
    <w:qFormat/>
    <w:pPr/>
    <w:rPr>
      <w:rFonts w:ascii="Segoe UI" w:hAnsi="Segoe UI" w:cs="Segoe UI"/>
      <w:sz w:val="18"/>
      <w:szCs w:val="18"/>
    </w:rPr>
  </w:style>
  <w:style w:type="paragraph" w:styleId="HTML1" w:customStyle="1">
    <w:name w:val="Стандартний HTML1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</w:rPr>
  </w:style>
  <w:style w:type="paragraph" w:styleId="Style2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9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 w:customStyle="1">
    <w:name w:val="Содержимое таблицы"/>
    <w:basedOn w:val="Normal"/>
    <w:qFormat/>
    <w:pPr>
      <w:suppressLineNumbers/>
    </w:pPr>
    <w:rPr/>
  </w:style>
  <w:style w:type="paragraph" w:styleId="NoSpacing">
    <w:name w:val="No Spacing"/>
    <w:link w:val="Style19"/>
    <w:uiPriority w:val="1"/>
    <w:qFormat/>
    <w:rsid w:val="006f00a1"/>
    <w:pPr>
      <w:widowControl/>
      <w:suppressAutoHyphens w:val="true"/>
      <w:bidi w:val="0"/>
      <w:spacing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uk-UA" w:eastAsia="uk-U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2F4D7-263A-4171-AB2A-BEED384B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Application>LibreOffice/6.3.4.2$Windows_X86_64 LibreOffice_project/60da17e045e08f1793c57c00ba83cdfce946d0aa</Application>
  <Pages>5</Pages>
  <Words>608</Words>
  <Characters>4062</Characters>
  <CharactersWithSpaces>4557</CharactersWithSpaces>
  <Paragraphs>148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2022-11-15T12:07:00Z</dcterms:created>
  <dc:creator>Admin</dc:creator>
  <dc:description/>
  <dc:language>uk-UA</dc:language>
  <cp:lastModifiedBy/>
  <cp:lastPrinted>2023-08-24T12:50:31Z</cp:lastPrinted>
  <dcterms:modified xsi:type="dcterms:W3CDTF">2023-08-24T13:19:47Z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