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Cs w:val="28"/>
        </w:rPr>
      </w:pPr>
      <w:r>
        <w:rPr>
          <w:szCs w:val="28"/>
        </w:rPr>
        <w:t>Пояснювальна записка</w:t>
      </w:r>
    </w:p>
    <w:p>
      <w:pPr>
        <w:pStyle w:val="Normal"/>
        <w:jc w:val="center"/>
        <w:rPr>
          <w:szCs w:val="28"/>
        </w:rPr>
      </w:pPr>
      <w:r>
        <w:rPr>
          <w:szCs w:val="28"/>
        </w:rPr>
        <w:t>до проєкту рішення виконавчого комітету Луцької міської ради</w:t>
      </w:r>
    </w:p>
    <w:p>
      <w:pPr>
        <w:pStyle w:val="Normal"/>
        <w:jc w:val="center"/>
        <w:rPr>
          <w:bCs w:val="false"/>
          <w:color w:val="000000"/>
          <w:sz w:val="27"/>
          <w:szCs w:val="27"/>
        </w:rPr>
      </w:pPr>
      <w:r>
        <w:rPr>
          <w:bCs w:val="false"/>
          <w:color w:val="000000"/>
          <w:szCs w:val="28"/>
        </w:rPr>
        <w:t>«Про встановлення тарифів для ДКП «Луцьктепло» на виробництво теплової енергії на установках з використанням альтернативних джерел енергії»</w:t>
      </w:r>
    </w:p>
    <w:p>
      <w:pPr>
        <w:pStyle w:val="Normal"/>
        <w:ind w:firstLine="763"/>
        <w:jc w:val="both"/>
        <w:rPr>
          <w:bCs w:val="false"/>
          <w:szCs w:val="28"/>
        </w:rPr>
      </w:pPr>
      <w:r>
        <w:rPr>
          <w:bCs w:val="false"/>
          <w:szCs w:val="28"/>
        </w:rPr>
      </w:r>
    </w:p>
    <w:p>
      <w:pPr>
        <w:pStyle w:val="Normal"/>
        <w:ind w:firstLine="763"/>
        <w:jc w:val="both"/>
        <w:rPr>
          <w:bCs w:val="false"/>
          <w:szCs w:val="28"/>
        </w:rPr>
      </w:pPr>
      <w:r>
        <w:rPr>
          <w:bCs w:val="false"/>
          <w:szCs w:val="28"/>
        </w:rPr>
      </w:r>
    </w:p>
    <w:p>
      <w:pPr>
        <w:pStyle w:val="Normal"/>
        <w:ind w:firstLine="567"/>
        <w:jc w:val="both"/>
        <w:rPr/>
      </w:pPr>
      <w:r>
        <w:rPr>
          <w:szCs w:val="28"/>
        </w:rPr>
        <w:t>Відповідно до проекту реконструкції котельні ДКП «Луцьктепло» на вул. Магістральна, 56 встановлено водогрійний котел марки «С</w:t>
      </w:r>
      <w:r>
        <w:rPr>
          <w:szCs w:val="28"/>
          <w:lang w:val="en-US"/>
        </w:rPr>
        <w:t>OMTE</w:t>
      </w:r>
      <w:r>
        <w:rPr>
          <w:szCs w:val="28"/>
        </w:rPr>
        <w:t>-</w:t>
      </w:r>
      <w:r>
        <w:rPr>
          <w:szCs w:val="28"/>
          <w:lang w:val="en-US"/>
        </w:rPr>
        <w:t>R</w:t>
      </w:r>
      <w:r>
        <w:rPr>
          <w:szCs w:val="28"/>
        </w:rPr>
        <w:t xml:space="preserve">» СН450 </w:t>
      </w:r>
      <w:r>
        <w:rPr>
          <w:szCs w:val="28"/>
          <w:lang w:val="en-US"/>
        </w:rPr>
        <w:t>DTH</w:t>
      </w:r>
      <w:r>
        <w:rPr>
          <w:szCs w:val="28"/>
        </w:rPr>
        <w:t xml:space="preserve">-Р/3Р – продуктивністю 5,0 МВт, що працює на щепі, та призначений для теплопостачання споруд промислового та комунально-побутового призначення. </w:t>
      </w:r>
    </w:p>
    <w:p>
      <w:pPr>
        <w:pStyle w:val="Normal"/>
        <w:shd w:val="clear" w:color="auto" w:fill="FFFFFF"/>
        <w:spacing w:before="0" w:after="0"/>
        <w:ind w:firstLine="567"/>
        <w:contextualSpacing/>
        <w:jc w:val="both"/>
        <w:rPr/>
      </w:pPr>
      <w:r>
        <w:rPr>
          <w:rStyle w:val="Rvts0"/>
          <w:szCs w:val="28"/>
        </w:rPr>
        <w:t>Відповідно до вимог постанови Кабінету Міністрів України</w:t>
        <w:br/>
      </w:r>
      <w:r>
        <w:rPr>
          <w:rStyle w:val="Rvts9"/>
          <w:szCs w:val="28"/>
        </w:rPr>
        <w:t>від 01.06.2011 № 869</w:t>
      </w:r>
      <w:r>
        <w:rPr>
          <w:rStyle w:val="Rvts0"/>
          <w:szCs w:val="28"/>
        </w:rPr>
        <w:t xml:space="preserve"> «</w:t>
      </w:r>
      <w:r>
        <w:rPr>
          <w:rStyle w:val="Rvts23"/>
          <w:szCs w:val="28"/>
        </w:rPr>
        <w:t>Про забезпечення єдиного підходу до формування тарифів на комунальні послуги»</w:t>
      </w:r>
      <w:r>
        <w:rPr>
          <w:rStyle w:val="Rvts0"/>
          <w:szCs w:val="28"/>
          <w:lang w:eastAsia="uk-UA"/>
        </w:rPr>
        <w:t xml:space="preserve"> до </w:t>
      </w:r>
      <w:r>
        <w:rPr>
          <w:rStyle w:val="Rvts0"/>
          <w:szCs w:val="28"/>
        </w:rPr>
        <w:t>окремих прямих витрат, що включаються до загального тарифу на виробництво теплової енергії, належать витрати на паливо, на покупну теплову енергію та витрати на теплову енергію вироблену з альтернативних видів палива (які визначаються відповідно до встановленого уповноваженим органом тарифу на виробництво теплової енергії, вироблену власними установками, що використовують альтернативні джерела енергії) та інші. Після погодження тарифу на виробництво теплової енергії вироблену власними установками, що використовують альтернативні джерела енергії, ці витрати будуть враховані при формуванні двоставкового тарифу на теплову енергію ДКП «Луцьктепло», які діятимуть з 01 жовтня 2023 року по 30 вересня 2024 року.</w:t>
      </w:r>
    </w:p>
    <w:p>
      <w:pPr>
        <w:pStyle w:val="ListParagraph"/>
        <w:spacing w:before="0" w:after="0"/>
        <w:ind w:left="0" w:firstLine="567"/>
        <w:contextualSpacing/>
        <w:jc w:val="both"/>
        <w:rPr/>
      </w:pPr>
      <w:r>
        <w:rPr>
          <w:szCs w:val="28"/>
        </w:rPr>
        <w:t xml:space="preserve">Розрахунок тарифів на теплову енергію </w:t>
      </w:r>
      <w:r>
        <w:rPr>
          <w:color w:val="000000"/>
          <w:szCs w:val="28"/>
        </w:rPr>
        <w:t xml:space="preserve">(вироблену з альтернативних видів енергії) для потреб категорії «населення» та «бюджетних установ» </w:t>
      </w:r>
      <w:r>
        <w:rPr>
          <w:szCs w:val="28"/>
        </w:rPr>
        <w:t xml:space="preserve">виконано з дотриманням вимог статті 20 Закону України «Про теплопостачання», якою визначено, що </w:t>
      </w:r>
      <w:r>
        <w:rPr>
          <w:rStyle w:val="Rvts0"/>
          <w:szCs w:val="28"/>
        </w:rPr>
        <w:t>тарифи на теплову енергію, яка виробляється на установках з використанням альтернативних джерел енергії, для потреб установ та організацій, що фінансуються з державного чи місцевого бюджету, а також для потреб населення встановлюються на рівні 90 % діючого для суб’єкта господарювання тарифу на теплову енергію, вироблену з використанням природного газу, для потреб відповідної категорії споживачів.</w:t>
      </w:r>
      <w:r>
        <w:rPr>
          <w:rStyle w:val="Appleconvertedspace"/>
          <w:szCs w:val="28"/>
        </w:rPr>
        <w:t xml:space="preserve"> </w:t>
      </w:r>
    </w:p>
    <w:p>
      <w:pPr>
        <w:pStyle w:val="ListParagraph"/>
        <w:spacing w:before="0" w:after="0"/>
        <w:ind w:left="0" w:firstLine="567"/>
        <w:contextualSpacing/>
        <w:jc w:val="both"/>
        <w:rPr/>
      </w:pPr>
      <w:r>
        <w:rPr>
          <w:rStyle w:val="Rvts0"/>
          <w:szCs w:val="28"/>
        </w:rPr>
        <w:t>Тарифи на виробництво теплової енергії для потреб установ та організацій, що фінансуються з державного чи місцевого бюджету, а також для потреб населення визначаються для підприємства, що здійснює виробництво теплової енергії на установках з використанням альтернативних джерел енергії, як різниця між тарифом на теплову енергію, і тарифами на транспортування та постачання теплової енергії, що визначаються на рівні середньозважених по Волинській області тарифів на транспортування та постачання теплової енергії, виробленої з використанням природного газу, для потреб відповідної категорії споживачів, які розраховуються</w:t>
      </w:r>
      <w:r>
        <w:rPr>
          <w:szCs w:val="28"/>
        </w:rPr>
        <w:t xml:space="preserve"> відповідно до Порядку розрахунку середньозважених тарифів на теплову енергію, вироблену з використанням природного газу, для потреб населення, установ та організацій, що фінансуються з державного чи місцевого бюджету, її транспортування та постачання, затвердженого </w:t>
      </w:r>
      <w:hyperlink r:id="rId2">
        <w:r>
          <w:rPr/>
          <w:t>постановою Кабінету Міністрів України від 06.09.2017 № 679</w:t>
        </w:r>
      </w:hyperlink>
      <w:r>
        <w:rPr>
          <w:szCs w:val="28"/>
        </w:rPr>
        <w:t>.</w:t>
      </w:r>
    </w:p>
    <w:p>
      <w:pPr>
        <w:pStyle w:val="ListParagraph"/>
        <w:spacing w:before="0" w:after="0"/>
        <w:ind w:left="0" w:firstLine="567"/>
        <w:contextualSpacing/>
        <w:jc w:val="both"/>
        <w:rPr/>
      </w:pPr>
      <w:r>
        <w:rPr>
          <w:rStyle w:val="Rvts0"/>
          <w:szCs w:val="28"/>
        </w:rPr>
        <w:t>Розрахунок тарифу на виробництво теплової енергії (</w:t>
      </w:r>
      <w:r>
        <w:rPr>
          <w:color w:val="000000"/>
          <w:szCs w:val="28"/>
        </w:rPr>
        <w:t xml:space="preserve">виробленої з альтернативних видів енергії) для потреб </w:t>
      </w:r>
      <w:r>
        <w:rPr>
          <w:rStyle w:val="Rvts0"/>
          <w:szCs w:val="28"/>
        </w:rPr>
        <w:t xml:space="preserve">категорії «інші споживачі» розраховано відповідно до вимог </w:t>
      </w:r>
      <w:r>
        <w:rPr>
          <w:szCs w:val="28"/>
        </w:rPr>
        <w:t xml:space="preserve">Порядку формування тарифів на виробництво, транспортування та постачання теплової енергії та гарячої води, затвердженого постановою Кабінету Міністрів України від 01.06.2011 № 869 «Про забезпечення єдиного підходу до формування тарифів на комунальні послуги». </w:t>
      </w:r>
    </w:p>
    <w:p>
      <w:pPr>
        <w:pStyle w:val="Normal"/>
        <w:ind w:firstLine="567"/>
        <w:jc w:val="both"/>
        <w:rPr/>
      </w:pPr>
      <w:r>
        <w:rPr>
          <w:szCs w:val="28"/>
        </w:rPr>
        <w:t>Розрахунки витрат на енергоносії були здійсненні відповідно до планів виробництва теплової енергії (на установках з використанням альтернативних джерел енергії) на 2023 рік та відповідно до укладених договорів з постачальниками.</w:t>
      </w:r>
    </w:p>
    <w:p>
      <w:pPr>
        <w:pStyle w:val="Normal"/>
        <w:ind w:firstLine="567"/>
        <w:jc w:val="both"/>
        <w:rPr/>
      </w:pPr>
      <w:r>
        <w:rPr>
          <w:szCs w:val="28"/>
        </w:rPr>
        <w:t xml:space="preserve">При розрахунку вартості альтернативного палива (тріски) було враховано середньозважену ціну за </w:t>
      </w:r>
      <w:r>
        <w:rPr>
          <w:szCs w:val="28"/>
          <w:lang w:val="en-US"/>
        </w:rPr>
        <w:t>I</w:t>
      </w:r>
      <w:r>
        <w:rPr>
          <w:szCs w:val="28"/>
        </w:rPr>
        <w:t xml:space="preserve"> півріччя 2023 року, яка склала 765,15 грн/куб.м (без ПДВ). Паливна складова у структурі тарифу на виробництво становить 1681,30 грн/Гкал.</w:t>
      </w:r>
    </w:p>
    <w:p>
      <w:pPr>
        <w:pStyle w:val="Normal"/>
        <w:ind w:firstLine="567"/>
        <w:jc w:val="both"/>
        <w:rPr/>
      </w:pPr>
      <w:r>
        <w:rPr>
          <w:szCs w:val="28"/>
        </w:rPr>
        <w:t xml:space="preserve">Ціна на електроенергію розрахована відповідно до вимог вищевказаної постанови як середньоарифметичне за останні 6 місяців і становить 5,27286 грн/кВт*год (без ПДВ). </w:t>
      </w:r>
    </w:p>
    <w:p>
      <w:pPr>
        <w:pStyle w:val="Normal"/>
        <w:ind w:firstLine="567"/>
        <w:jc w:val="both"/>
        <w:rPr/>
      </w:pPr>
      <w:r>
        <w:rPr>
          <w:szCs w:val="28"/>
        </w:rPr>
        <w:t>Витрати на оплату праці розраховані в межах затвердженого штатного розкладу ДКП «Луцьктепло» 01.07.2023 (зі змінами). Штатна чисельність для розрахунку тарифів складає 8,5 штатних одиниць.</w:t>
      </w:r>
    </w:p>
    <w:p>
      <w:pPr>
        <w:pStyle w:val="Normal"/>
        <w:ind w:firstLine="567"/>
        <w:jc w:val="both"/>
        <w:rPr/>
      </w:pPr>
      <w:r>
        <w:rPr>
          <w:szCs w:val="28"/>
        </w:rPr>
        <w:t xml:space="preserve">Стаття «матеріали, запасні частини та ін. матеріальні ресурси» у тарифі на виробництво становить 13,89 грн/Гкал (включає в себе витрати на хімпродукцію та витрати на запасні частини). </w:t>
      </w:r>
    </w:p>
    <w:p>
      <w:pPr>
        <w:pStyle w:val="Normal"/>
        <w:ind w:firstLine="567"/>
        <w:jc w:val="both"/>
        <w:rPr/>
      </w:pPr>
      <w:r>
        <w:rPr>
          <w:szCs w:val="28"/>
        </w:rPr>
        <w:t>В статтю «інші витрати» ввійшли: екологічний податок, земельний податок, витрати з охорони праці, атестація робочих місць, технічні опосвідчення та експертне обстеження обладнання та ін. У прямих витратах ця стаття складає 38,65 грн/Гкал.</w:t>
      </w:r>
    </w:p>
    <w:p>
      <w:pPr>
        <w:pStyle w:val="Normal"/>
        <w:spacing w:before="0" w:after="200"/>
        <w:ind w:firstLine="567"/>
        <w:contextualSpacing/>
        <w:jc w:val="both"/>
        <w:rPr/>
      </w:pPr>
      <w:r>
        <w:rPr>
          <w:szCs w:val="28"/>
        </w:rPr>
        <w:t>Для розрахунку повної собівартості  виробництва теплової енергії (на установках з використанням альтернативних джерел енергії) для потреб населення, бюджетних установ та інших споживачів, адміністративні та загальновиробничі витрати були розраховані та застосовані у відповідному відсотковому співвідношенні до прямих витрат на виробництво теплової енергії та становлять 2,5 %.</w:t>
      </w:r>
    </w:p>
    <w:p>
      <w:pPr>
        <w:pStyle w:val="Normal"/>
        <w:spacing w:before="0" w:after="200"/>
        <w:ind w:firstLine="567"/>
        <w:contextualSpacing/>
        <w:jc w:val="both"/>
        <w:rPr/>
      </w:pPr>
      <w:r>
        <w:rPr>
          <w:szCs w:val="28"/>
        </w:rPr>
        <w:t xml:space="preserve">У структурі тарифу на виробництво теплової енергії (на установках з використанням альтернативних джерел енергії) також передбачено статтю на поповнення обігових коштів за рахунок планового прибутку, в обсязі 2 % до повної собівартості та податку на прибуток. </w:t>
      </w:r>
    </w:p>
    <w:p>
      <w:pPr>
        <w:pStyle w:val="ListParagraph"/>
        <w:spacing w:before="0" w:after="0"/>
        <w:ind w:left="0" w:hanging="0"/>
        <w:contextualSpacing/>
        <w:jc w:val="center"/>
        <w:rPr>
          <w:bCs w:val="false"/>
          <w:szCs w:val="28"/>
        </w:rPr>
      </w:pPr>
      <w:r>
        <w:rPr>
          <w:bCs w:val="false"/>
          <w:szCs w:val="28"/>
        </w:rPr>
      </w:r>
    </w:p>
    <w:p>
      <w:pPr>
        <w:pStyle w:val="ListParagraph"/>
        <w:spacing w:before="0" w:after="0"/>
        <w:ind w:left="0" w:hanging="0"/>
        <w:contextualSpacing/>
        <w:jc w:val="center"/>
        <w:rPr>
          <w:bCs w:val="false"/>
          <w:szCs w:val="28"/>
        </w:rPr>
      </w:pPr>
      <w:r>
        <w:rPr>
          <w:bCs w:val="false"/>
          <w:szCs w:val="28"/>
        </w:rPr>
      </w:r>
    </w:p>
    <w:p>
      <w:pPr>
        <w:pStyle w:val="ListParagraph"/>
        <w:spacing w:before="0" w:after="0"/>
        <w:ind w:left="0" w:hanging="0"/>
        <w:contextualSpacing/>
        <w:jc w:val="center"/>
        <w:rPr/>
      </w:pPr>
      <w:r>
        <w:rPr>
          <w:bCs w:val="false"/>
          <w:szCs w:val="28"/>
        </w:rPr>
        <w:t xml:space="preserve">Проєкт тарифів на виробництво теплової енергії на установках з використанням альтернативних джерел енергії для </w:t>
      </w:r>
      <w:r>
        <w:rPr>
          <w:bCs w:val="false"/>
          <w:color w:val="000000"/>
          <w:szCs w:val="28"/>
        </w:rPr>
        <w:t>ДКП “Луцьктепло”</w:t>
      </w:r>
    </w:p>
    <w:p>
      <w:pPr>
        <w:pStyle w:val="ListParagraph"/>
        <w:spacing w:before="0" w:after="0"/>
        <w:ind w:left="0" w:hanging="0"/>
        <w:contextualSpacing/>
        <w:jc w:val="right"/>
        <w:rPr>
          <w:sz w:val="24"/>
          <w:szCs w:val="24"/>
        </w:rPr>
      </w:pPr>
      <w:r>
        <w:rPr>
          <w:bCs w:val="false"/>
          <w:color w:val="000000"/>
          <w:sz w:val="24"/>
          <w:szCs w:val="24"/>
        </w:rPr>
        <w:t>без ПДВ</w:t>
      </w:r>
    </w:p>
    <w:tbl>
      <w:tblPr>
        <w:tblW w:w="8550" w:type="dxa"/>
        <w:jc w:val="left"/>
        <w:tblInd w:w="-5" w:type="dxa"/>
        <w:tblLayout w:type="fixed"/>
        <w:tblCellMar>
          <w:top w:w="55" w:type="dxa"/>
          <w:left w:w="55" w:type="dxa"/>
          <w:bottom w:w="55" w:type="dxa"/>
          <w:right w:w="55" w:type="dxa"/>
        </w:tblCellMar>
        <w:tblLook w:firstRow="0" w:noVBand="0" w:lastRow="0" w:firstColumn="0" w:lastColumn="0" w:noHBand="0" w:val="0000"/>
      </w:tblPr>
      <w:tblGrid>
        <w:gridCol w:w="2775"/>
        <w:gridCol w:w="1364"/>
        <w:gridCol w:w="2160"/>
        <w:gridCol w:w="2250"/>
      </w:tblGrid>
      <w:tr>
        <w:trPr/>
        <w:tc>
          <w:tcPr>
            <w:tcW w:w="2775" w:type="dxa"/>
            <w:tcBorders>
              <w:top w:val="single" w:sz="4" w:space="0" w:color="000000"/>
              <w:left w:val="single" w:sz="4" w:space="0" w:color="000000"/>
              <w:bottom w:val="single" w:sz="4" w:space="0" w:color="000000"/>
            </w:tcBorders>
            <w:shd w:color="auto" w:fill="auto" w:val="clear"/>
          </w:tcPr>
          <w:p>
            <w:pPr>
              <w:pStyle w:val="Style28"/>
              <w:widowControl w:val="false"/>
              <w:rPr/>
            </w:pPr>
            <w:r>
              <w:rPr/>
              <w:t>Категорія споживачів</w:t>
            </w:r>
          </w:p>
        </w:tc>
        <w:tc>
          <w:tcPr>
            <w:tcW w:w="1364" w:type="dxa"/>
            <w:tcBorders>
              <w:top w:val="single" w:sz="4" w:space="0" w:color="000000"/>
              <w:left w:val="single" w:sz="4" w:space="0" w:color="000000"/>
              <w:bottom w:val="single" w:sz="4" w:space="0" w:color="000000"/>
            </w:tcBorders>
            <w:shd w:color="auto" w:fill="auto" w:val="clear"/>
          </w:tcPr>
          <w:p>
            <w:pPr>
              <w:pStyle w:val="Style28"/>
              <w:widowControl w:val="false"/>
              <w:rPr>
                <w:sz w:val="24"/>
                <w:szCs w:val="24"/>
              </w:rPr>
            </w:pPr>
            <w:r>
              <w:rPr>
                <w:sz w:val="24"/>
                <w:szCs w:val="24"/>
              </w:rPr>
              <w:t>Од. виміру</w:t>
            </w:r>
          </w:p>
        </w:tc>
        <w:tc>
          <w:tcPr>
            <w:tcW w:w="2160" w:type="dxa"/>
            <w:tcBorders>
              <w:top w:val="single" w:sz="4" w:space="0" w:color="000000"/>
              <w:left w:val="single" w:sz="4" w:space="0" w:color="000000"/>
              <w:bottom w:val="single" w:sz="4" w:space="0" w:color="000000"/>
            </w:tcBorders>
            <w:shd w:color="auto" w:fill="auto" w:val="clear"/>
          </w:tcPr>
          <w:p>
            <w:pPr>
              <w:pStyle w:val="Style28"/>
              <w:widowControl w:val="false"/>
              <w:jc w:val="center"/>
              <w:rPr/>
            </w:pPr>
            <w:r>
              <w:rPr/>
              <w:t>Діючий</w:t>
            </w:r>
          </w:p>
          <w:p>
            <w:pPr>
              <w:pStyle w:val="Style28"/>
              <w:widowControl w:val="false"/>
              <w:jc w:val="center"/>
              <w:rPr/>
            </w:pPr>
            <w:r>
              <w:rPr/>
              <w:t>тариф</w:t>
            </w:r>
          </w:p>
        </w:tc>
        <w:tc>
          <w:tcPr>
            <w:tcW w:w="2250" w:type="dxa"/>
            <w:tcBorders>
              <w:top w:val="single" w:sz="4" w:space="0" w:color="000000"/>
              <w:left w:val="single" w:sz="4" w:space="0" w:color="000000"/>
              <w:bottom w:val="single" w:sz="4" w:space="0" w:color="000000"/>
              <w:right w:val="single" w:sz="4" w:space="0" w:color="000000"/>
            </w:tcBorders>
            <w:shd w:color="auto" w:fill="auto" w:val="clear"/>
          </w:tcPr>
          <w:p>
            <w:pPr>
              <w:pStyle w:val="Style28"/>
              <w:widowControl w:val="false"/>
              <w:jc w:val="center"/>
              <w:rPr/>
            </w:pPr>
            <w:r>
              <w:rPr/>
              <w:t xml:space="preserve">Проєкт тарифу </w:t>
            </w:r>
          </w:p>
        </w:tc>
      </w:tr>
      <w:tr>
        <w:trPr/>
        <w:tc>
          <w:tcPr>
            <w:tcW w:w="2775" w:type="dxa"/>
            <w:tcBorders>
              <w:left w:val="single" w:sz="4" w:space="0" w:color="000000"/>
              <w:bottom w:val="single" w:sz="4" w:space="0" w:color="000000"/>
            </w:tcBorders>
            <w:shd w:color="auto" w:fill="auto" w:val="clear"/>
          </w:tcPr>
          <w:p>
            <w:pPr>
              <w:pStyle w:val="Style28"/>
              <w:widowControl w:val="false"/>
              <w:rPr/>
            </w:pPr>
            <w:r>
              <w:rPr/>
              <w:t>Населення</w:t>
            </w:r>
          </w:p>
        </w:tc>
        <w:tc>
          <w:tcPr>
            <w:tcW w:w="1364" w:type="dxa"/>
            <w:tcBorders>
              <w:left w:val="single" w:sz="4" w:space="0" w:color="000000"/>
              <w:bottom w:val="single" w:sz="4" w:space="0" w:color="000000"/>
            </w:tcBorders>
            <w:shd w:color="auto" w:fill="auto" w:val="clear"/>
          </w:tcPr>
          <w:p>
            <w:pPr>
              <w:pStyle w:val="Style28"/>
              <w:widowControl w:val="false"/>
              <w:rPr>
                <w:sz w:val="24"/>
                <w:szCs w:val="24"/>
              </w:rPr>
            </w:pPr>
            <w:r>
              <w:rPr>
                <w:sz w:val="24"/>
                <w:szCs w:val="24"/>
              </w:rPr>
              <w:t>грн/Гкал</w:t>
            </w:r>
          </w:p>
        </w:tc>
        <w:tc>
          <w:tcPr>
            <w:tcW w:w="2160" w:type="dxa"/>
            <w:tcBorders>
              <w:left w:val="single" w:sz="4" w:space="0" w:color="000000"/>
              <w:bottom w:val="single" w:sz="4" w:space="0" w:color="000000"/>
            </w:tcBorders>
            <w:shd w:color="auto" w:fill="auto" w:val="clear"/>
          </w:tcPr>
          <w:p>
            <w:pPr>
              <w:pStyle w:val="Style28"/>
              <w:widowControl w:val="false"/>
              <w:jc w:val="center"/>
              <w:rPr/>
            </w:pPr>
            <w:r>
              <w:rPr/>
              <w:t>1217,34</w:t>
            </w:r>
          </w:p>
        </w:tc>
        <w:tc>
          <w:tcPr>
            <w:tcW w:w="2250" w:type="dxa"/>
            <w:tcBorders>
              <w:left w:val="single" w:sz="4" w:space="0" w:color="000000"/>
              <w:bottom w:val="single" w:sz="4" w:space="0" w:color="000000"/>
              <w:right w:val="single" w:sz="4" w:space="0" w:color="000000"/>
            </w:tcBorders>
            <w:shd w:color="auto" w:fill="auto" w:val="clear"/>
          </w:tcPr>
          <w:p>
            <w:pPr>
              <w:pStyle w:val="Style28"/>
              <w:widowControl w:val="false"/>
              <w:jc w:val="center"/>
              <w:rPr/>
            </w:pPr>
            <w:r>
              <w:rPr/>
              <w:t>1190,97</w:t>
            </w:r>
          </w:p>
        </w:tc>
      </w:tr>
      <w:tr>
        <w:trPr/>
        <w:tc>
          <w:tcPr>
            <w:tcW w:w="2775" w:type="dxa"/>
            <w:tcBorders>
              <w:left w:val="single" w:sz="4" w:space="0" w:color="000000"/>
              <w:bottom w:val="single" w:sz="4" w:space="0" w:color="000000"/>
            </w:tcBorders>
            <w:shd w:color="auto" w:fill="auto" w:val="clear"/>
          </w:tcPr>
          <w:p>
            <w:pPr>
              <w:pStyle w:val="Style28"/>
              <w:widowControl w:val="false"/>
              <w:rPr/>
            </w:pPr>
            <w:r>
              <w:rPr/>
              <w:t>Бюджетні установи</w:t>
            </w:r>
          </w:p>
        </w:tc>
        <w:tc>
          <w:tcPr>
            <w:tcW w:w="1364" w:type="dxa"/>
            <w:tcBorders>
              <w:left w:val="single" w:sz="4" w:space="0" w:color="000000"/>
              <w:bottom w:val="single" w:sz="4" w:space="0" w:color="000000"/>
            </w:tcBorders>
            <w:shd w:color="auto" w:fill="auto" w:val="clear"/>
          </w:tcPr>
          <w:p>
            <w:pPr>
              <w:pStyle w:val="Style28"/>
              <w:widowControl w:val="false"/>
              <w:rPr>
                <w:sz w:val="24"/>
                <w:szCs w:val="24"/>
              </w:rPr>
            </w:pPr>
            <w:r>
              <w:rPr>
                <w:sz w:val="24"/>
                <w:szCs w:val="24"/>
              </w:rPr>
              <w:t>грн/Гкал</w:t>
            </w:r>
          </w:p>
        </w:tc>
        <w:tc>
          <w:tcPr>
            <w:tcW w:w="2160" w:type="dxa"/>
            <w:tcBorders>
              <w:left w:val="single" w:sz="4" w:space="0" w:color="000000"/>
              <w:bottom w:val="single" w:sz="4" w:space="0" w:color="000000"/>
            </w:tcBorders>
            <w:shd w:color="auto" w:fill="auto" w:val="clear"/>
          </w:tcPr>
          <w:p>
            <w:pPr>
              <w:pStyle w:val="Style28"/>
              <w:widowControl w:val="false"/>
              <w:jc w:val="center"/>
              <w:rPr/>
            </w:pPr>
            <w:r>
              <w:rPr/>
              <w:t>2497,31</w:t>
            </w:r>
          </w:p>
        </w:tc>
        <w:tc>
          <w:tcPr>
            <w:tcW w:w="2250" w:type="dxa"/>
            <w:tcBorders>
              <w:left w:val="single" w:sz="4" w:space="0" w:color="000000"/>
              <w:bottom w:val="single" w:sz="4" w:space="0" w:color="000000"/>
              <w:right w:val="single" w:sz="4" w:space="0" w:color="000000"/>
            </w:tcBorders>
            <w:shd w:color="auto" w:fill="auto" w:val="clear"/>
          </w:tcPr>
          <w:p>
            <w:pPr>
              <w:pStyle w:val="Style28"/>
              <w:widowControl w:val="false"/>
              <w:jc w:val="center"/>
              <w:rPr/>
            </w:pPr>
            <w:r>
              <w:rPr/>
              <w:t>2482,19</w:t>
            </w:r>
          </w:p>
        </w:tc>
      </w:tr>
      <w:tr>
        <w:trPr/>
        <w:tc>
          <w:tcPr>
            <w:tcW w:w="2775" w:type="dxa"/>
            <w:tcBorders>
              <w:left w:val="single" w:sz="4" w:space="0" w:color="000000"/>
              <w:bottom w:val="single" w:sz="4" w:space="0" w:color="000000"/>
            </w:tcBorders>
            <w:shd w:color="auto" w:fill="auto" w:val="clear"/>
          </w:tcPr>
          <w:p>
            <w:pPr>
              <w:pStyle w:val="Style28"/>
              <w:widowControl w:val="false"/>
              <w:rPr/>
            </w:pPr>
            <w:r>
              <w:rPr/>
              <w:t>Інші споживачі</w:t>
            </w:r>
          </w:p>
        </w:tc>
        <w:tc>
          <w:tcPr>
            <w:tcW w:w="1364" w:type="dxa"/>
            <w:tcBorders>
              <w:left w:val="single" w:sz="4" w:space="0" w:color="000000"/>
              <w:bottom w:val="single" w:sz="4" w:space="0" w:color="000000"/>
            </w:tcBorders>
            <w:shd w:color="auto" w:fill="auto" w:val="clear"/>
          </w:tcPr>
          <w:p>
            <w:pPr>
              <w:pStyle w:val="Style28"/>
              <w:widowControl w:val="false"/>
              <w:rPr>
                <w:sz w:val="24"/>
                <w:szCs w:val="24"/>
              </w:rPr>
            </w:pPr>
            <w:r>
              <w:rPr>
                <w:sz w:val="24"/>
                <w:szCs w:val="24"/>
              </w:rPr>
              <w:t>грн/Гкал</w:t>
            </w:r>
          </w:p>
        </w:tc>
        <w:tc>
          <w:tcPr>
            <w:tcW w:w="2160" w:type="dxa"/>
            <w:tcBorders>
              <w:left w:val="single" w:sz="4" w:space="0" w:color="000000"/>
              <w:bottom w:val="single" w:sz="4" w:space="0" w:color="000000"/>
            </w:tcBorders>
            <w:shd w:color="auto" w:fill="auto" w:val="clear"/>
          </w:tcPr>
          <w:p>
            <w:pPr>
              <w:pStyle w:val="Style28"/>
              <w:widowControl w:val="false"/>
              <w:jc w:val="center"/>
              <w:rPr/>
            </w:pPr>
            <w:r>
              <w:rPr/>
              <w:t>1644,34</w:t>
            </w:r>
          </w:p>
        </w:tc>
        <w:tc>
          <w:tcPr>
            <w:tcW w:w="2250" w:type="dxa"/>
            <w:tcBorders>
              <w:left w:val="single" w:sz="4" w:space="0" w:color="000000"/>
              <w:bottom w:val="single" w:sz="4" w:space="0" w:color="000000"/>
              <w:right w:val="single" w:sz="4" w:space="0" w:color="000000"/>
            </w:tcBorders>
            <w:shd w:color="auto" w:fill="auto" w:val="clear"/>
          </w:tcPr>
          <w:p>
            <w:pPr>
              <w:pStyle w:val="Style28"/>
              <w:widowControl w:val="false"/>
              <w:jc w:val="center"/>
              <w:rPr/>
            </w:pPr>
            <w:r>
              <w:rPr/>
              <w:t>2150,25</w:t>
            </w:r>
          </w:p>
        </w:tc>
      </w:tr>
    </w:tbl>
    <w:p>
      <w:pPr>
        <w:pStyle w:val="ListParagraph"/>
        <w:spacing w:before="0" w:after="0"/>
        <w:ind w:left="0" w:hanging="0"/>
        <w:contextualSpacing/>
        <w:jc w:val="center"/>
        <w:rPr>
          <w:bCs w:val="false"/>
          <w:szCs w:val="28"/>
        </w:rPr>
      </w:pPr>
      <w:r>
        <w:rPr>
          <w:bCs w:val="false"/>
          <w:szCs w:val="28"/>
        </w:rPr>
      </w:r>
    </w:p>
    <w:p>
      <w:pPr>
        <w:pStyle w:val="Normal"/>
        <w:jc w:val="both"/>
        <w:rPr>
          <w:bCs w:val="false"/>
          <w:color w:val="CE181E"/>
          <w:szCs w:val="28"/>
        </w:rPr>
      </w:pPr>
      <w:r>
        <w:rPr>
          <w:bCs w:val="false"/>
          <w:color w:val="CE181E"/>
          <w:szCs w:val="28"/>
        </w:rPr>
      </w:r>
    </w:p>
    <w:p>
      <w:pPr>
        <w:pStyle w:val="Normal"/>
        <w:jc w:val="both"/>
        <w:rPr>
          <w:bCs w:val="false"/>
          <w:color w:val="CE181E"/>
          <w:szCs w:val="28"/>
        </w:rPr>
      </w:pPr>
      <w:r>
        <w:rPr>
          <w:bCs w:val="false"/>
          <w:color w:val="CE181E"/>
          <w:szCs w:val="28"/>
        </w:rPr>
      </w:r>
    </w:p>
    <w:p>
      <w:pPr>
        <w:pStyle w:val="Normal"/>
        <w:rPr/>
      </w:pPr>
      <w:r>
        <w:rPr>
          <w:bCs w:val="false"/>
          <w:color w:val="000000"/>
          <w:szCs w:val="28"/>
        </w:rPr>
        <w:t>В.о. д</w:t>
      </w:r>
      <w:r>
        <w:rPr>
          <w:color w:val="000000"/>
          <w:szCs w:val="28"/>
        </w:rPr>
        <w:t xml:space="preserve">иректора департаменту </w:t>
      </w:r>
    </w:p>
    <w:p>
      <w:pPr>
        <w:pStyle w:val="Normal"/>
        <w:rPr/>
      </w:pPr>
      <w:r>
        <w:rPr>
          <w:color w:val="000000"/>
          <w:szCs w:val="28"/>
        </w:rPr>
        <w:t>економічної політ</w:t>
      </w:r>
      <w:r>
        <w:rPr>
          <w:szCs w:val="28"/>
        </w:rPr>
        <w:t>ики                                                                 Юлія ДАЦЮК</w:t>
      </w:r>
    </w:p>
    <w:p>
      <w:pPr>
        <w:pStyle w:val="Normal"/>
        <w:rPr>
          <w:szCs w:val="28"/>
        </w:rPr>
      </w:pPr>
      <w:r>
        <w:rPr>
          <w:szCs w:val="28"/>
        </w:rPr>
      </w:r>
    </w:p>
    <w:p>
      <w:pPr>
        <w:pStyle w:val="Normal"/>
        <w:spacing w:before="0" w:after="0"/>
        <w:ind w:left="284" w:firstLine="567"/>
        <w:contextualSpacing/>
        <w:jc w:val="both"/>
        <w:rPr>
          <w:szCs w:val="28"/>
        </w:rPr>
      </w:pPr>
      <w:r>
        <w:rPr>
          <w:szCs w:val="28"/>
        </w:rPr>
      </w:r>
    </w:p>
    <w:p>
      <w:pPr>
        <w:pStyle w:val="Normal"/>
        <w:ind w:left="284" w:firstLine="567"/>
        <w:jc w:val="both"/>
        <w:rPr>
          <w:szCs w:val="28"/>
        </w:rPr>
      </w:pPr>
      <w:r>
        <w:rPr>
          <w:szCs w:val="28"/>
        </w:rPr>
      </w:r>
    </w:p>
    <w:p>
      <w:pPr>
        <w:pStyle w:val="Normal"/>
        <w:ind w:left="284" w:firstLine="567"/>
        <w:jc w:val="both"/>
        <w:rPr/>
      </w:pPr>
      <w:r>
        <w:rPr/>
      </w:r>
    </w:p>
    <w:sectPr>
      <w:headerReference w:type="default" r:id="rId3"/>
      <w:type w:val="nextPage"/>
      <w:pgSz w:w="11906" w:h="16838"/>
      <w:pgMar w:left="1985" w:right="567" w:gutter="0" w:header="709" w:top="766" w:footer="0" w:bottom="1134"/>
      <w:pgNumType w:start="1" w:fmt="decimal"/>
      <w:formProt w:val="false"/>
      <w:titlePg/>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Sans">
    <w:altName w:val="Arial"/>
    <w:charset w:val="cc"/>
    <w:family w:val="roman"/>
    <w:pitch w:val="variable"/>
  </w:font>
  <w:font w:name="Tahoma">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308725199"/>
    </w:sdtPr>
    <w:sdtContent>
      <w:p>
        <w:pPr>
          <w:pStyle w:val="Style24"/>
          <w:jc w:val="center"/>
          <w:rPr/>
        </w:pPr>
        <w:r>
          <w:rPr/>
          <w:fldChar w:fldCharType="begin"/>
        </w:r>
        <w:r>
          <w:rPr/>
          <w:instrText xml:space="preserve"> PAGE </w:instrText>
        </w:r>
        <w:r>
          <w:rPr/>
          <w:fldChar w:fldCharType="separate"/>
        </w:r>
        <w:r>
          <w:rPr/>
          <w:t>3</w:t>
        </w:r>
        <w:r>
          <w:rPr/>
          <w:fldChar w:fldCharType="end"/>
        </w:r>
      </w:p>
    </w:sdtContent>
  </w:sdt>
  <w:p>
    <w:pPr>
      <w:pStyle w:val="Style24"/>
      <w:ind w:right="360" w:hanging="0"/>
      <w:rPr/>
    </w:pPr>
    <w:r>
      <w:rPr/>
    </w:r>
  </w:p>
</w:hdr>
</file>

<file path=word/settings.xml><?xml version="1.0" encoding="utf-8"?>
<w:settings xmlns:w="http://schemas.openxmlformats.org/wordprocessingml/2006/main">
  <w:zoom w:percent="148"/>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0"/>
      <w:lang w:val="uk-UA" w:eastAsia="zh-CN" w:bidi="ar-SA"/>
    </w:rPr>
  </w:style>
  <w:style w:type="character" w:styleId="DefaultParagraphFont" w:default="1">
    <w:name w:val="Default Paragraph Font"/>
    <w:uiPriority w:val="1"/>
    <w:semiHidden/>
    <w:unhideWhenUsed/>
    <w:qFormat/>
    <w:rPr/>
  </w:style>
  <w:style w:type="character" w:styleId="Style14" w:customStyle="1">
    <w:name w:val="Основной шрифт абзаца"/>
    <w:qFormat/>
    <w:rPr/>
  </w:style>
  <w:style w:type="character" w:styleId="6" w:customStyle="1">
    <w:name w:val="Основной шрифт абзаца6"/>
    <w:qFormat/>
    <w:rPr/>
  </w:style>
  <w:style w:type="character" w:styleId="5" w:customStyle="1">
    <w:name w:val="Основной шрифт абзаца5"/>
    <w:qFormat/>
    <w:rPr/>
  </w:style>
  <w:style w:type="character" w:styleId="4" w:customStyle="1">
    <w:name w:val="Основной шрифт абзаца4"/>
    <w:qFormat/>
    <w:rPr/>
  </w:style>
  <w:style w:type="character" w:styleId="3" w:customStyle="1">
    <w:name w:val="Основной шрифт абзаца3"/>
    <w:qFormat/>
    <w:rPr/>
  </w:style>
  <w:style w:type="character" w:styleId="2" w:customStyle="1">
    <w:name w:val="Основной шрифт абзаца2"/>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eastAsia="Times New Roman" w:cs="Times New Roman"/>
      <w:color w:val="000000"/>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cs="Wingdings"/>
    </w:rPr>
  </w:style>
  <w:style w:type="character" w:styleId="WW8Num3z3" w:customStyle="1">
    <w:name w:val="WW8Num3z3"/>
    <w:qFormat/>
    <w:rPr>
      <w:rFonts w:ascii="Symbol" w:hAnsi="Symbol" w:cs="Symbol"/>
    </w:rPr>
  </w:style>
  <w:style w:type="character" w:styleId="WW8Num4z0" w:customStyle="1">
    <w:name w:val="WW8Num4z0"/>
    <w:qFormat/>
    <w:rPr>
      <w:rFonts w:ascii="Times New Roman" w:hAnsi="Times New Roman" w:eastAsia="Times New Roman" w:cs="Times New Roman"/>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4z3" w:customStyle="1">
    <w:name w:val="WW8Num4z3"/>
    <w:qFormat/>
    <w:rPr>
      <w:rFonts w:ascii="Symbol" w:hAnsi="Symbol" w:cs="Symbol"/>
    </w:rPr>
  </w:style>
  <w:style w:type="character" w:styleId="WW8Num5z0" w:customStyle="1">
    <w:name w:val="WW8Num5z0"/>
    <w:qFormat/>
    <w:rPr>
      <w:rFonts w:ascii="Times New Roman" w:hAnsi="Times New Roman" w:eastAsia="Times New Roman" w:cs="Times New Roman"/>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5z3" w:customStyle="1">
    <w:name w:val="WW8Num5z3"/>
    <w:qFormat/>
    <w:rPr>
      <w:rFonts w:ascii="Symbol" w:hAnsi="Symbol" w:cs="Symbol"/>
    </w:rPr>
  </w:style>
  <w:style w:type="character" w:styleId="1" w:customStyle="1">
    <w:name w:val="Основной шрифт абзаца1"/>
    <w:qFormat/>
    <w:rPr/>
  </w:style>
  <w:style w:type="character" w:styleId="Pagenumber">
    <w:name w:val="page number"/>
    <w:basedOn w:val="1"/>
    <w:qFormat/>
    <w:rPr/>
  </w:style>
  <w:style w:type="character" w:styleId="Rvts0" w:customStyle="1">
    <w:name w:val="rvts0"/>
    <w:basedOn w:val="1"/>
    <w:qFormat/>
    <w:rPr/>
  </w:style>
  <w:style w:type="character" w:styleId="Style15">
    <w:name w:val="Гіперпосилання"/>
    <w:basedOn w:val="1"/>
    <w:rPr>
      <w:color w:val="0000FF"/>
      <w:u w:val="single"/>
    </w:rPr>
  </w:style>
  <w:style w:type="character" w:styleId="Appleconvertedspace" w:customStyle="1">
    <w:name w:val="apple-converted-space"/>
    <w:basedOn w:val="DefaultParagraphFont"/>
    <w:qFormat/>
    <w:rPr/>
  </w:style>
  <w:style w:type="character" w:styleId="Rvts9" w:customStyle="1">
    <w:name w:val="rvts9"/>
    <w:basedOn w:val="DefaultParagraphFont"/>
    <w:qFormat/>
    <w:rPr/>
  </w:style>
  <w:style w:type="character" w:styleId="Rvts23" w:customStyle="1">
    <w:name w:val="rvts23"/>
    <w:basedOn w:val="DefaultParagraphFont"/>
    <w:qFormat/>
    <w:rPr/>
  </w:style>
  <w:style w:type="character" w:styleId="Style16" w:customStyle="1">
    <w:name w:val="Верхній колонтитул Знак"/>
    <w:basedOn w:val="DefaultParagraphFont"/>
    <w:uiPriority w:val="99"/>
    <w:qFormat/>
    <w:rsid w:val="001e26f4"/>
    <w:rPr>
      <w:rFonts w:ascii="Times New Roman" w:hAnsi="Times New Roman" w:eastAsia="Times New Roman" w:cs="Times New Roman"/>
      <w:bCs/>
      <w:sz w:val="28"/>
      <w:szCs w:val="20"/>
      <w:lang w:bidi="ar-SA"/>
    </w:rPr>
  </w:style>
  <w:style w:type="paragraph" w:styleId="Style17" w:customStyle="1">
    <w:name w:val="Заголовок"/>
    <w:basedOn w:val="Normal"/>
    <w:next w:val="Style18"/>
    <w:qFormat/>
    <w:pPr>
      <w:keepNext w:val="true"/>
      <w:spacing w:before="240" w:after="120"/>
    </w:pPr>
    <w:rPr>
      <w:rFonts w:ascii="Liberation Sans;Arial" w:hAnsi="Liberation Sans;Arial" w:eastAsia="Microsoft YaHei" w:cs="Arial"/>
      <w:szCs w:val="28"/>
    </w:rPr>
  </w:style>
  <w:style w:type="paragraph" w:styleId="Style18">
    <w:name w:val="Body Text"/>
    <w:basedOn w:val="Normal"/>
    <w:pPr>
      <w:spacing w:lineRule="auto" w:line="288" w:before="0" w:after="14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22" w:customStyle="1">
    <w:name w:val="Название объекта"/>
    <w:basedOn w:val="Normal"/>
    <w:qFormat/>
    <w:pPr>
      <w:suppressLineNumbers/>
      <w:spacing w:before="120" w:after="120"/>
    </w:pPr>
    <w:rPr>
      <w:rFonts w:cs="Arial"/>
      <w:i/>
      <w:iCs/>
      <w:sz w:val="24"/>
      <w:szCs w:val="24"/>
    </w:rPr>
  </w:style>
  <w:style w:type="paragraph" w:styleId="51" w:customStyle="1">
    <w:name w:val="Название объекта5"/>
    <w:basedOn w:val="Normal"/>
    <w:qFormat/>
    <w:pPr>
      <w:suppressLineNumbers/>
      <w:spacing w:before="120" w:after="120"/>
    </w:pPr>
    <w:rPr>
      <w:rFonts w:cs="Arial"/>
      <w:i/>
      <w:iCs/>
      <w:sz w:val="24"/>
      <w:szCs w:val="24"/>
    </w:rPr>
  </w:style>
  <w:style w:type="paragraph" w:styleId="41" w:customStyle="1">
    <w:name w:val="Название объекта4"/>
    <w:basedOn w:val="Normal"/>
    <w:qFormat/>
    <w:pPr>
      <w:suppressLineNumbers/>
      <w:spacing w:before="120" w:after="120"/>
    </w:pPr>
    <w:rPr>
      <w:rFonts w:cs="Arial"/>
      <w:i/>
      <w:iCs/>
      <w:sz w:val="24"/>
      <w:szCs w:val="24"/>
    </w:rPr>
  </w:style>
  <w:style w:type="paragraph" w:styleId="31" w:customStyle="1">
    <w:name w:val="Название объекта3"/>
    <w:basedOn w:val="Normal"/>
    <w:qFormat/>
    <w:pPr>
      <w:suppressLineNumbers/>
      <w:spacing w:before="120" w:after="120"/>
    </w:pPr>
    <w:rPr>
      <w:rFonts w:cs="Arial"/>
      <w:i/>
      <w:iCs/>
      <w:sz w:val="24"/>
      <w:szCs w:val="24"/>
    </w:rPr>
  </w:style>
  <w:style w:type="paragraph" w:styleId="21" w:customStyle="1">
    <w:name w:val="Название объекта2"/>
    <w:basedOn w:val="Normal"/>
    <w:qFormat/>
    <w:pPr>
      <w:suppressLineNumbers/>
      <w:spacing w:before="120" w:after="120"/>
    </w:pPr>
    <w:rPr>
      <w:rFonts w:cs="Arial"/>
      <w:i/>
      <w:iCs/>
      <w:sz w:val="24"/>
      <w:szCs w:val="24"/>
    </w:rPr>
  </w:style>
  <w:style w:type="paragraph" w:styleId="11" w:customStyle="1">
    <w:name w:val="Название объекта1"/>
    <w:basedOn w:val="Normal"/>
    <w:qFormat/>
    <w:pPr>
      <w:suppressLineNumbers/>
      <w:spacing w:before="120" w:after="120"/>
    </w:pPr>
    <w:rPr>
      <w:rFonts w:cs="Arial"/>
      <w:i/>
      <w:iCs/>
      <w:sz w:val="24"/>
      <w:szCs w:val="24"/>
    </w:rPr>
  </w:style>
  <w:style w:type="paragraph" w:styleId="Style23"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Header"/>
    <w:basedOn w:val="Normal"/>
    <w:link w:val="Style16"/>
    <w:uiPriority w:val="99"/>
    <w:pPr>
      <w:tabs>
        <w:tab w:val="clear" w:pos="708"/>
        <w:tab w:val="center" w:pos="4677" w:leader="none"/>
        <w:tab w:val="right" w:pos="9355" w:leader="none"/>
      </w:tabs>
    </w:pPr>
    <w:rPr/>
  </w:style>
  <w:style w:type="paragraph" w:styleId="Style25">
    <w:name w:val="Footer"/>
    <w:basedOn w:val="Normal"/>
    <w:pPr>
      <w:tabs>
        <w:tab w:val="clear" w:pos="708"/>
        <w:tab w:val="center" w:pos="4677" w:leader="none"/>
        <w:tab w:val="right" w:pos="9355" w:leader="none"/>
      </w:tabs>
    </w:pPr>
    <w:rPr/>
  </w:style>
  <w:style w:type="paragraph" w:styleId="Style26" w:customStyle="1">
    <w:name w:val="Текст выноски"/>
    <w:basedOn w:val="Normal"/>
    <w:qFormat/>
    <w:pPr/>
    <w:rPr>
      <w:rFonts w:ascii="Tahoma" w:hAnsi="Tahoma" w:cs="Tahoma"/>
      <w:sz w:val="16"/>
      <w:szCs w:val="16"/>
    </w:rPr>
  </w:style>
  <w:style w:type="paragraph" w:styleId="Style27" w:customStyle="1">
    <w:name w:val="Вміст рамки"/>
    <w:basedOn w:val="Normal"/>
    <w:qFormat/>
    <w:pPr/>
    <w:rPr/>
  </w:style>
  <w:style w:type="paragraph" w:styleId="ListParagraph">
    <w:name w:val="List Paragraph"/>
    <w:basedOn w:val="Normal"/>
    <w:qFormat/>
    <w:pPr>
      <w:spacing w:before="0" w:after="200"/>
      <w:ind w:left="720" w:hanging="0"/>
      <w:contextualSpacing/>
    </w:pPr>
    <w:rPr/>
  </w:style>
  <w:style w:type="paragraph" w:styleId="Style28" w:customStyle="1">
    <w:name w:val="Вміст таблиці"/>
    <w:basedOn w:val="Normal"/>
    <w:qFormat/>
    <w:pPr>
      <w:suppressLineNumbers/>
    </w:pPr>
    <w:rPr/>
  </w:style>
  <w:style w:type="paragraph" w:styleId="Style29" w:customStyle="1">
    <w:name w:val="Заголовок таблиці"/>
    <w:basedOn w:val="Style28"/>
    <w:qFormat/>
    <w:pPr>
      <w:jc w:val="center"/>
    </w:pPr>
    <w:rPr>
      <w:b/>
    </w:rPr>
  </w:style>
  <w:style w:type="paragraph" w:styleId="Docdata" w:customStyle="1">
    <w:name w:val="docdata"/>
    <w:basedOn w:val="Normal"/>
    <w:qFormat/>
    <w:pPr>
      <w:suppressAutoHyphens w:val="false"/>
      <w:spacing w:before="280" w:after="280"/>
    </w:pPr>
    <w:rPr>
      <w:bCs w:val="false"/>
      <w:sz w:val="24"/>
      <w:szCs w:val="24"/>
      <w:lang w:val="ru-RU"/>
    </w:rPr>
  </w:style>
  <w:style w:type="paragraph" w:styleId="Style30" w:customStyle="1">
    <w:name w:val="Обычный (веб)"/>
    <w:basedOn w:val="Normal"/>
    <w:qFormat/>
    <w:pPr>
      <w:suppressAutoHyphens w:val="false"/>
      <w:spacing w:before="280" w:after="280"/>
    </w:pPr>
    <w:rPr>
      <w:bCs w:val="false"/>
      <w:sz w:val="24"/>
      <w:szCs w:val="24"/>
      <w:lang w:val="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zakon2.rada.gov.ua/laws/show/679-2017-&#1087;"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Application>LibreOffice/7.3.4.2$Windows_X86_64 LibreOffice_project/728fec16bd5f605073805c3c9e7c4212a0120dc5</Application>
  <AppVersion>15.0000</AppVersion>
  <Pages>3</Pages>
  <Words>721</Words>
  <Characters>4918</Characters>
  <CharactersWithSpaces>5675</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1995-11-21T17:41:00Z</dcterms:created>
  <dc:creator>Vasilkovska</dc:creator>
  <dc:description/>
  <cp:keywords> </cp:keywords>
  <dc:language>uk-UA</dc:language>
  <cp:lastModifiedBy/>
  <cp:lastPrinted>2021-09-20T10:56:00Z</cp:lastPrinted>
  <dcterms:modified xsi:type="dcterms:W3CDTF">2023-09-08T15:02:37Z</dcterms:modified>
  <cp:revision>21</cp:revision>
  <dc:subject/>
  <dc:title>Пояснювальна записка</dc:title>
</cp:coreProperties>
</file>

<file path=docProps/custom.xml><?xml version="1.0" encoding="utf-8"?>
<Properties xmlns="http://schemas.openxmlformats.org/officeDocument/2006/custom-properties" xmlns:vt="http://schemas.openxmlformats.org/officeDocument/2006/docPropsVTypes"/>
</file>