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720"/>
        <w:jc w:val="center"/>
        <w:rPr>
          <w:lang w:val="uk-UA"/>
        </w:rPr>
      </w:pPr>
      <w:r>
        <w:rPr>
          <w:rFonts w:ascii="Times New Roman" w:hAnsi="Times New Roman"/>
          <w:sz w:val="28"/>
          <w:szCs w:val="28"/>
          <w:lang w:val="uk-UA" w:eastAsia="ru-RU"/>
        </w:rPr>
        <w:t xml:space="preserve">Пояснювальна записка </w:t>
      </w:r>
    </w:p>
    <w:p>
      <w:pPr>
        <w:pStyle w:val="Normal"/>
        <w:spacing w:lineRule="auto" w:line="240" w:before="0" w:after="0"/>
        <w:ind w:firstLine="720"/>
        <w:jc w:val="center"/>
        <w:rPr>
          <w:lang w:val="uk-UA"/>
        </w:rPr>
      </w:pPr>
      <w:r>
        <w:rPr>
          <w:rFonts w:ascii="Times New Roman" w:hAnsi="Times New Roman"/>
          <w:sz w:val="28"/>
          <w:szCs w:val="28"/>
          <w:lang w:val="uk-UA" w:eastAsia="ru-RU"/>
        </w:rPr>
        <w:t>до проєкту рішення виконавчого комітету</w:t>
      </w:r>
    </w:p>
    <w:p>
      <w:pPr>
        <w:pStyle w:val="NormalWeb"/>
        <w:spacing w:before="0" w:after="0"/>
        <w:jc w:val="center"/>
        <w:textAlignment w:val="baseline"/>
        <w:rPr>
          <w:lang w:val="uk-UA"/>
        </w:rPr>
      </w:pPr>
      <w:r>
        <w:rPr>
          <w:rFonts w:ascii="Times New Roman" w:hAnsi="Times New Roman"/>
          <w:sz w:val="28"/>
          <w:szCs w:val="28"/>
          <w:lang w:val="uk-UA"/>
        </w:rPr>
        <w:t xml:space="preserve">«Про встановлення тарифів </w:t>
      </w:r>
      <w:r>
        <w:rPr>
          <w:rFonts w:ascii="Times New Roman" w:hAnsi="Times New Roman"/>
          <w:sz w:val="28"/>
          <w:lang w:val="uk-UA"/>
        </w:rPr>
        <w:t>на теплову енергію та послуги</w:t>
      </w:r>
      <w:r>
        <w:rPr>
          <w:rFonts w:ascii="Times New Roman" w:hAnsi="Times New Roman"/>
          <w:sz w:val="28"/>
          <w:szCs w:val="28"/>
          <w:lang w:val="uk-UA"/>
        </w:rPr>
        <w:t xml:space="preserve">, </w:t>
      </w:r>
      <w:r>
        <w:rPr>
          <w:rFonts w:ascii="Times New Roman" w:hAnsi="Times New Roman"/>
          <w:sz w:val="28"/>
          <w:szCs w:val="28"/>
          <w:lang w:val="uk-UA" w:eastAsia="ru-RU"/>
        </w:rPr>
        <w:t xml:space="preserve">що надаються </w:t>
      </w:r>
    </w:p>
    <w:p>
      <w:pPr>
        <w:pStyle w:val="NormalWeb"/>
        <w:spacing w:before="0" w:after="0"/>
        <w:jc w:val="center"/>
        <w:textAlignment w:val="baseline"/>
        <w:rPr>
          <w:rFonts w:ascii="Times New Roman" w:hAnsi="Times New Roman"/>
          <w:lang w:val="uk-UA"/>
        </w:rPr>
      </w:pPr>
      <w:r>
        <w:rPr>
          <w:rFonts w:ascii="Times New Roman" w:hAnsi="Times New Roman"/>
          <w:sz w:val="28"/>
          <w:szCs w:val="28"/>
          <w:lang w:val="uk-UA" w:eastAsia="ru-RU"/>
        </w:rPr>
        <w:t>ДКП “Луцьктепло”»</w:t>
      </w:r>
    </w:p>
    <w:p>
      <w:pPr>
        <w:pStyle w:val="Normal"/>
        <w:spacing w:lineRule="auto" w:line="240" w:before="0" w:after="0"/>
        <w:ind w:firstLine="720"/>
        <w:jc w:val="center"/>
        <w:rPr>
          <w:rFonts w:ascii="Times New Roman" w:hAnsi="Times New Roman"/>
          <w:bCs/>
          <w:sz w:val="26"/>
          <w:szCs w:val="26"/>
          <w:lang w:val="uk-UA" w:eastAsia="ru-RU"/>
        </w:rPr>
      </w:pPr>
      <w:r>
        <w:rPr>
          <w:rFonts w:ascii="Times New Roman" w:hAnsi="Times New Roman"/>
          <w:bCs/>
          <w:sz w:val="26"/>
          <w:szCs w:val="26"/>
          <w:lang w:val="uk-UA" w:eastAsia="ru-RU"/>
        </w:rPr>
      </w:r>
    </w:p>
    <w:p>
      <w:pPr>
        <w:pStyle w:val="Normal"/>
        <w:spacing w:lineRule="auto" w:line="240" w:before="0" w:after="0"/>
        <w:ind w:firstLine="567"/>
        <w:jc w:val="both"/>
        <w:rPr>
          <w:lang w:val="uk-UA"/>
        </w:rPr>
      </w:pPr>
      <w:r>
        <w:rPr>
          <w:rFonts w:ascii="Times New Roman" w:hAnsi="Times New Roman"/>
          <w:bCs/>
          <w:sz w:val="28"/>
          <w:szCs w:val="28"/>
          <w:lang w:val="uk-UA" w:eastAsia="ru-RU"/>
        </w:rPr>
        <w:t>Розрахунки тарифів на послуги з постачання теплової енергії та гарячого водопостачання здійснено ДКП «Луцьктепло» відповідно до вимог постанови Кабінету Міністрів України від 01.06.2011 № 869 «</w:t>
      </w:r>
      <w:r>
        <w:rPr>
          <w:rStyle w:val="Rvts23"/>
          <w:rFonts w:ascii="Times New Roman" w:hAnsi="Times New Roman"/>
          <w:sz w:val="28"/>
          <w:szCs w:val="28"/>
          <w:lang w:val="uk-UA"/>
        </w:rPr>
        <w:t>Про забезпечення єдиного підходу до формування тарифів на комунальні послуги». Т</w:t>
      </w:r>
      <w:r>
        <w:rPr>
          <w:rFonts w:ascii="Times New Roman" w:hAnsi="Times New Roman"/>
          <w:bCs/>
          <w:sz w:val="28"/>
          <w:szCs w:val="28"/>
          <w:lang w:val="uk-UA" w:eastAsia="ru-RU"/>
        </w:rPr>
        <w:t>арифи на теплову енергію визначено як сума тарифів на:</w:t>
      </w:r>
    </w:p>
    <w:p>
      <w:pPr>
        <w:pStyle w:val="ListParagraph"/>
        <w:spacing w:lineRule="auto" w:line="240" w:before="0" w:after="0"/>
        <w:ind w:left="0" w:firstLine="567"/>
        <w:contextualSpacing/>
        <w:jc w:val="both"/>
        <w:rPr>
          <w:rFonts w:ascii="Times New Roman" w:hAnsi="Times New Roman"/>
          <w:bCs/>
          <w:sz w:val="28"/>
          <w:szCs w:val="28"/>
          <w:lang w:val="uk-UA" w:eastAsia="ru-RU"/>
        </w:rPr>
      </w:pPr>
      <w:r>
        <w:rPr>
          <w:rFonts w:ascii="Times New Roman" w:hAnsi="Times New Roman"/>
          <w:bCs/>
          <w:sz w:val="28"/>
          <w:szCs w:val="28"/>
          <w:lang w:val="uk-UA" w:eastAsia="ru-RU"/>
        </w:rPr>
        <w:t>виробництво теплової енергії, транспортування теплової енергії без урахування витрат на утримання та ремонт центральних теплових пунктів, постачання теплової енергії з урахуванням витрат на утримання індивідуальних теплових пунктів;</w:t>
      </w:r>
    </w:p>
    <w:p>
      <w:pPr>
        <w:pStyle w:val="ListParagraph"/>
        <w:spacing w:lineRule="auto" w:line="240" w:before="0" w:after="0"/>
        <w:ind w:left="0" w:firstLine="567"/>
        <w:contextualSpacing/>
        <w:jc w:val="both"/>
        <w:rPr>
          <w:rFonts w:ascii="Times New Roman" w:hAnsi="Times New Roman"/>
          <w:bCs/>
          <w:sz w:val="28"/>
          <w:szCs w:val="28"/>
          <w:lang w:val="uk-UA" w:eastAsia="ru-RU"/>
        </w:rPr>
      </w:pPr>
      <w:r>
        <w:rPr>
          <w:rFonts w:ascii="Times New Roman" w:hAnsi="Times New Roman"/>
          <w:bCs/>
          <w:sz w:val="28"/>
          <w:szCs w:val="28"/>
          <w:lang w:val="uk-UA" w:eastAsia="ru-RU"/>
        </w:rPr>
        <w:t>виробництво теплової енергії, транспортування теплової енергії з урахуванням витрат на утримання центральних теплових пунктів, постачання теплової енергії без урахування витрат на утримання індивідуальних теплових пунктів;</w:t>
      </w:r>
    </w:p>
    <w:p>
      <w:pPr>
        <w:pStyle w:val="ListParagraph"/>
        <w:spacing w:lineRule="auto" w:line="240" w:before="0" w:after="0"/>
        <w:ind w:left="0" w:firstLine="567"/>
        <w:contextualSpacing/>
        <w:jc w:val="both"/>
        <w:rPr>
          <w:rFonts w:ascii="Times New Roman" w:hAnsi="Times New Roman"/>
          <w:bCs/>
          <w:sz w:val="28"/>
          <w:szCs w:val="28"/>
          <w:lang w:val="uk-UA" w:eastAsia="ru-RU"/>
        </w:rPr>
      </w:pPr>
      <w:r>
        <w:rPr>
          <w:rFonts w:ascii="Times New Roman" w:hAnsi="Times New Roman"/>
          <w:bCs/>
          <w:sz w:val="28"/>
          <w:szCs w:val="28"/>
          <w:lang w:val="uk-UA" w:eastAsia="ru-RU"/>
        </w:rPr>
        <w:t>виробництво теплової енергії, транспортування теплової енергії без урахування витрат на утримання центральних теплових пунктів, постачання теплової енергії без урахування витрат на утримання індивідуальних теплових пунктів;</w:t>
      </w:r>
    </w:p>
    <w:p>
      <w:pPr>
        <w:pStyle w:val="ListParagraph"/>
        <w:spacing w:lineRule="auto" w:line="240" w:before="0" w:after="0"/>
        <w:ind w:left="0" w:firstLine="567"/>
        <w:contextualSpacing/>
        <w:jc w:val="both"/>
        <w:rPr>
          <w:lang w:val="uk-UA"/>
        </w:rPr>
      </w:pPr>
      <w:r>
        <w:rPr>
          <w:rFonts w:ascii="Times New Roman" w:hAnsi="Times New Roman"/>
          <w:bCs/>
          <w:sz w:val="28"/>
          <w:szCs w:val="28"/>
          <w:lang w:val="uk-UA" w:eastAsia="ru-RU"/>
        </w:rPr>
        <w:t>виробництво теплової енергії та її постачання у будинках, обладнаних системою автономного опалення (САО). Таких систем на балансі ДКП «Луцьктепло» 7, зокрема, за адресами: вул. Гордіюк, 20, вул. Дубнівська 15, вул. Ковельська 47а, вул. Кравчука, 11б, вул. Кравчука, 11в, вул. Героїв-добровольців, 4в, вул. Героїв-добровольців, 4д. Відповідно, розраховано тарифи на теплову енергію та постачання теплової енергії індивідуально по кожному будинку.</w:t>
      </w:r>
    </w:p>
    <w:p>
      <w:pPr>
        <w:pStyle w:val="Normal"/>
        <w:spacing w:lineRule="auto" w:line="240" w:before="0" w:after="0"/>
        <w:ind w:firstLine="567"/>
        <w:jc w:val="both"/>
        <w:rPr>
          <w:lang w:val="uk-UA"/>
        </w:rPr>
      </w:pPr>
      <w:r>
        <w:rPr>
          <w:rFonts w:ascii="Times New Roman" w:hAnsi="Times New Roman"/>
          <w:bCs/>
          <w:sz w:val="28"/>
          <w:szCs w:val="28"/>
          <w:lang w:val="uk-UA" w:eastAsia="ru-RU"/>
        </w:rPr>
        <w:t xml:space="preserve">Тарифи на надання послуг з постачання гарячої води сформовано окремо для систем автономного опалення, які перебувають у власності та/або користуванні ДКП «Луцьктепло». Так, на балансі ДКП «Луцьктепло» станом на 01.07.2023 перебуває 318 ІТП. </w:t>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t>Усі розрахунки проведено відповідно до затверджених форм до наказів Міністерства регіонального розвитку будівництва та житлово-комунального господарства України від 12.09.2018 № 239 «Про затвердження Порядку розгляду органами місцевого самоврядування розрахунків тарифів на теплову енергію, її виробництво, транспортування та постачання, а також розрахунків тарифів на комунальні послуги, поданих для їх встановлення» та від 17.07.2019 № 162 «Про затвердження Примірних форм, необхідних для розрахунку двоставкових тарифів на теплову енергію, послуги з постачання теплової енергії і постачання гарячої води», та рішення виконавчого комітету Луцької міської ради від 17.08.2020 № 418-1 «Про затвердження форм для розрахунку тарифів на послуги з постачання теплової енергії та постачання гарячої води»).</w:t>
      </w:r>
    </w:p>
    <w:p>
      <w:pPr>
        <w:pStyle w:val="Normal"/>
        <w:spacing w:lineRule="auto" w:line="240" w:before="0" w:after="0"/>
        <w:ind w:firstLine="567"/>
        <w:jc w:val="both"/>
        <w:rPr>
          <w:lang w:val="uk-UA"/>
        </w:rPr>
      </w:pPr>
      <w:r>
        <w:rPr>
          <w:rFonts w:ascii="Times New Roman" w:hAnsi="Times New Roman"/>
          <w:bCs/>
          <w:sz w:val="28"/>
          <w:szCs w:val="28"/>
          <w:lang w:val="uk-UA" w:eastAsia="ru-RU"/>
        </w:rPr>
        <w:t>Розрахунок річного корисного відпуску теплової енергії на потреби опалення, вентиляції та гарячого водопостачання виконаний на підставі вимог постанови Кабінету Міністрів України від 01.06.2011 № 869, з урахуванням фактичних за останні 5 років та прогнозованих обсягів виробництва та споживання теплової енергії з урахуванням укладених із споживачами договорів.</w:t>
      </w:r>
    </w:p>
    <w:p>
      <w:pPr>
        <w:pStyle w:val="Normal"/>
        <w:spacing w:lineRule="auto" w:line="240" w:before="0" w:after="0"/>
        <w:ind w:firstLine="567"/>
        <w:jc w:val="both"/>
        <w:rPr>
          <w:lang w:val="uk-UA"/>
        </w:rPr>
      </w:pPr>
      <w:r>
        <w:rPr>
          <w:rFonts w:ascii="Times New Roman" w:hAnsi="Times New Roman"/>
          <w:bCs/>
          <w:sz w:val="28"/>
          <w:szCs w:val="28"/>
          <w:lang w:val="uk-UA" w:eastAsia="ru-RU"/>
        </w:rPr>
        <w:t>Розрахунок питомих витрат палива здійснений відповідно до Міжгалузевих норм витрат палива для опалювальних котлів, які експлуатуються в Україні, затверджених Наказом Держкоменергозбереження від 07.05.2001 № 46, Галузевої методики нормування витрат палива на виробництво та відпуск теплової енергії котельнями теплового господарства КТМ 204 України 246-99; Норм та вказівок по нормуванню витрат палива та теплової енергії на опалення житлових та громадських споруд, а також на господарсько-побутові потреби в Україні» КТМ 204 України 244-94.</w:t>
      </w:r>
    </w:p>
    <w:p>
      <w:pPr>
        <w:pStyle w:val="Normal"/>
        <w:spacing w:lineRule="auto" w:line="240" w:before="0" w:after="0"/>
        <w:ind w:firstLine="567"/>
        <w:jc w:val="both"/>
        <w:rPr>
          <w:lang w:val="uk-UA"/>
        </w:rPr>
      </w:pPr>
      <w:r>
        <w:rPr>
          <w:rFonts w:eastAsia="Times New Roman" w:ascii="Times New Roman" w:hAnsi="Times New Roman"/>
          <w:sz w:val="28"/>
          <w:szCs w:val="28"/>
          <w:lang w:val="uk-UA" w:eastAsia="ru-RU"/>
        </w:rPr>
        <w:t>При плануванні корисно використаної теплоти використані значення приєднаного теплового навантаження на опалення та вентиляцію об’єктів теплоспоживання ДКП «Луцьктепло», реєстр приєднаного теплового навантаження погоджений рішенням виконавчого комітету Луцької міської ради від 16.08.2023 № 439-1.</w:t>
      </w:r>
    </w:p>
    <w:p>
      <w:pPr>
        <w:pStyle w:val="ListParagraph"/>
        <w:spacing w:lineRule="auto" w:line="240" w:before="0" w:after="0"/>
        <w:ind w:left="0" w:firstLine="567"/>
        <w:contextualSpacing/>
        <w:jc w:val="both"/>
        <w:rPr>
          <w:rFonts w:ascii="Times New Roman" w:hAnsi="Times New Roman" w:eastAsia="Times New Roman"/>
          <w:sz w:val="28"/>
          <w:szCs w:val="28"/>
          <w:lang w:val="uk-UA" w:eastAsia="ru-RU"/>
        </w:rPr>
      </w:pPr>
      <w:r>
        <w:rPr>
          <w:rFonts w:ascii="Times New Roman" w:hAnsi="Times New Roman"/>
          <w:sz w:val="28"/>
          <w:szCs w:val="28"/>
          <w:lang w:val="uk-UA"/>
        </w:rPr>
        <w:t xml:space="preserve">Розрахунок теплового навантаження системи опалення для житлових будинків здійснюється з урахуванням нормативних питомих витрат теплової енергії для опалення будинків м. Луцьк згідно </w:t>
      </w:r>
      <w:r>
        <w:rPr>
          <w:rFonts w:eastAsia="Times New Roman" w:ascii="Times New Roman" w:hAnsi="Times New Roman"/>
          <w:sz w:val="28"/>
          <w:szCs w:val="28"/>
          <w:lang w:val="uk-UA" w:eastAsia="ru-RU"/>
        </w:rPr>
        <w:t xml:space="preserve">КТМ 204 України 244-94. </w:t>
      </w:r>
    </w:p>
    <w:p>
      <w:pPr>
        <w:pStyle w:val="Normal"/>
        <w:spacing w:lineRule="auto" w:line="240" w:before="0" w:after="0"/>
        <w:ind w:firstLine="567"/>
        <w:jc w:val="both"/>
        <w:rPr>
          <w:lang w:val="uk-UA"/>
        </w:rPr>
      </w:pPr>
      <w:r>
        <w:rPr>
          <w:rFonts w:ascii="Times New Roman" w:hAnsi="Times New Roman"/>
          <w:sz w:val="28"/>
          <w:szCs w:val="28"/>
          <w:lang w:val="uk-UA"/>
        </w:rPr>
        <w:t>До розрахунку застосовано такі основні показники: опалювальна площа будівель, яка опалюється від системи централізованого опалення; норма витрати теплоти для будівель – Гкал/м</w:t>
      </w:r>
      <w:r>
        <w:rPr>
          <w:rFonts w:ascii="Times New Roman" w:hAnsi="Times New Roman"/>
          <w:sz w:val="28"/>
          <w:szCs w:val="28"/>
          <w:vertAlign w:val="superscript"/>
          <w:lang w:val="uk-UA"/>
        </w:rPr>
        <w:t>2</w:t>
      </w:r>
      <w:r>
        <w:rPr>
          <w:rFonts w:ascii="Times New Roman" w:hAnsi="Times New Roman"/>
          <w:sz w:val="28"/>
          <w:szCs w:val="28"/>
          <w:lang w:val="uk-UA"/>
        </w:rPr>
        <w:t xml:space="preserve">, в залежності від поверховості будівель; </w:t>
      </w:r>
      <w:r>
        <w:rPr>
          <w:rFonts w:eastAsia="Times New Roman" w:ascii="Times New Roman" w:hAnsi="Times New Roman"/>
          <w:sz w:val="28"/>
          <w:szCs w:val="28"/>
          <w:lang w:val="uk-UA" w:eastAsia="ru-RU"/>
        </w:rPr>
        <w:t>середня температура зовнішнього повітря в опалювальний період визначена на підставі даних Волинського обласного центру з гідрометеорології про фактичну температуру за період 2017–2021 та становить +1,74 </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 xml:space="preserve">С; розрахункова температура зовнішнього повітря для проєктування опалення tр.о. = - 20 </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 xml:space="preserve">С; </w:t>
      </w:r>
      <w:r>
        <w:rPr>
          <w:rFonts w:ascii="Times New Roman" w:hAnsi="Times New Roman"/>
          <w:sz w:val="28"/>
          <w:szCs w:val="28"/>
          <w:lang w:val="uk-UA"/>
        </w:rPr>
        <w:t>усереднена р</w:t>
      </w:r>
      <w:r>
        <w:rPr>
          <w:rFonts w:eastAsia="Times New Roman" w:ascii="Times New Roman" w:hAnsi="Times New Roman"/>
          <w:sz w:val="28"/>
          <w:szCs w:val="28"/>
          <w:lang w:val="uk-UA" w:eastAsia="ru-RU"/>
        </w:rPr>
        <w:t xml:space="preserve">озрахункова температура внутрішнього повітря опалювальних будинків tвн. = 18 </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 xml:space="preserve">С; </w:t>
      </w:r>
      <w:r>
        <w:rPr>
          <w:rFonts w:ascii="Times New Roman" w:hAnsi="Times New Roman"/>
          <w:sz w:val="28"/>
          <w:szCs w:val="28"/>
          <w:lang w:val="uk-UA"/>
        </w:rPr>
        <w:t>тривалість опалювального періоду з кількістю днів зі стійкою середньою добовою температурою зовнішнього повітря 8</w:t>
      </w:r>
      <w:r>
        <w:rPr>
          <w:rFonts w:eastAsia="Times New Roman" w:ascii="Times New Roman" w:hAnsi="Times New Roman"/>
          <w:sz w:val="28"/>
          <w:szCs w:val="28"/>
          <w:vertAlign w:val="superscript"/>
          <w:lang w:val="uk-UA" w:eastAsia="ru-RU"/>
        </w:rPr>
        <w:t>о</w:t>
      </w:r>
      <w:r>
        <w:rPr>
          <w:rFonts w:eastAsia="Times New Roman" w:ascii="Times New Roman" w:hAnsi="Times New Roman"/>
          <w:sz w:val="28"/>
          <w:szCs w:val="28"/>
          <w:lang w:val="uk-UA" w:eastAsia="ru-RU"/>
        </w:rPr>
        <w:t>С</w:t>
      </w:r>
      <w:r>
        <w:rPr>
          <w:rFonts w:ascii="Times New Roman" w:hAnsi="Times New Roman"/>
          <w:sz w:val="28"/>
          <w:szCs w:val="28"/>
          <w:lang w:val="uk-UA"/>
        </w:rPr>
        <w:t xml:space="preserve"> та нижче розрахована по середній тривалості опалювальних періодів останніх п’яти років та становить </w:t>
      </w:r>
      <w:r>
        <w:rPr>
          <w:rFonts w:eastAsia="Times New Roman" w:ascii="Times New Roman" w:hAnsi="Times New Roman"/>
          <w:sz w:val="28"/>
          <w:szCs w:val="28"/>
          <w:lang w:val="uk-UA" w:eastAsia="ru-RU"/>
        </w:rPr>
        <w:t>167 діб</w:t>
      </w:r>
      <w:r>
        <w:rPr>
          <w:rFonts w:ascii="Times New Roman" w:hAnsi="Times New Roman"/>
          <w:sz w:val="28"/>
          <w:szCs w:val="28"/>
          <w:lang w:val="uk-UA"/>
        </w:rPr>
        <w:t>.</w:t>
      </w:r>
    </w:p>
    <w:p>
      <w:pPr>
        <w:pStyle w:val="ListParagraph"/>
        <w:spacing w:lineRule="auto" w:line="240" w:before="0" w:after="0"/>
        <w:ind w:left="0" w:firstLine="567"/>
        <w:contextualSpacing/>
        <w:jc w:val="both"/>
        <w:rPr>
          <w:lang w:val="uk-UA"/>
        </w:rPr>
      </w:pPr>
      <w:r>
        <w:rPr>
          <w:rFonts w:ascii="Times New Roman" w:hAnsi="Times New Roman"/>
          <w:sz w:val="28"/>
          <w:szCs w:val="28"/>
          <w:lang w:val="uk-UA"/>
        </w:rPr>
        <w:t>Відповідно до постанови Кабінету Міністрів України від 01.06.2011 № 869 теплове навантаження об’єктів теплоспоживання визначено за показами типових або індивідуальних проєктів, за якими збудовані такі об’єкти.</w:t>
      </w:r>
    </w:p>
    <w:p>
      <w:pPr>
        <w:pStyle w:val="ListParagraph"/>
        <w:spacing w:lineRule="auto" w:line="240" w:before="0" w:after="0"/>
        <w:ind w:left="0" w:firstLine="567"/>
        <w:contextualSpacing/>
        <w:jc w:val="both"/>
        <w:rPr>
          <w:lang w:val="uk-UA"/>
        </w:rPr>
      </w:pPr>
      <w:r>
        <w:rPr>
          <w:rFonts w:ascii="Times New Roman" w:hAnsi="Times New Roman"/>
          <w:sz w:val="28"/>
          <w:szCs w:val="28"/>
          <w:lang w:val="uk-UA"/>
        </w:rPr>
        <w:t xml:space="preserve">Планування витрат на придбання природного газу для виробництва теплової енергії з метою включення їх до тарифів здійснюється виходячи із </w:t>
      </w:r>
      <w:r>
        <w:rPr>
          <w:rFonts w:eastAsia="Times New Roman" w:ascii="Times New Roman" w:hAnsi="Times New Roman"/>
          <w:sz w:val="28"/>
          <w:szCs w:val="28"/>
          <w:lang w:val="uk-UA" w:eastAsia="zh-CN"/>
        </w:rPr>
        <w:t>планованих обсягів природного газу, необхідних для провадження ліцензованої діяльності та середньої ціни природного газу, що склалася у ДКП «Луцьктепло» протягом опалювального періоду, що передує планованому періоду. У порівнянні з попереднім опалювальним періодом вартість природного газу не змінилась для таких категорій споживачів: населення, бюджетні установи, релігійні організації; для категорії «інші споживачі» відбулось зниження з 32 074,49 до 13 658,33 грн/тис. куб. м (без ПДВ).</w:t>
      </w:r>
    </w:p>
    <w:p>
      <w:pPr>
        <w:pStyle w:val="Normal"/>
        <w:spacing w:lineRule="auto" w:line="240" w:before="0" w:after="0"/>
        <w:ind w:firstLine="567"/>
        <w:jc w:val="both"/>
        <w:rPr>
          <w:lang w:val="uk-UA"/>
        </w:rPr>
      </w:pPr>
      <w:r>
        <w:rPr>
          <w:rFonts w:eastAsia="Times New Roman" w:ascii="Times New Roman" w:hAnsi="Times New Roman"/>
          <w:sz w:val="28"/>
          <w:szCs w:val="28"/>
          <w:lang w:val="uk-UA" w:eastAsia="zh-CN"/>
        </w:rPr>
        <w:t>Витрати на послуги з розподілу природного газу АТ «Волиньгаз» зменшились на 5,2 % або на 4,71 млн грн, через врахування нижчих планових обсягів</w:t>
      </w:r>
      <w:r>
        <w:rPr>
          <w:rFonts w:ascii="Times New Roman" w:hAnsi="Times New Roman"/>
          <w:sz w:val="28"/>
          <w:szCs w:val="28"/>
          <w:lang w:val="uk-UA"/>
        </w:rPr>
        <w:t xml:space="preserve"> величини річної замовленої потужності об’єктів</w:t>
      </w:r>
      <w:r>
        <w:rPr>
          <w:rFonts w:eastAsia="Times New Roman" w:ascii="Times New Roman" w:hAnsi="Times New Roman"/>
          <w:sz w:val="28"/>
          <w:szCs w:val="28"/>
          <w:lang w:val="uk-UA" w:eastAsia="zh-CN"/>
        </w:rPr>
        <w:t xml:space="preserve"> на «газовий рік». </w:t>
      </w:r>
    </w:p>
    <w:p>
      <w:pPr>
        <w:pStyle w:val="Rvps2"/>
        <w:spacing w:beforeAutospacing="0" w:before="0" w:afterAutospacing="0" w:after="0"/>
        <w:ind w:firstLine="567"/>
        <w:jc w:val="both"/>
        <w:rPr>
          <w:lang w:val="uk-UA"/>
        </w:rPr>
      </w:pPr>
      <w:r>
        <w:rPr>
          <w:sz w:val="28"/>
          <w:szCs w:val="28"/>
          <w:lang w:val="uk-UA"/>
        </w:rPr>
        <w:t>Планування витрат на придбання електричної енергії для технологічних потреб з метою включення їх до тарифів здійснюється виходячи із</w:t>
      </w:r>
      <w:bookmarkStart w:id="0" w:name="n1884"/>
      <w:bookmarkEnd w:id="0"/>
      <w:r>
        <w:rPr>
          <w:sz w:val="28"/>
          <w:szCs w:val="28"/>
          <w:lang w:val="uk-UA"/>
        </w:rPr>
        <w:t xml:space="preserve"> планованих обсягів електричної енергії та </w:t>
      </w:r>
      <w:bookmarkStart w:id="1" w:name="n1885"/>
      <w:bookmarkEnd w:id="1"/>
      <w:r>
        <w:rPr>
          <w:sz w:val="28"/>
          <w:szCs w:val="28"/>
          <w:lang w:val="uk-UA"/>
        </w:rPr>
        <w:t>середньої ціни електричної енергії, що склалася у ліцензіата за останні шість календарних місяців</w:t>
      </w:r>
      <w:bookmarkStart w:id="2" w:name="n1886"/>
      <w:bookmarkEnd w:id="2"/>
      <w:r>
        <w:rPr>
          <w:sz w:val="28"/>
          <w:szCs w:val="28"/>
          <w:lang w:val="uk-UA"/>
        </w:rPr>
        <w:t>. Ріст вартості електроенергії складає майже 27 %, з 4,073 до 5,273 грн/кВт*год (без ПДВ).</w:t>
      </w:r>
    </w:p>
    <w:p>
      <w:pPr>
        <w:pStyle w:val="Normal"/>
        <w:spacing w:lineRule="auto" w:line="240" w:before="0" w:after="0"/>
        <w:ind w:firstLine="567"/>
        <w:jc w:val="both"/>
        <w:rPr>
          <w:lang w:val="uk-UA"/>
        </w:rPr>
      </w:pPr>
      <w:r>
        <w:rPr>
          <w:rFonts w:ascii="Times New Roman" w:hAnsi="Times New Roman"/>
          <w:bCs/>
          <w:sz w:val="28"/>
          <w:szCs w:val="28"/>
          <w:lang w:val="uk-UA" w:eastAsia="ru-RU"/>
        </w:rPr>
        <w:t xml:space="preserve">Планування витрат на оплату праці здійснюється відповідно механізму визначення витрат на оплату праці, які враховуються в тарифах на виробництво, транспортування, постачання теплової енергії, затвердженого постановою НКРКП від 18.05.2012 № 181, із забезпеченням мінімальної заробітної та інших гарантій з оплати праці. У розрахунку цих витрат враховано розмір прожиткового мінімуму для працездатних осіб у розмірі – 2684 грн. Штатна чисельність, врахована у розрахунку фонду оплати праці, становить – 753 од., фонд оплати праці – 135 742,8 тис. грн. </w:t>
      </w:r>
    </w:p>
    <w:p>
      <w:pPr>
        <w:pStyle w:val="Normal"/>
        <w:spacing w:lineRule="auto" w:line="240" w:before="0" w:after="0"/>
        <w:ind w:firstLine="567"/>
        <w:jc w:val="both"/>
        <w:rPr>
          <w:lang w:val="uk-UA"/>
        </w:rPr>
      </w:pPr>
      <w:r>
        <w:rPr>
          <w:rFonts w:ascii="Times New Roman" w:hAnsi="Times New Roman"/>
          <w:bCs/>
          <w:sz w:val="28"/>
          <w:szCs w:val="28"/>
          <w:lang w:val="uk-UA" w:eastAsia="ru-RU"/>
        </w:rPr>
        <w:t>Матеріали на поточні ремонти основних засобів, задіяних у процесі виробництва, транспортування, постачання теплової енергії, розраховані на основі передбачених планом виконання планово – попереджувальних робіт, проєктно-кошторисною документацією, виконаною у ліцензованому програмному комплексі АВК – 5 (3.2.2). Стаття «Матеріали, запасні частини та інші матеріальні ресурси» зросла на 1383,5 тис.грн. Основною причиною збільшення є ріс вартості хімматеріалів утричі (з 912,1 до 2740,3 тис. грн), а саме: вартість технічної солі зросла з 1,64 грн до 6,67 грн за кг, сіль таблетована з 4,75 грн до 12,67 грн за кг, сода кальценована з 8,25 грн до 25,75 грн за кг, соляна кислота технічна з 11,85 грн до 90 грн за кг.</w:t>
      </w:r>
    </w:p>
    <w:p>
      <w:pPr>
        <w:pStyle w:val="Normal"/>
        <w:spacing w:lineRule="auto" w:line="240" w:before="0" w:after="0"/>
        <w:ind w:firstLine="567"/>
        <w:jc w:val="both"/>
        <w:rPr>
          <w:lang w:val="uk-UA"/>
        </w:rPr>
      </w:pPr>
      <w:r>
        <w:rPr>
          <w:rFonts w:ascii="Times New Roman" w:hAnsi="Times New Roman"/>
          <w:bCs/>
          <w:sz w:val="28"/>
          <w:szCs w:val="28"/>
          <w:lang w:val="uk-UA" w:eastAsia="ru-RU"/>
        </w:rPr>
        <w:t>Витрати на повірку приладів обліку та зразкової вимірювальної техніки, експертне обстеження будівель, димових труб та обладнання розраховані з врахуванням періодичності повірки та нових цін на послуги ДП «Волинський експерно-технічний центр Держпраці» та ДП «Волиньстандартметрологія».</w:t>
      </w:r>
    </w:p>
    <w:p>
      <w:pPr>
        <w:pStyle w:val="Normal"/>
        <w:spacing w:lineRule="auto" w:line="240" w:before="0" w:after="0"/>
        <w:ind w:firstLine="567"/>
        <w:jc w:val="both"/>
        <w:rPr>
          <w:lang w:val="uk-UA"/>
        </w:rPr>
      </w:pPr>
      <w:r>
        <w:rPr>
          <w:rFonts w:ascii="Times New Roman" w:hAnsi="Times New Roman"/>
          <w:sz w:val="28"/>
          <w:szCs w:val="28"/>
          <w:lang w:val="uk-UA"/>
        </w:rPr>
        <w:t>Інвестиційна програма розроблена, виходячи з річного обсягу фінансування в розмірі 25 967,27 тис. грн (без ПДВ), в тому числі:  24 313,9тис. грн – амортизаційні відрахування та 1653,37 тис. грн – інші залучені кошти, які не підлягають поверненню (власні кошти).</w:t>
      </w:r>
    </w:p>
    <w:p>
      <w:pPr>
        <w:pStyle w:val="Normal"/>
        <w:spacing w:lineRule="auto" w:line="240" w:before="0" w:after="0"/>
        <w:ind w:firstLine="567"/>
        <w:jc w:val="both"/>
        <w:rPr>
          <w:lang w:val="uk-UA"/>
        </w:rPr>
      </w:pPr>
      <w:r>
        <w:rPr>
          <w:rStyle w:val="Rvts0"/>
          <w:rFonts w:ascii="Times New Roman" w:hAnsi="Times New Roman"/>
          <w:sz w:val="28"/>
          <w:szCs w:val="28"/>
          <w:lang w:val="uk-UA"/>
        </w:rPr>
        <w:t xml:space="preserve">У проєкті тарифів на теплову енергію, її виробництво, транспортування та постачання враховані обігові кошти за рахунок планованого прибутку в обсязі 2 % повної планованої собівартості теплової енергії. Ці кошти спрямовуватимуться підприємством на фінансування витрат, пов’язаних з  виробництвом, транспортуванням та постачанням теплової енергії, у разі, коли такі витрати не відшкодовуватимуться діючими тарифами. </w:t>
      </w:r>
    </w:p>
    <w:p>
      <w:pPr>
        <w:pStyle w:val="Normal"/>
        <w:spacing w:lineRule="auto" w:line="240" w:before="0" w:after="0"/>
        <w:ind w:firstLine="567"/>
        <w:jc w:val="both"/>
        <w:rPr>
          <w:lang w:val="uk-UA"/>
        </w:rPr>
      </w:pPr>
      <w:r>
        <w:rPr>
          <w:rFonts w:ascii="Times New Roman" w:hAnsi="Times New Roman"/>
          <w:bCs/>
          <w:sz w:val="28"/>
          <w:szCs w:val="28"/>
          <w:lang w:val="uk-UA"/>
        </w:rPr>
        <w:t xml:space="preserve">Відповідно до вимог Закону України «Про теплопостачання» тарифи на теплову енергію повинні забезпечувати відшкодування всіх економічно обґрунтованих витрат на виробництво, транспортування та постачання теплової енергії. Встановлення тарифів на теплову енергію нижче від розміру економічно обґрунтованих витрат на її виробництво, транспортування та постачання не допускається. </w:t>
      </w:r>
    </w:p>
    <w:p>
      <w:pPr>
        <w:pStyle w:val="Normal"/>
        <w:spacing w:lineRule="auto" w:line="240" w:before="0" w:after="0"/>
        <w:ind w:firstLine="567"/>
        <w:jc w:val="both"/>
        <w:rPr>
          <w:lang w:val="uk-UA"/>
        </w:rPr>
      </w:pPr>
      <w:r>
        <w:rPr>
          <w:rFonts w:ascii="Times New Roman" w:hAnsi="Times New Roman"/>
          <w:bCs/>
          <w:sz w:val="28"/>
          <w:szCs w:val="28"/>
          <w:lang w:val="uk-UA"/>
        </w:rPr>
        <w:t xml:space="preserve">Таким чином, економічно обґрунтовані тарифи на теплову енергію </w:t>
      </w:r>
      <w:r>
        <w:rPr>
          <w:rFonts w:ascii="Times New Roman" w:hAnsi="Times New Roman"/>
          <w:bCs/>
          <w:sz w:val="28"/>
          <w:szCs w:val="28"/>
          <w:lang w:val="uk-UA" w:eastAsia="ru-RU"/>
        </w:rPr>
        <w:t>на 2023/2024</w:t>
      </w:r>
      <w:r>
        <w:rPr>
          <w:rFonts w:ascii="Times New Roman" w:hAnsi="Times New Roman"/>
          <w:bCs/>
          <w:sz w:val="28"/>
          <w:szCs w:val="28"/>
          <w:lang w:val="uk-UA"/>
        </w:rPr>
        <w:t xml:space="preserve"> зростають для населення на від 0,8 до 6,91 %, для </w:t>
      </w:r>
      <w:r>
        <w:rPr>
          <w:rFonts w:ascii="Times New Roman" w:hAnsi="Times New Roman"/>
          <w:sz w:val="28"/>
          <w:szCs w:val="28"/>
          <w:lang w:val="uk-UA" w:eastAsia="ru-RU"/>
        </w:rPr>
        <w:t>бюджетних установ</w:t>
      </w:r>
      <w:r>
        <w:rPr>
          <w:rFonts w:ascii="Times New Roman" w:hAnsi="Times New Roman"/>
          <w:bCs/>
          <w:sz w:val="28"/>
          <w:szCs w:val="28"/>
          <w:lang w:val="uk-UA"/>
        </w:rPr>
        <w:t xml:space="preserve"> на від 15 до 19 %; для категорії “інші споживачі” – знижуються на від  46–48 %, </w:t>
      </w:r>
      <w:r>
        <w:rPr>
          <w:rFonts w:ascii="Times New Roman" w:hAnsi="Times New Roman"/>
          <w:bCs/>
          <w:sz w:val="28"/>
          <w:szCs w:val="28"/>
          <w:lang w:val="uk-UA" w:eastAsia="ru-RU"/>
        </w:rPr>
        <w:t>у порівнянні з діючими</w:t>
      </w:r>
      <w:r>
        <w:rPr>
          <w:rFonts w:ascii="Times New Roman" w:hAnsi="Times New Roman"/>
          <w:bCs/>
          <w:sz w:val="28"/>
          <w:szCs w:val="28"/>
          <w:lang w:val="uk-UA"/>
        </w:rPr>
        <w:t>.</w:t>
      </w:r>
    </w:p>
    <w:p>
      <w:pPr>
        <w:pStyle w:val="Normal"/>
        <w:shd w:val="clear" w:color="auto" w:fill="FFFFFF"/>
        <w:spacing w:lineRule="auto" w:line="240" w:before="0" w:after="0"/>
        <w:ind w:firstLine="567"/>
        <w:jc w:val="both"/>
        <w:rPr>
          <w:lang w:val="uk-UA"/>
        </w:rPr>
      </w:pPr>
      <w:bookmarkStart w:id="3" w:name="_GoBack"/>
      <w:bookmarkEnd w:id="3"/>
      <w:r>
        <w:rPr>
          <w:rFonts w:ascii="Times New Roman" w:hAnsi="Times New Roman"/>
          <w:color w:val="000000"/>
          <w:sz w:val="28"/>
          <w:szCs w:val="28"/>
          <w:lang w:val="uk-UA"/>
        </w:rPr>
        <w:t xml:space="preserve">Тарифи встановлюються на період з </w:t>
      </w:r>
      <w:r>
        <w:rPr>
          <w:rFonts w:eastAsia="Times New Roman" w:ascii="Times New Roman" w:hAnsi="Times New Roman"/>
          <w:sz w:val="28"/>
          <w:szCs w:val="28"/>
          <w:lang w:val="uk-UA" w:eastAsia="zh-CN"/>
        </w:rPr>
        <w:t>01</w:t>
      </w:r>
      <w:r>
        <w:rPr>
          <w:rFonts w:ascii="Times New Roman" w:hAnsi="Times New Roman"/>
          <w:color w:val="000000"/>
          <w:sz w:val="28"/>
          <w:szCs w:val="28"/>
          <w:lang w:val="uk-UA"/>
        </w:rPr>
        <w:t xml:space="preserve"> жовт</w:t>
      </w:r>
      <w:r>
        <w:rPr>
          <w:rFonts w:eastAsia="Times New Roman" w:ascii="Times New Roman" w:hAnsi="Times New Roman"/>
          <w:sz w:val="28"/>
          <w:szCs w:val="28"/>
          <w:lang w:val="uk-UA" w:eastAsia="zh-CN"/>
        </w:rPr>
        <w:t>ня</w:t>
      </w:r>
      <w:r>
        <w:rPr>
          <w:rFonts w:ascii="Times New Roman" w:hAnsi="Times New Roman"/>
          <w:color w:val="000000"/>
          <w:sz w:val="28"/>
          <w:szCs w:val="28"/>
          <w:lang w:val="uk-UA"/>
        </w:rPr>
        <w:t xml:space="preserve"> 2023 року по 30 вересня 2024 року. Застосовуватимуться запропоновані тарифи для категорій споживачів «бюджетні установи», «інші споживачі» та «релігійні організації», враховуючи зміни та доповнення внесені до Закону України № 2479-ІХ «Про особливості регулювання відносин на ринку природного газу та у сфері теплопостачання під час дії воєнного стану та подальшого відновлення їх функціонування». Для категорі</w:t>
      </w:r>
      <w:r>
        <w:rPr>
          <w:rFonts w:ascii="Times New Roman" w:hAnsi="Times New Roman"/>
          <w:color w:val="000000"/>
          <w:sz w:val="28"/>
          <w:szCs w:val="28"/>
          <w:lang w:val="uk-UA"/>
        </w:rPr>
        <w:t>ї</w:t>
      </w:r>
      <w:r>
        <w:rPr>
          <w:rFonts w:ascii="Times New Roman" w:hAnsi="Times New Roman"/>
          <w:color w:val="000000"/>
          <w:sz w:val="28"/>
          <w:szCs w:val="28"/>
          <w:lang w:val="uk-UA"/>
        </w:rPr>
        <w:t xml:space="preserve"> «населення» застосовуватимуться тарифи, що діяли станом на 24 лютого 2022. </w:t>
      </w:r>
    </w:p>
    <w:p>
      <w:pPr>
        <w:pStyle w:val="Default"/>
        <w:numPr>
          <w:ilvl w:val="0"/>
          <w:numId w:val="1"/>
        </w:numPr>
        <w:shd w:val="clear" w:color="auto" w:fill="FFFFFF"/>
        <w:ind w:firstLine="567"/>
        <w:jc w:val="both"/>
        <w:rPr/>
      </w:pPr>
      <w:r>
        <w:rPr>
          <w:bCs/>
          <w:sz w:val="28"/>
          <w:szCs w:val="28"/>
          <w:lang w:eastAsia="ru-RU"/>
        </w:rPr>
        <w:t>Гарантії, що надаються суб’єктам господарювання, які здійснюють виробництво теплової енергії, щодо яких запроваджено мораторій на підвищення цін (тарифів) у сфері теплопостачання та механізм фінансування гарантій і компенсацій визначені Законом України від 29.07.2022 № 2479</w:t>
      </w:r>
      <w:r>
        <w:rPr>
          <w:sz w:val="28"/>
          <w:szCs w:val="28"/>
          <w:lang w:eastAsia="ru-RU"/>
        </w:rPr>
        <w:t>-ІХ</w:t>
      </w:r>
      <w:r>
        <w:rPr>
          <w:bCs/>
          <w:sz w:val="28"/>
          <w:szCs w:val="28"/>
          <w:lang w:eastAsia="ru-RU"/>
        </w:rPr>
        <w:t xml:space="preserve">, яким, зокрема передбачено відшкодування різниці в тарифах з Державного бюджету. </w:t>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r>
    </w:p>
    <w:p>
      <w:pPr>
        <w:pStyle w:val="Normal"/>
        <w:spacing w:lineRule="auto" w:line="240" w:before="0" w:after="0"/>
        <w:ind w:firstLine="567"/>
        <w:jc w:val="both"/>
        <w:rPr>
          <w:rFonts w:ascii="Times New Roman" w:hAnsi="Times New Roman"/>
          <w:bCs/>
          <w:sz w:val="28"/>
          <w:szCs w:val="28"/>
          <w:lang w:val="uk-UA" w:eastAsia="ru-RU"/>
        </w:rPr>
      </w:pPr>
      <w:r>
        <w:rPr>
          <w:rFonts w:ascii="Times New Roman" w:hAnsi="Times New Roman"/>
          <w:bCs/>
          <w:sz w:val="28"/>
          <w:szCs w:val="28"/>
          <w:lang w:val="uk-UA" w:eastAsia="ru-RU"/>
        </w:rPr>
      </w:r>
    </w:p>
    <w:p>
      <w:pPr>
        <w:pStyle w:val="Normal"/>
        <w:widowControl w:val="false"/>
        <w:spacing w:lineRule="auto" w:line="240" w:before="0" w:after="0"/>
        <w:rPr/>
      </w:pPr>
      <w:r>
        <w:rPr>
          <w:rFonts w:eastAsia="Times New Roman" w:ascii="Times New Roman" w:hAnsi="Times New Roman"/>
          <w:sz w:val="28"/>
          <w:szCs w:val="28"/>
          <w:lang w:val="uk-UA" w:eastAsia="uk-UA"/>
        </w:rPr>
        <w:t>В.о. д</w:t>
      </w:r>
      <w:r>
        <w:rPr>
          <w:rFonts w:eastAsia="Times New Roman" w:ascii="Times New Roman" w:hAnsi="Times New Roman"/>
          <w:sz w:val="28"/>
          <w:szCs w:val="28"/>
          <w:lang w:val="uk-UA" w:eastAsia="uk-UA"/>
        </w:rPr>
        <w:t>иректор</w:t>
      </w:r>
      <w:r>
        <w:rPr>
          <w:rFonts w:eastAsia="Times New Roman" w:ascii="Times New Roman" w:hAnsi="Times New Roman"/>
          <w:sz w:val="28"/>
          <w:szCs w:val="28"/>
          <w:lang w:val="uk-UA" w:eastAsia="uk-UA"/>
        </w:rPr>
        <w:t>а</w:t>
      </w:r>
      <w:r>
        <w:rPr>
          <w:rFonts w:eastAsia="Times New Roman" w:ascii="Times New Roman" w:hAnsi="Times New Roman"/>
          <w:sz w:val="28"/>
          <w:szCs w:val="28"/>
          <w:lang w:val="uk-UA" w:eastAsia="uk-UA"/>
        </w:rPr>
        <w:t xml:space="preserve"> департаменту</w:t>
      </w:r>
    </w:p>
    <w:p>
      <w:pPr>
        <w:pStyle w:val="Normal"/>
        <w:widowControl w:val="false"/>
        <w:spacing w:lineRule="auto" w:line="240" w:before="0" w:after="0"/>
        <w:rPr/>
      </w:pPr>
      <w:r>
        <w:rPr>
          <w:rFonts w:eastAsia="Times New Roman" w:ascii="Times New Roman" w:hAnsi="Times New Roman"/>
          <w:sz w:val="28"/>
          <w:szCs w:val="28"/>
          <w:lang w:val="uk-UA" w:eastAsia="uk-UA"/>
        </w:rPr>
        <w:t xml:space="preserve">економічної політики        </w:t>
        <w:tab/>
        <w:tab/>
        <w:tab/>
        <w:t xml:space="preserve">            </w:t>
        <w:tab/>
        <w:tab/>
      </w:r>
      <w:r>
        <w:rPr>
          <w:rFonts w:eastAsia="Times New Roman" w:ascii="Times New Roman" w:hAnsi="Times New Roman"/>
          <w:sz w:val="28"/>
          <w:szCs w:val="28"/>
          <w:lang w:val="uk-UA" w:eastAsia="uk-UA"/>
        </w:rPr>
        <w:t>Юлія ДАЦЮК</w:t>
      </w:r>
    </w:p>
    <w:sectPr>
      <w:headerReference w:type="default" r:id="rId2"/>
      <w:type w:val="nextPage"/>
      <w:pgSz w:w="11906" w:h="16838"/>
      <w:pgMar w:left="1985" w:right="567" w:gutter="0" w:header="0" w:top="1134" w:footer="0" w:bottom="1134"/>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swiss"/>
    <w:pitch w:val="variable"/>
  </w:font>
  <w:font w:name="Liberation Sans">
    <w:altName w:val="Arial"/>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227703741"/>
    </w:sdtPr>
    <w:sdtContent>
      <w:p>
        <w:pPr>
          <w:pStyle w:val="Style25"/>
          <w:jc w:val="center"/>
          <w:rPr/>
        </w:pPr>
        <w:r>
          <w:rPr/>
        </w:r>
      </w:p>
      <w:p>
        <w:pPr>
          <w:pStyle w:val="Style25"/>
          <w:jc w:val="center"/>
          <w:rPr>
            <w:rFonts w:ascii="Times New Roman" w:hAnsi="Times New Roman"/>
            <w:sz w:val="28"/>
            <w:szCs w:val="28"/>
          </w:rPr>
        </w:pPr>
        <w:r>
          <w:rPr>
            <w:rFonts w:ascii="Times New Roman" w:hAnsi="Times New Roman"/>
            <w:sz w:val="28"/>
            <w:szCs w:val="28"/>
          </w:rPr>
          <w:fldChar w:fldCharType="begin"/>
        </w:r>
        <w:r>
          <w:rPr>
            <w:sz w:val="28"/>
            <w:szCs w:val="28"/>
            <w:rFonts w:ascii="Times New Roman" w:hAnsi="Times New Roman"/>
          </w:rPr>
          <w:instrText xml:space="preserve"> PAGE </w:instrText>
        </w:r>
        <w:r>
          <w:rPr>
            <w:sz w:val="28"/>
            <w:szCs w:val="28"/>
            <w:rFonts w:ascii="Times New Roman" w:hAnsi="Times New Roman"/>
          </w:rPr>
          <w:fldChar w:fldCharType="separate"/>
        </w:r>
        <w:r>
          <w:rPr>
            <w:sz w:val="28"/>
            <w:szCs w:val="28"/>
            <w:rFonts w:ascii="Times New Roman" w:hAnsi="Times New Roman"/>
          </w:rPr>
          <w:t>4</w:t>
        </w:r>
        <w:r>
          <w:rPr>
            <w:sz w:val="28"/>
            <w:szCs w:val="28"/>
            <w:rFonts w:ascii="Times New Roman" w:hAnsi="Times New Roman"/>
          </w:rPr>
          <w:fldChar w:fldCharType="end"/>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sz w:val="28"/>
      </w:rPr>
    </w:lvl>
    <w:lvl w:ilvl="1">
      <w:start w:val="1"/>
      <w:numFmt w:val="none"/>
      <w:suff w:val="nothing"/>
      <w:lvlText w:val=""/>
      <w:lvlJc w:val="left"/>
      <w:pPr>
        <w:tabs>
          <w:tab w:val="num" w:pos="0"/>
        </w:tabs>
        <w:ind w:left="0" w:hanging="0"/>
      </w:pPr>
      <w:rPr>
        <w:sz w:val="32"/>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d6484"/>
    <w:pPr>
      <w:widowControl/>
      <w:suppressAutoHyphens w:val="true"/>
      <w:bidi w:val="0"/>
      <w:spacing w:lineRule="auto" w:line="276" w:before="0" w:after="200"/>
      <w:jc w:val="left"/>
    </w:pPr>
    <w:rPr>
      <w:rFonts w:cs="Times New Roman" w:ascii="Calibri" w:hAnsi="Calibri" w:eastAsia="Calibri" w:asciiTheme="minorHAns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Гіперпосилання"/>
    <w:basedOn w:val="DefaultParagraphFont"/>
    <w:uiPriority w:val="99"/>
    <w:semiHidden/>
    <w:unhideWhenUsed/>
    <w:rsid w:val="008d6484"/>
    <w:rPr>
      <w:rFonts w:ascii="Times New Roman" w:hAnsi="Times New Roman" w:cs="Times New Roman"/>
      <w:color w:val="0000FF"/>
      <w:u w:val="single"/>
    </w:rPr>
  </w:style>
  <w:style w:type="character" w:styleId="Style15" w:customStyle="1">
    <w:name w:val="Текст выноски Знак"/>
    <w:basedOn w:val="DefaultParagraphFont"/>
    <w:link w:val="BalloonText"/>
    <w:uiPriority w:val="99"/>
    <w:semiHidden/>
    <w:qFormat/>
    <w:rsid w:val="00004ada"/>
    <w:rPr>
      <w:rFonts w:ascii="Segoe UI" w:hAnsi="Segoe UI" w:eastAsia="Calibri" w:cs="Segoe UI"/>
      <w:sz w:val="18"/>
      <w:szCs w:val="18"/>
    </w:rPr>
  </w:style>
  <w:style w:type="character" w:styleId="Style16" w:customStyle="1">
    <w:name w:val="Верхний колонтитул Знак"/>
    <w:basedOn w:val="DefaultParagraphFont"/>
    <w:uiPriority w:val="99"/>
    <w:qFormat/>
    <w:rsid w:val="00387534"/>
    <w:rPr>
      <w:rFonts w:ascii="Calibri" w:hAnsi="Calibri" w:eastAsia="Calibri" w:cs="Times New Roman"/>
    </w:rPr>
  </w:style>
  <w:style w:type="character" w:styleId="Style17" w:customStyle="1">
    <w:name w:val="Нижний колонтитул Знак"/>
    <w:basedOn w:val="DefaultParagraphFont"/>
    <w:uiPriority w:val="99"/>
    <w:qFormat/>
    <w:rsid w:val="00387534"/>
    <w:rPr>
      <w:rFonts w:ascii="Calibri" w:hAnsi="Calibri" w:eastAsia="Calibri" w:cs="Times New Roman"/>
    </w:rPr>
  </w:style>
  <w:style w:type="character" w:styleId="Rvts23" w:customStyle="1">
    <w:name w:val="rvts23"/>
    <w:basedOn w:val="DefaultParagraphFont"/>
    <w:qFormat/>
    <w:rsid w:val="006836c3"/>
    <w:rPr/>
  </w:style>
  <w:style w:type="character" w:styleId="Rvts0" w:customStyle="1">
    <w:name w:val="rvts0"/>
    <w:basedOn w:val="DefaultParagraphFont"/>
    <w:qFormat/>
    <w:rsid w:val="00bc5341"/>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customStyle="1">
    <w:name w:val="Покажчик"/>
    <w:basedOn w:val="Normal"/>
    <w:qFormat/>
    <w:pPr>
      <w:suppressLineNumbers/>
    </w:pPr>
    <w:rPr>
      <w:rFonts w:cs="Arial"/>
    </w:rPr>
  </w:style>
  <w:style w:type="paragraph" w:styleId="Style23">
    <w:name w:val="Title"/>
    <w:basedOn w:val="Normal"/>
    <w:next w:val="Style19"/>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34"/>
    <w:qFormat/>
    <w:rsid w:val="008d6484"/>
    <w:pPr>
      <w:spacing w:before="0" w:after="200"/>
      <w:ind w:left="720" w:hanging="0"/>
      <w:contextualSpacing/>
    </w:pPr>
    <w:rPr/>
  </w:style>
  <w:style w:type="paragraph" w:styleId="BalloonText">
    <w:name w:val="Balloon Text"/>
    <w:basedOn w:val="Normal"/>
    <w:link w:val="Style15"/>
    <w:uiPriority w:val="99"/>
    <w:semiHidden/>
    <w:unhideWhenUsed/>
    <w:qFormat/>
    <w:rsid w:val="00004ada"/>
    <w:pPr>
      <w:spacing w:lineRule="auto" w:line="240" w:before="0" w:after="0"/>
    </w:pPr>
    <w:rPr>
      <w:rFonts w:ascii="Segoe UI" w:hAnsi="Segoe UI" w:cs="Segoe UI"/>
      <w:sz w:val="18"/>
      <w:szCs w:val="18"/>
    </w:rPr>
  </w:style>
  <w:style w:type="paragraph" w:styleId="Style24" w:customStyle="1">
    <w:name w:val="Верхній і нижній колонтитули"/>
    <w:basedOn w:val="Normal"/>
    <w:qFormat/>
    <w:pPr/>
    <w:rPr/>
  </w:style>
  <w:style w:type="paragraph" w:styleId="Style25">
    <w:name w:val="Header"/>
    <w:basedOn w:val="Normal"/>
    <w:link w:val="Style16"/>
    <w:uiPriority w:val="99"/>
    <w:unhideWhenUsed/>
    <w:rsid w:val="00387534"/>
    <w:pPr>
      <w:tabs>
        <w:tab w:val="clear" w:pos="708"/>
        <w:tab w:val="center" w:pos="4677" w:leader="none"/>
        <w:tab w:val="right" w:pos="9355" w:leader="none"/>
      </w:tabs>
      <w:spacing w:lineRule="auto" w:line="240" w:before="0" w:after="0"/>
    </w:pPr>
    <w:rPr/>
  </w:style>
  <w:style w:type="paragraph" w:styleId="Style26">
    <w:name w:val="Footer"/>
    <w:basedOn w:val="Normal"/>
    <w:link w:val="Style17"/>
    <w:uiPriority w:val="99"/>
    <w:unhideWhenUsed/>
    <w:rsid w:val="00387534"/>
    <w:pPr>
      <w:tabs>
        <w:tab w:val="clear" w:pos="708"/>
        <w:tab w:val="center" w:pos="4677" w:leader="none"/>
        <w:tab w:val="right" w:pos="9355" w:leader="none"/>
      </w:tabs>
      <w:spacing w:lineRule="auto" w:line="240" w:before="0" w:after="0"/>
    </w:pPr>
    <w:rPr/>
  </w:style>
  <w:style w:type="paragraph" w:styleId="Rvps2" w:customStyle="1">
    <w:name w:val="rvps2"/>
    <w:basedOn w:val="Normal"/>
    <w:qFormat/>
    <w:rsid w:val="00fa6202"/>
    <w:pPr>
      <w:spacing w:lineRule="auto" w:line="240" w:beforeAutospacing="1" w:afterAutospacing="1"/>
    </w:pPr>
    <w:rPr>
      <w:rFonts w:ascii="Times New Roman" w:hAnsi="Times New Roman" w:eastAsia="Times New Roman"/>
      <w:sz w:val="24"/>
      <w:szCs w:val="24"/>
      <w:lang w:eastAsia="ru-RU"/>
    </w:rPr>
  </w:style>
  <w:style w:type="paragraph" w:styleId="NormalWeb">
    <w:name w:val="Normal (Web)"/>
    <w:basedOn w:val="Normal"/>
    <w:qFormat/>
    <w:pPr>
      <w:spacing w:before="280" w:after="280"/>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NSimSun" w:cs="Times New Roman"/>
      <w:color w:val="000000"/>
      <w:kern w:val="0"/>
      <w:sz w:val="24"/>
      <w:szCs w:val="24"/>
      <w:lang w:val="uk-UA" w:eastAsia="zh-CN" w:bidi="hi-IN"/>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1BD13-3E80-4B4C-9820-AE2F41F82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3538</TotalTime>
  <Application>LibreOffice/7.3.4.2$Windows_X86_64 LibreOffice_project/728fec16bd5f605073805c3c9e7c4212a0120dc5</Application>
  <AppVersion>15.0000</AppVersion>
  <Pages>4</Pages>
  <Words>1310</Words>
  <Characters>8775</Characters>
  <CharactersWithSpaces>10097</CharactersWithSpaces>
  <Paragraphs>32</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2017-10-05T21:08:00Z</dcterms:created>
  <dc:creator>User</dc:creator>
  <dc:description/>
  <dc:language>uk-UA</dc:language>
  <cp:lastModifiedBy/>
  <cp:lastPrinted>2022-09-12T05:59:00Z</cp:lastPrinted>
  <dcterms:modified xsi:type="dcterms:W3CDTF">2023-09-08T11:27:36Z</dcterms:modified>
  <cp:revision>107</cp:revision>
  <dc:subject/>
  <dc:title/>
</cp:coreProperties>
</file>

<file path=docProps/custom.xml><?xml version="1.0" encoding="utf-8"?>
<Properties xmlns="http://schemas.openxmlformats.org/officeDocument/2006/custom-properties" xmlns:vt="http://schemas.openxmlformats.org/officeDocument/2006/docPropsVTypes"/>
</file>