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ind w:firstLine="6237"/>
        <w:rPr>
          <w:rFonts w:ascii="Times New Roman" w:hAnsi="Times New Roman"/>
          <w:sz w:val="28"/>
          <w:szCs w:val="28"/>
        </w:rPr>
      </w:pPr>
      <w:r>
        <w:rPr>
          <w:rFonts w:ascii="Times New Roman" w:hAnsi="Times New Roman"/>
          <w:sz w:val="28"/>
          <w:szCs w:val="28"/>
        </w:rPr>
        <w:t>Додаток 1 до Положення</w:t>
      </w:r>
    </w:p>
    <w:p>
      <w:pPr>
        <w:pStyle w:val="Normal"/>
        <w:ind w:firstLine="6237"/>
        <w:rPr>
          <w:rFonts w:ascii="Times New Roman" w:hAnsi="Times New Roman"/>
          <w:sz w:val="28"/>
          <w:szCs w:val="28"/>
        </w:rPr>
      </w:pPr>
      <w:r>
        <w:rPr>
          <w:rFonts w:ascii="Times New Roman" w:hAnsi="Times New Roman"/>
          <w:sz w:val="28"/>
          <w:szCs w:val="28"/>
        </w:rPr>
        <w:t>про встановлення станцій</w:t>
      </w:r>
    </w:p>
    <w:p>
      <w:pPr>
        <w:pStyle w:val="Normal"/>
        <w:ind w:firstLine="6237"/>
        <w:rPr>
          <w:rFonts w:ascii="Times New Roman" w:hAnsi="Times New Roman"/>
          <w:sz w:val="28"/>
          <w:szCs w:val="28"/>
        </w:rPr>
      </w:pPr>
      <w:r>
        <w:rPr>
          <w:rFonts w:ascii="Times New Roman" w:hAnsi="Times New Roman"/>
          <w:sz w:val="28"/>
          <w:szCs w:val="28"/>
        </w:rPr>
        <w:t>зарядки електротранспорту</w:t>
      </w:r>
    </w:p>
    <w:p>
      <w:pPr>
        <w:pStyle w:val="Normal"/>
        <w:ind w:left="6237" w:hanging="0"/>
        <w:rPr>
          <w:rFonts w:ascii="Times New Roman" w:hAnsi="Times New Roman"/>
          <w:sz w:val="28"/>
          <w:szCs w:val="28"/>
        </w:rPr>
      </w:pPr>
      <w:r>
        <w:rPr>
          <w:rFonts w:ascii="Times New Roman" w:hAnsi="Times New Roman"/>
          <w:sz w:val="28"/>
          <w:szCs w:val="28"/>
        </w:rPr>
        <w:t xml:space="preserve">на території </w:t>
      </w:r>
      <w:r>
        <w:rPr>
          <w:rFonts w:ascii="Times New Roman" w:hAnsi="Times New Roman"/>
          <w:sz w:val="28"/>
          <w:szCs w:val="28"/>
          <w:lang w:eastAsia="ru-RU"/>
        </w:rPr>
        <w:t>Луцької міської територіальної громади</w:t>
      </w:r>
    </w:p>
    <w:p>
      <w:pPr>
        <w:pStyle w:val="Normal"/>
        <w:jc w:val="center"/>
        <w:rPr>
          <w:rFonts w:ascii="Times New Roman" w:hAnsi="Times New Roman" w:cs="Times New Roman"/>
          <w:sz w:val="28"/>
          <w:szCs w:val="28"/>
        </w:rPr>
      </w:pPr>
      <w:r>
        <w:rPr>
          <w:rFonts w:cs="Times New Roman" w:ascii="Times New Roman" w:hAnsi="Times New Roman"/>
          <w:sz w:val="28"/>
          <w:szCs w:val="28"/>
        </w:rPr>
      </w:r>
    </w:p>
    <w:p>
      <w:pPr>
        <w:pStyle w:val="Normal"/>
        <w:jc w:val="center"/>
        <w:rPr>
          <w:rFonts w:ascii="Times New Roman" w:hAnsi="Times New Roman" w:cs="Times New Roman"/>
          <w:sz w:val="28"/>
          <w:szCs w:val="28"/>
        </w:rPr>
      </w:pPr>
      <w:r>
        <w:rPr>
          <w:rFonts w:cs="Times New Roman" w:ascii="Times New Roman" w:hAnsi="Times New Roman"/>
          <w:sz w:val="28"/>
          <w:szCs w:val="28"/>
        </w:rPr>
      </w:r>
    </w:p>
    <w:p>
      <w:pPr>
        <w:pStyle w:val="Normal"/>
        <w:jc w:val="center"/>
        <w:rPr>
          <w:rFonts w:ascii="Times New Roman" w:hAnsi="Times New Roman" w:cs="Times New Roman"/>
          <w:sz w:val="28"/>
          <w:szCs w:val="28"/>
        </w:rPr>
      </w:pPr>
      <w:r>
        <w:rPr>
          <w:rFonts w:cs="Times New Roman" w:ascii="Times New Roman" w:hAnsi="Times New Roman"/>
          <w:sz w:val="28"/>
          <w:szCs w:val="28"/>
        </w:rPr>
        <w:t>МЕТОДИКА</w:t>
      </w:r>
    </w:p>
    <w:p>
      <w:pPr>
        <w:pStyle w:val="Normal"/>
        <w:jc w:val="center"/>
        <w:rPr>
          <w:rFonts w:ascii="Times New Roman" w:hAnsi="Times New Roman" w:cs="Times New Roman"/>
          <w:color w:val="000000" w:themeColor="text1"/>
          <w:sz w:val="28"/>
          <w:szCs w:val="28"/>
        </w:rPr>
      </w:pPr>
      <w:r>
        <w:rPr>
          <w:rFonts w:cs="Times New Roman" w:ascii="Times New Roman" w:hAnsi="Times New Roman"/>
          <w:color w:val="000000" w:themeColor="text1"/>
          <w:sz w:val="28"/>
          <w:szCs w:val="28"/>
        </w:rPr>
        <w:t xml:space="preserve">розрахунку вартості тимчасового користування окремими конструктивними елементами благоустрою комунальної власності і розміру плати за розміщення </w:t>
      </w:r>
      <w:r>
        <w:rPr>
          <w:rFonts w:ascii="Times New Roman" w:hAnsi="Times New Roman"/>
          <w:color w:val="000000" w:themeColor="text1"/>
          <w:sz w:val="28"/>
          <w:szCs w:val="28"/>
        </w:rPr>
        <w:t>станцій зарядки електротранспорту</w:t>
      </w:r>
    </w:p>
    <w:p>
      <w:pPr>
        <w:pStyle w:val="Normal"/>
        <w:rPr>
          <w:rFonts w:ascii="Times New Roman" w:hAnsi="Times New Roman" w:cs="Times New Roman"/>
          <w:color w:val="000000" w:themeColor="text1"/>
          <w:sz w:val="28"/>
          <w:szCs w:val="28"/>
        </w:rPr>
      </w:pPr>
      <w:r>
        <w:rPr>
          <w:rFonts w:cs="Times New Roman" w:ascii="Times New Roman" w:hAnsi="Times New Roman"/>
          <w:color w:val="000000" w:themeColor="text1"/>
          <w:sz w:val="28"/>
          <w:szCs w:val="28"/>
        </w:rPr>
        <w:t xml:space="preserve"> </w:t>
      </w:r>
    </w:p>
    <w:p>
      <w:pPr>
        <w:pStyle w:val="Normal"/>
        <w:ind w:firstLine="567"/>
        <w:rPr>
          <w:color w:val="000000" w:themeColor="text1"/>
        </w:rPr>
      </w:pPr>
      <w:r>
        <w:rPr>
          <w:rFonts w:cs="Times New Roman" w:ascii="Times New Roman" w:hAnsi="Times New Roman"/>
          <w:color w:val="000000" w:themeColor="text1"/>
          <w:sz w:val="28"/>
          <w:szCs w:val="28"/>
        </w:rPr>
        <w:t xml:space="preserve">1. Методика розрахунку вартості тимчасового користування окремими конструктивними елементами благоустрою комунальної власності і розміру плати за розміщення </w:t>
      </w:r>
      <w:r>
        <w:rPr>
          <w:rFonts w:ascii="Times New Roman" w:hAnsi="Times New Roman"/>
          <w:color w:val="000000" w:themeColor="text1"/>
          <w:sz w:val="28"/>
          <w:szCs w:val="28"/>
        </w:rPr>
        <w:t xml:space="preserve">станцій зарядки електротранспорту </w:t>
      </w:r>
      <w:r>
        <w:rPr>
          <w:rFonts w:cs="Times New Roman" w:ascii="Times New Roman" w:hAnsi="Times New Roman"/>
          <w:color w:val="000000" w:themeColor="text1"/>
          <w:sz w:val="28"/>
          <w:szCs w:val="28"/>
        </w:rPr>
        <w:t xml:space="preserve">(далі – Методика) розроблена з метою визначення розміру плати за розміщення </w:t>
      </w:r>
      <w:r>
        <w:rPr>
          <w:rFonts w:ascii="Times New Roman" w:hAnsi="Times New Roman"/>
          <w:color w:val="000000" w:themeColor="text1"/>
          <w:sz w:val="28"/>
          <w:szCs w:val="28"/>
        </w:rPr>
        <w:t xml:space="preserve">СЗЕ </w:t>
      </w:r>
      <w:r>
        <w:rPr>
          <w:rFonts w:cs="Times New Roman" w:ascii="Times New Roman" w:hAnsi="Times New Roman"/>
          <w:color w:val="000000" w:themeColor="text1"/>
          <w:sz w:val="28"/>
          <w:szCs w:val="28"/>
        </w:rPr>
        <w:t>на окремих конструктивних елементах благоустрою комунальної власності.</w:t>
      </w:r>
    </w:p>
    <w:p>
      <w:pPr>
        <w:pStyle w:val="Normal"/>
        <w:ind w:firstLine="567"/>
        <w:rPr>
          <w:color w:val="000000" w:themeColor="text1"/>
        </w:rPr>
      </w:pPr>
      <w:r>
        <w:rPr>
          <w:rFonts w:cs="Times New Roman" w:ascii="Times New Roman" w:hAnsi="Times New Roman"/>
          <w:color w:val="000000" w:themeColor="text1"/>
          <w:sz w:val="28"/>
          <w:szCs w:val="28"/>
        </w:rPr>
        <w:t>2. Базова вартість тимчасового користування окремим конструктивним елементом благоустрою комунальної власності (далі – базова вартість) визначається за формулою:</w:t>
      </w:r>
    </w:p>
    <w:p>
      <w:pPr>
        <w:pStyle w:val="Normal"/>
        <w:ind w:firstLine="708"/>
        <w:jc w:val="center"/>
        <w:rPr>
          <w:rFonts w:ascii="Times New Roman" w:hAnsi="Times New Roman" w:cs="Times New Roman"/>
          <w:b/>
          <w:b/>
          <w:color w:val="000000" w:themeColor="text1"/>
          <w:sz w:val="28"/>
          <w:szCs w:val="28"/>
          <w:vertAlign w:val="superscript"/>
        </w:rPr>
      </w:pPr>
      <w:r>
        <w:rPr>
          <w:rFonts w:cs="Times New Roman" w:ascii="Times New Roman" w:hAnsi="Times New Roman"/>
          <w:b/>
          <w:color w:val="000000" w:themeColor="text1"/>
          <w:sz w:val="28"/>
          <w:szCs w:val="28"/>
        </w:rPr>
        <w:t>Б</w:t>
      </w:r>
      <w:r>
        <w:rPr>
          <w:rFonts w:cs="Times New Roman" w:ascii="Times New Roman" w:hAnsi="Times New Roman"/>
          <w:b/>
          <w:color w:val="000000" w:themeColor="text1"/>
          <w:sz w:val="28"/>
          <w:szCs w:val="28"/>
          <w:vertAlign w:val="subscript"/>
        </w:rPr>
        <w:t>в</w:t>
      </w:r>
      <w:r>
        <w:rPr>
          <w:rFonts w:cs="Times New Roman" w:ascii="Times New Roman" w:hAnsi="Times New Roman"/>
          <w:b/>
          <w:color w:val="000000" w:themeColor="text1"/>
          <w:sz w:val="28"/>
          <w:szCs w:val="28"/>
        </w:rPr>
        <w:t>=Т</w:t>
      </w:r>
      <w:r>
        <w:rPr>
          <w:rFonts w:cs="Times New Roman" w:ascii="Times New Roman" w:hAnsi="Times New Roman"/>
          <w:b/>
          <w:color w:val="000000" w:themeColor="text1"/>
          <w:sz w:val="28"/>
          <w:szCs w:val="28"/>
          <w:vertAlign w:val="subscript"/>
        </w:rPr>
        <w:t>б</w:t>
      </w:r>
      <w:r>
        <w:rPr>
          <w:rFonts w:cs="Times New Roman" w:ascii="Times New Roman" w:hAnsi="Times New Roman"/>
          <w:b/>
          <w:color w:val="000000" w:themeColor="text1"/>
          <w:sz w:val="28"/>
          <w:szCs w:val="28"/>
        </w:rPr>
        <w:t>*S*k</w:t>
      </w:r>
      <w:r>
        <w:rPr>
          <w:rFonts w:cs="Times New Roman" w:ascii="Times New Roman" w:hAnsi="Times New Roman"/>
          <w:b/>
          <w:i/>
          <w:color w:val="000000" w:themeColor="text1"/>
          <w:sz w:val="28"/>
          <w:szCs w:val="28"/>
          <w:vertAlign w:val="subscript"/>
        </w:rPr>
        <w:t>зон</w:t>
      </w:r>
      <w:r>
        <w:rPr>
          <w:rFonts w:cs="Times New Roman" w:ascii="Times New Roman" w:hAnsi="Times New Roman"/>
          <w:b/>
          <w:color w:val="000000" w:themeColor="text1"/>
          <w:sz w:val="28"/>
          <w:szCs w:val="28"/>
        </w:rPr>
        <w:t>*N</w:t>
      </w:r>
    </w:p>
    <w:p>
      <w:pPr>
        <w:pStyle w:val="Normal"/>
        <w:ind w:firstLine="708"/>
        <w:rPr>
          <w:rFonts w:ascii="Times New Roman" w:hAnsi="Times New Roman" w:cs="Times New Roman"/>
          <w:color w:val="000000" w:themeColor="text1"/>
          <w:sz w:val="28"/>
          <w:szCs w:val="28"/>
        </w:rPr>
      </w:pPr>
      <w:r>
        <w:rPr>
          <w:rFonts w:cs="Times New Roman" w:ascii="Times New Roman" w:hAnsi="Times New Roman"/>
          <w:color w:val="000000" w:themeColor="text1"/>
          <w:sz w:val="28"/>
          <w:szCs w:val="28"/>
        </w:rPr>
        <w:t>де:</w:t>
      </w:r>
    </w:p>
    <w:p>
      <w:pPr>
        <w:pStyle w:val="Normal"/>
        <w:ind w:firstLine="708"/>
        <w:rPr>
          <w:rFonts w:ascii="Times New Roman" w:hAnsi="Times New Roman" w:cs="Times New Roman"/>
          <w:color w:val="000000" w:themeColor="text1"/>
          <w:sz w:val="28"/>
          <w:szCs w:val="28"/>
        </w:rPr>
      </w:pPr>
      <w:r>
        <w:rPr>
          <w:rFonts w:cs="Times New Roman" w:ascii="Times New Roman" w:hAnsi="Times New Roman"/>
          <w:b/>
          <w:color w:val="000000" w:themeColor="text1"/>
          <w:sz w:val="28"/>
          <w:szCs w:val="28"/>
        </w:rPr>
        <w:t>Т</w:t>
      </w:r>
      <w:r>
        <w:rPr>
          <w:rFonts w:cs="Times New Roman" w:ascii="Times New Roman" w:hAnsi="Times New Roman"/>
          <w:b/>
          <w:color w:val="000000" w:themeColor="text1"/>
          <w:sz w:val="28"/>
          <w:szCs w:val="28"/>
          <w:vertAlign w:val="subscript"/>
        </w:rPr>
        <w:t>б</w:t>
      </w:r>
      <w:r>
        <w:rPr>
          <w:rFonts w:cs="Times New Roman" w:ascii="Times New Roman" w:hAnsi="Times New Roman"/>
          <w:b/>
          <w:color w:val="000000" w:themeColor="text1"/>
          <w:sz w:val="28"/>
          <w:szCs w:val="28"/>
        </w:rPr>
        <w:t> </w:t>
      </w:r>
      <w:r>
        <w:rPr>
          <w:rFonts w:cs="Times New Roman" w:ascii="Times New Roman" w:hAnsi="Times New Roman"/>
          <w:color w:val="000000" w:themeColor="text1"/>
          <w:sz w:val="28"/>
          <w:szCs w:val="28"/>
        </w:rPr>
        <w:t>– базовий тариф плати за тимчасове користування 1 м</w:t>
      </w:r>
      <w:r>
        <w:rPr>
          <w:rFonts w:cs="Times New Roman" w:ascii="Times New Roman" w:hAnsi="Times New Roman"/>
          <w:color w:val="000000" w:themeColor="text1"/>
          <w:sz w:val="28"/>
          <w:szCs w:val="28"/>
          <w:vertAlign w:val="superscript"/>
        </w:rPr>
        <w:t>2</w:t>
      </w:r>
      <w:r>
        <w:rPr>
          <w:rFonts w:cs="Times New Roman" w:ascii="Times New Roman" w:hAnsi="Times New Roman"/>
          <w:color w:val="000000" w:themeColor="text1"/>
          <w:sz w:val="28"/>
          <w:szCs w:val="28"/>
        </w:rPr>
        <w:t xml:space="preserve"> окремого конструктивного елемента благоустрою комунальної власності, що дорівнює одному неоподаткованому мінімуму доходів громадян, визначеному Податковим кодексом України. Базовий тариф щорічно на кожен наступний рік визначається шляхом коригування на рівень інфляції за попередній рік;</w:t>
      </w:r>
    </w:p>
    <w:p>
      <w:pPr>
        <w:pStyle w:val="Normal"/>
        <w:ind w:firstLine="708"/>
        <w:rPr>
          <w:rFonts w:ascii="Times New Roman" w:hAnsi="Times New Roman" w:cs="Times New Roman"/>
          <w:color w:val="000000" w:themeColor="text1"/>
          <w:sz w:val="28"/>
          <w:szCs w:val="28"/>
        </w:rPr>
      </w:pPr>
      <w:r>
        <w:rPr>
          <w:rFonts w:cs="Times New Roman" w:ascii="Times New Roman" w:hAnsi="Times New Roman"/>
          <w:b/>
          <w:color w:val="000000" w:themeColor="text1"/>
          <w:sz w:val="28"/>
          <w:szCs w:val="28"/>
        </w:rPr>
        <w:t>S </w:t>
      </w:r>
      <w:r>
        <w:rPr>
          <w:rFonts w:cs="Times New Roman" w:ascii="Times New Roman" w:hAnsi="Times New Roman"/>
          <w:color w:val="000000" w:themeColor="text1"/>
          <w:sz w:val="28"/>
          <w:szCs w:val="28"/>
        </w:rPr>
        <w:t>– площа зайнятої території, на якій розташований окремий конструктивний елемент благоустрою комунальної власності;</w:t>
      </w:r>
    </w:p>
    <w:p>
      <w:pPr>
        <w:pStyle w:val="Normal"/>
        <w:ind w:firstLine="708"/>
        <w:rPr>
          <w:rFonts w:ascii="Times New Roman" w:hAnsi="Times New Roman" w:cs="Times New Roman"/>
          <w:color w:val="000000" w:themeColor="text1"/>
          <w:sz w:val="28"/>
          <w:szCs w:val="28"/>
        </w:rPr>
      </w:pPr>
      <w:r>
        <w:rPr>
          <w:rFonts w:cs="Times New Roman" w:ascii="Times New Roman" w:hAnsi="Times New Roman"/>
          <w:b/>
          <w:color w:val="000000" w:themeColor="text1"/>
          <w:sz w:val="28"/>
          <w:szCs w:val="28"/>
        </w:rPr>
        <w:t>k</w:t>
      </w:r>
      <w:r>
        <w:rPr>
          <w:rFonts w:cs="Times New Roman" w:ascii="Times New Roman" w:hAnsi="Times New Roman"/>
          <w:b/>
          <w:i/>
          <w:color w:val="000000" w:themeColor="text1"/>
          <w:sz w:val="28"/>
          <w:szCs w:val="28"/>
          <w:vertAlign w:val="subscript"/>
        </w:rPr>
        <w:t>зон</w:t>
      </w:r>
      <w:r>
        <w:rPr>
          <w:rFonts w:cs="Times New Roman" w:ascii="Times New Roman" w:hAnsi="Times New Roman"/>
          <w:b/>
          <w:i/>
          <w:color w:val="000000" w:themeColor="text1"/>
          <w:sz w:val="28"/>
          <w:szCs w:val="28"/>
        </w:rPr>
        <w:t> </w:t>
      </w:r>
      <w:r>
        <w:rPr>
          <w:rFonts w:cs="Times New Roman" w:ascii="Times New Roman" w:hAnsi="Times New Roman"/>
          <w:color w:val="000000" w:themeColor="text1"/>
          <w:sz w:val="28"/>
          <w:szCs w:val="28"/>
        </w:rPr>
        <w:t>– коефіцієнт диференціації базового тарифу, що враховує зональний поділ Луцької міської територіальної громади згідно з додатком 4 до Положення;</w:t>
      </w:r>
    </w:p>
    <w:p>
      <w:pPr>
        <w:pStyle w:val="Normal"/>
        <w:ind w:firstLine="708"/>
        <w:rPr>
          <w:rFonts w:ascii="Times New Roman" w:hAnsi="Times New Roman" w:cs="Times New Roman"/>
          <w:color w:val="000000" w:themeColor="text1"/>
          <w:sz w:val="28"/>
          <w:szCs w:val="28"/>
        </w:rPr>
      </w:pPr>
      <w:r>
        <w:rPr>
          <w:rFonts w:cs="Times New Roman" w:ascii="Times New Roman" w:hAnsi="Times New Roman"/>
          <w:b/>
          <w:color w:val="000000" w:themeColor="text1"/>
          <w:sz w:val="28"/>
          <w:szCs w:val="28"/>
        </w:rPr>
        <w:t>N </w:t>
      </w:r>
      <w:r>
        <w:rPr>
          <w:rFonts w:cs="Times New Roman" w:ascii="Times New Roman" w:hAnsi="Times New Roman"/>
          <w:color w:val="000000" w:themeColor="text1"/>
          <w:sz w:val="28"/>
          <w:szCs w:val="28"/>
        </w:rPr>
        <w:t>– кількість днів користування.</w:t>
      </w:r>
    </w:p>
    <w:p>
      <w:pPr>
        <w:pStyle w:val="Normal"/>
        <w:ind w:firstLine="708"/>
        <w:rPr>
          <w:rFonts w:ascii="Times New Roman" w:hAnsi="Times New Roman" w:cs="Times New Roman"/>
          <w:color w:val="000000" w:themeColor="text1"/>
          <w:sz w:val="28"/>
          <w:szCs w:val="26"/>
        </w:rPr>
      </w:pPr>
      <w:r>
        <w:rPr>
          <w:rFonts w:cs="Times New Roman" w:ascii="Times New Roman" w:hAnsi="Times New Roman"/>
          <w:color w:val="000000" w:themeColor="text1"/>
          <w:sz w:val="28"/>
          <w:szCs w:val="26"/>
        </w:rPr>
      </w:r>
    </w:p>
    <w:p>
      <w:pPr>
        <w:pStyle w:val="Normal"/>
        <w:ind w:firstLine="708"/>
        <w:rPr>
          <w:rFonts w:ascii="Times New Roman" w:hAnsi="Times New Roman" w:cs="Times New Roman"/>
          <w:color w:val="000000"/>
          <w:sz w:val="28"/>
          <w:szCs w:val="28"/>
        </w:rPr>
      </w:pPr>
      <w:r>
        <w:rPr>
          <w:rFonts w:cs="Times New Roman" w:ascii="Times New Roman" w:hAnsi="Times New Roman"/>
          <w:color w:val="000000" w:themeColor="text1"/>
          <w:sz w:val="28"/>
          <w:szCs w:val="28"/>
        </w:rPr>
        <w:t xml:space="preserve">Коефіцієнти диференціації базового тарифу в залежності від зони місця розміщення СЗЕ відповідно до Схеми зонування території Луцької міської територіальної громади для нарахування плати, визначеної згідно з додатком 4 до Положення </w:t>
      </w:r>
      <w:r>
        <w:rPr>
          <w:rFonts w:cs="Times New Roman" w:ascii="Times New Roman" w:hAnsi="Times New Roman"/>
          <w:sz w:val="28"/>
          <w:szCs w:val="28"/>
        </w:rPr>
        <w:t>про встановлення станцій зарядки електротранспорту на території Луцької міської територіальної громади</w:t>
      </w:r>
      <w:r>
        <w:rPr>
          <w:rFonts w:cs="Times New Roman" w:ascii="Times New Roman" w:hAnsi="Times New Roman"/>
          <w:color w:val="000000"/>
          <w:sz w:val="28"/>
          <w:szCs w:val="28"/>
        </w:rPr>
        <w:t>:</w:t>
      </w:r>
    </w:p>
    <w:p>
      <w:pPr>
        <w:pStyle w:val="Normal"/>
        <w:ind w:firstLine="708"/>
        <w:rPr>
          <w:rFonts w:ascii="Times New Roman" w:hAnsi="Times New Roman" w:cs="Times New Roman"/>
          <w:color w:val="000000"/>
          <w:sz w:val="28"/>
          <w:szCs w:val="28"/>
        </w:rPr>
      </w:pPr>
      <w:r>
        <w:rPr/>
      </w:r>
    </w:p>
    <w:tbl>
      <w:tblPr>
        <w:tblW w:w="9646" w:type="dxa"/>
        <w:jc w:val="left"/>
        <w:tblInd w:w="33" w:type="dxa"/>
        <w:tblLayout w:type="fixed"/>
        <w:tblCellMar>
          <w:top w:w="0" w:type="dxa"/>
          <w:left w:w="40" w:type="dxa"/>
          <w:bottom w:w="0" w:type="dxa"/>
          <w:right w:w="40" w:type="dxa"/>
        </w:tblCellMar>
        <w:tblLook w:firstRow="0" w:noVBand="0" w:lastRow="0" w:firstColumn="0" w:lastColumn="0" w:noHBand="0" w:val="0000"/>
      </w:tblPr>
      <w:tblGrid>
        <w:gridCol w:w="727"/>
        <w:gridCol w:w="1585"/>
        <w:gridCol w:w="7334"/>
      </w:tblGrid>
      <w:tr>
        <w:trPr/>
        <w:tc>
          <w:tcPr>
            <w:tcW w:w="727" w:type="dxa"/>
            <w:tcBorders>
              <w:top w:val="single" w:sz="6" w:space="0" w:color="000000"/>
              <w:left w:val="single" w:sz="6" w:space="0" w:color="000000"/>
              <w:bottom w:val="single" w:sz="6" w:space="0" w:color="000000"/>
              <w:right w:val="single" w:sz="6" w:space="0" w:color="000000"/>
            </w:tcBorders>
          </w:tcPr>
          <w:p>
            <w:pPr>
              <w:pStyle w:val="Style101"/>
              <w:widowControl w:val="false"/>
              <w:spacing w:lineRule="auto" w:line="240"/>
              <w:jc w:val="center"/>
              <w:rPr>
                <w:rStyle w:val="FontStyle23"/>
                <w:rFonts w:cs="Times New Roman"/>
                <w:bCs/>
                <w:color w:val="000000" w:themeColor="text1"/>
                <w:sz w:val="28"/>
                <w:szCs w:val="28"/>
                <w:lang w:val="uk-UA" w:eastAsia="uk-UA"/>
              </w:rPr>
            </w:pPr>
            <w:r>
              <w:rPr>
                <w:rStyle w:val="FontStyle23"/>
                <w:rFonts w:cs="Times New Roman"/>
                <w:bCs/>
                <w:color w:val="000000" w:themeColor="text1"/>
                <w:sz w:val="28"/>
                <w:szCs w:val="28"/>
                <w:lang w:val="uk-UA" w:eastAsia="uk-UA"/>
              </w:rPr>
              <w:t>Зона</w:t>
            </w:r>
          </w:p>
        </w:tc>
        <w:tc>
          <w:tcPr>
            <w:tcW w:w="1585" w:type="dxa"/>
            <w:tcBorders>
              <w:top w:val="single" w:sz="6" w:space="0" w:color="000000"/>
              <w:left w:val="single" w:sz="6" w:space="0" w:color="000000"/>
              <w:bottom w:val="single" w:sz="6" w:space="0" w:color="000000"/>
              <w:right w:val="single" w:sz="6" w:space="0" w:color="000000"/>
            </w:tcBorders>
          </w:tcPr>
          <w:p>
            <w:pPr>
              <w:pStyle w:val="Style91"/>
              <w:widowControl w:val="false"/>
              <w:spacing w:lineRule="auto" w:line="240"/>
              <w:rPr>
                <w:rStyle w:val="FontStyle23"/>
                <w:rFonts w:cs="Times New Roman"/>
                <w:bCs/>
                <w:color w:val="000000" w:themeColor="text1"/>
                <w:sz w:val="28"/>
                <w:szCs w:val="28"/>
                <w:lang w:val="uk-UA" w:eastAsia="uk-UA"/>
              </w:rPr>
            </w:pPr>
            <w:r>
              <w:rPr>
                <w:rStyle w:val="FontStyle23"/>
                <w:rFonts w:cs="Times New Roman"/>
                <w:bCs/>
                <w:color w:val="000000" w:themeColor="text1"/>
                <w:sz w:val="28"/>
                <w:szCs w:val="28"/>
                <w:lang w:val="uk-UA" w:eastAsia="uk-UA"/>
              </w:rPr>
              <w:t>Коефіцієнт (</w:t>
            </w:r>
            <w:r>
              <w:rPr>
                <w:rFonts w:cs="Times New Roman" w:ascii="Times New Roman" w:hAnsi="Times New Roman"/>
                <w:color w:val="000000" w:themeColor="text1"/>
                <w:sz w:val="28"/>
                <w:szCs w:val="28"/>
                <w:lang w:val="uk-UA"/>
              </w:rPr>
              <w:t>k</w:t>
            </w:r>
            <w:r>
              <w:rPr>
                <w:rFonts w:cs="Times New Roman" w:ascii="Times New Roman" w:hAnsi="Times New Roman"/>
                <w:i/>
                <w:color w:val="000000" w:themeColor="text1"/>
                <w:sz w:val="28"/>
                <w:szCs w:val="28"/>
                <w:vertAlign w:val="subscript"/>
                <w:lang w:val="uk-UA"/>
              </w:rPr>
              <w:t>зон</w:t>
            </w:r>
            <w:r>
              <w:rPr>
                <w:rStyle w:val="FontStyle23"/>
                <w:rFonts w:cs="Times New Roman"/>
                <w:bCs/>
                <w:color w:val="000000" w:themeColor="text1"/>
                <w:sz w:val="28"/>
                <w:szCs w:val="28"/>
                <w:lang w:val="uk-UA" w:eastAsia="uk-UA"/>
              </w:rPr>
              <w:t>)</w:t>
            </w:r>
          </w:p>
        </w:tc>
        <w:tc>
          <w:tcPr>
            <w:tcW w:w="7334" w:type="dxa"/>
            <w:tcBorders>
              <w:top w:val="single" w:sz="6" w:space="0" w:color="000000"/>
              <w:left w:val="single" w:sz="6" w:space="0" w:color="000000"/>
              <w:bottom w:val="single" w:sz="6" w:space="0" w:color="000000"/>
              <w:right w:val="single" w:sz="6" w:space="0" w:color="000000"/>
            </w:tcBorders>
          </w:tcPr>
          <w:p>
            <w:pPr>
              <w:pStyle w:val="Style101"/>
              <w:widowControl w:val="false"/>
              <w:spacing w:lineRule="auto" w:line="240"/>
              <w:ind w:right="174" w:hanging="0"/>
              <w:jc w:val="center"/>
              <w:rPr>
                <w:rStyle w:val="FontStyle23"/>
                <w:rFonts w:cs="Times New Roman"/>
                <w:bCs/>
                <w:color w:val="000000" w:themeColor="text1"/>
                <w:sz w:val="28"/>
                <w:szCs w:val="28"/>
                <w:lang w:val="uk-UA" w:eastAsia="uk-UA"/>
              </w:rPr>
            </w:pPr>
            <w:r>
              <w:rPr>
                <w:rStyle w:val="FontStyle23"/>
                <w:rFonts w:cs="Times New Roman"/>
                <w:bCs/>
                <w:color w:val="000000" w:themeColor="text1"/>
                <w:sz w:val="28"/>
                <w:szCs w:val="28"/>
                <w:lang w:val="uk-UA" w:eastAsia="uk-UA"/>
              </w:rPr>
              <w:t>Назва районів</w:t>
            </w:r>
          </w:p>
        </w:tc>
      </w:tr>
      <w:tr>
        <w:trPr/>
        <w:tc>
          <w:tcPr>
            <w:tcW w:w="727" w:type="dxa"/>
            <w:tcBorders>
              <w:top w:val="single" w:sz="6" w:space="0" w:color="000000"/>
              <w:left w:val="single" w:sz="6" w:space="0" w:color="000000"/>
              <w:bottom w:val="single" w:sz="6" w:space="0" w:color="000000"/>
              <w:right w:val="single" w:sz="6" w:space="0" w:color="000000"/>
            </w:tcBorders>
          </w:tcPr>
          <w:p>
            <w:pPr>
              <w:pStyle w:val="Style101"/>
              <w:widowControl w:val="false"/>
              <w:spacing w:lineRule="auto" w:line="240"/>
              <w:jc w:val="center"/>
              <w:rPr>
                <w:rStyle w:val="FontStyle23"/>
                <w:rFonts w:cs="Times New Roman"/>
                <w:color w:val="000000" w:themeColor="text1"/>
                <w:sz w:val="28"/>
                <w:szCs w:val="28"/>
                <w:lang w:val="uk-UA" w:eastAsia="uk-UA"/>
              </w:rPr>
            </w:pPr>
            <w:r>
              <w:rPr>
                <w:rStyle w:val="FontStyle23"/>
                <w:rFonts w:cs="Times New Roman"/>
                <w:color w:val="000000" w:themeColor="text1"/>
                <w:sz w:val="28"/>
                <w:szCs w:val="28"/>
                <w:lang w:val="uk-UA" w:eastAsia="uk-UA"/>
              </w:rPr>
              <w:t>1</w:t>
            </w:r>
          </w:p>
        </w:tc>
        <w:tc>
          <w:tcPr>
            <w:tcW w:w="1585" w:type="dxa"/>
            <w:tcBorders>
              <w:top w:val="single" w:sz="6" w:space="0" w:color="000000"/>
              <w:left w:val="single" w:sz="6" w:space="0" w:color="000000"/>
              <w:bottom w:val="single" w:sz="6" w:space="0" w:color="000000"/>
              <w:right w:val="single" w:sz="6" w:space="0" w:color="000000"/>
            </w:tcBorders>
          </w:tcPr>
          <w:p>
            <w:pPr>
              <w:pStyle w:val="Style141"/>
              <w:widowControl w:val="false"/>
              <w:spacing w:lineRule="auto" w:line="240"/>
              <w:ind w:right="174" w:hanging="0"/>
              <w:jc w:val="center"/>
              <w:rPr>
                <w:rStyle w:val="FontStyle26"/>
                <w:rFonts w:cs="Times New Roman"/>
                <w:b w:val="false"/>
                <w:b w:val="false"/>
                <w:bCs/>
                <w:color w:val="000000" w:themeColor="text1"/>
                <w:sz w:val="28"/>
                <w:szCs w:val="28"/>
                <w:lang w:val="uk-UA" w:eastAsia="uk-UA"/>
              </w:rPr>
            </w:pPr>
            <w:r>
              <w:rPr>
                <w:rStyle w:val="FontStyle26"/>
                <w:rFonts w:cs="Times New Roman"/>
                <w:b w:val="false"/>
                <w:bCs/>
                <w:color w:val="000000" w:themeColor="text1"/>
                <w:sz w:val="28"/>
                <w:szCs w:val="28"/>
                <w:lang w:val="uk-UA" w:eastAsia="uk-UA"/>
              </w:rPr>
              <w:t>2,3</w:t>
            </w:r>
          </w:p>
        </w:tc>
        <w:tc>
          <w:tcPr>
            <w:tcW w:w="7334" w:type="dxa"/>
            <w:tcBorders>
              <w:top w:val="single" w:sz="6" w:space="0" w:color="000000"/>
              <w:left w:val="single" w:sz="6" w:space="0" w:color="000000"/>
              <w:bottom w:val="single" w:sz="6" w:space="0" w:color="000000"/>
              <w:right w:val="single" w:sz="6" w:space="0" w:color="000000"/>
            </w:tcBorders>
          </w:tcPr>
          <w:p>
            <w:pPr>
              <w:pStyle w:val="Style141"/>
              <w:widowControl w:val="false"/>
              <w:spacing w:lineRule="auto" w:line="240"/>
              <w:ind w:right="174" w:hanging="0"/>
              <w:jc w:val="both"/>
              <w:rPr>
                <w:rStyle w:val="FontStyle23"/>
                <w:rFonts w:cs="Times New Roman"/>
                <w:color w:val="000000" w:themeColor="text1"/>
                <w:sz w:val="28"/>
                <w:szCs w:val="28"/>
                <w:lang w:val="uk-UA" w:eastAsia="uk-UA"/>
              </w:rPr>
            </w:pPr>
            <w:r>
              <w:rPr>
                <w:rFonts w:cs="Times New Roman" w:ascii="Times New Roman" w:hAnsi="Times New Roman"/>
                <w:color w:val="000000" w:themeColor="text1"/>
                <w:sz w:val="28"/>
                <w:szCs w:val="28"/>
                <w:lang w:val="uk-UA"/>
              </w:rPr>
              <w:t>«ТЕРИТОРІЯ В МЕЖАХ ІСТОРИКО-КУЛЬТУРНОГО ЗАПОВІДНИКА»</w:t>
            </w:r>
            <w:r>
              <w:rPr>
                <w:rStyle w:val="FontStyle26"/>
                <w:rFonts w:cs="Times New Roman"/>
                <w:b w:val="false"/>
                <w:color w:val="000000" w:themeColor="text1"/>
                <w:sz w:val="28"/>
                <w:szCs w:val="28"/>
                <w:lang w:val="uk-UA" w:eastAsia="uk-UA"/>
              </w:rPr>
              <w:t>, в т. ч. вулиці: Ковельська (до повороту на вул. Набережну), Братковського, Данила Галицького, Замкова, Караїмська, Кафедральна, Драгоманова, Іова Кондзелевича, Кочерги, Молодіжна.</w:t>
            </w:r>
          </w:p>
          <w:p>
            <w:pPr>
              <w:pStyle w:val="Style141"/>
              <w:widowControl w:val="false"/>
              <w:spacing w:lineRule="auto" w:line="240"/>
              <w:ind w:right="174" w:hanging="0"/>
              <w:jc w:val="both"/>
              <w:rPr>
                <w:rStyle w:val="FontStyle26"/>
                <w:rFonts w:cs="Times New Roman"/>
                <w:b w:val="false"/>
                <w:b w:val="false"/>
                <w:color w:val="000000" w:themeColor="text1"/>
                <w:sz w:val="28"/>
                <w:szCs w:val="28"/>
                <w:lang w:val="uk-UA" w:eastAsia="uk-UA"/>
              </w:rPr>
            </w:pPr>
            <w:r>
              <w:rPr>
                <w:rStyle w:val="FontStyle23"/>
                <w:rFonts w:cs="Times New Roman"/>
                <w:color w:val="000000" w:themeColor="text1"/>
                <w:sz w:val="28"/>
                <w:szCs w:val="28"/>
                <w:lang w:val="uk-UA" w:eastAsia="uk-UA"/>
              </w:rPr>
              <w:t xml:space="preserve">ЦЕНТР, в т. ч. </w:t>
            </w:r>
            <w:r>
              <w:rPr>
                <w:rStyle w:val="FontStyle26"/>
                <w:rFonts w:cs="Times New Roman"/>
                <w:b w:val="false"/>
                <w:color w:val="000000" w:themeColor="text1"/>
                <w:sz w:val="28"/>
                <w:szCs w:val="28"/>
                <w:lang w:val="uk-UA" w:eastAsia="uk-UA"/>
              </w:rPr>
              <w:t>вулиці: Богдана Хмельницького, Винниченка, Глушець, Ковельська, Лесі Українки, Набережна, Стрілецька, Франка, Рівненська, Дубнівська, Задворецька, Клима Савура, Івана Огієнка, Шопена, Коперника, Степана Бандери, Яровиця, Кривий Вал, Паркова, Архітектора Метельницького, Авторемонтна;</w:t>
            </w:r>
          </w:p>
          <w:p>
            <w:pPr>
              <w:pStyle w:val="Style141"/>
              <w:widowControl w:val="false"/>
              <w:spacing w:lineRule="auto" w:line="240"/>
              <w:ind w:right="174" w:hanging="0"/>
              <w:jc w:val="both"/>
              <w:rPr>
                <w:rStyle w:val="FontStyle26"/>
                <w:rFonts w:cs="Times New Roman"/>
                <w:b w:val="false"/>
                <w:b w:val="false"/>
                <w:color w:val="000000" w:themeColor="text1"/>
                <w:sz w:val="28"/>
                <w:szCs w:val="28"/>
                <w:lang w:val="uk-UA" w:eastAsia="uk-UA"/>
              </w:rPr>
            </w:pPr>
            <w:r>
              <w:rPr>
                <w:rStyle w:val="FontStyle26"/>
                <w:rFonts w:cs="Times New Roman"/>
                <w:b w:val="false"/>
                <w:color w:val="000000" w:themeColor="text1"/>
                <w:sz w:val="28"/>
                <w:szCs w:val="28"/>
                <w:lang w:val="uk-UA" w:eastAsia="uk-UA"/>
              </w:rPr>
              <w:t>Театральний майдан, Київський майдан, майдан Братський міст; проспекти: Волі, Перемоги, Президента Грушевського.</w:t>
            </w:r>
          </w:p>
        </w:tc>
      </w:tr>
      <w:tr>
        <w:trPr/>
        <w:tc>
          <w:tcPr>
            <w:tcW w:w="727" w:type="dxa"/>
            <w:tcBorders>
              <w:top w:val="single" w:sz="6" w:space="0" w:color="000000"/>
              <w:left w:val="single" w:sz="6" w:space="0" w:color="000000"/>
              <w:bottom w:val="single" w:sz="6" w:space="0" w:color="000000"/>
              <w:right w:val="single" w:sz="6" w:space="0" w:color="000000"/>
            </w:tcBorders>
          </w:tcPr>
          <w:p>
            <w:pPr>
              <w:pStyle w:val="Style101"/>
              <w:widowControl w:val="false"/>
              <w:spacing w:lineRule="auto" w:line="240"/>
              <w:jc w:val="center"/>
              <w:rPr>
                <w:rStyle w:val="FontStyle23"/>
                <w:rFonts w:cs="Times New Roman"/>
                <w:color w:val="000000" w:themeColor="text1"/>
                <w:sz w:val="28"/>
                <w:szCs w:val="28"/>
                <w:lang w:val="uk-UA" w:eastAsia="uk-UA"/>
              </w:rPr>
            </w:pPr>
            <w:r>
              <w:rPr>
                <w:rStyle w:val="FontStyle23"/>
                <w:rFonts w:cs="Times New Roman"/>
                <w:color w:val="000000" w:themeColor="text1"/>
                <w:sz w:val="28"/>
                <w:szCs w:val="28"/>
                <w:lang w:val="uk-UA" w:eastAsia="uk-UA"/>
              </w:rPr>
              <w:t>2</w:t>
            </w:r>
          </w:p>
        </w:tc>
        <w:tc>
          <w:tcPr>
            <w:tcW w:w="1585" w:type="dxa"/>
            <w:tcBorders>
              <w:top w:val="single" w:sz="6" w:space="0" w:color="000000"/>
              <w:left w:val="single" w:sz="6" w:space="0" w:color="000000"/>
              <w:bottom w:val="single" w:sz="6" w:space="0" w:color="000000"/>
              <w:right w:val="single" w:sz="6" w:space="0" w:color="000000"/>
            </w:tcBorders>
          </w:tcPr>
          <w:p>
            <w:pPr>
              <w:pStyle w:val="Style101"/>
              <w:widowControl w:val="false"/>
              <w:spacing w:lineRule="auto" w:line="240"/>
              <w:ind w:right="174" w:hanging="0"/>
              <w:jc w:val="center"/>
              <w:rPr>
                <w:rStyle w:val="FontStyle23"/>
                <w:rFonts w:cs="Times New Roman"/>
                <w:bCs/>
                <w:color w:val="000000" w:themeColor="text1"/>
                <w:sz w:val="28"/>
                <w:szCs w:val="28"/>
                <w:lang w:val="uk-UA" w:eastAsia="uk-UA"/>
              </w:rPr>
            </w:pPr>
            <w:r>
              <w:rPr>
                <w:rStyle w:val="FontStyle23"/>
                <w:rFonts w:cs="Times New Roman"/>
                <w:bCs/>
                <w:color w:val="000000" w:themeColor="text1"/>
                <w:sz w:val="28"/>
                <w:szCs w:val="28"/>
                <w:lang w:val="uk-UA" w:eastAsia="uk-UA"/>
              </w:rPr>
              <w:t>2,0</w:t>
            </w:r>
          </w:p>
        </w:tc>
        <w:tc>
          <w:tcPr>
            <w:tcW w:w="7334" w:type="dxa"/>
            <w:tcBorders>
              <w:top w:val="single" w:sz="6" w:space="0" w:color="000000"/>
              <w:left w:val="single" w:sz="6" w:space="0" w:color="000000"/>
              <w:bottom w:val="single" w:sz="6" w:space="0" w:color="000000"/>
              <w:right w:val="single" w:sz="6" w:space="0" w:color="000000"/>
            </w:tcBorders>
          </w:tcPr>
          <w:p>
            <w:pPr>
              <w:pStyle w:val="Style141"/>
              <w:widowControl w:val="false"/>
              <w:spacing w:lineRule="auto" w:line="240"/>
              <w:ind w:right="174" w:hanging="0"/>
              <w:jc w:val="both"/>
              <w:rPr>
                <w:rStyle w:val="FontStyle26"/>
                <w:rFonts w:cs="Times New Roman"/>
                <w:b w:val="false"/>
                <w:b w:val="false"/>
                <w:color w:val="000000" w:themeColor="text1"/>
                <w:sz w:val="28"/>
                <w:szCs w:val="28"/>
                <w:lang w:val="uk-UA" w:eastAsia="uk-UA"/>
              </w:rPr>
            </w:pPr>
            <w:r>
              <w:rPr>
                <w:rStyle w:val="FontStyle23"/>
                <w:rFonts w:cs="Times New Roman"/>
                <w:color w:val="000000" w:themeColor="text1"/>
                <w:sz w:val="28"/>
                <w:szCs w:val="28"/>
                <w:lang w:val="uk-UA" w:eastAsia="uk-UA"/>
              </w:rPr>
              <w:t xml:space="preserve">ЗАВОКЗАЛЬНИЙ, в т. ч. </w:t>
            </w:r>
            <w:r>
              <w:rPr>
                <w:rStyle w:val="FontStyle26"/>
                <w:rFonts w:cs="Times New Roman"/>
                <w:b w:val="false"/>
                <w:color w:val="000000" w:themeColor="text1"/>
                <w:sz w:val="28"/>
                <w:szCs w:val="28"/>
                <w:lang w:val="uk-UA" w:eastAsia="uk-UA"/>
              </w:rPr>
              <w:t>вулиці: Ветеранів, Гордіюк, Карпенка-Карого, Конякіна, Кравчука, В’ячеслава Чорновола, Воїнів-афганців, Лідавська, Сухомлинського, Агатангела Кримського, Олеся Гончара, Липинського;</w:t>
            </w:r>
          </w:p>
          <w:p>
            <w:pPr>
              <w:pStyle w:val="Style141"/>
              <w:widowControl w:val="false"/>
              <w:spacing w:lineRule="auto" w:line="240"/>
              <w:ind w:right="174" w:hanging="0"/>
              <w:jc w:val="both"/>
              <w:rPr>
                <w:rStyle w:val="FontStyle26"/>
                <w:rFonts w:cs="Times New Roman"/>
                <w:b w:val="false"/>
                <w:b w:val="false"/>
                <w:color w:val="000000" w:themeColor="text1"/>
                <w:sz w:val="28"/>
                <w:szCs w:val="28"/>
                <w:lang w:val="uk-UA" w:eastAsia="uk-UA"/>
              </w:rPr>
            </w:pPr>
            <w:r>
              <w:rPr>
                <w:rStyle w:val="FontStyle26"/>
                <w:rFonts w:cs="Times New Roman"/>
                <w:b w:val="false"/>
                <w:color w:val="000000" w:themeColor="text1"/>
                <w:sz w:val="28"/>
                <w:szCs w:val="28"/>
                <w:lang w:val="uk-UA" w:eastAsia="uk-UA"/>
              </w:rPr>
              <w:t>проспекти: Відродження, Молоді, Соборності.</w:t>
            </w:r>
          </w:p>
        </w:tc>
      </w:tr>
      <w:tr>
        <w:trPr/>
        <w:tc>
          <w:tcPr>
            <w:tcW w:w="727" w:type="dxa"/>
            <w:tcBorders>
              <w:top w:val="single" w:sz="6" w:space="0" w:color="000000"/>
              <w:left w:val="single" w:sz="6" w:space="0" w:color="000000"/>
              <w:bottom w:val="single" w:sz="6" w:space="0" w:color="000000"/>
              <w:right w:val="single" w:sz="6" w:space="0" w:color="000000"/>
            </w:tcBorders>
          </w:tcPr>
          <w:p>
            <w:pPr>
              <w:pStyle w:val="Style151"/>
              <w:widowControl w:val="false"/>
              <w:jc w:val="center"/>
              <w:rPr>
                <w:rStyle w:val="FontStyle25"/>
                <w:rFonts w:cs="Times New Roman"/>
                <w:color w:val="000000" w:themeColor="text1"/>
                <w:sz w:val="28"/>
                <w:szCs w:val="28"/>
                <w:lang w:val="uk-UA" w:eastAsia="uk-UA"/>
              </w:rPr>
            </w:pPr>
            <w:r>
              <w:rPr>
                <w:rStyle w:val="FontStyle25"/>
                <w:rFonts w:cs="Times New Roman"/>
                <w:color w:val="000000" w:themeColor="text1"/>
                <w:sz w:val="28"/>
                <w:szCs w:val="28"/>
                <w:lang w:val="uk-UA" w:eastAsia="uk-UA"/>
              </w:rPr>
              <w:t>3</w:t>
            </w:r>
          </w:p>
        </w:tc>
        <w:tc>
          <w:tcPr>
            <w:tcW w:w="1585" w:type="dxa"/>
            <w:tcBorders>
              <w:top w:val="single" w:sz="6" w:space="0" w:color="000000"/>
              <w:left w:val="single" w:sz="6" w:space="0" w:color="000000"/>
              <w:bottom w:val="single" w:sz="6" w:space="0" w:color="000000"/>
              <w:right w:val="single" w:sz="6" w:space="0" w:color="000000"/>
            </w:tcBorders>
          </w:tcPr>
          <w:p>
            <w:pPr>
              <w:pStyle w:val="Style101"/>
              <w:widowControl w:val="false"/>
              <w:spacing w:lineRule="auto" w:line="240"/>
              <w:ind w:right="174" w:hanging="0"/>
              <w:jc w:val="center"/>
              <w:rPr>
                <w:rStyle w:val="FontStyle23"/>
                <w:rFonts w:cs="Times New Roman"/>
                <w:bCs/>
                <w:color w:val="000000" w:themeColor="text1"/>
                <w:sz w:val="28"/>
                <w:szCs w:val="28"/>
                <w:lang w:val="uk-UA" w:eastAsia="uk-UA"/>
              </w:rPr>
            </w:pPr>
            <w:r>
              <w:rPr>
                <w:rStyle w:val="FontStyle23"/>
                <w:rFonts w:cs="Times New Roman"/>
                <w:bCs/>
                <w:color w:val="000000" w:themeColor="text1"/>
                <w:sz w:val="28"/>
                <w:szCs w:val="28"/>
                <w:lang w:val="uk-UA" w:eastAsia="uk-UA"/>
              </w:rPr>
              <w:t>1,9</w:t>
            </w:r>
          </w:p>
          <w:p>
            <w:pPr>
              <w:pStyle w:val="Style101"/>
              <w:widowControl w:val="false"/>
              <w:spacing w:lineRule="auto" w:line="240"/>
              <w:ind w:right="174" w:hanging="0"/>
              <w:jc w:val="center"/>
              <w:rPr>
                <w:rStyle w:val="FontStyle23"/>
                <w:color w:val="000000" w:themeColor="text1"/>
                <w:lang w:val="uk-UA"/>
              </w:rPr>
            </w:pPr>
            <w:r>
              <w:rPr>
                <w:color w:val="000000" w:themeColor="text1"/>
                <w:lang w:val="uk-UA"/>
              </w:rPr>
            </w:r>
          </w:p>
        </w:tc>
        <w:tc>
          <w:tcPr>
            <w:tcW w:w="7334" w:type="dxa"/>
            <w:tcBorders>
              <w:top w:val="single" w:sz="6" w:space="0" w:color="000000"/>
              <w:left w:val="single" w:sz="6" w:space="0" w:color="000000"/>
              <w:bottom w:val="single" w:sz="6" w:space="0" w:color="000000"/>
              <w:right w:val="single" w:sz="6" w:space="0" w:color="000000"/>
            </w:tcBorders>
          </w:tcPr>
          <w:p>
            <w:pPr>
              <w:pStyle w:val="Style141"/>
              <w:widowControl w:val="false"/>
              <w:spacing w:lineRule="auto" w:line="240"/>
              <w:ind w:right="174" w:hanging="0"/>
              <w:jc w:val="both"/>
              <w:rPr>
                <w:rStyle w:val="FontStyle26"/>
                <w:rFonts w:cs="Times New Roman"/>
                <w:b w:val="false"/>
                <w:b w:val="false"/>
                <w:color w:val="000000" w:themeColor="text1"/>
                <w:sz w:val="28"/>
                <w:szCs w:val="28"/>
                <w:lang w:val="uk-UA" w:eastAsia="uk-UA"/>
              </w:rPr>
            </w:pPr>
            <w:r>
              <w:rPr>
                <w:rStyle w:val="FontStyle23"/>
                <w:rFonts w:cs="Times New Roman"/>
                <w:color w:val="000000" w:themeColor="text1"/>
                <w:sz w:val="28"/>
                <w:szCs w:val="28"/>
                <w:lang w:val="uk-UA" w:eastAsia="uk-UA"/>
              </w:rPr>
              <w:t xml:space="preserve">ТЕРЕМНО, в т. ч. </w:t>
            </w:r>
            <w:r>
              <w:rPr>
                <w:rStyle w:val="FontStyle26"/>
                <w:rFonts w:cs="Times New Roman"/>
                <w:b w:val="false"/>
                <w:color w:val="000000" w:themeColor="text1"/>
                <w:sz w:val="28"/>
                <w:szCs w:val="28"/>
                <w:lang w:val="uk-UA" w:eastAsia="uk-UA"/>
              </w:rPr>
              <w:t>вулиці: Гетьмана Мазепи, Електроапаратна, Карпенка-Карого, Писаревського, Рівненська, Теремнівська, Зв’язківців, В’ячеслава Хурсенка, Декабристів, Петра Маха, Щусева, Софії Ковалевської, Князів Острозьких, Загородня, Підгаєцька, Січова, Гетьмана Сагайдачного; проспект Відродження.</w:t>
            </w:r>
          </w:p>
        </w:tc>
      </w:tr>
      <w:tr>
        <w:trPr/>
        <w:tc>
          <w:tcPr>
            <w:tcW w:w="727" w:type="dxa"/>
            <w:tcBorders>
              <w:top w:val="single" w:sz="6" w:space="0" w:color="000000"/>
              <w:left w:val="single" w:sz="6" w:space="0" w:color="000000"/>
              <w:bottom w:val="single" w:sz="6" w:space="0" w:color="000000"/>
              <w:right w:val="single" w:sz="6" w:space="0" w:color="000000"/>
            </w:tcBorders>
          </w:tcPr>
          <w:p>
            <w:pPr>
              <w:pStyle w:val="Style101"/>
              <w:widowControl w:val="false"/>
              <w:spacing w:lineRule="auto" w:line="240"/>
              <w:jc w:val="center"/>
              <w:rPr>
                <w:rStyle w:val="FontStyle23"/>
                <w:rFonts w:cs="Times New Roman"/>
                <w:color w:val="000000" w:themeColor="text1"/>
                <w:sz w:val="28"/>
                <w:szCs w:val="28"/>
                <w:lang w:val="uk-UA" w:eastAsia="uk-UA"/>
              </w:rPr>
            </w:pPr>
            <w:r>
              <w:rPr>
                <w:rStyle w:val="FontStyle23"/>
                <w:rFonts w:cs="Times New Roman"/>
                <w:color w:val="000000" w:themeColor="text1"/>
                <w:sz w:val="28"/>
                <w:szCs w:val="28"/>
                <w:lang w:val="uk-UA" w:eastAsia="uk-UA"/>
              </w:rPr>
              <w:t>4</w:t>
            </w:r>
          </w:p>
        </w:tc>
        <w:tc>
          <w:tcPr>
            <w:tcW w:w="1585" w:type="dxa"/>
            <w:tcBorders>
              <w:top w:val="single" w:sz="6" w:space="0" w:color="000000"/>
              <w:left w:val="single" w:sz="6" w:space="0" w:color="000000"/>
              <w:bottom w:val="single" w:sz="6" w:space="0" w:color="000000"/>
              <w:right w:val="single" w:sz="6" w:space="0" w:color="000000"/>
            </w:tcBorders>
          </w:tcPr>
          <w:p>
            <w:pPr>
              <w:pStyle w:val="Style101"/>
              <w:widowControl w:val="false"/>
              <w:spacing w:lineRule="auto" w:line="240"/>
              <w:ind w:right="174" w:hanging="0"/>
              <w:jc w:val="center"/>
              <w:rPr>
                <w:rStyle w:val="FontStyle23"/>
                <w:rFonts w:cs="Times New Roman"/>
                <w:bCs/>
                <w:color w:val="000000" w:themeColor="text1"/>
                <w:sz w:val="28"/>
                <w:szCs w:val="28"/>
                <w:lang w:val="uk-UA" w:eastAsia="uk-UA"/>
              </w:rPr>
            </w:pPr>
            <w:r>
              <w:rPr>
                <w:rStyle w:val="FontStyle23"/>
                <w:rFonts w:cs="Times New Roman"/>
                <w:bCs/>
                <w:color w:val="000000" w:themeColor="text1"/>
                <w:sz w:val="28"/>
                <w:szCs w:val="28"/>
                <w:lang w:val="uk-UA" w:eastAsia="uk-UA"/>
              </w:rPr>
              <w:t>1,8</w:t>
            </w:r>
          </w:p>
        </w:tc>
        <w:tc>
          <w:tcPr>
            <w:tcW w:w="7334" w:type="dxa"/>
            <w:tcBorders>
              <w:top w:val="single" w:sz="6" w:space="0" w:color="000000"/>
              <w:left w:val="single" w:sz="6" w:space="0" w:color="000000"/>
              <w:bottom w:val="single" w:sz="6" w:space="0" w:color="000000"/>
              <w:right w:val="single" w:sz="6" w:space="0" w:color="000000"/>
            </w:tcBorders>
          </w:tcPr>
          <w:p>
            <w:pPr>
              <w:pStyle w:val="Style141"/>
              <w:widowControl w:val="false"/>
              <w:spacing w:lineRule="auto" w:line="240"/>
              <w:ind w:right="174" w:hanging="0"/>
              <w:jc w:val="both"/>
              <w:rPr>
                <w:rStyle w:val="FontStyle26"/>
                <w:rFonts w:cs="Times New Roman"/>
                <w:b w:val="false"/>
                <w:b w:val="false"/>
                <w:color w:val="000000" w:themeColor="text1"/>
                <w:sz w:val="28"/>
                <w:szCs w:val="28"/>
                <w:lang w:val="uk-UA" w:eastAsia="uk-UA"/>
              </w:rPr>
            </w:pPr>
            <w:r>
              <w:rPr>
                <w:rStyle w:val="FontStyle23"/>
                <w:rFonts w:cs="Times New Roman"/>
                <w:color w:val="000000" w:themeColor="text1"/>
                <w:sz w:val="28"/>
                <w:szCs w:val="28"/>
                <w:lang w:val="uk-UA" w:eastAsia="uk-UA"/>
              </w:rPr>
              <w:t xml:space="preserve">КІЧКАРІВКА, в т. ч. </w:t>
            </w:r>
            <w:r>
              <w:rPr>
                <w:rStyle w:val="FontStyle26"/>
                <w:rFonts w:cs="Times New Roman"/>
                <w:b w:val="false"/>
                <w:color w:val="000000" w:themeColor="text1"/>
                <w:sz w:val="28"/>
                <w:szCs w:val="28"/>
                <w:lang w:val="uk-UA" w:eastAsia="uk-UA"/>
              </w:rPr>
              <w:t>вулиці: Ковельська, Червоного Хреста, Чернишевського, Шевченка, Янки Купали, Ломоносова, Шкільна, Глинки, Олекси Алмазова, Волонтерська, Кічкарівська, Ялинова.</w:t>
            </w:r>
          </w:p>
          <w:p>
            <w:pPr>
              <w:pStyle w:val="Style141"/>
              <w:widowControl w:val="false"/>
              <w:spacing w:lineRule="auto" w:line="240"/>
              <w:ind w:right="174" w:hanging="0"/>
              <w:jc w:val="both"/>
              <w:rPr>
                <w:rStyle w:val="FontStyle26"/>
                <w:rFonts w:cs="Times New Roman"/>
                <w:b w:val="false"/>
                <w:b w:val="false"/>
                <w:color w:val="000000" w:themeColor="text1"/>
                <w:sz w:val="28"/>
                <w:szCs w:val="28"/>
                <w:lang w:val="uk-UA" w:eastAsia="uk-UA"/>
              </w:rPr>
            </w:pPr>
            <w:r>
              <w:rPr>
                <w:rStyle w:val="FontStyle23"/>
                <w:rFonts w:cs="Times New Roman"/>
                <w:color w:val="000000" w:themeColor="text1"/>
                <w:sz w:val="28"/>
                <w:szCs w:val="28"/>
                <w:lang w:val="uk-UA" w:eastAsia="uk-UA"/>
              </w:rPr>
              <w:t xml:space="preserve">КРАСНЕ, в т. ч. </w:t>
            </w:r>
            <w:r>
              <w:rPr>
                <w:rStyle w:val="FontStyle26"/>
                <w:rFonts w:cs="Times New Roman"/>
                <w:b w:val="false"/>
                <w:color w:val="000000" w:themeColor="text1"/>
                <w:sz w:val="28"/>
                <w:szCs w:val="28"/>
                <w:lang w:val="uk-UA" w:eastAsia="uk-UA"/>
              </w:rPr>
              <w:t>вулиці: Володимирська, Даньшина, Львівська, Степова, Тарасова, Потебні, Станіславського, Баранова, Тополева.</w:t>
            </w:r>
          </w:p>
          <w:p>
            <w:pPr>
              <w:pStyle w:val="Style141"/>
              <w:widowControl w:val="false"/>
              <w:spacing w:lineRule="auto" w:line="240"/>
              <w:ind w:right="174" w:hanging="0"/>
              <w:jc w:val="both"/>
              <w:rPr>
                <w:rStyle w:val="FontStyle26"/>
                <w:rFonts w:cs="Times New Roman"/>
                <w:b w:val="false"/>
                <w:b w:val="false"/>
                <w:color w:val="000000" w:themeColor="text1"/>
                <w:sz w:val="28"/>
                <w:szCs w:val="28"/>
                <w:lang w:val="uk-UA" w:eastAsia="uk-UA"/>
              </w:rPr>
            </w:pPr>
            <w:r>
              <w:rPr>
                <w:rStyle w:val="FontStyle23"/>
                <w:rFonts w:cs="Times New Roman"/>
                <w:color w:val="000000" w:themeColor="text1"/>
                <w:sz w:val="28"/>
                <w:szCs w:val="28"/>
                <w:lang w:val="uk-UA" w:eastAsia="uk-UA"/>
              </w:rPr>
              <w:t xml:space="preserve">ГНІДАВА, в т. ч. </w:t>
            </w:r>
            <w:r>
              <w:rPr>
                <w:rStyle w:val="FontStyle26"/>
                <w:rFonts w:cs="Times New Roman"/>
                <w:b w:val="false"/>
                <w:color w:val="000000" w:themeColor="text1"/>
                <w:sz w:val="28"/>
                <w:szCs w:val="28"/>
                <w:lang w:val="uk-UA" w:eastAsia="uk-UA"/>
              </w:rPr>
              <w:t>вулиці: Бенделіані, Виробнича, Гнідавська, Даньшина, Магістральна, Потебні, Станіславського, Грабовського, Марка Вовчка, Черняховського, Шота Руставелі; бульвар Дружби Народів.</w:t>
            </w:r>
          </w:p>
          <w:p>
            <w:pPr>
              <w:pStyle w:val="Style141"/>
              <w:widowControl w:val="false"/>
              <w:spacing w:lineRule="auto" w:line="240"/>
              <w:ind w:right="174" w:hanging="0"/>
              <w:jc w:val="both"/>
              <w:rPr>
                <w:rStyle w:val="FontStyle26"/>
                <w:rFonts w:cs="Times New Roman"/>
                <w:b w:val="false"/>
                <w:b w:val="false"/>
                <w:color w:val="000000" w:themeColor="text1"/>
                <w:sz w:val="28"/>
                <w:szCs w:val="28"/>
                <w:lang w:val="uk-UA" w:eastAsia="uk-UA"/>
              </w:rPr>
            </w:pPr>
            <w:r>
              <w:rPr>
                <w:rStyle w:val="FontStyle23"/>
                <w:rFonts w:cs="Times New Roman"/>
                <w:color w:val="000000" w:themeColor="text1"/>
                <w:sz w:val="28"/>
                <w:szCs w:val="28"/>
                <w:lang w:val="uk-UA" w:eastAsia="uk-UA"/>
              </w:rPr>
              <w:t xml:space="preserve">ВЕРЕСНЕВЕ, в т. ч. </w:t>
            </w:r>
            <w:r>
              <w:rPr>
                <w:rStyle w:val="FontStyle26"/>
                <w:rFonts w:cs="Times New Roman"/>
                <w:b w:val="false"/>
                <w:color w:val="000000" w:themeColor="text1"/>
                <w:sz w:val="28"/>
                <w:szCs w:val="28"/>
                <w:lang w:val="uk-UA" w:eastAsia="uk-UA"/>
              </w:rPr>
              <w:t>вулиці: Довженка, Корольова, Магістральна, Крушельницької, Млинівська, Полонківська, Ранкова.</w:t>
            </w:r>
          </w:p>
        </w:tc>
      </w:tr>
      <w:tr>
        <w:trPr/>
        <w:tc>
          <w:tcPr>
            <w:tcW w:w="727" w:type="dxa"/>
            <w:tcBorders>
              <w:top w:val="single" w:sz="6" w:space="0" w:color="000000"/>
              <w:left w:val="single" w:sz="6" w:space="0" w:color="000000"/>
              <w:bottom w:val="single" w:sz="6" w:space="0" w:color="000000"/>
              <w:right w:val="single" w:sz="6" w:space="0" w:color="000000"/>
            </w:tcBorders>
          </w:tcPr>
          <w:p>
            <w:pPr>
              <w:pStyle w:val="Style151"/>
              <w:widowControl w:val="false"/>
              <w:jc w:val="center"/>
              <w:rPr>
                <w:rStyle w:val="FontStyle25"/>
                <w:rFonts w:cs="Times New Roman"/>
                <w:color w:val="000000" w:themeColor="text1"/>
                <w:sz w:val="28"/>
                <w:szCs w:val="28"/>
                <w:lang w:val="uk-UA" w:eastAsia="uk-UA"/>
              </w:rPr>
            </w:pPr>
            <w:r>
              <w:rPr>
                <w:rStyle w:val="FontStyle25"/>
                <w:rFonts w:cs="Times New Roman"/>
                <w:color w:val="000000" w:themeColor="text1"/>
                <w:sz w:val="28"/>
                <w:szCs w:val="28"/>
                <w:lang w:val="uk-UA" w:eastAsia="uk-UA"/>
              </w:rPr>
              <w:t>5</w:t>
            </w:r>
          </w:p>
        </w:tc>
        <w:tc>
          <w:tcPr>
            <w:tcW w:w="1585" w:type="dxa"/>
            <w:tcBorders>
              <w:top w:val="single" w:sz="6" w:space="0" w:color="000000"/>
              <w:left w:val="single" w:sz="6" w:space="0" w:color="000000"/>
              <w:bottom w:val="single" w:sz="6" w:space="0" w:color="000000"/>
              <w:right w:val="single" w:sz="6" w:space="0" w:color="000000"/>
            </w:tcBorders>
          </w:tcPr>
          <w:p>
            <w:pPr>
              <w:pStyle w:val="Style101"/>
              <w:widowControl w:val="false"/>
              <w:spacing w:lineRule="auto" w:line="240"/>
              <w:ind w:right="174" w:hanging="0"/>
              <w:jc w:val="center"/>
              <w:rPr>
                <w:rStyle w:val="FontStyle23"/>
                <w:rFonts w:cs="Times New Roman"/>
                <w:bCs/>
                <w:color w:val="000000" w:themeColor="text1"/>
                <w:sz w:val="28"/>
                <w:szCs w:val="28"/>
                <w:lang w:val="uk-UA" w:eastAsia="uk-UA"/>
              </w:rPr>
            </w:pPr>
            <w:r>
              <w:rPr>
                <w:rStyle w:val="FontStyle23"/>
                <w:rFonts w:cs="Times New Roman"/>
                <w:bCs/>
                <w:color w:val="000000" w:themeColor="text1"/>
                <w:sz w:val="28"/>
                <w:szCs w:val="28"/>
                <w:lang w:val="uk-UA" w:eastAsia="uk-UA"/>
              </w:rPr>
              <w:t>1,7</w:t>
            </w:r>
          </w:p>
        </w:tc>
        <w:tc>
          <w:tcPr>
            <w:tcW w:w="7334" w:type="dxa"/>
            <w:tcBorders>
              <w:top w:val="single" w:sz="6" w:space="0" w:color="000000"/>
              <w:left w:val="single" w:sz="6" w:space="0" w:color="000000"/>
              <w:bottom w:val="single" w:sz="6" w:space="0" w:color="000000"/>
              <w:right w:val="single" w:sz="6" w:space="0" w:color="000000"/>
            </w:tcBorders>
          </w:tcPr>
          <w:p>
            <w:pPr>
              <w:pStyle w:val="Style141"/>
              <w:widowControl w:val="false"/>
              <w:spacing w:lineRule="auto" w:line="240"/>
              <w:ind w:right="174" w:hanging="0"/>
              <w:jc w:val="both"/>
              <w:rPr>
                <w:rStyle w:val="FontStyle26"/>
                <w:rFonts w:cs="Times New Roman"/>
                <w:b w:val="false"/>
                <w:b w:val="false"/>
                <w:color w:val="000000" w:themeColor="text1"/>
                <w:sz w:val="28"/>
                <w:szCs w:val="28"/>
                <w:lang w:val="uk-UA" w:eastAsia="uk-UA"/>
              </w:rPr>
            </w:pPr>
            <w:r>
              <w:rPr>
                <w:rStyle w:val="FontStyle23"/>
                <w:rFonts w:cs="Times New Roman"/>
                <w:color w:val="000000" w:themeColor="text1"/>
                <w:sz w:val="28"/>
                <w:szCs w:val="28"/>
                <w:lang w:val="uk-UA" w:eastAsia="uk-UA"/>
              </w:rPr>
              <w:t xml:space="preserve">ГУЩА, в т. ч. </w:t>
            </w:r>
            <w:r>
              <w:rPr>
                <w:rStyle w:val="FontStyle26"/>
                <w:rFonts w:cs="Times New Roman"/>
                <w:b w:val="false"/>
                <w:color w:val="000000" w:themeColor="text1"/>
                <w:sz w:val="28"/>
                <w:szCs w:val="28"/>
                <w:lang w:val="uk-UA" w:eastAsia="uk-UA"/>
              </w:rPr>
              <w:t>вулиці: Гордіюк, Єршова, Карбишева, Конякіна, Наливайка, Гущанська, Індустріальна.</w:t>
            </w:r>
          </w:p>
          <w:p>
            <w:pPr>
              <w:pStyle w:val="Style171"/>
              <w:widowControl w:val="false"/>
              <w:spacing w:lineRule="auto" w:line="240"/>
              <w:ind w:right="174" w:hanging="0"/>
              <w:jc w:val="both"/>
              <w:rPr>
                <w:rStyle w:val="FontStyle26"/>
                <w:rFonts w:cs="Times New Roman"/>
                <w:b w:val="false"/>
                <w:b w:val="false"/>
                <w:color w:val="000000" w:themeColor="text1"/>
                <w:sz w:val="28"/>
                <w:szCs w:val="28"/>
                <w:lang w:val="uk-UA" w:eastAsia="uk-UA"/>
              </w:rPr>
            </w:pPr>
            <w:r>
              <w:rPr>
                <w:rStyle w:val="FontStyle26"/>
                <w:rFonts w:cs="Times New Roman"/>
                <w:b w:val="false"/>
                <w:color w:val="000000" w:themeColor="text1"/>
                <w:sz w:val="28"/>
                <w:szCs w:val="28"/>
                <w:lang w:val="uk-UA" w:eastAsia="uk-UA"/>
              </w:rPr>
              <w:t>ВИШКІВ, в т. ч. вулиці: Авіаторів, Мирослава Скорика, Заньковецької, Ківерцівська, Героїв УПА, Вишківська, Селищна, Мрії, Карпенка-Карого.</w:t>
            </w:r>
          </w:p>
          <w:p>
            <w:pPr>
              <w:pStyle w:val="Style141"/>
              <w:widowControl w:val="false"/>
              <w:spacing w:lineRule="auto" w:line="240"/>
              <w:ind w:right="174" w:hanging="0"/>
              <w:jc w:val="both"/>
              <w:rPr>
                <w:rStyle w:val="FontStyle26"/>
                <w:rFonts w:cs="Times New Roman"/>
                <w:b w:val="false"/>
                <w:b w:val="false"/>
                <w:color w:val="000000" w:themeColor="text1"/>
                <w:sz w:val="28"/>
                <w:szCs w:val="28"/>
                <w:lang w:val="uk-UA" w:eastAsia="uk-UA"/>
              </w:rPr>
            </w:pPr>
            <w:r>
              <w:rPr>
                <w:rStyle w:val="FontStyle27"/>
                <w:rFonts w:cs="Times New Roman"/>
                <w:b w:val="false"/>
                <w:caps w:val="false"/>
                <w:smallCaps w:val="false"/>
                <w:color w:val="000000" w:themeColor="text1"/>
                <w:sz w:val="28"/>
                <w:szCs w:val="28"/>
                <w:lang w:val="uk-UA" w:eastAsia="uk-UA"/>
              </w:rPr>
              <w:t>ДУБНІВСЬКИЙ, в т. ч. вулиці: Дубнівська, Заводська,</w:t>
            </w:r>
            <w:r>
              <w:rPr>
                <w:rStyle w:val="FontStyle26"/>
                <w:rFonts w:cs="Times New Roman"/>
                <w:b w:val="false"/>
                <w:color w:val="000000" w:themeColor="text1"/>
                <w:sz w:val="28"/>
                <w:szCs w:val="28"/>
                <w:lang w:val="uk-UA" w:eastAsia="uk-UA"/>
              </w:rPr>
              <w:t xml:space="preserve"> Карпенка-Карого, Трункіна, Профспілкова, Леся Танюка, Садовського, Пантелеймона Куліша, Надрічна, Східна.</w:t>
            </w:r>
          </w:p>
        </w:tc>
      </w:tr>
      <w:tr>
        <w:trPr/>
        <w:tc>
          <w:tcPr>
            <w:tcW w:w="727" w:type="dxa"/>
            <w:tcBorders>
              <w:top w:val="single" w:sz="6" w:space="0" w:color="000000"/>
              <w:left w:val="single" w:sz="6" w:space="0" w:color="000000"/>
              <w:bottom w:val="single" w:sz="6" w:space="0" w:color="000000"/>
              <w:right w:val="single" w:sz="6" w:space="0" w:color="000000"/>
            </w:tcBorders>
          </w:tcPr>
          <w:p>
            <w:pPr>
              <w:pStyle w:val="Style151"/>
              <w:widowControl w:val="false"/>
              <w:jc w:val="center"/>
              <w:rPr>
                <w:rStyle w:val="FontStyle25"/>
                <w:rFonts w:cs="Times New Roman"/>
                <w:color w:val="000000" w:themeColor="text1"/>
                <w:sz w:val="28"/>
                <w:szCs w:val="28"/>
                <w:lang w:val="uk-UA" w:eastAsia="uk-UA"/>
              </w:rPr>
            </w:pPr>
            <w:r>
              <w:rPr>
                <w:rStyle w:val="FontStyle25"/>
                <w:rFonts w:cs="Times New Roman"/>
                <w:color w:val="000000" w:themeColor="text1"/>
                <w:sz w:val="28"/>
                <w:szCs w:val="28"/>
                <w:lang w:val="uk-UA" w:eastAsia="uk-UA"/>
              </w:rPr>
              <w:t>6</w:t>
            </w:r>
          </w:p>
        </w:tc>
        <w:tc>
          <w:tcPr>
            <w:tcW w:w="1585" w:type="dxa"/>
            <w:tcBorders>
              <w:top w:val="single" w:sz="6" w:space="0" w:color="000000"/>
              <w:left w:val="single" w:sz="6" w:space="0" w:color="000000"/>
              <w:bottom w:val="single" w:sz="6" w:space="0" w:color="000000"/>
              <w:right w:val="single" w:sz="6" w:space="0" w:color="000000"/>
            </w:tcBorders>
          </w:tcPr>
          <w:p>
            <w:pPr>
              <w:pStyle w:val="Style101"/>
              <w:widowControl w:val="false"/>
              <w:spacing w:lineRule="auto" w:line="240"/>
              <w:ind w:right="174" w:hanging="0"/>
              <w:jc w:val="center"/>
              <w:rPr>
                <w:rStyle w:val="FontStyle23"/>
                <w:rFonts w:cs="Times New Roman"/>
                <w:bCs/>
                <w:color w:val="000000" w:themeColor="text1"/>
                <w:sz w:val="28"/>
                <w:szCs w:val="28"/>
                <w:lang w:val="uk-UA" w:eastAsia="uk-UA"/>
              </w:rPr>
            </w:pPr>
            <w:r>
              <w:rPr>
                <w:rStyle w:val="FontStyle23"/>
                <w:rFonts w:cs="Times New Roman"/>
                <w:bCs/>
                <w:color w:val="000000" w:themeColor="text1"/>
                <w:sz w:val="28"/>
                <w:szCs w:val="28"/>
                <w:lang w:val="uk-UA" w:eastAsia="uk-UA"/>
              </w:rPr>
              <w:t>1</w:t>
            </w:r>
          </w:p>
        </w:tc>
        <w:tc>
          <w:tcPr>
            <w:tcW w:w="7334" w:type="dxa"/>
            <w:tcBorders>
              <w:top w:val="single" w:sz="6" w:space="0" w:color="000000"/>
              <w:left w:val="single" w:sz="6" w:space="0" w:color="000000"/>
              <w:bottom w:val="single" w:sz="6" w:space="0" w:color="000000"/>
              <w:right w:val="single" w:sz="6" w:space="0" w:color="000000"/>
            </w:tcBorders>
          </w:tcPr>
          <w:p>
            <w:pPr>
              <w:pStyle w:val="Style141"/>
              <w:widowControl w:val="false"/>
              <w:spacing w:lineRule="auto" w:line="240"/>
              <w:ind w:right="174" w:hanging="0"/>
              <w:jc w:val="both"/>
              <w:rPr>
                <w:rStyle w:val="FontStyle23"/>
                <w:rFonts w:cs="Times New Roman"/>
                <w:color w:val="000000" w:themeColor="text1"/>
                <w:sz w:val="28"/>
                <w:szCs w:val="28"/>
                <w:lang w:val="uk-UA" w:eastAsia="uk-UA"/>
              </w:rPr>
            </w:pPr>
            <w:r>
              <w:rPr>
                <w:rStyle w:val="FontStyle23"/>
                <w:rFonts w:cs="Times New Roman"/>
                <w:color w:val="000000" w:themeColor="text1"/>
                <w:sz w:val="28"/>
                <w:szCs w:val="28"/>
                <w:lang w:val="uk-UA" w:eastAsia="uk-UA"/>
              </w:rPr>
              <w:t>Територія сіл та селищ Луцької міської територіальної громади.</w:t>
            </w:r>
          </w:p>
        </w:tc>
      </w:tr>
    </w:tbl>
    <w:p>
      <w:pPr>
        <w:pStyle w:val="Normal"/>
        <w:ind w:firstLine="708"/>
        <w:rPr>
          <w:rFonts w:ascii="Arial" w:hAnsi="Arial" w:cs="Arial"/>
          <w:color w:val="000000" w:themeColor="text1"/>
          <w:sz w:val="26"/>
          <w:szCs w:val="26"/>
        </w:rPr>
      </w:pPr>
      <w:r>
        <w:rPr>
          <w:rFonts w:cs="Arial" w:ascii="Arial" w:hAnsi="Arial"/>
          <w:color w:val="000000" w:themeColor="text1"/>
          <w:sz w:val="26"/>
          <w:szCs w:val="26"/>
        </w:rPr>
      </w:r>
    </w:p>
    <w:p>
      <w:pPr>
        <w:pStyle w:val="Normal"/>
        <w:ind w:firstLine="567"/>
        <w:rPr>
          <w:color w:val="000000" w:themeColor="text1"/>
        </w:rPr>
      </w:pPr>
      <w:r>
        <w:rPr>
          <w:rFonts w:cs="Times New Roman" w:ascii="Times New Roman" w:hAnsi="Times New Roman"/>
          <w:color w:val="000000" w:themeColor="text1"/>
          <w:sz w:val="28"/>
          <w:szCs w:val="26"/>
        </w:rPr>
        <w:t xml:space="preserve">3. Місячний розмір плати за розміщення СЗЕ – це місячний розмір плати за </w:t>
      </w:r>
      <w:r>
        <w:rPr>
          <w:rFonts w:cs="Times New Roman" w:ascii="Times New Roman" w:hAnsi="Times New Roman"/>
          <w:color w:val="000000" w:themeColor="text1"/>
          <w:sz w:val="28"/>
          <w:szCs w:val="28"/>
        </w:rPr>
        <w:t xml:space="preserve">тимчасове користування окремими конструктивними елементами благоустрою комунальної власності для розміщення СЗЕ, яка </w:t>
      </w:r>
      <w:r>
        <w:rPr>
          <w:rFonts w:cs="Times New Roman" w:ascii="Times New Roman" w:hAnsi="Times New Roman"/>
          <w:color w:val="000000" w:themeColor="text1"/>
          <w:sz w:val="28"/>
          <w:szCs w:val="26"/>
        </w:rPr>
        <w:t>встановлена за результатами конкурсу, (далі – плата)</w:t>
      </w:r>
      <w:bookmarkStart w:id="0" w:name="_GoBack"/>
      <w:bookmarkEnd w:id="0"/>
      <w:r>
        <w:rPr>
          <w:rFonts w:cs="Times New Roman" w:ascii="Times New Roman" w:hAnsi="Times New Roman"/>
          <w:color w:val="000000" w:themeColor="text1"/>
          <w:sz w:val="28"/>
          <w:szCs w:val="26"/>
        </w:rPr>
        <w:t xml:space="preserve"> не може бути рівним чи нижчим за базову вартість, розраховану відповідно до пункту 2 Методики.</w:t>
      </w:r>
    </w:p>
    <w:p>
      <w:pPr>
        <w:pStyle w:val="Normal"/>
        <w:ind w:firstLine="567"/>
        <w:rPr>
          <w:color w:val="000000" w:themeColor="text1"/>
        </w:rPr>
      </w:pPr>
      <w:r>
        <w:rPr>
          <w:rFonts w:cs="Times New Roman" w:ascii="Times New Roman" w:hAnsi="Times New Roman"/>
          <w:color w:val="000000" w:themeColor="text1"/>
          <w:sz w:val="28"/>
          <w:szCs w:val="26"/>
        </w:rPr>
        <w:t xml:space="preserve">4. Щорічний перерахунок </w:t>
      </w:r>
      <w:r>
        <w:rPr>
          <w:rFonts w:cs="Times New Roman" w:ascii="Times New Roman" w:hAnsi="Times New Roman"/>
          <w:color w:val="000000" w:themeColor="text1"/>
          <w:sz w:val="28"/>
          <w:szCs w:val="28"/>
        </w:rPr>
        <w:t xml:space="preserve">базової вартості </w:t>
      </w:r>
      <w:r>
        <w:rPr>
          <w:rFonts w:cs="Times New Roman" w:ascii="Times New Roman" w:hAnsi="Times New Roman"/>
          <w:color w:val="000000" w:themeColor="text1"/>
          <w:sz w:val="28"/>
          <w:szCs w:val="26"/>
        </w:rPr>
        <w:t>відповідно до пункту 2 Методики, з урахуванням індексу інфляції за попередній рік є обов’язковим та здійснюється протягом січня.</w:t>
      </w:r>
    </w:p>
    <w:p>
      <w:pPr>
        <w:pStyle w:val="Normal"/>
        <w:ind w:firstLine="567"/>
        <w:rPr>
          <w:color w:val="000000" w:themeColor="text1"/>
        </w:rPr>
      </w:pPr>
      <w:r>
        <w:rPr>
          <w:rFonts w:cs="Times New Roman" w:ascii="Times New Roman" w:hAnsi="Times New Roman"/>
          <w:color w:val="000000" w:themeColor="text1"/>
          <w:sz w:val="28"/>
          <w:szCs w:val="26"/>
        </w:rPr>
        <w:t>5. </w:t>
      </w:r>
      <w:r>
        <w:rPr>
          <w:rFonts w:ascii="Times New Roman" w:hAnsi="Times New Roman"/>
          <w:color w:val="000000" w:themeColor="text1"/>
          <w:sz w:val="28"/>
          <w:szCs w:val="28"/>
        </w:rPr>
        <w:t>Розмір плати щорічно на кожен наступний рік визначається способом коригування розміру плати попереднього року на рівень інфляції за попередній рік.</w:t>
      </w:r>
    </w:p>
    <w:p>
      <w:pPr>
        <w:pStyle w:val="Normal"/>
        <w:ind w:firstLine="567"/>
        <w:rPr>
          <w:color w:val="000000" w:themeColor="text1"/>
        </w:rPr>
      </w:pPr>
      <w:r>
        <w:rPr>
          <w:rFonts w:cs="Times New Roman" w:ascii="Times New Roman" w:hAnsi="Times New Roman"/>
          <w:color w:val="000000" w:themeColor="text1"/>
          <w:sz w:val="28"/>
          <w:szCs w:val="26"/>
        </w:rPr>
        <w:t>6. При розрахунку площі</w:t>
      </w:r>
      <w:r>
        <w:rPr>
          <w:rFonts w:cs="Times New Roman" w:ascii="Times New Roman" w:hAnsi="Times New Roman"/>
          <w:color w:val="000000" w:themeColor="text1"/>
          <w:sz w:val="28"/>
          <w:szCs w:val="28"/>
        </w:rPr>
        <w:t xml:space="preserve"> ділянки, на якій розташований конструктивний елемент благоустрою комунальної власності,</w:t>
      </w:r>
      <w:r>
        <w:rPr>
          <w:rFonts w:cs="Times New Roman" w:ascii="Times New Roman" w:hAnsi="Times New Roman"/>
          <w:color w:val="000000" w:themeColor="text1"/>
          <w:sz w:val="28"/>
          <w:szCs w:val="26"/>
        </w:rPr>
        <w:t xml:space="preserve"> неповний квадратний метр враховується як повний.</w:t>
      </w:r>
    </w:p>
    <w:p>
      <w:pPr>
        <w:pStyle w:val="Normal"/>
        <w:ind w:firstLine="567"/>
        <w:rPr>
          <w:color w:val="000000" w:themeColor="text1"/>
          <w:sz w:val="28"/>
          <w:szCs w:val="28"/>
        </w:rPr>
      </w:pPr>
      <w:r>
        <w:rPr>
          <w:color w:val="000000" w:themeColor="text1"/>
          <w:sz w:val="28"/>
          <w:szCs w:val="28"/>
        </w:rPr>
      </w:r>
    </w:p>
    <w:p>
      <w:pPr>
        <w:pStyle w:val="Normal"/>
        <w:ind w:firstLine="567"/>
        <w:rPr>
          <w:rFonts w:ascii="Times New Roman" w:hAnsi="Times New Roman" w:cs="Times New Roman"/>
          <w:sz w:val="28"/>
          <w:szCs w:val="28"/>
        </w:rPr>
      </w:pPr>
      <w:r>
        <w:rPr>
          <w:rFonts w:cs="Times New Roman" w:ascii="Times New Roman" w:hAnsi="Times New Roman"/>
          <w:sz w:val="28"/>
          <w:szCs w:val="28"/>
        </w:rPr>
      </w:r>
    </w:p>
    <w:p>
      <w:pPr>
        <w:pStyle w:val="Normal"/>
        <w:rPr>
          <w:sz w:val="24"/>
          <w:szCs w:val="24"/>
        </w:rPr>
      </w:pPr>
      <w:r>
        <w:rPr>
          <w:rFonts w:cs="Times New Roman" w:ascii="Times New Roman" w:hAnsi="Times New Roman"/>
          <w:sz w:val="24"/>
          <w:szCs w:val="24"/>
        </w:rPr>
        <w:t>Борис Смаль 777 955</w:t>
      </w:r>
    </w:p>
    <w:sectPr>
      <w:type w:val="nextPage"/>
      <w:pgSz w:w="11906" w:h="16838"/>
      <w:pgMar w:left="1701" w:right="566" w:gutter="0" w:header="0" w:top="851" w:footer="0" w:bottom="567"/>
      <w:pgNumType w:fmt="decimal"/>
      <w:formProt w:val="false"/>
      <w:textDirection w:val="lrTb"/>
      <w:docGrid w:type="default" w:linePitch="360" w:charSpace="1228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Segoe UI">
    <w:charset w:val="cc"/>
    <w:family w:val="roman"/>
    <w:pitch w:val="variable"/>
  </w:font>
  <w:font w:name="Times New Roman">
    <w:charset w:val="cc"/>
    <w:family w:val="roman"/>
    <w:pitch w:val="variable"/>
  </w:font>
  <w:font w:name="Liberation Sans">
    <w:altName w:val="Arial"/>
    <w:charset w:val="cc"/>
    <w:family w:val="roman"/>
    <w:pitch w:val="variable"/>
  </w:font>
  <w:font w:name="Candara">
    <w:charset w:val="cc"/>
    <w:family w:val="roman"/>
    <w:pitch w:val="variable"/>
  </w:font>
  <w:font w:name="Arial">
    <w:charset w:val="cc"/>
    <w:family w:val="roman"/>
    <w:pitch w:val="variable"/>
  </w:font>
</w:fonts>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1"/>
  </w:compat>
  <w:hyphenationZone w:val="425"/>
  <w:themeFontLang w:val="uk-UA"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Calibri"/>
        <w:lang w:val="ru-RU" w:eastAsia="ru-RU" w:bidi="ar-SA"/>
      </w:rPr>
    </w:rPrDefault>
    <w:pPrDefault>
      <w:pPr>
        <w:suppressAutoHyphens w:val="true"/>
      </w:pPr>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semiHidden="1" w:unhideWhenUsed="1" w:qFormat="1"/>
    <w:lsdException w:name="heading 3" w:locked="1" w:uiPriority="0" w:semiHidden="1" w:unhideWhenUsed="1" w:qFormat="1"/>
    <w:lsdException w:name="heading 4" w:locked="1" w:uiPriority="0" w:semiHidden="1" w:unhideWhenUsed="1" w:qFormat="1"/>
    <w:lsdException w:name="heading 5" w:locked="1" w:uiPriority="0" w:semiHidden="1" w:unhideWhenUsed="1" w:qFormat="1"/>
    <w:lsdException w:name="heading 6" w:locked="1" w:uiPriority="0" w:semiHidden="1" w:unhideWhenUsed="1" w:qFormat="1"/>
    <w:lsdException w:name="heading 7" w:locked="1" w:uiPriority="0" w:semiHidden="1" w:unhideWhenUsed="1" w:qFormat="1"/>
    <w:lsdException w:name="heading 8" w:locked="1" w:uiPriority="0" w:semiHidden="1" w:unhideWhenUsed="1" w:qFormat="1"/>
    <w:lsdException w:name="heading 9" w:locked="1" w:uiPriority="0"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652cd5"/>
    <w:pPr>
      <w:widowControl/>
      <w:suppressAutoHyphens w:val="true"/>
      <w:bidi w:val="0"/>
      <w:spacing w:before="0" w:after="0"/>
      <w:jc w:val="both"/>
    </w:pPr>
    <w:rPr>
      <w:rFonts w:ascii="Calibri" w:hAnsi="Calibri" w:eastAsia="Calibri" w:cs="Calibri"/>
      <w:color w:val="auto"/>
      <w:kern w:val="0"/>
      <w:sz w:val="22"/>
      <w:szCs w:val="22"/>
      <w:lang w:val="uk-UA" w:eastAsia="en-US" w:bidi="ar-SA"/>
    </w:rPr>
  </w:style>
  <w:style w:type="character" w:styleId="DefaultParagraphFont" w:default="1">
    <w:name w:val="Default Paragraph Font"/>
    <w:uiPriority w:val="1"/>
    <w:semiHidden/>
    <w:unhideWhenUsed/>
    <w:qFormat/>
    <w:rPr/>
  </w:style>
  <w:style w:type="character" w:styleId="Style14" w:customStyle="1">
    <w:name w:val="Верхний колонтитул Знак"/>
    <w:uiPriority w:val="99"/>
    <w:qFormat/>
    <w:rPr>
      <w:rFonts w:cs="Times New Roman"/>
    </w:rPr>
  </w:style>
  <w:style w:type="character" w:styleId="Style15" w:customStyle="1">
    <w:name w:val="Нижний колонтитул Знак"/>
    <w:uiPriority w:val="99"/>
    <w:qFormat/>
    <w:rPr>
      <w:rFonts w:cs="Times New Roman"/>
    </w:rPr>
  </w:style>
  <w:style w:type="character" w:styleId="Style16" w:customStyle="1">
    <w:name w:val="Текст выноски Знак"/>
    <w:uiPriority w:val="99"/>
    <w:semiHidden/>
    <w:qFormat/>
    <w:rPr>
      <w:rFonts w:ascii="Segoe UI" w:hAnsi="Segoe UI" w:cs="Segoe UI"/>
      <w:sz w:val="18"/>
      <w:szCs w:val="18"/>
    </w:rPr>
  </w:style>
  <w:style w:type="character" w:styleId="FontStyle23" w:customStyle="1">
    <w:name w:val="Font Style23"/>
    <w:uiPriority w:val="99"/>
    <w:qFormat/>
    <w:rPr>
      <w:rFonts w:ascii="Times New Roman" w:hAnsi="Times New Roman"/>
      <w:sz w:val="26"/>
    </w:rPr>
  </w:style>
  <w:style w:type="character" w:styleId="FontStyle25" w:customStyle="1">
    <w:name w:val="Font Style25"/>
    <w:uiPriority w:val="99"/>
    <w:qFormat/>
    <w:rPr>
      <w:rFonts w:ascii="Times New Roman" w:hAnsi="Times New Roman"/>
      <w:sz w:val="26"/>
    </w:rPr>
  </w:style>
  <w:style w:type="character" w:styleId="FontStyle26" w:customStyle="1">
    <w:name w:val="Font Style26"/>
    <w:uiPriority w:val="99"/>
    <w:qFormat/>
    <w:rPr>
      <w:rFonts w:ascii="Times New Roman" w:hAnsi="Times New Roman"/>
      <w:b/>
      <w:sz w:val="18"/>
    </w:rPr>
  </w:style>
  <w:style w:type="character" w:styleId="FontStyle27" w:customStyle="1">
    <w:name w:val="Font Style27"/>
    <w:uiPriority w:val="99"/>
    <w:qFormat/>
    <w:rPr>
      <w:rFonts w:ascii="Times New Roman" w:hAnsi="Times New Roman"/>
      <w:b/>
      <w:smallCaps/>
      <w:sz w:val="14"/>
    </w:rPr>
  </w:style>
  <w:style w:type="character" w:styleId="Style17" w:customStyle="1">
    <w:name w:val="Основний текст Знак"/>
    <w:uiPriority w:val="99"/>
    <w:semiHidden/>
    <w:qFormat/>
    <w:locked/>
    <w:rsid w:val="00652cd5"/>
    <w:rPr>
      <w:rFonts w:cs="Times New Roman"/>
      <w:lang w:eastAsia="en-US"/>
    </w:rPr>
  </w:style>
  <w:style w:type="character" w:styleId="Style18" w:customStyle="1">
    <w:name w:val="Верхній колонтитул Знак"/>
    <w:uiPriority w:val="99"/>
    <w:semiHidden/>
    <w:qFormat/>
    <w:locked/>
    <w:rsid w:val="00652cd5"/>
    <w:rPr>
      <w:rFonts w:cs="Times New Roman"/>
      <w:lang w:eastAsia="en-US"/>
    </w:rPr>
  </w:style>
  <w:style w:type="character" w:styleId="Style19" w:customStyle="1">
    <w:name w:val="Нижній колонтитул Знак"/>
    <w:uiPriority w:val="99"/>
    <w:semiHidden/>
    <w:qFormat/>
    <w:locked/>
    <w:rsid w:val="00652cd5"/>
    <w:rPr>
      <w:rFonts w:cs="Times New Roman"/>
      <w:lang w:eastAsia="en-US"/>
    </w:rPr>
  </w:style>
  <w:style w:type="character" w:styleId="BalloonTextChar" w:customStyle="1">
    <w:name w:val="Balloon Text Char"/>
    <w:uiPriority w:val="99"/>
    <w:semiHidden/>
    <w:qFormat/>
    <w:locked/>
    <w:rsid w:val="00652cd5"/>
    <w:rPr>
      <w:rFonts w:ascii="Times New Roman" w:hAnsi="Times New Roman" w:cs="Times New Roman"/>
      <w:sz w:val="2"/>
      <w:lang w:eastAsia="en-US"/>
    </w:rPr>
  </w:style>
  <w:style w:type="character" w:styleId="BodyTextChar1" w:customStyle="1">
    <w:name w:val="Body Text Char1"/>
    <w:uiPriority w:val="99"/>
    <w:semiHidden/>
    <w:qFormat/>
    <w:rPr>
      <w:rFonts w:cs="Times New Roman"/>
      <w:lang w:eastAsia="en-US"/>
    </w:rPr>
  </w:style>
  <w:style w:type="character" w:styleId="HeaderChar1" w:customStyle="1">
    <w:name w:val="Header Char1"/>
    <w:uiPriority w:val="99"/>
    <w:semiHidden/>
    <w:qFormat/>
    <w:rPr>
      <w:rFonts w:cs="Times New Roman"/>
      <w:lang w:eastAsia="en-US"/>
    </w:rPr>
  </w:style>
  <w:style w:type="character" w:styleId="FooterChar1" w:customStyle="1">
    <w:name w:val="Footer Char1"/>
    <w:uiPriority w:val="99"/>
    <w:semiHidden/>
    <w:qFormat/>
    <w:rPr>
      <w:rFonts w:cs="Times New Roman"/>
      <w:lang w:eastAsia="en-US"/>
    </w:rPr>
  </w:style>
  <w:style w:type="character" w:styleId="Style20" w:customStyle="1">
    <w:name w:val="Текст у виносці Знак"/>
    <w:link w:val="BalloonText"/>
    <w:uiPriority w:val="99"/>
    <w:semiHidden/>
    <w:qFormat/>
    <w:locked/>
    <w:rPr>
      <w:rFonts w:ascii="Times New Roman" w:hAnsi="Times New Roman" w:cs="Times New Roman"/>
      <w:sz w:val="2"/>
      <w:lang w:eastAsia="en-US"/>
    </w:rPr>
  </w:style>
  <w:style w:type="character" w:styleId="BodyTextChar2" w:customStyle="1">
    <w:name w:val="Body Text Char2"/>
    <w:uiPriority w:val="99"/>
    <w:semiHidden/>
    <w:qFormat/>
    <w:rsid w:val="003c5793"/>
    <w:rPr>
      <w:lang w:eastAsia="en-US"/>
    </w:rPr>
  </w:style>
  <w:style w:type="character" w:styleId="HeaderChar2" w:customStyle="1">
    <w:name w:val="Header Char2"/>
    <w:uiPriority w:val="99"/>
    <w:semiHidden/>
    <w:qFormat/>
    <w:rsid w:val="003c5793"/>
    <w:rPr>
      <w:lang w:eastAsia="en-US"/>
    </w:rPr>
  </w:style>
  <w:style w:type="character" w:styleId="FooterChar2" w:customStyle="1">
    <w:name w:val="Footer Char2"/>
    <w:uiPriority w:val="99"/>
    <w:semiHidden/>
    <w:qFormat/>
    <w:rsid w:val="003c5793"/>
    <w:rPr>
      <w:lang w:eastAsia="en-US"/>
    </w:rPr>
  </w:style>
  <w:style w:type="character" w:styleId="BalloonTextChar2" w:customStyle="1">
    <w:name w:val="Balloon Text Char2"/>
    <w:uiPriority w:val="99"/>
    <w:semiHidden/>
    <w:qFormat/>
    <w:rsid w:val="003c5793"/>
    <w:rPr>
      <w:rFonts w:ascii="Times New Roman" w:hAnsi="Times New Roman"/>
      <w:sz w:val="0"/>
      <w:szCs w:val="0"/>
      <w:lang w:eastAsia="en-US"/>
    </w:rPr>
  </w:style>
  <w:style w:type="paragraph" w:styleId="Style21" w:customStyle="1">
    <w:name w:val="Заголовок"/>
    <w:basedOn w:val="Normal"/>
    <w:next w:val="Style22"/>
    <w:uiPriority w:val="99"/>
    <w:qFormat/>
    <w:rsid w:val="00652cd5"/>
    <w:pPr>
      <w:keepNext w:val="true"/>
      <w:spacing w:before="240" w:after="120"/>
    </w:pPr>
    <w:rPr>
      <w:rFonts w:ascii="Liberation Sans" w:hAnsi="Liberation Sans" w:eastAsia="Microsoft YaHei" w:cs="Arial"/>
      <w:sz w:val="28"/>
      <w:szCs w:val="28"/>
    </w:rPr>
  </w:style>
  <w:style w:type="paragraph" w:styleId="Style22">
    <w:name w:val="Body Text"/>
    <w:basedOn w:val="Normal"/>
    <w:link w:val="Style17"/>
    <w:uiPriority w:val="99"/>
    <w:rsid w:val="00652cd5"/>
    <w:pPr>
      <w:spacing w:lineRule="auto" w:line="276" w:before="0" w:after="140"/>
    </w:pPr>
    <w:rPr/>
  </w:style>
  <w:style w:type="paragraph" w:styleId="Style23">
    <w:name w:val="List"/>
    <w:basedOn w:val="Style22"/>
    <w:uiPriority w:val="99"/>
    <w:rsid w:val="00652cd5"/>
    <w:pPr/>
    <w:rPr>
      <w:rFonts w:cs="Arial"/>
    </w:rPr>
  </w:style>
  <w:style w:type="paragraph" w:styleId="Style24">
    <w:name w:val="Caption"/>
    <w:basedOn w:val="Normal"/>
    <w:qFormat/>
    <w:pPr>
      <w:suppressLineNumbers/>
      <w:spacing w:before="120" w:after="120"/>
    </w:pPr>
    <w:rPr>
      <w:rFonts w:cs="Arial"/>
      <w:i/>
      <w:iCs/>
      <w:sz w:val="24"/>
      <w:szCs w:val="24"/>
    </w:rPr>
  </w:style>
  <w:style w:type="paragraph" w:styleId="Style25" w:customStyle="1">
    <w:name w:val="Покажчик"/>
    <w:basedOn w:val="Normal"/>
    <w:uiPriority w:val="99"/>
    <w:qFormat/>
    <w:rsid w:val="00652cd5"/>
    <w:pPr>
      <w:suppressLineNumbers/>
    </w:pPr>
    <w:rPr>
      <w:rFonts w:cs="Arial"/>
    </w:rPr>
  </w:style>
  <w:style w:type="paragraph" w:styleId="Caption">
    <w:name w:val="caption"/>
    <w:basedOn w:val="Normal"/>
    <w:uiPriority w:val="99"/>
    <w:qFormat/>
    <w:rsid w:val="00652cd5"/>
    <w:pPr>
      <w:suppressLineNumbers/>
      <w:spacing w:before="120" w:after="120"/>
    </w:pPr>
    <w:rPr>
      <w:rFonts w:cs="Arial"/>
      <w:i/>
      <w:iCs/>
      <w:sz w:val="24"/>
      <w:szCs w:val="24"/>
    </w:rPr>
  </w:style>
  <w:style w:type="paragraph" w:styleId="Style26" w:customStyle="1">
    <w:name w:val="Верхній і нижній колонтитули"/>
    <w:basedOn w:val="Normal"/>
    <w:uiPriority w:val="99"/>
    <w:qFormat/>
    <w:rsid w:val="00652cd5"/>
    <w:pPr/>
    <w:rPr/>
  </w:style>
  <w:style w:type="paragraph" w:styleId="Style27">
    <w:name w:val="Header"/>
    <w:basedOn w:val="Normal"/>
    <w:link w:val="Style18"/>
    <w:uiPriority w:val="99"/>
    <w:pPr>
      <w:tabs>
        <w:tab w:val="clear" w:pos="708"/>
        <w:tab w:val="center" w:pos="4819" w:leader="none"/>
        <w:tab w:val="right" w:pos="9639" w:leader="none"/>
      </w:tabs>
    </w:pPr>
    <w:rPr/>
  </w:style>
  <w:style w:type="paragraph" w:styleId="Style28">
    <w:name w:val="Footer"/>
    <w:basedOn w:val="Normal"/>
    <w:link w:val="Style19"/>
    <w:uiPriority w:val="99"/>
    <w:pPr>
      <w:tabs>
        <w:tab w:val="clear" w:pos="708"/>
        <w:tab w:val="center" w:pos="4819" w:leader="none"/>
        <w:tab w:val="right" w:pos="9639" w:leader="none"/>
      </w:tabs>
    </w:pPr>
    <w:rPr/>
  </w:style>
  <w:style w:type="paragraph" w:styleId="BalloonText">
    <w:name w:val="Balloon Text"/>
    <w:basedOn w:val="Normal"/>
    <w:link w:val="Style20"/>
    <w:uiPriority w:val="99"/>
    <w:semiHidden/>
    <w:qFormat/>
    <w:pPr/>
    <w:rPr>
      <w:rFonts w:ascii="Segoe UI" w:hAnsi="Segoe UI" w:cs="Segoe UI"/>
      <w:sz w:val="18"/>
      <w:szCs w:val="18"/>
    </w:rPr>
  </w:style>
  <w:style w:type="paragraph" w:styleId="ListParagraph">
    <w:name w:val="List Paragraph"/>
    <w:basedOn w:val="Normal"/>
    <w:uiPriority w:val="99"/>
    <w:qFormat/>
    <w:pPr>
      <w:spacing w:before="0" w:after="0"/>
      <w:ind w:left="720" w:hanging="0"/>
      <w:contextualSpacing/>
    </w:pPr>
    <w:rPr/>
  </w:style>
  <w:style w:type="paragraph" w:styleId="Style91" w:customStyle="1">
    <w:name w:val="Style9"/>
    <w:basedOn w:val="Normal"/>
    <w:uiPriority w:val="99"/>
    <w:qFormat/>
    <w:pPr>
      <w:widowControl w:val="false"/>
      <w:spacing w:lineRule="exact" w:line="326"/>
      <w:jc w:val="center"/>
    </w:pPr>
    <w:rPr>
      <w:rFonts w:ascii="Candara" w:hAnsi="Candara" w:eastAsia="Times New Roman" w:cs="Candara"/>
      <w:sz w:val="24"/>
      <w:szCs w:val="24"/>
      <w:lang w:val="ru-RU" w:eastAsia="ru-RU"/>
    </w:rPr>
  </w:style>
  <w:style w:type="paragraph" w:styleId="Style101" w:customStyle="1">
    <w:name w:val="Style10"/>
    <w:basedOn w:val="Normal"/>
    <w:uiPriority w:val="99"/>
    <w:qFormat/>
    <w:pPr>
      <w:widowControl w:val="false"/>
      <w:spacing w:lineRule="exact" w:line="331"/>
      <w:jc w:val="left"/>
    </w:pPr>
    <w:rPr>
      <w:rFonts w:ascii="Candara" w:hAnsi="Candara" w:eastAsia="Times New Roman" w:cs="Candara"/>
      <w:sz w:val="24"/>
      <w:szCs w:val="24"/>
      <w:lang w:val="ru-RU" w:eastAsia="ru-RU"/>
    </w:rPr>
  </w:style>
  <w:style w:type="paragraph" w:styleId="Style141" w:customStyle="1">
    <w:name w:val="Style14"/>
    <w:basedOn w:val="Normal"/>
    <w:uiPriority w:val="99"/>
    <w:qFormat/>
    <w:pPr>
      <w:widowControl w:val="false"/>
      <w:spacing w:lineRule="exact" w:line="259"/>
      <w:jc w:val="left"/>
    </w:pPr>
    <w:rPr>
      <w:rFonts w:ascii="Candara" w:hAnsi="Candara" w:eastAsia="Times New Roman" w:cs="Candara"/>
      <w:sz w:val="24"/>
      <w:szCs w:val="24"/>
      <w:lang w:val="ru-RU" w:eastAsia="ru-RU"/>
    </w:rPr>
  </w:style>
  <w:style w:type="paragraph" w:styleId="Style151" w:customStyle="1">
    <w:name w:val="Style15"/>
    <w:basedOn w:val="Normal"/>
    <w:uiPriority w:val="99"/>
    <w:qFormat/>
    <w:pPr>
      <w:widowControl w:val="false"/>
      <w:jc w:val="left"/>
    </w:pPr>
    <w:rPr>
      <w:rFonts w:ascii="Candara" w:hAnsi="Candara" w:eastAsia="Times New Roman" w:cs="Candara"/>
      <w:sz w:val="24"/>
      <w:szCs w:val="24"/>
      <w:lang w:val="ru-RU" w:eastAsia="ru-RU"/>
    </w:rPr>
  </w:style>
  <w:style w:type="paragraph" w:styleId="Style171" w:customStyle="1">
    <w:name w:val="Style17"/>
    <w:basedOn w:val="Normal"/>
    <w:uiPriority w:val="99"/>
    <w:qFormat/>
    <w:pPr>
      <w:widowControl w:val="false"/>
      <w:spacing w:lineRule="exact" w:line="269"/>
      <w:ind w:firstLine="77"/>
      <w:jc w:val="left"/>
    </w:pPr>
    <w:rPr>
      <w:rFonts w:ascii="Candara" w:hAnsi="Candara" w:eastAsia="Times New Roman" w:cs="Candara"/>
      <w:sz w:val="24"/>
      <w:szCs w:val="24"/>
      <w:lang w:val="ru-RU" w:eastAsia="ru-RU"/>
    </w:rPr>
  </w:style>
  <w:style w:type="numbering" w:styleId="NoList" w:default="1">
    <w:name w:val="No List"/>
    <w:uiPriority w:val="99"/>
    <w:semiHidden/>
    <w:unhideWhenUsed/>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Relationship Id="rId4"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18</TotalTime>
  <Application>LibreOffice/7.3.3.2$Windows_X86_64 LibreOffice_project/d1d0ea68f081ee2800a922cac8f79445e4603348</Application>
  <AppVersion>15.0000</AppVersion>
  <Pages>3</Pages>
  <Words>584</Words>
  <Characters>4397</Characters>
  <CharactersWithSpaces>4941</CharactersWithSpaces>
  <Paragraphs>50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2023-09-20T10:00:00Z</dcterms:created>
  <dc:creator>Штогрин Ірина</dc:creator>
  <dc:description/>
  <dc:language>uk-UA</dc:language>
  <cp:lastModifiedBy/>
  <cp:lastPrinted>2023-06-08T05:17:00Z</cp:lastPrinted>
  <dcterms:modified xsi:type="dcterms:W3CDTF">2023-09-21T11:10:13Z</dcterms:modified>
  <cp:revision>15</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0</vt:bool>
  </property>
  <property fmtid="{D5CDD505-2E9C-101B-9397-08002B2CF9AE}" pid="3" name="LinksUpToDate">
    <vt:bool>0</vt:bool>
  </property>
  <property fmtid="{D5CDD505-2E9C-101B-9397-08002B2CF9AE}" pid="4" name="ScaleCrop">
    <vt:bool>0</vt:bool>
  </property>
  <property fmtid="{D5CDD505-2E9C-101B-9397-08002B2CF9AE}" pid="5" name="ShareDoc">
    <vt:bool>0</vt:bool>
  </property>
</Properties>
</file>