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B5F" w:rsidRDefault="0071294A">
      <w:pPr>
        <w:ind w:firstLine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 до Положення</w:t>
      </w:r>
    </w:p>
    <w:p w:rsidR="002F7B5F" w:rsidRDefault="0071294A">
      <w:pPr>
        <w:ind w:firstLine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встановлення станцій</w:t>
      </w:r>
    </w:p>
    <w:p w:rsidR="002F7B5F" w:rsidRDefault="0071294A">
      <w:pPr>
        <w:ind w:firstLine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зарядки електротранспорту</w:t>
      </w:r>
    </w:p>
    <w:p w:rsidR="002F7B5F" w:rsidRDefault="0071294A">
      <w:pPr>
        <w:ind w:lef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  <w:lang w:eastAsia="ru-RU"/>
        </w:rPr>
        <w:t>Луцької міської територіальної громади</w:t>
      </w:r>
    </w:p>
    <w:p w:rsidR="002F7B5F" w:rsidRDefault="002F7B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7B5F" w:rsidRDefault="002F7B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7B5F" w:rsidRDefault="007129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</w:t>
      </w:r>
    </w:p>
    <w:p w:rsidR="002F7B5F" w:rsidRDefault="0071294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розрахунку вартості тимчасового користування окремими конструктивними елементами благоустрою комунальної власності і розміру плати за розміщення </w:t>
      </w:r>
      <w:r>
        <w:rPr>
          <w:rFonts w:ascii="Times New Roman" w:hAnsi="Times New Roman"/>
          <w:color w:val="000000" w:themeColor="text1"/>
          <w:sz w:val="28"/>
          <w:szCs w:val="28"/>
        </w:rPr>
        <w:t>станцій зарядки електротранспорту</w:t>
      </w:r>
    </w:p>
    <w:p w:rsidR="002F7B5F" w:rsidRDefault="0071294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F7B5F" w:rsidRDefault="0071294A">
      <w:pPr>
        <w:ind w:firstLine="567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 Методика розрахунку вартості тимчасового користування окремими конструкт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ивними елементами благоустрою комунальної власності і розміру плати за розміщення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станцій зарядки електротранспорту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(далі – Методика) розроблена з метою визначення розміру плати за розміщення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СЗЕ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окремих конструктивних елементах благоустрою комунальної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власності.</w:t>
      </w:r>
    </w:p>
    <w:p w:rsidR="002F7B5F" w:rsidRDefault="0071294A">
      <w:pPr>
        <w:ind w:firstLine="567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 Базова вартість тимчасового користування окремим конструктивним елементом благоустрою комунальної власності (далі – базова вартість) визначається за формулою:</w:t>
      </w:r>
    </w:p>
    <w:p w:rsidR="002F7B5F" w:rsidRDefault="0071294A">
      <w:pPr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perscript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>в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=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>б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*S*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vertAlign w:val="subscript"/>
        </w:rPr>
        <w:t>зон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*N</w:t>
      </w:r>
    </w:p>
    <w:p w:rsidR="002F7B5F" w:rsidRDefault="0071294A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де:</w:t>
      </w:r>
    </w:p>
    <w:p w:rsidR="002F7B5F" w:rsidRDefault="0071294A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>б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 базовий тариф плати за тимчасове користування 1 м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окремого конструктивного елемента благоустрою комунальної власності, що дорівнює одному неоподаткованому мінімуму доходів громадян, визначеному Податковим кодексом України. Базовий тариф щорічно на кожен наступний рік визначається шляхом коригування на рі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вень інфляції за попередній рік;</w:t>
      </w:r>
    </w:p>
    <w:p w:rsidR="002F7B5F" w:rsidRDefault="0071294A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 площа зайнятої території, на якій розташований окремий конструктивний елемент благоустрою комунальної власності;</w:t>
      </w:r>
    </w:p>
    <w:p w:rsidR="002F7B5F" w:rsidRDefault="0071294A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vertAlign w:val="subscript"/>
        </w:rPr>
        <w:t>зон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 коефіцієнт диференціації базового тарифу, що враховує зональний поділ Луцької міської територіально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ї громади згідно з додатком 4 до Положення;</w:t>
      </w:r>
    </w:p>
    <w:p w:rsidR="002F7B5F" w:rsidRDefault="0071294A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 кількість днів користування.</w:t>
      </w:r>
    </w:p>
    <w:p w:rsidR="002F7B5F" w:rsidRDefault="002F7B5F">
      <w:pPr>
        <w:ind w:firstLine="708"/>
        <w:rPr>
          <w:rFonts w:ascii="Times New Roman" w:hAnsi="Times New Roman" w:cs="Times New Roman"/>
          <w:color w:val="000000" w:themeColor="text1"/>
          <w:sz w:val="28"/>
          <w:szCs w:val="26"/>
        </w:rPr>
      </w:pPr>
    </w:p>
    <w:p w:rsidR="002F7B5F" w:rsidRDefault="0071294A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Коефіцієнти диференціації базового тарифу в залежності від зони місця розміщення СЗЕ відповідно до Схеми зонування території Луцької міської територіальної громади для нарахуванн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плати, визначеної згідно з додатком 4 до Положення </w:t>
      </w:r>
      <w:r>
        <w:rPr>
          <w:rFonts w:ascii="Times New Roman" w:hAnsi="Times New Roman" w:cs="Times New Roman"/>
          <w:sz w:val="28"/>
          <w:szCs w:val="28"/>
        </w:rPr>
        <w:t>про встановлення станцій зарядки електротранспорту на території Луцької міської територіальної громади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F7B5F" w:rsidRDefault="002F7B5F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646" w:type="dxa"/>
        <w:tblInd w:w="3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7"/>
        <w:gridCol w:w="1585"/>
        <w:gridCol w:w="7334"/>
      </w:tblGrid>
      <w:tr w:rsidR="002F7B5F"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B5F" w:rsidRDefault="0071294A">
            <w:pPr>
              <w:pStyle w:val="Style10"/>
              <w:spacing w:line="240" w:lineRule="auto"/>
              <w:jc w:val="center"/>
              <w:rPr>
                <w:rStyle w:val="FontStyle23"/>
                <w:rFonts w:cs="Times New Roman"/>
                <w:bCs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Style w:val="FontStyle23"/>
                <w:rFonts w:cs="Times New Roman"/>
                <w:bCs/>
                <w:color w:val="000000" w:themeColor="text1"/>
                <w:sz w:val="28"/>
                <w:szCs w:val="28"/>
                <w:lang w:val="uk-UA" w:eastAsia="uk-UA"/>
              </w:rPr>
              <w:t>Зона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B5F" w:rsidRDefault="0071294A">
            <w:pPr>
              <w:pStyle w:val="Style9"/>
              <w:spacing w:line="240" w:lineRule="auto"/>
              <w:rPr>
                <w:rStyle w:val="FontStyle23"/>
                <w:rFonts w:cs="Times New Roman"/>
                <w:bCs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Style w:val="FontStyle23"/>
                <w:rFonts w:cs="Times New Roman"/>
                <w:bCs/>
                <w:color w:val="000000" w:themeColor="text1"/>
                <w:sz w:val="28"/>
                <w:szCs w:val="28"/>
                <w:lang w:val="uk-UA" w:eastAsia="uk-UA"/>
              </w:rPr>
              <w:t>Коефіцієнт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k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bscript"/>
                <w:lang w:val="uk-UA"/>
              </w:rPr>
              <w:t>зон</w:t>
            </w:r>
            <w:proofErr w:type="spellEnd"/>
            <w:r>
              <w:rPr>
                <w:rStyle w:val="FontStyle23"/>
                <w:rFonts w:cs="Times New Roman"/>
                <w:bCs/>
                <w:color w:val="000000" w:themeColor="text1"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7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B5F" w:rsidRDefault="0071294A">
            <w:pPr>
              <w:pStyle w:val="Style10"/>
              <w:spacing w:line="240" w:lineRule="auto"/>
              <w:ind w:right="174"/>
              <w:jc w:val="center"/>
              <w:rPr>
                <w:rStyle w:val="FontStyle23"/>
                <w:rFonts w:cs="Times New Roman"/>
                <w:bCs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Style w:val="FontStyle23"/>
                <w:rFonts w:cs="Times New Roman"/>
                <w:bCs/>
                <w:color w:val="000000" w:themeColor="text1"/>
                <w:sz w:val="28"/>
                <w:szCs w:val="28"/>
                <w:lang w:val="uk-UA" w:eastAsia="uk-UA"/>
              </w:rPr>
              <w:t>Назва районів</w:t>
            </w:r>
          </w:p>
        </w:tc>
      </w:tr>
      <w:tr w:rsidR="002F7B5F"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B5F" w:rsidRDefault="0071294A">
            <w:pPr>
              <w:pStyle w:val="Style10"/>
              <w:spacing w:line="240" w:lineRule="auto"/>
              <w:jc w:val="center"/>
              <w:rPr>
                <w:rStyle w:val="FontStyle23"/>
                <w:rFonts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Style w:val="FontStyle23"/>
                <w:rFonts w:cs="Times New Roman"/>
                <w:color w:val="000000" w:themeColor="text1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B5F" w:rsidRDefault="0071294A">
            <w:pPr>
              <w:pStyle w:val="Style14"/>
              <w:spacing w:line="240" w:lineRule="auto"/>
              <w:ind w:right="174"/>
              <w:jc w:val="center"/>
              <w:rPr>
                <w:rStyle w:val="FontStyle26"/>
                <w:rFonts w:cs="Times New Roman"/>
                <w:b w:val="0"/>
                <w:bCs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Style w:val="FontStyle26"/>
                <w:rFonts w:cs="Times New Roman"/>
                <w:b w:val="0"/>
                <w:bCs/>
                <w:color w:val="000000" w:themeColor="text1"/>
                <w:sz w:val="28"/>
                <w:szCs w:val="28"/>
                <w:lang w:val="uk-UA" w:eastAsia="uk-UA"/>
              </w:rPr>
              <w:t>2,3</w:t>
            </w:r>
          </w:p>
        </w:tc>
        <w:tc>
          <w:tcPr>
            <w:tcW w:w="7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B5F" w:rsidRDefault="0071294A">
            <w:pPr>
              <w:pStyle w:val="Style14"/>
              <w:spacing w:line="240" w:lineRule="auto"/>
              <w:ind w:right="174"/>
              <w:jc w:val="both"/>
              <w:rPr>
                <w:rStyle w:val="FontStyle23"/>
                <w:rFonts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«ТЕРИТОРІЯ В МЕЖАХ ІСТОРИКО-КУЛЬТУРНОГО ЗАПОВІДНИКА»</w:t>
            </w:r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 xml:space="preserve">, </w:t>
            </w:r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 xml:space="preserve">в т. ч. вулиці: Ковельська (до повороту на вул. Набережну), </w:t>
            </w:r>
            <w:proofErr w:type="spellStart"/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>Братковського</w:t>
            </w:r>
            <w:proofErr w:type="spellEnd"/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 xml:space="preserve">, Данила Галицького, Замкова, Караїмська, Кафедральна, Драгоманова, Іова </w:t>
            </w:r>
            <w:proofErr w:type="spellStart"/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>Кондзелевича</w:t>
            </w:r>
            <w:proofErr w:type="spellEnd"/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>, Кочерги, Молодіжна.</w:t>
            </w:r>
          </w:p>
          <w:p w:rsidR="002F7B5F" w:rsidRDefault="0071294A">
            <w:pPr>
              <w:pStyle w:val="Style14"/>
              <w:spacing w:line="240" w:lineRule="auto"/>
              <w:ind w:right="174"/>
              <w:jc w:val="both"/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Style w:val="FontStyle23"/>
                <w:rFonts w:cs="Times New Roman"/>
                <w:color w:val="000000" w:themeColor="text1"/>
                <w:sz w:val="28"/>
                <w:szCs w:val="28"/>
                <w:lang w:val="uk-UA" w:eastAsia="uk-UA"/>
              </w:rPr>
              <w:lastRenderedPageBreak/>
              <w:t xml:space="preserve">ЦЕНТР, в т. ч. </w:t>
            </w:r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 xml:space="preserve">вулиці: Богдана Хмельницького, Винниченка, Глушець, </w:t>
            </w:r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 xml:space="preserve">Ковельська, Лесі Українки, Набережна, Стрілецька, Франка, Рівненська, </w:t>
            </w:r>
            <w:proofErr w:type="spellStart"/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>Дубнівська</w:t>
            </w:r>
            <w:proofErr w:type="spellEnd"/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>Задворецька</w:t>
            </w:r>
            <w:proofErr w:type="spellEnd"/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 xml:space="preserve">, Клима </w:t>
            </w:r>
            <w:proofErr w:type="spellStart"/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>Савура</w:t>
            </w:r>
            <w:proofErr w:type="spellEnd"/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 xml:space="preserve">, Івана Огієнка, Шопена, Коперника, Степана Бандери, </w:t>
            </w:r>
            <w:proofErr w:type="spellStart"/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>Яровиця</w:t>
            </w:r>
            <w:proofErr w:type="spellEnd"/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 xml:space="preserve">, Кривий Вал, Паркова, Архітектора </w:t>
            </w:r>
            <w:proofErr w:type="spellStart"/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>Метельницького</w:t>
            </w:r>
            <w:proofErr w:type="spellEnd"/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>, Авторемонтна;</w:t>
            </w:r>
          </w:p>
          <w:p w:rsidR="002F7B5F" w:rsidRDefault="0071294A">
            <w:pPr>
              <w:pStyle w:val="Style14"/>
              <w:spacing w:line="240" w:lineRule="auto"/>
              <w:ind w:right="174"/>
              <w:jc w:val="both"/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>Театральний майдан, Київ</w:t>
            </w:r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>ський майдан, майдан Братський міст; проспекти: Волі, Перемоги, Президента Грушевського.</w:t>
            </w:r>
          </w:p>
        </w:tc>
      </w:tr>
      <w:tr w:rsidR="002F7B5F"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B5F" w:rsidRDefault="0071294A">
            <w:pPr>
              <w:pStyle w:val="Style10"/>
              <w:spacing w:line="240" w:lineRule="auto"/>
              <w:jc w:val="center"/>
              <w:rPr>
                <w:rStyle w:val="FontStyle23"/>
                <w:rFonts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Style w:val="FontStyle23"/>
                <w:rFonts w:cs="Times New Roman"/>
                <w:color w:val="000000" w:themeColor="text1"/>
                <w:sz w:val="28"/>
                <w:szCs w:val="28"/>
                <w:lang w:val="uk-UA" w:eastAsia="uk-UA"/>
              </w:rPr>
              <w:lastRenderedPageBreak/>
              <w:t>2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B5F" w:rsidRDefault="0071294A">
            <w:pPr>
              <w:pStyle w:val="Style10"/>
              <w:spacing w:line="240" w:lineRule="auto"/>
              <w:ind w:right="174"/>
              <w:jc w:val="center"/>
              <w:rPr>
                <w:rStyle w:val="FontStyle23"/>
                <w:rFonts w:cs="Times New Roman"/>
                <w:bCs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Style w:val="FontStyle23"/>
                <w:rFonts w:cs="Times New Roman"/>
                <w:bCs/>
                <w:color w:val="000000" w:themeColor="text1"/>
                <w:sz w:val="28"/>
                <w:szCs w:val="28"/>
                <w:lang w:val="uk-UA" w:eastAsia="uk-UA"/>
              </w:rPr>
              <w:t>2,0</w:t>
            </w:r>
          </w:p>
        </w:tc>
        <w:tc>
          <w:tcPr>
            <w:tcW w:w="7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B5F" w:rsidRDefault="0071294A">
            <w:pPr>
              <w:pStyle w:val="Style14"/>
              <w:spacing w:line="240" w:lineRule="auto"/>
              <w:ind w:right="174"/>
              <w:jc w:val="both"/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Style w:val="FontStyle23"/>
                <w:rFonts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ЗАВОКЗАЛЬНИЙ, в т. ч. </w:t>
            </w:r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 xml:space="preserve">вулиці: Ветеранів, </w:t>
            </w:r>
            <w:proofErr w:type="spellStart"/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>Гордіюк</w:t>
            </w:r>
            <w:proofErr w:type="spellEnd"/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 xml:space="preserve">, Карпенка-Карого, </w:t>
            </w:r>
            <w:proofErr w:type="spellStart"/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>Конякіна</w:t>
            </w:r>
            <w:proofErr w:type="spellEnd"/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 xml:space="preserve">, Кравчука, В’ячеслава </w:t>
            </w:r>
            <w:proofErr w:type="spellStart"/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>Чорновола</w:t>
            </w:r>
            <w:proofErr w:type="spellEnd"/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 xml:space="preserve">, Воїнів-афганців, </w:t>
            </w:r>
            <w:proofErr w:type="spellStart"/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>Лідавська</w:t>
            </w:r>
            <w:proofErr w:type="spellEnd"/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>, Сухомлинського, Агатанг</w:t>
            </w:r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 xml:space="preserve">ела Кримського, Олеся Гончара, </w:t>
            </w:r>
            <w:proofErr w:type="spellStart"/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>Липинського</w:t>
            </w:r>
            <w:proofErr w:type="spellEnd"/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>;</w:t>
            </w:r>
          </w:p>
          <w:p w:rsidR="002F7B5F" w:rsidRDefault="0071294A">
            <w:pPr>
              <w:pStyle w:val="Style14"/>
              <w:spacing w:line="240" w:lineRule="auto"/>
              <w:ind w:right="174"/>
              <w:jc w:val="both"/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>проспекти: Відродження, Молоді, Соборності.</w:t>
            </w:r>
          </w:p>
        </w:tc>
      </w:tr>
      <w:tr w:rsidR="002F7B5F"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B5F" w:rsidRDefault="0071294A">
            <w:pPr>
              <w:pStyle w:val="Style15"/>
              <w:jc w:val="center"/>
              <w:rPr>
                <w:rStyle w:val="FontStyle25"/>
                <w:rFonts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Style w:val="FontStyle25"/>
                <w:rFonts w:cs="Times New Roman"/>
                <w:color w:val="000000" w:themeColor="text1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B5F" w:rsidRDefault="0071294A">
            <w:pPr>
              <w:pStyle w:val="Style10"/>
              <w:spacing w:line="240" w:lineRule="auto"/>
              <w:ind w:right="174"/>
              <w:jc w:val="center"/>
              <w:rPr>
                <w:rStyle w:val="FontStyle23"/>
                <w:rFonts w:cs="Times New Roman"/>
                <w:bCs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Style w:val="FontStyle23"/>
                <w:rFonts w:cs="Times New Roman"/>
                <w:bCs/>
                <w:color w:val="000000" w:themeColor="text1"/>
                <w:sz w:val="28"/>
                <w:szCs w:val="28"/>
                <w:lang w:val="uk-UA" w:eastAsia="uk-UA"/>
              </w:rPr>
              <w:t>1,9</w:t>
            </w:r>
          </w:p>
          <w:p w:rsidR="002F7B5F" w:rsidRDefault="002F7B5F">
            <w:pPr>
              <w:pStyle w:val="Style10"/>
              <w:spacing w:line="240" w:lineRule="auto"/>
              <w:ind w:right="174"/>
              <w:jc w:val="center"/>
              <w:rPr>
                <w:rStyle w:val="FontStyle23"/>
                <w:color w:val="000000" w:themeColor="text1"/>
                <w:lang w:val="uk-UA"/>
              </w:rPr>
            </w:pPr>
          </w:p>
        </w:tc>
        <w:tc>
          <w:tcPr>
            <w:tcW w:w="7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B5F" w:rsidRDefault="0071294A">
            <w:pPr>
              <w:pStyle w:val="Style14"/>
              <w:spacing w:line="240" w:lineRule="auto"/>
              <w:ind w:right="174"/>
              <w:jc w:val="both"/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Style w:val="FontStyle23"/>
                <w:rFonts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ТЕРЕМНО, в т. ч. </w:t>
            </w:r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 xml:space="preserve">вулиці: Гетьмана Мазепи, Електроапаратна, Карпенка-Карого, </w:t>
            </w:r>
            <w:proofErr w:type="spellStart"/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>Писаревського</w:t>
            </w:r>
            <w:proofErr w:type="spellEnd"/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 xml:space="preserve">, Рівненська, </w:t>
            </w:r>
            <w:proofErr w:type="spellStart"/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>Теремнівська</w:t>
            </w:r>
            <w:proofErr w:type="spellEnd"/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 xml:space="preserve">, Зв’язківців, В’ячеслава </w:t>
            </w:r>
            <w:proofErr w:type="spellStart"/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>Хурсенка</w:t>
            </w:r>
            <w:proofErr w:type="spellEnd"/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 xml:space="preserve">, </w:t>
            </w:r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 xml:space="preserve">Декабристів, Петра </w:t>
            </w:r>
            <w:proofErr w:type="spellStart"/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>Маха</w:t>
            </w:r>
            <w:proofErr w:type="spellEnd"/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>Щусева</w:t>
            </w:r>
            <w:proofErr w:type="spellEnd"/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 xml:space="preserve">, Софії Ковалевської, Князів Острозьких, Загородня, </w:t>
            </w:r>
            <w:proofErr w:type="spellStart"/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>Підгаєцька</w:t>
            </w:r>
            <w:proofErr w:type="spellEnd"/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>, Січова, Гетьмана Сагайдачного; проспект Відродження.</w:t>
            </w:r>
          </w:p>
        </w:tc>
      </w:tr>
      <w:tr w:rsidR="002F7B5F"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B5F" w:rsidRDefault="0071294A">
            <w:pPr>
              <w:pStyle w:val="Style10"/>
              <w:spacing w:line="240" w:lineRule="auto"/>
              <w:jc w:val="center"/>
              <w:rPr>
                <w:rStyle w:val="FontStyle23"/>
                <w:rFonts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Style w:val="FontStyle23"/>
                <w:rFonts w:cs="Times New Roman"/>
                <w:color w:val="000000" w:themeColor="text1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B5F" w:rsidRDefault="0071294A">
            <w:pPr>
              <w:pStyle w:val="Style10"/>
              <w:spacing w:line="240" w:lineRule="auto"/>
              <w:ind w:right="174"/>
              <w:jc w:val="center"/>
              <w:rPr>
                <w:rStyle w:val="FontStyle23"/>
                <w:rFonts w:cs="Times New Roman"/>
                <w:bCs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Style w:val="FontStyle23"/>
                <w:rFonts w:cs="Times New Roman"/>
                <w:bCs/>
                <w:color w:val="000000" w:themeColor="text1"/>
                <w:sz w:val="28"/>
                <w:szCs w:val="28"/>
                <w:lang w:val="uk-UA" w:eastAsia="uk-UA"/>
              </w:rPr>
              <w:t>1,8</w:t>
            </w:r>
            <w:bookmarkStart w:id="0" w:name="_GoBack"/>
            <w:bookmarkEnd w:id="0"/>
          </w:p>
        </w:tc>
        <w:tc>
          <w:tcPr>
            <w:tcW w:w="7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887" w:rsidRPr="0071294A" w:rsidRDefault="00F40887" w:rsidP="00F40887">
            <w:pPr>
              <w:pStyle w:val="Style14"/>
              <w:spacing w:line="240" w:lineRule="auto"/>
              <w:ind w:right="174"/>
              <w:jc w:val="both"/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</w:pPr>
            <w:r w:rsidRPr="0071294A">
              <w:rPr>
                <w:rStyle w:val="FontStyle23"/>
                <w:rFonts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КІЧКАРІВКА, в т. ч. </w:t>
            </w:r>
            <w:r w:rsidRPr="0071294A"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 xml:space="preserve">вулиці: Ковельська, Червоного Хреста, Чернишевського, Шевченка, Винокурна, Ломоносова, Шкільна, Глинки, Олекси </w:t>
            </w:r>
            <w:proofErr w:type="spellStart"/>
            <w:r w:rsidRPr="0071294A"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>Алмазова</w:t>
            </w:r>
            <w:proofErr w:type="spellEnd"/>
            <w:r w:rsidRPr="0071294A"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 xml:space="preserve">, Волонтерська, </w:t>
            </w:r>
            <w:proofErr w:type="spellStart"/>
            <w:r w:rsidRPr="0071294A"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>Кічкарівська</w:t>
            </w:r>
            <w:proofErr w:type="spellEnd"/>
            <w:r w:rsidRPr="0071294A"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>, Ялинова.</w:t>
            </w:r>
          </w:p>
          <w:p w:rsidR="00F40887" w:rsidRPr="0071294A" w:rsidRDefault="00F40887" w:rsidP="00F40887">
            <w:pPr>
              <w:pStyle w:val="Style14"/>
              <w:spacing w:line="240" w:lineRule="auto"/>
              <w:ind w:right="174"/>
              <w:jc w:val="both"/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</w:pPr>
            <w:r w:rsidRPr="0071294A">
              <w:rPr>
                <w:rStyle w:val="FontStyle23"/>
                <w:rFonts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КРАСНЕ, в т. ч. </w:t>
            </w:r>
            <w:r w:rsidRPr="0071294A"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 xml:space="preserve">вулиці: Володимирська, </w:t>
            </w:r>
            <w:proofErr w:type="spellStart"/>
            <w:r w:rsidRPr="0071294A"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>Даньшина</w:t>
            </w:r>
            <w:proofErr w:type="spellEnd"/>
            <w:r w:rsidRPr="0071294A"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 xml:space="preserve">, Львівська, Степова, Героїв рятувальників, Потебні, Ярослава Мудрого, Олексія </w:t>
            </w:r>
            <w:proofErr w:type="spellStart"/>
            <w:r w:rsidRPr="0071294A"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>Брися</w:t>
            </w:r>
            <w:proofErr w:type="spellEnd"/>
            <w:r w:rsidRPr="0071294A"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>, Тополева.</w:t>
            </w:r>
          </w:p>
          <w:p w:rsidR="00F40887" w:rsidRPr="0071294A" w:rsidRDefault="00F40887" w:rsidP="00F40887">
            <w:pPr>
              <w:pStyle w:val="Style14"/>
              <w:spacing w:line="240" w:lineRule="auto"/>
              <w:ind w:right="174"/>
              <w:jc w:val="both"/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</w:pPr>
            <w:r w:rsidRPr="0071294A">
              <w:rPr>
                <w:rStyle w:val="FontStyle23"/>
                <w:rFonts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ГНІДАВА, в т. ч. </w:t>
            </w:r>
            <w:r w:rsidRPr="0071294A"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 xml:space="preserve">вулиці: </w:t>
            </w:r>
            <w:proofErr w:type="spellStart"/>
            <w:r w:rsidRPr="0071294A"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>Бенделіані</w:t>
            </w:r>
            <w:proofErr w:type="spellEnd"/>
            <w:r w:rsidRPr="0071294A"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 xml:space="preserve">, Виробнича, </w:t>
            </w:r>
            <w:proofErr w:type="spellStart"/>
            <w:r w:rsidRPr="0071294A"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>Гнідавська</w:t>
            </w:r>
            <w:proofErr w:type="spellEnd"/>
            <w:r w:rsidRPr="0071294A"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71294A"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>Даньшина</w:t>
            </w:r>
            <w:proofErr w:type="spellEnd"/>
            <w:r w:rsidRPr="0071294A"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 xml:space="preserve">, Магістральна, Потебні, </w:t>
            </w:r>
            <w:r w:rsidR="0071294A" w:rsidRPr="0071294A"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>Ярослава Мудрого</w:t>
            </w:r>
            <w:r w:rsidRPr="0071294A"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>, Грабовського, Марка Вовчка, Гімназійна, Шота Руставелі; бульвар Дружби Народів.</w:t>
            </w:r>
          </w:p>
          <w:p w:rsidR="002F7B5F" w:rsidRDefault="00F40887" w:rsidP="00F40887">
            <w:pPr>
              <w:pStyle w:val="Style14"/>
              <w:spacing w:line="240" w:lineRule="auto"/>
              <w:ind w:right="174"/>
              <w:jc w:val="both"/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</w:pPr>
            <w:r w:rsidRPr="0071294A">
              <w:rPr>
                <w:rStyle w:val="FontStyle23"/>
                <w:rFonts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ВЕРЕСНЕВЕ, в т. ч. </w:t>
            </w:r>
            <w:r w:rsidRPr="0071294A"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 xml:space="preserve">вулиці: Довженка, Корольова, Магістральна, Крушельницької, </w:t>
            </w:r>
            <w:proofErr w:type="spellStart"/>
            <w:r w:rsidRPr="0071294A"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>Млинівська</w:t>
            </w:r>
            <w:proofErr w:type="spellEnd"/>
            <w:r w:rsidRPr="0071294A"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71294A"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>Полонківська</w:t>
            </w:r>
            <w:proofErr w:type="spellEnd"/>
            <w:r w:rsidRPr="0071294A"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>, Ранкова.</w:t>
            </w:r>
          </w:p>
        </w:tc>
      </w:tr>
      <w:tr w:rsidR="002F7B5F"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B5F" w:rsidRDefault="0071294A">
            <w:pPr>
              <w:pStyle w:val="Style15"/>
              <w:jc w:val="center"/>
              <w:rPr>
                <w:rStyle w:val="FontStyle25"/>
                <w:rFonts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Style w:val="FontStyle25"/>
                <w:rFonts w:cs="Times New Roman"/>
                <w:color w:val="000000" w:themeColor="text1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B5F" w:rsidRDefault="0071294A">
            <w:pPr>
              <w:pStyle w:val="Style10"/>
              <w:spacing w:line="240" w:lineRule="auto"/>
              <w:ind w:right="174"/>
              <w:jc w:val="center"/>
              <w:rPr>
                <w:rStyle w:val="FontStyle23"/>
                <w:rFonts w:cs="Times New Roman"/>
                <w:bCs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Style w:val="FontStyle23"/>
                <w:rFonts w:cs="Times New Roman"/>
                <w:bCs/>
                <w:color w:val="000000" w:themeColor="text1"/>
                <w:sz w:val="28"/>
                <w:szCs w:val="28"/>
                <w:lang w:val="uk-UA" w:eastAsia="uk-UA"/>
              </w:rPr>
              <w:t>1,7</w:t>
            </w:r>
          </w:p>
        </w:tc>
        <w:tc>
          <w:tcPr>
            <w:tcW w:w="7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B5F" w:rsidRDefault="0071294A">
            <w:pPr>
              <w:pStyle w:val="Style14"/>
              <w:spacing w:line="240" w:lineRule="auto"/>
              <w:ind w:right="174"/>
              <w:jc w:val="both"/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Style w:val="FontStyle23"/>
                <w:rFonts w:cs="Times New Roman"/>
                <w:color w:val="000000" w:themeColor="text1"/>
                <w:sz w:val="28"/>
                <w:szCs w:val="28"/>
                <w:lang w:val="uk-UA" w:eastAsia="uk-UA"/>
              </w:rPr>
              <w:t xml:space="preserve">ГУЩА, в т. ч. </w:t>
            </w:r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 xml:space="preserve">вулиці: </w:t>
            </w:r>
            <w:proofErr w:type="spellStart"/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>Гордіюк</w:t>
            </w:r>
            <w:proofErr w:type="spellEnd"/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 xml:space="preserve">, Єршова, </w:t>
            </w:r>
            <w:proofErr w:type="spellStart"/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>Карбишева</w:t>
            </w:r>
            <w:proofErr w:type="spellEnd"/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>Конякіна</w:t>
            </w:r>
            <w:proofErr w:type="spellEnd"/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 xml:space="preserve">, Наливайка, </w:t>
            </w:r>
            <w:proofErr w:type="spellStart"/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>Гущанська</w:t>
            </w:r>
            <w:proofErr w:type="spellEnd"/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>, Індустріальна.</w:t>
            </w:r>
          </w:p>
          <w:p w:rsidR="002F7B5F" w:rsidRDefault="0071294A">
            <w:pPr>
              <w:pStyle w:val="Style17"/>
              <w:spacing w:line="240" w:lineRule="auto"/>
              <w:ind w:right="174" w:firstLine="0"/>
              <w:jc w:val="both"/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 xml:space="preserve">ВИШКІВ, в т. ч. вулиці: Авіаторів, Мирослава Скорика, Заньковецької, Ківерцівська, Героїв УПА, </w:t>
            </w:r>
            <w:proofErr w:type="spellStart"/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>Вишківська</w:t>
            </w:r>
            <w:proofErr w:type="spellEnd"/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>, Селищна, Мрії, Карпенка-Карого.</w:t>
            </w:r>
          </w:p>
          <w:p w:rsidR="002F7B5F" w:rsidRDefault="0071294A">
            <w:pPr>
              <w:pStyle w:val="Style14"/>
              <w:spacing w:line="240" w:lineRule="auto"/>
              <w:ind w:right="174"/>
              <w:jc w:val="both"/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Style w:val="FontStyle27"/>
                <w:rFonts w:cs="Times New Roman"/>
                <w:b w:val="0"/>
                <w:smallCaps w:val="0"/>
                <w:color w:val="000000" w:themeColor="text1"/>
                <w:sz w:val="28"/>
                <w:szCs w:val="28"/>
                <w:lang w:val="uk-UA" w:eastAsia="uk-UA"/>
              </w:rPr>
              <w:t xml:space="preserve">ДУБНІВСЬКИЙ, в т. ч. вулиці: </w:t>
            </w:r>
            <w:proofErr w:type="spellStart"/>
            <w:r>
              <w:rPr>
                <w:rStyle w:val="FontStyle27"/>
                <w:rFonts w:cs="Times New Roman"/>
                <w:b w:val="0"/>
                <w:smallCaps w:val="0"/>
                <w:color w:val="000000" w:themeColor="text1"/>
                <w:sz w:val="28"/>
                <w:szCs w:val="28"/>
                <w:lang w:val="uk-UA" w:eastAsia="uk-UA"/>
              </w:rPr>
              <w:t>Дубнівська</w:t>
            </w:r>
            <w:proofErr w:type="spellEnd"/>
            <w:r>
              <w:rPr>
                <w:rStyle w:val="FontStyle27"/>
                <w:rFonts w:cs="Times New Roman"/>
                <w:b w:val="0"/>
                <w:smallCaps w:val="0"/>
                <w:color w:val="000000" w:themeColor="text1"/>
                <w:sz w:val="28"/>
                <w:szCs w:val="28"/>
                <w:lang w:val="uk-UA" w:eastAsia="uk-UA"/>
              </w:rPr>
              <w:t>, Заводська,</w:t>
            </w:r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 xml:space="preserve"> Карпенка-Карого, </w:t>
            </w:r>
            <w:proofErr w:type="spellStart"/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>Трункіна</w:t>
            </w:r>
            <w:proofErr w:type="spellEnd"/>
            <w:r>
              <w:rPr>
                <w:rStyle w:val="FontStyle26"/>
                <w:rFonts w:cs="Times New Roman"/>
                <w:b w:val="0"/>
                <w:color w:val="000000" w:themeColor="text1"/>
                <w:sz w:val="28"/>
                <w:szCs w:val="28"/>
                <w:lang w:val="uk-UA" w:eastAsia="uk-UA"/>
              </w:rPr>
              <w:t>, Профспілкова, Леся Танюка, Садовського, Пантелеймона Куліша, Надрічна, Східна.</w:t>
            </w:r>
          </w:p>
        </w:tc>
      </w:tr>
      <w:tr w:rsidR="002F7B5F"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B5F" w:rsidRDefault="0071294A">
            <w:pPr>
              <w:pStyle w:val="Style15"/>
              <w:jc w:val="center"/>
              <w:rPr>
                <w:rStyle w:val="FontStyle25"/>
                <w:rFonts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Style w:val="FontStyle25"/>
                <w:rFonts w:cs="Times New Roman"/>
                <w:color w:val="000000" w:themeColor="text1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B5F" w:rsidRDefault="0071294A">
            <w:pPr>
              <w:pStyle w:val="Style10"/>
              <w:spacing w:line="240" w:lineRule="auto"/>
              <w:ind w:right="174"/>
              <w:jc w:val="center"/>
              <w:rPr>
                <w:rStyle w:val="FontStyle23"/>
                <w:rFonts w:cs="Times New Roman"/>
                <w:bCs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Style w:val="FontStyle23"/>
                <w:rFonts w:cs="Times New Roman"/>
                <w:bCs/>
                <w:color w:val="000000" w:themeColor="text1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7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B5F" w:rsidRDefault="0071294A">
            <w:pPr>
              <w:pStyle w:val="Style14"/>
              <w:spacing w:line="240" w:lineRule="auto"/>
              <w:ind w:right="174"/>
              <w:jc w:val="both"/>
              <w:rPr>
                <w:rStyle w:val="FontStyle23"/>
                <w:rFonts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>
              <w:rPr>
                <w:rStyle w:val="FontStyle23"/>
                <w:rFonts w:cs="Times New Roman"/>
                <w:color w:val="000000" w:themeColor="text1"/>
                <w:sz w:val="28"/>
                <w:szCs w:val="28"/>
                <w:lang w:val="uk-UA" w:eastAsia="uk-UA"/>
              </w:rPr>
              <w:t>Територія сіл та селищ Луцької міської територіальної громади.</w:t>
            </w:r>
          </w:p>
        </w:tc>
      </w:tr>
    </w:tbl>
    <w:p w:rsidR="002F7B5F" w:rsidRDefault="002F7B5F">
      <w:pPr>
        <w:ind w:firstLine="708"/>
        <w:rPr>
          <w:rFonts w:ascii="Arial" w:hAnsi="Arial" w:cs="Arial"/>
          <w:color w:val="000000" w:themeColor="text1"/>
          <w:sz w:val="26"/>
          <w:szCs w:val="26"/>
        </w:rPr>
      </w:pPr>
    </w:p>
    <w:p w:rsidR="002F7B5F" w:rsidRDefault="0071294A">
      <w:pPr>
        <w:ind w:firstLine="567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6"/>
        </w:rPr>
        <w:lastRenderedPageBreak/>
        <w:t xml:space="preserve">3. Місячний розмір плати за розміщення СЗЕ – це місячний розмір плати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тимчасове користування окремими конструктивними елементами благоустрою комунальної власності для розміщення СЗЕ, яка </w:t>
      </w:r>
      <w:r>
        <w:rPr>
          <w:rFonts w:ascii="Times New Roman" w:hAnsi="Times New Roman" w:cs="Times New Roman"/>
          <w:color w:val="000000" w:themeColor="text1"/>
          <w:sz w:val="28"/>
          <w:szCs w:val="26"/>
        </w:rPr>
        <w:t>встановлена за результатами конкурсу, (далі – плата)</w:t>
      </w:r>
      <w:r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не може бути рівним чи нижчим за базову вартість, розраховану відповідно до пункту 2 Методики.</w:t>
      </w:r>
    </w:p>
    <w:p w:rsidR="002F7B5F" w:rsidRDefault="0071294A">
      <w:pPr>
        <w:ind w:firstLine="567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4. Щорічний перерахунок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базової вартості </w:t>
      </w:r>
      <w:r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відповідно до пункту 2 Методики, з урахуванням індексу інфляції за попередній рік є обов’язковим та здійснюється </w:t>
      </w:r>
      <w:r>
        <w:rPr>
          <w:rFonts w:ascii="Times New Roman" w:hAnsi="Times New Roman" w:cs="Times New Roman"/>
          <w:color w:val="000000" w:themeColor="text1"/>
          <w:sz w:val="28"/>
          <w:szCs w:val="26"/>
        </w:rPr>
        <w:t>протягом січня.</w:t>
      </w:r>
    </w:p>
    <w:p w:rsidR="002F7B5F" w:rsidRDefault="0071294A">
      <w:pPr>
        <w:ind w:firstLine="567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6"/>
        </w:rPr>
        <w:t>5. </w:t>
      </w:r>
      <w:r>
        <w:rPr>
          <w:rFonts w:ascii="Times New Roman" w:hAnsi="Times New Roman"/>
          <w:color w:val="000000" w:themeColor="text1"/>
          <w:sz w:val="28"/>
          <w:szCs w:val="28"/>
        </w:rPr>
        <w:t>Розмір плати щорічно на кожен наступний рік визначається способом коригування розміру плати попереднього року на рівень інфляції за попередній рік.</w:t>
      </w:r>
    </w:p>
    <w:p w:rsidR="002F7B5F" w:rsidRDefault="0071294A">
      <w:pPr>
        <w:ind w:firstLine="567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6"/>
        </w:rPr>
        <w:t>6. При розрахунку площі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ділянки, на якій розташований конструктивний елемент благоустрою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комунальної власності,</w:t>
      </w:r>
      <w:r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неповний квадратний метр враховується як повний.</w:t>
      </w:r>
    </w:p>
    <w:p w:rsidR="002F7B5F" w:rsidRDefault="002F7B5F">
      <w:pPr>
        <w:ind w:firstLine="567"/>
        <w:rPr>
          <w:color w:val="000000" w:themeColor="text1"/>
          <w:sz w:val="28"/>
          <w:szCs w:val="28"/>
        </w:rPr>
      </w:pPr>
    </w:p>
    <w:p w:rsidR="002F7B5F" w:rsidRDefault="002F7B5F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2F7B5F" w:rsidRDefault="0071294A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Борис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777 955</w:t>
      </w:r>
    </w:p>
    <w:sectPr w:rsidR="002F7B5F">
      <w:pgSz w:w="11906" w:h="16838"/>
      <w:pgMar w:top="851" w:right="566" w:bottom="567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1"/>
  </w:compat>
  <w:rsids>
    <w:rsidRoot w:val="002F7B5F"/>
    <w:rsid w:val="002F7B5F"/>
    <w:rsid w:val="0071294A"/>
    <w:rsid w:val="00F4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10943-A8E1-4075-AF48-1F54869E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CD5"/>
    <w:pPr>
      <w:jc w:val="both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rPr>
      <w:rFonts w:cs="Times New Roman"/>
    </w:rPr>
  </w:style>
  <w:style w:type="character" w:customStyle="1" w:styleId="a4">
    <w:name w:val="Нижний колонтитул Знак"/>
    <w:uiPriority w:val="99"/>
    <w:qFormat/>
    <w:rPr>
      <w:rFonts w:cs="Times New Roman"/>
    </w:rPr>
  </w:style>
  <w:style w:type="character" w:customStyle="1" w:styleId="a5">
    <w:name w:val="Текст выноски Знак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uiPriority w:val="99"/>
    <w:qFormat/>
    <w:rPr>
      <w:rFonts w:ascii="Times New Roman" w:hAnsi="Times New Roman"/>
      <w:sz w:val="26"/>
    </w:rPr>
  </w:style>
  <w:style w:type="character" w:customStyle="1" w:styleId="FontStyle25">
    <w:name w:val="Font Style25"/>
    <w:uiPriority w:val="99"/>
    <w:qFormat/>
    <w:rPr>
      <w:rFonts w:ascii="Times New Roman" w:hAnsi="Times New Roman"/>
      <w:sz w:val="26"/>
    </w:rPr>
  </w:style>
  <w:style w:type="character" w:customStyle="1" w:styleId="FontStyle26">
    <w:name w:val="Font Style26"/>
    <w:uiPriority w:val="99"/>
    <w:qFormat/>
    <w:rPr>
      <w:rFonts w:ascii="Times New Roman" w:hAnsi="Times New Roman"/>
      <w:b/>
      <w:sz w:val="18"/>
    </w:rPr>
  </w:style>
  <w:style w:type="character" w:customStyle="1" w:styleId="FontStyle27">
    <w:name w:val="Font Style27"/>
    <w:uiPriority w:val="99"/>
    <w:qFormat/>
    <w:rPr>
      <w:rFonts w:ascii="Times New Roman" w:hAnsi="Times New Roman"/>
      <w:b/>
      <w:smallCaps/>
      <w:sz w:val="14"/>
    </w:rPr>
  </w:style>
  <w:style w:type="character" w:customStyle="1" w:styleId="a6">
    <w:name w:val="Основний текст Знак"/>
    <w:link w:val="a7"/>
    <w:uiPriority w:val="99"/>
    <w:semiHidden/>
    <w:qFormat/>
    <w:locked/>
    <w:rsid w:val="00652CD5"/>
    <w:rPr>
      <w:rFonts w:cs="Times New Roman"/>
      <w:lang w:eastAsia="en-US"/>
    </w:rPr>
  </w:style>
  <w:style w:type="character" w:customStyle="1" w:styleId="a8">
    <w:name w:val="Верхній колонтитул Знак"/>
    <w:link w:val="a9"/>
    <w:uiPriority w:val="99"/>
    <w:semiHidden/>
    <w:qFormat/>
    <w:locked/>
    <w:rsid w:val="00652CD5"/>
    <w:rPr>
      <w:rFonts w:cs="Times New Roman"/>
      <w:lang w:eastAsia="en-US"/>
    </w:rPr>
  </w:style>
  <w:style w:type="character" w:customStyle="1" w:styleId="aa">
    <w:name w:val="Нижній колонтитул Знак"/>
    <w:link w:val="ab"/>
    <w:uiPriority w:val="99"/>
    <w:semiHidden/>
    <w:qFormat/>
    <w:locked/>
    <w:rsid w:val="00652CD5"/>
    <w:rPr>
      <w:rFonts w:cs="Times New Roman"/>
      <w:lang w:eastAsia="en-US"/>
    </w:rPr>
  </w:style>
  <w:style w:type="character" w:customStyle="1" w:styleId="BalloonTextChar">
    <w:name w:val="Balloon Text Char"/>
    <w:uiPriority w:val="99"/>
    <w:semiHidden/>
    <w:qFormat/>
    <w:locked/>
    <w:rsid w:val="00652CD5"/>
    <w:rPr>
      <w:rFonts w:ascii="Times New Roman" w:hAnsi="Times New Roman" w:cs="Times New Roman"/>
      <w:sz w:val="2"/>
      <w:lang w:eastAsia="en-US"/>
    </w:rPr>
  </w:style>
  <w:style w:type="character" w:customStyle="1" w:styleId="BodyTextChar1">
    <w:name w:val="Body Text Char1"/>
    <w:uiPriority w:val="99"/>
    <w:semiHidden/>
    <w:qFormat/>
    <w:rPr>
      <w:rFonts w:cs="Times New Roman"/>
      <w:lang w:eastAsia="en-US"/>
    </w:rPr>
  </w:style>
  <w:style w:type="character" w:customStyle="1" w:styleId="HeaderChar1">
    <w:name w:val="Header Char1"/>
    <w:uiPriority w:val="99"/>
    <w:semiHidden/>
    <w:qFormat/>
    <w:rPr>
      <w:rFonts w:cs="Times New Roman"/>
      <w:lang w:eastAsia="en-US"/>
    </w:rPr>
  </w:style>
  <w:style w:type="character" w:customStyle="1" w:styleId="FooterChar1">
    <w:name w:val="Footer Char1"/>
    <w:uiPriority w:val="99"/>
    <w:semiHidden/>
    <w:qFormat/>
    <w:rPr>
      <w:rFonts w:cs="Times New Roman"/>
      <w:lang w:eastAsia="en-US"/>
    </w:rPr>
  </w:style>
  <w:style w:type="character" w:customStyle="1" w:styleId="ac">
    <w:name w:val="Текст у виносці Знак"/>
    <w:link w:val="ad"/>
    <w:uiPriority w:val="99"/>
    <w:semiHidden/>
    <w:qFormat/>
    <w:locked/>
    <w:rPr>
      <w:rFonts w:ascii="Times New Roman" w:hAnsi="Times New Roman" w:cs="Times New Roman"/>
      <w:sz w:val="2"/>
      <w:lang w:eastAsia="en-US"/>
    </w:rPr>
  </w:style>
  <w:style w:type="character" w:customStyle="1" w:styleId="BodyTextChar2">
    <w:name w:val="Body Text Char2"/>
    <w:uiPriority w:val="99"/>
    <w:semiHidden/>
    <w:qFormat/>
    <w:rsid w:val="003C5793"/>
    <w:rPr>
      <w:lang w:eastAsia="en-US"/>
    </w:rPr>
  </w:style>
  <w:style w:type="character" w:customStyle="1" w:styleId="HeaderChar2">
    <w:name w:val="Header Char2"/>
    <w:uiPriority w:val="99"/>
    <w:semiHidden/>
    <w:qFormat/>
    <w:rsid w:val="003C5793"/>
    <w:rPr>
      <w:lang w:eastAsia="en-US"/>
    </w:rPr>
  </w:style>
  <w:style w:type="character" w:customStyle="1" w:styleId="FooterChar2">
    <w:name w:val="Footer Char2"/>
    <w:uiPriority w:val="99"/>
    <w:semiHidden/>
    <w:qFormat/>
    <w:rsid w:val="003C5793"/>
    <w:rPr>
      <w:lang w:eastAsia="en-US"/>
    </w:rPr>
  </w:style>
  <w:style w:type="character" w:customStyle="1" w:styleId="BalloonTextChar2">
    <w:name w:val="Balloon Text Char2"/>
    <w:uiPriority w:val="99"/>
    <w:semiHidden/>
    <w:qFormat/>
    <w:rsid w:val="003C5793"/>
    <w:rPr>
      <w:rFonts w:ascii="Times New Roman" w:hAnsi="Times New Roman"/>
      <w:sz w:val="0"/>
      <w:szCs w:val="0"/>
      <w:lang w:eastAsia="en-US"/>
    </w:rPr>
  </w:style>
  <w:style w:type="paragraph" w:customStyle="1" w:styleId="ae">
    <w:name w:val="Заголовок"/>
    <w:basedOn w:val="a"/>
    <w:next w:val="a7"/>
    <w:uiPriority w:val="99"/>
    <w:qFormat/>
    <w:rsid w:val="00652CD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link w:val="a6"/>
    <w:uiPriority w:val="99"/>
    <w:rsid w:val="00652CD5"/>
    <w:pPr>
      <w:spacing w:after="140" w:line="276" w:lineRule="auto"/>
    </w:pPr>
  </w:style>
  <w:style w:type="paragraph" w:styleId="af">
    <w:name w:val="List"/>
    <w:basedOn w:val="a7"/>
    <w:uiPriority w:val="99"/>
    <w:rsid w:val="00652CD5"/>
    <w:rPr>
      <w:rFonts w:cs="Arial"/>
    </w:rPr>
  </w:style>
  <w:style w:type="paragraph" w:styleId="af0">
    <w:name w:val="caption"/>
    <w:basedOn w:val="a"/>
    <w:uiPriority w:val="99"/>
    <w:qFormat/>
    <w:rsid w:val="00652CD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1">
    <w:name w:val="Покажчик"/>
    <w:basedOn w:val="a"/>
    <w:uiPriority w:val="99"/>
    <w:qFormat/>
    <w:rsid w:val="00652CD5"/>
    <w:pPr>
      <w:suppressLineNumbers/>
    </w:pPr>
    <w:rPr>
      <w:rFonts w:cs="Arial"/>
    </w:rPr>
  </w:style>
  <w:style w:type="paragraph" w:customStyle="1" w:styleId="af2">
    <w:name w:val="Верхній і нижній колонтитули"/>
    <w:basedOn w:val="a"/>
    <w:uiPriority w:val="99"/>
    <w:qFormat/>
    <w:rsid w:val="00652CD5"/>
  </w:style>
  <w:style w:type="paragraph" w:styleId="a9">
    <w:name w:val="header"/>
    <w:basedOn w:val="a"/>
    <w:link w:val="a8"/>
    <w:uiPriority w:val="99"/>
    <w:pPr>
      <w:tabs>
        <w:tab w:val="center" w:pos="4819"/>
        <w:tab w:val="right" w:pos="9639"/>
      </w:tabs>
    </w:pPr>
  </w:style>
  <w:style w:type="paragraph" w:styleId="ab">
    <w:name w:val="footer"/>
    <w:basedOn w:val="a"/>
    <w:link w:val="aa"/>
    <w:uiPriority w:val="99"/>
    <w:pPr>
      <w:tabs>
        <w:tab w:val="center" w:pos="4819"/>
        <w:tab w:val="right" w:pos="9639"/>
      </w:tabs>
    </w:pPr>
  </w:style>
  <w:style w:type="paragraph" w:styleId="ad">
    <w:name w:val="Balloon Text"/>
    <w:basedOn w:val="a"/>
    <w:link w:val="ac"/>
    <w:uiPriority w:val="99"/>
    <w:semiHidden/>
    <w:qFormat/>
    <w:rPr>
      <w:rFonts w:ascii="Segoe UI" w:hAnsi="Segoe UI" w:cs="Segoe UI"/>
      <w:sz w:val="18"/>
      <w:szCs w:val="18"/>
    </w:rPr>
  </w:style>
  <w:style w:type="paragraph" w:styleId="af3">
    <w:name w:val="List Paragraph"/>
    <w:basedOn w:val="a"/>
    <w:uiPriority w:val="99"/>
    <w:qFormat/>
    <w:pPr>
      <w:ind w:left="720"/>
      <w:contextualSpacing/>
    </w:pPr>
  </w:style>
  <w:style w:type="paragraph" w:customStyle="1" w:styleId="Style9">
    <w:name w:val="Style9"/>
    <w:basedOn w:val="a"/>
    <w:uiPriority w:val="99"/>
    <w:qFormat/>
    <w:pPr>
      <w:widowControl w:val="0"/>
      <w:spacing w:line="326" w:lineRule="exact"/>
      <w:jc w:val="center"/>
    </w:pPr>
    <w:rPr>
      <w:rFonts w:ascii="Candara" w:eastAsia="Times New Roman" w:hAnsi="Candara" w:cs="Candara"/>
      <w:sz w:val="24"/>
      <w:szCs w:val="24"/>
      <w:lang w:val="ru-RU" w:eastAsia="ru-RU"/>
    </w:rPr>
  </w:style>
  <w:style w:type="paragraph" w:customStyle="1" w:styleId="Style10">
    <w:name w:val="Style10"/>
    <w:basedOn w:val="a"/>
    <w:uiPriority w:val="99"/>
    <w:qFormat/>
    <w:pPr>
      <w:widowControl w:val="0"/>
      <w:spacing w:line="331" w:lineRule="exact"/>
      <w:jc w:val="left"/>
    </w:pPr>
    <w:rPr>
      <w:rFonts w:ascii="Candara" w:eastAsia="Times New Roman" w:hAnsi="Candara" w:cs="Candara"/>
      <w:sz w:val="24"/>
      <w:szCs w:val="24"/>
      <w:lang w:val="ru-RU" w:eastAsia="ru-RU"/>
    </w:rPr>
  </w:style>
  <w:style w:type="paragraph" w:customStyle="1" w:styleId="Style14">
    <w:name w:val="Style14"/>
    <w:basedOn w:val="a"/>
    <w:uiPriority w:val="99"/>
    <w:qFormat/>
    <w:pPr>
      <w:widowControl w:val="0"/>
      <w:spacing w:line="259" w:lineRule="exact"/>
      <w:jc w:val="left"/>
    </w:pPr>
    <w:rPr>
      <w:rFonts w:ascii="Candara" w:eastAsia="Times New Roman" w:hAnsi="Candara" w:cs="Candara"/>
      <w:sz w:val="24"/>
      <w:szCs w:val="24"/>
      <w:lang w:val="ru-RU" w:eastAsia="ru-RU"/>
    </w:rPr>
  </w:style>
  <w:style w:type="paragraph" w:customStyle="1" w:styleId="Style15">
    <w:name w:val="Style15"/>
    <w:basedOn w:val="a"/>
    <w:uiPriority w:val="99"/>
    <w:qFormat/>
    <w:pPr>
      <w:widowControl w:val="0"/>
      <w:jc w:val="left"/>
    </w:pPr>
    <w:rPr>
      <w:rFonts w:ascii="Candara" w:eastAsia="Times New Roman" w:hAnsi="Candara" w:cs="Candara"/>
      <w:sz w:val="24"/>
      <w:szCs w:val="24"/>
      <w:lang w:val="ru-RU" w:eastAsia="ru-RU"/>
    </w:rPr>
  </w:style>
  <w:style w:type="paragraph" w:customStyle="1" w:styleId="Style17">
    <w:name w:val="Style17"/>
    <w:basedOn w:val="a"/>
    <w:uiPriority w:val="99"/>
    <w:qFormat/>
    <w:pPr>
      <w:widowControl w:val="0"/>
      <w:spacing w:line="269" w:lineRule="exact"/>
      <w:ind w:firstLine="77"/>
      <w:jc w:val="left"/>
    </w:pPr>
    <w:rPr>
      <w:rFonts w:ascii="Candara" w:eastAsia="Times New Roman" w:hAnsi="Candara" w:cs="Candara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3196</Words>
  <Characters>1823</Characters>
  <Application>Microsoft Office Word</Application>
  <DocSecurity>0</DocSecurity>
  <Lines>15</Lines>
  <Paragraphs>10</Paragraphs>
  <ScaleCrop>false</ScaleCrop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Штогрин Ірина</dc:creator>
  <dc:description/>
  <cp:lastModifiedBy>User</cp:lastModifiedBy>
  <cp:revision>17</cp:revision>
  <cp:lastPrinted>2023-06-08T05:17:00Z</cp:lastPrinted>
  <dcterms:created xsi:type="dcterms:W3CDTF">2023-09-20T10:00:00Z</dcterms:created>
  <dcterms:modified xsi:type="dcterms:W3CDTF">2023-09-27T06:57:00Z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