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4820" w:hanging="0"/>
        <w:rPr>
          <w:rFonts w:ascii="Times New Roman" w:hAnsi="Times New Roman"/>
        </w:rPr>
      </w:pPr>
      <w:r>
        <w:rPr>
          <w:rFonts w:ascii="Times New Roman" w:hAnsi="Times New Roman"/>
          <w:sz w:val="28"/>
          <w:szCs w:val="28"/>
        </w:rPr>
        <w:t>Додаток</w:t>
      </w:r>
    </w:p>
    <w:p>
      <w:pPr>
        <w:pStyle w:val="Normal"/>
        <w:ind w:left="4820" w:hanging="0"/>
        <w:rPr/>
      </w:pPr>
      <w:r>
        <w:rPr>
          <w:rFonts w:ascii="Times New Roman" w:hAnsi="Times New Roman"/>
          <w:sz w:val="28"/>
          <w:szCs w:val="28"/>
        </w:rPr>
        <w:t>до рішення міської ради</w:t>
      </w:r>
    </w:p>
    <w:p>
      <w:pPr>
        <w:pStyle w:val="Normal"/>
        <w:ind w:left="4820" w:hanging="0"/>
        <w:rPr/>
      </w:pPr>
      <w:r>
        <w:rPr>
          <w:rFonts w:ascii="Times New Roman" w:hAnsi="Times New Roman"/>
          <w:sz w:val="28"/>
          <w:szCs w:val="28"/>
        </w:rPr>
        <w:t>______________№ __________</w:t>
      </w:r>
    </w:p>
    <w:p>
      <w:pPr>
        <w:pStyle w:val="Normal"/>
        <w:ind w:firstLine="567"/>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rPr>
      </w:pPr>
      <w:r>
        <w:rPr>
          <w:rFonts w:ascii="Times New Roman" w:hAnsi="Times New Roman"/>
          <w:b/>
          <w:sz w:val="28"/>
          <w:szCs w:val="28"/>
        </w:rPr>
        <w:t>Програма</w:t>
      </w:r>
    </w:p>
    <w:p>
      <w:pPr>
        <w:pStyle w:val="Normal"/>
        <w:jc w:val="center"/>
        <w:rPr>
          <w:rFonts w:ascii="Times New Roman" w:hAnsi="Times New Roman"/>
        </w:rPr>
      </w:pPr>
      <w:r>
        <w:rPr>
          <w:rFonts w:ascii="Times New Roman" w:hAnsi="Times New Roman"/>
          <w:b/>
          <w:sz w:val="28"/>
          <w:szCs w:val="28"/>
        </w:rPr>
        <w:t>розвитку електрозарядної інфраструктури</w:t>
      </w:r>
    </w:p>
    <w:p>
      <w:pPr>
        <w:pStyle w:val="Normal"/>
        <w:jc w:val="center"/>
        <w:rPr>
          <w:rFonts w:ascii="Times New Roman" w:hAnsi="Times New Roman"/>
        </w:rPr>
      </w:pPr>
      <w:r>
        <w:rPr>
          <w:rFonts w:ascii="Times New Roman" w:hAnsi="Times New Roman"/>
          <w:b/>
          <w:sz w:val="28"/>
          <w:szCs w:val="28"/>
        </w:rPr>
        <w:t>Луцької міської територіальної громади на 2023–2027 роки</w:t>
      </w:r>
    </w:p>
    <w:p>
      <w:pPr>
        <w:pStyle w:val="Normal"/>
        <w:jc w:val="center"/>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rPr>
      </w:pPr>
      <w:r>
        <w:rPr>
          <w:rFonts w:ascii="Times New Roman" w:hAnsi="Times New Roman"/>
          <w:b/>
          <w:sz w:val="28"/>
          <w:szCs w:val="28"/>
        </w:rPr>
        <w:t>ПАСПОРТ ПРОГРАМИ</w:t>
      </w:r>
    </w:p>
    <w:p>
      <w:pPr>
        <w:pStyle w:val="Normal"/>
        <w:ind w:firstLine="567"/>
        <w:jc w:val="center"/>
        <w:rPr>
          <w:rFonts w:ascii="Times New Roman" w:hAnsi="Times New Roman"/>
          <w:b/>
          <w:b/>
          <w:sz w:val="18"/>
          <w:szCs w:val="18"/>
        </w:rPr>
      </w:pPr>
      <w:r>
        <w:rPr>
          <w:rFonts w:ascii="Times New Roman" w:hAnsi="Times New Roman"/>
          <w:b/>
          <w:sz w:val="18"/>
          <w:szCs w:val="18"/>
        </w:rPr>
      </w:r>
    </w:p>
    <w:tbl>
      <w:tblPr>
        <w:tblW w:w="9118" w:type="dxa"/>
        <w:jc w:val="left"/>
        <w:tblInd w:w="35" w:type="dxa"/>
        <w:tblLayout w:type="fixed"/>
        <w:tblCellMar>
          <w:top w:w="0" w:type="dxa"/>
          <w:left w:w="108" w:type="dxa"/>
          <w:bottom w:w="0" w:type="dxa"/>
          <w:right w:w="108" w:type="dxa"/>
        </w:tblCellMar>
        <w:tblLook w:firstRow="0" w:noVBand="0" w:lastRow="0" w:firstColumn="0" w:lastColumn="0" w:noHBand="0" w:val="0000"/>
      </w:tblPr>
      <w:tblGrid>
        <w:gridCol w:w="568"/>
        <w:gridCol w:w="3329"/>
        <w:gridCol w:w="5221"/>
      </w:tblGrid>
      <w:tr>
        <w:trPr>
          <w:trHeight w:val="779" w:hRule="atLeast"/>
        </w:trPr>
        <w:tc>
          <w:tcPr>
            <w:tcW w:w="56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7"/>
                <w:szCs w:val="27"/>
              </w:rPr>
            </w:pPr>
            <w:r>
              <w:rPr>
                <w:rFonts w:ascii="Times New Roman" w:hAnsi="Times New Roman"/>
                <w:sz w:val="27"/>
                <w:szCs w:val="27"/>
              </w:rPr>
              <w:t>1</w:t>
            </w:r>
          </w:p>
        </w:tc>
        <w:tc>
          <w:tcPr>
            <w:tcW w:w="3329" w:type="dxa"/>
            <w:tcBorders>
              <w:top w:val="single" w:sz="4" w:space="0" w:color="000000"/>
              <w:left w:val="single" w:sz="4" w:space="0" w:color="000000"/>
              <w:bottom w:val="single" w:sz="4" w:space="0" w:color="000000"/>
            </w:tcBorders>
          </w:tcPr>
          <w:p>
            <w:pPr>
              <w:pStyle w:val="Normal"/>
              <w:widowControl w:val="false"/>
              <w:rPr>
                <w:rFonts w:ascii="Times New Roman" w:hAnsi="Times New Roman"/>
                <w:sz w:val="28"/>
                <w:szCs w:val="28"/>
              </w:rPr>
            </w:pPr>
            <w:r>
              <w:rPr>
                <w:rFonts w:ascii="Times New Roman" w:hAnsi="Times New Roman"/>
                <w:sz w:val="28"/>
                <w:szCs w:val="28"/>
              </w:rPr>
              <w:t>Підстава розроблення Програми</w:t>
            </w:r>
          </w:p>
        </w:tc>
        <w:tc>
          <w:tcPr>
            <w:tcW w:w="5221" w:type="dxa"/>
            <w:tcBorders>
              <w:top w:val="single" w:sz="4" w:space="0" w:color="000000"/>
              <w:left w:val="single" w:sz="4" w:space="0" w:color="000000"/>
              <w:bottom w:val="single" w:sz="4" w:space="0" w:color="000000"/>
              <w:right w:val="single" w:sz="4" w:space="0" w:color="000000"/>
            </w:tcBorders>
          </w:tcPr>
          <w:p>
            <w:pPr>
              <w:pStyle w:val="Normal"/>
              <w:widowControl w:val="false"/>
              <w:jc w:val="both"/>
              <w:textAlignment w:val="center"/>
              <w:rPr>
                <w:rFonts w:ascii="Times New Roman" w:hAnsi="Times New Roman"/>
                <w:sz w:val="28"/>
                <w:szCs w:val="28"/>
              </w:rPr>
            </w:pPr>
            <w:r>
              <w:rPr>
                <w:rFonts w:ascii="Times New Roman" w:hAnsi="Times New Roman"/>
                <w:color w:val="auto"/>
                <w:sz w:val="28"/>
                <w:szCs w:val="28"/>
              </w:rPr>
              <w:t xml:space="preserve">Закон України від 24.02.2023 </w:t>
            </w:r>
            <w:r>
              <w:rPr>
                <w:rFonts w:cs="Times New Roman" w:ascii="Times New Roman" w:hAnsi="Times New Roman"/>
                <w:color w:val="auto"/>
                <w:sz w:val="28"/>
                <w:szCs w:val="28"/>
              </w:rPr>
              <w:t>№ </w:t>
            </w:r>
            <w:r>
              <w:rPr>
                <w:rFonts w:cs="Times New Roman" w:ascii="Times New Roman" w:hAnsi="Times New Roman"/>
                <w:bCs/>
                <w:color w:val="333333"/>
                <w:sz w:val="28"/>
                <w:szCs w:val="28"/>
                <w:shd w:fill="FFFFFF" w:val="clear"/>
              </w:rPr>
              <w:t>2956-IX</w:t>
            </w:r>
            <w:r>
              <w:rPr>
                <w:rFonts w:ascii="Times New Roman" w:hAnsi="Times New Roman"/>
                <w:color w:val="auto"/>
                <w:sz w:val="28"/>
                <w:szCs w:val="28"/>
              </w:rPr>
              <w:t xml:space="preserve"> «Про деякі питання використання транспортних засобів, оснащених електричними двигунами, та внесення змін до деяких законів України щодо подолання паливної залежності і розвитку електрозарядної інфраструктури та електричних транспортних засобів»</w:t>
            </w:r>
          </w:p>
        </w:tc>
      </w:tr>
      <w:tr>
        <w:trPr>
          <w:trHeight w:val="457" w:hRule="atLeast"/>
        </w:trPr>
        <w:tc>
          <w:tcPr>
            <w:tcW w:w="56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7"/>
                <w:szCs w:val="27"/>
              </w:rPr>
            </w:pPr>
            <w:r>
              <w:rPr>
                <w:rFonts w:ascii="Times New Roman" w:hAnsi="Times New Roman"/>
                <w:sz w:val="27"/>
                <w:szCs w:val="27"/>
              </w:rPr>
              <w:t>2</w:t>
            </w:r>
          </w:p>
        </w:tc>
        <w:tc>
          <w:tcPr>
            <w:tcW w:w="3329" w:type="dxa"/>
            <w:tcBorders>
              <w:top w:val="single" w:sz="4" w:space="0" w:color="000000"/>
              <w:left w:val="single" w:sz="4" w:space="0" w:color="000000"/>
              <w:bottom w:val="single" w:sz="4" w:space="0" w:color="000000"/>
            </w:tcBorders>
          </w:tcPr>
          <w:p>
            <w:pPr>
              <w:pStyle w:val="Normal"/>
              <w:widowControl w:val="false"/>
              <w:rPr>
                <w:rFonts w:ascii="Times New Roman" w:hAnsi="Times New Roman"/>
                <w:sz w:val="28"/>
                <w:szCs w:val="28"/>
              </w:rPr>
            </w:pPr>
            <w:r>
              <w:rPr>
                <w:rFonts w:ascii="Times New Roman" w:hAnsi="Times New Roman"/>
                <w:sz w:val="28"/>
                <w:szCs w:val="28"/>
              </w:rPr>
              <w:t>Розробник Програми</w:t>
            </w:r>
          </w:p>
        </w:tc>
        <w:tc>
          <w:tcPr>
            <w:tcW w:w="5221" w:type="dxa"/>
            <w:tcBorders>
              <w:top w:val="single" w:sz="4" w:space="0" w:color="000000"/>
              <w:left w:val="single" w:sz="4" w:space="0" w:color="000000"/>
              <w:bottom w:val="single" w:sz="4" w:space="0" w:color="000000"/>
              <w:right w:val="single" w:sz="4" w:space="0" w:color="000000"/>
            </w:tcBorders>
          </w:tcPr>
          <w:p>
            <w:pPr>
              <w:pStyle w:val="Normal"/>
              <w:widowControl w:val="false"/>
              <w:jc w:val="both"/>
              <w:textAlignment w:val="center"/>
              <w:rPr>
                <w:rFonts w:ascii="Times New Roman" w:hAnsi="Times New Roman"/>
                <w:sz w:val="28"/>
                <w:szCs w:val="28"/>
              </w:rPr>
            </w:pPr>
            <w:r>
              <w:rPr>
                <w:rFonts w:ascii="Times New Roman" w:hAnsi="Times New Roman"/>
                <w:sz w:val="28"/>
                <w:szCs w:val="28"/>
              </w:rPr>
              <w:t>Департамент економічної політики</w:t>
            </w:r>
          </w:p>
        </w:tc>
      </w:tr>
      <w:tr>
        <w:trPr>
          <w:trHeight w:val="414" w:hRule="atLeast"/>
        </w:trPr>
        <w:tc>
          <w:tcPr>
            <w:tcW w:w="56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7"/>
                <w:szCs w:val="27"/>
              </w:rPr>
            </w:pPr>
            <w:r>
              <w:rPr>
                <w:rFonts w:ascii="Times New Roman" w:hAnsi="Times New Roman"/>
                <w:sz w:val="27"/>
                <w:szCs w:val="27"/>
              </w:rPr>
              <w:t>3</w:t>
            </w:r>
          </w:p>
        </w:tc>
        <w:tc>
          <w:tcPr>
            <w:tcW w:w="3329" w:type="dxa"/>
            <w:tcBorders>
              <w:top w:val="single" w:sz="4" w:space="0" w:color="000000"/>
              <w:left w:val="single" w:sz="4" w:space="0" w:color="000000"/>
              <w:bottom w:val="single" w:sz="4" w:space="0" w:color="000000"/>
            </w:tcBorders>
          </w:tcPr>
          <w:p>
            <w:pPr>
              <w:pStyle w:val="Normal"/>
              <w:widowControl w:val="false"/>
              <w:rPr>
                <w:rFonts w:ascii="Times New Roman" w:hAnsi="Times New Roman"/>
                <w:sz w:val="28"/>
                <w:szCs w:val="28"/>
              </w:rPr>
            </w:pPr>
            <w:r>
              <w:rPr>
                <w:rFonts w:ascii="Times New Roman" w:hAnsi="Times New Roman"/>
                <w:sz w:val="28"/>
                <w:szCs w:val="28"/>
              </w:rPr>
              <w:t>Співрозробники Програми</w:t>
            </w:r>
          </w:p>
        </w:tc>
        <w:tc>
          <w:tcPr>
            <w:tcW w:w="5221" w:type="dxa"/>
            <w:tcBorders>
              <w:top w:val="single" w:sz="4" w:space="0" w:color="000000"/>
              <w:left w:val="single" w:sz="4" w:space="0" w:color="000000"/>
              <w:bottom w:val="single" w:sz="4" w:space="0" w:color="000000"/>
              <w:right w:val="single" w:sz="4" w:space="0" w:color="000000"/>
            </w:tcBorders>
          </w:tcPr>
          <w:p>
            <w:pPr>
              <w:pStyle w:val="Normal"/>
              <w:widowControl w:val="false"/>
              <w:jc w:val="both"/>
              <w:textAlignment w:val="center"/>
              <w:rPr>
                <w:rFonts w:ascii="Times New Roman" w:hAnsi="Times New Roman"/>
                <w:sz w:val="28"/>
                <w:szCs w:val="28"/>
              </w:rPr>
            </w:pPr>
            <w:r>
              <w:rPr>
                <w:rFonts w:ascii="Times New Roman" w:hAnsi="Times New Roman"/>
                <w:sz w:val="28"/>
                <w:szCs w:val="28"/>
              </w:rPr>
              <w:t>Відділ екології,</w:t>
            </w:r>
          </w:p>
          <w:p>
            <w:pPr>
              <w:pStyle w:val="Normal"/>
              <w:widowControl w:val="false"/>
              <w:jc w:val="both"/>
              <w:textAlignment w:val="center"/>
              <w:rPr>
                <w:rFonts w:ascii="Times New Roman" w:hAnsi="Times New Roman"/>
                <w:sz w:val="28"/>
                <w:szCs w:val="28"/>
              </w:rPr>
            </w:pPr>
            <w:r>
              <w:rPr>
                <w:rFonts w:ascii="Times New Roman" w:hAnsi="Times New Roman"/>
                <w:sz w:val="28"/>
                <w:szCs w:val="28"/>
              </w:rPr>
              <w:t>департамент містобудування, земельних ресурсів та реклами</w:t>
            </w:r>
          </w:p>
        </w:tc>
      </w:tr>
      <w:tr>
        <w:trPr>
          <w:trHeight w:val="847" w:hRule="atLeast"/>
        </w:trPr>
        <w:tc>
          <w:tcPr>
            <w:tcW w:w="56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7"/>
                <w:szCs w:val="27"/>
              </w:rPr>
            </w:pPr>
            <w:r>
              <w:rPr>
                <w:rFonts w:ascii="Times New Roman" w:hAnsi="Times New Roman"/>
                <w:sz w:val="27"/>
                <w:szCs w:val="27"/>
              </w:rPr>
              <w:t>4</w:t>
            </w:r>
          </w:p>
        </w:tc>
        <w:tc>
          <w:tcPr>
            <w:tcW w:w="3329" w:type="dxa"/>
            <w:tcBorders>
              <w:top w:val="single" w:sz="4" w:space="0" w:color="000000"/>
              <w:left w:val="single" w:sz="4" w:space="0" w:color="000000"/>
              <w:bottom w:val="single" w:sz="4" w:space="0" w:color="000000"/>
            </w:tcBorders>
          </w:tcPr>
          <w:p>
            <w:pPr>
              <w:pStyle w:val="Normal"/>
              <w:widowControl w:val="false"/>
              <w:rPr>
                <w:rFonts w:ascii="Times New Roman" w:hAnsi="Times New Roman"/>
                <w:sz w:val="28"/>
                <w:szCs w:val="28"/>
              </w:rPr>
            </w:pPr>
            <w:r>
              <w:rPr>
                <w:rFonts w:ascii="Times New Roman" w:hAnsi="Times New Roman"/>
                <w:sz w:val="28"/>
                <w:szCs w:val="28"/>
              </w:rPr>
              <w:t>Відповідальні виконавці Програми</w:t>
            </w:r>
          </w:p>
        </w:tc>
        <w:tc>
          <w:tcPr>
            <w:tcW w:w="5221" w:type="dxa"/>
            <w:tcBorders>
              <w:top w:val="single" w:sz="4" w:space="0" w:color="000000"/>
              <w:left w:val="single" w:sz="4" w:space="0" w:color="000000"/>
              <w:bottom w:val="single" w:sz="4" w:space="0" w:color="000000"/>
              <w:right w:val="single" w:sz="4" w:space="0" w:color="000000"/>
            </w:tcBorders>
          </w:tcPr>
          <w:p>
            <w:pPr>
              <w:pStyle w:val="Normal"/>
              <w:widowControl w:val="false"/>
              <w:textAlignment w:val="center"/>
              <w:rPr>
                <w:rFonts w:ascii="Times New Roman" w:hAnsi="Times New Roman"/>
                <w:sz w:val="28"/>
                <w:szCs w:val="28"/>
              </w:rPr>
            </w:pPr>
            <w:r>
              <w:rPr>
                <w:rFonts w:ascii="Times New Roman" w:hAnsi="Times New Roman"/>
                <w:sz w:val="28"/>
                <w:szCs w:val="28"/>
              </w:rPr>
              <w:t xml:space="preserve">Департамент економічної політики, департамент містобудування, земельних ресурсів та реклами, </w:t>
            </w:r>
            <w:r>
              <w:rPr>
                <w:rFonts w:ascii="Times New Roman" w:hAnsi="Times New Roman"/>
                <w:color w:val="auto"/>
                <w:sz w:val="28"/>
                <w:szCs w:val="28"/>
              </w:rPr>
              <w:t>департамент житлово-комунального господарства, відділ управління майном міської комунальної власності, відділ екології, управління міжнародного співробітництва та проектної діяльності, відділ транспорту</w:t>
            </w:r>
          </w:p>
        </w:tc>
      </w:tr>
      <w:tr>
        <w:trPr>
          <w:trHeight w:val="720" w:hRule="atLeast"/>
        </w:trPr>
        <w:tc>
          <w:tcPr>
            <w:tcW w:w="56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7"/>
                <w:szCs w:val="27"/>
              </w:rPr>
            </w:pPr>
            <w:r>
              <w:rPr>
                <w:rFonts w:ascii="Times New Roman" w:hAnsi="Times New Roman"/>
                <w:sz w:val="27"/>
                <w:szCs w:val="27"/>
              </w:rPr>
              <w:t>5</w:t>
            </w:r>
          </w:p>
        </w:tc>
        <w:tc>
          <w:tcPr>
            <w:tcW w:w="3329" w:type="dxa"/>
            <w:tcBorders>
              <w:top w:val="single" w:sz="4" w:space="0" w:color="000000"/>
              <w:left w:val="single" w:sz="4" w:space="0" w:color="000000"/>
              <w:bottom w:val="single" w:sz="4" w:space="0" w:color="000000"/>
            </w:tcBorders>
          </w:tcPr>
          <w:p>
            <w:pPr>
              <w:pStyle w:val="Normal"/>
              <w:widowControl w:val="false"/>
              <w:rPr>
                <w:rFonts w:ascii="Times New Roman" w:hAnsi="Times New Roman"/>
                <w:sz w:val="28"/>
                <w:szCs w:val="28"/>
              </w:rPr>
            </w:pPr>
            <w:r>
              <w:rPr>
                <w:rFonts w:ascii="Times New Roman" w:hAnsi="Times New Roman"/>
                <w:sz w:val="28"/>
                <w:szCs w:val="28"/>
              </w:rPr>
              <w:t>Учасники Програми</w:t>
            </w:r>
          </w:p>
        </w:tc>
        <w:tc>
          <w:tcPr>
            <w:tcW w:w="5221" w:type="dxa"/>
            <w:tcBorders>
              <w:top w:val="single" w:sz="4" w:space="0" w:color="000000"/>
              <w:left w:val="single" w:sz="4" w:space="0" w:color="000000"/>
              <w:bottom w:val="single" w:sz="4" w:space="0" w:color="000000"/>
              <w:right w:val="single" w:sz="4" w:space="0" w:color="000000"/>
            </w:tcBorders>
          </w:tcPr>
          <w:p>
            <w:pPr>
              <w:pStyle w:val="Normal"/>
              <w:widowControl w:val="false"/>
              <w:textAlignment w:val="center"/>
              <w:rPr>
                <w:rFonts w:ascii="Times New Roman" w:hAnsi="Times New Roman"/>
                <w:sz w:val="28"/>
                <w:szCs w:val="28"/>
              </w:rPr>
            </w:pPr>
            <w:r>
              <w:rPr>
                <w:rFonts w:ascii="Times New Roman" w:hAnsi="Times New Roman"/>
                <w:sz w:val="28"/>
                <w:szCs w:val="28"/>
              </w:rPr>
              <w:t>Підприємства, установи та організації усіх форм власності, ОСББ</w:t>
            </w:r>
          </w:p>
        </w:tc>
      </w:tr>
      <w:tr>
        <w:trPr>
          <w:trHeight w:val="455" w:hRule="atLeast"/>
        </w:trPr>
        <w:tc>
          <w:tcPr>
            <w:tcW w:w="56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7"/>
                <w:szCs w:val="27"/>
              </w:rPr>
            </w:pPr>
            <w:r>
              <w:rPr>
                <w:rFonts w:ascii="Times New Roman" w:hAnsi="Times New Roman"/>
                <w:sz w:val="27"/>
                <w:szCs w:val="27"/>
              </w:rPr>
              <w:t>6</w:t>
            </w:r>
          </w:p>
        </w:tc>
        <w:tc>
          <w:tcPr>
            <w:tcW w:w="3329" w:type="dxa"/>
            <w:tcBorders>
              <w:top w:val="single" w:sz="4" w:space="0" w:color="000000"/>
              <w:left w:val="single" w:sz="4" w:space="0" w:color="000000"/>
              <w:bottom w:val="single" w:sz="4" w:space="0" w:color="000000"/>
            </w:tcBorders>
          </w:tcPr>
          <w:p>
            <w:pPr>
              <w:pStyle w:val="Normal"/>
              <w:widowControl w:val="false"/>
              <w:rPr>
                <w:rFonts w:ascii="Times New Roman" w:hAnsi="Times New Roman"/>
                <w:sz w:val="28"/>
                <w:szCs w:val="28"/>
              </w:rPr>
            </w:pPr>
            <w:r>
              <w:rPr>
                <w:rFonts w:ascii="Times New Roman" w:hAnsi="Times New Roman"/>
                <w:sz w:val="28"/>
                <w:szCs w:val="28"/>
              </w:rPr>
              <w:t>Термін реалізації Програми</w:t>
            </w:r>
          </w:p>
        </w:tc>
        <w:tc>
          <w:tcPr>
            <w:tcW w:w="5221" w:type="dxa"/>
            <w:tcBorders>
              <w:top w:val="single" w:sz="4" w:space="0" w:color="000000"/>
              <w:left w:val="single" w:sz="4" w:space="0" w:color="000000"/>
              <w:bottom w:val="single" w:sz="4" w:space="0" w:color="000000"/>
              <w:right w:val="single" w:sz="4" w:space="0" w:color="000000"/>
            </w:tcBorders>
          </w:tcPr>
          <w:p>
            <w:pPr>
              <w:pStyle w:val="Normal"/>
              <w:widowControl w:val="false"/>
              <w:textAlignment w:val="center"/>
              <w:rPr>
                <w:rFonts w:ascii="Times New Roman" w:hAnsi="Times New Roman"/>
                <w:sz w:val="28"/>
                <w:szCs w:val="28"/>
              </w:rPr>
            </w:pPr>
            <w:r>
              <w:rPr>
                <w:rFonts w:ascii="Times New Roman" w:hAnsi="Times New Roman"/>
                <w:sz w:val="28"/>
                <w:szCs w:val="28"/>
              </w:rPr>
            </w:r>
          </w:p>
          <w:p>
            <w:pPr>
              <w:pStyle w:val="Normal"/>
              <w:widowControl w:val="false"/>
              <w:textAlignment w:val="center"/>
              <w:rPr>
                <w:rFonts w:ascii="Times New Roman" w:hAnsi="Times New Roman"/>
                <w:sz w:val="28"/>
                <w:szCs w:val="28"/>
              </w:rPr>
            </w:pPr>
            <w:r>
              <w:rPr>
                <w:rFonts w:ascii="Times New Roman" w:hAnsi="Times New Roman"/>
                <w:sz w:val="28"/>
                <w:szCs w:val="28"/>
              </w:rPr>
              <w:t>2023–2027 роки</w:t>
            </w:r>
          </w:p>
        </w:tc>
      </w:tr>
      <w:tr>
        <w:trPr>
          <w:trHeight w:val="1110" w:hRule="atLeast"/>
        </w:trPr>
        <w:tc>
          <w:tcPr>
            <w:tcW w:w="56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7"/>
                <w:szCs w:val="27"/>
              </w:rPr>
            </w:pPr>
            <w:r>
              <w:rPr>
                <w:rFonts w:ascii="Times New Roman" w:hAnsi="Times New Roman"/>
                <w:sz w:val="27"/>
                <w:szCs w:val="27"/>
              </w:rPr>
              <w:t>7</w:t>
            </w:r>
          </w:p>
        </w:tc>
        <w:tc>
          <w:tcPr>
            <w:tcW w:w="3329" w:type="dxa"/>
            <w:tcBorders>
              <w:top w:val="single" w:sz="4" w:space="0" w:color="000000"/>
              <w:left w:val="single" w:sz="4" w:space="0" w:color="000000"/>
              <w:bottom w:val="single" w:sz="4" w:space="0" w:color="000000"/>
            </w:tcBorders>
          </w:tcPr>
          <w:p>
            <w:pPr>
              <w:pStyle w:val="Normal"/>
              <w:widowControl w:val="false"/>
              <w:rPr>
                <w:rFonts w:ascii="Times New Roman" w:hAnsi="Times New Roman"/>
                <w:sz w:val="28"/>
                <w:szCs w:val="28"/>
              </w:rPr>
            </w:pPr>
            <w:r>
              <w:rPr>
                <w:rFonts w:ascii="Times New Roman" w:hAnsi="Times New Roman"/>
                <w:sz w:val="28"/>
                <w:szCs w:val="28"/>
              </w:rPr>
              <w:t>Загальний обсяг фінансових ресурсів, необхідних для реалізації Програми, всього, в тому числі:</w:t>
            </w:r>
          </w:p>
        </w:tc>
        <w:tc>
          <w:tcPr>
            <w:tcW w:w="52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extAlignment w:val="center"/>
              <w:rPr>
                <w:rFonts w:ascii="Times New Roman" w:hAnsi="Times New Roman"/>
                <w:color w:val="auto"/>
                <w:sz w:val="28"/>
                <w:szCs w:val="28"/>
              </w:rPr>
            </w:pPr>
            <w:r>
              <w:rPr>
                <w:rFonts w:ascii="Times New Roman" w:hAnsi="Times New Roman"/>
                <w:color w:val="auto"/>
                <w:sz w:val="28"/>
                <w:szCs w:val="28"/>
              </w:rPr>
              <w:t>5 860,0 тис. грн</w:t>
            </w:r>
          </w:p>
        </w:tc>
      </w:tr>
      <w:tr>
        <w:trPr>
          <w:trHeight w:val="855" w:hRule="atLeast"/>
        </w:trPr>
        <w:tc>
          <w:tcPr>
            <w:tcW w:w="56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7"/>
                <w:szCs w:val="27"/>
              </w:rPr>
            </w:pPr>
            <w:r>
              <w:rPr>
                <w:rFonts w:ascii="Times New Roman" w:hAnsi="Times New Roman"/>
                <w:sz w:val="27"/>
                <w:szCs w:val="27"/>
              </w:rPr>
              <w:t>7.1</w:t>
            </w:r>
          </w:p>
        </w:tc>
        <w:tc>
          <w:tcPr>
            <w:tcW w:w="3329" w:type="dxa"/>
            <w:tcBorders>
              <w:top w:val="single" w:sz="4" w:space="0" w:color="000000"/>
              <w:left w:val="single" w:sz="4" w:space="0" w:color="000000"/>
              <w:bottom w:val="single" w:sz="4" w:space="0" w:color="000000"/>
            </w:tcBorders>
          </w:tcPr>
          <w:p>
            <w:pPr>
              <w:pStyle w:val="Normal"/>
              <w:widowControl w:val="false"/>
              <w:rPr>
                <w:rFonts w:ascii="Times New Roman" w:hAnsi="Times New Roman"/>
                <w:sz w:val="28"/>
                <w:szCs w:val="28"/>
              </w:rPr>
            </w:pPr>
            <w:r>
              <w:rPr>
                <w:rFonts w:ascii="Times New Roman" w:hAnsi="Times New Roman"/>
                <w:sz w:val="28"/>
                <w:szCs w:val="28"/>
              </w:rPr>
              <w:t>коштів бюджету Луцької міської територіальної громади</w:t>
            </w:r>
          </w:p>
        </w:tc>
        <w:tc>
          <w:tcPr>
            <w:tcW w:w="52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extAlignment w:val="center"/>
              <w:rPr>
                <w:rFonts w:ascii="Times New Roman" w:hAnsi="Times New Roman"/>
                <w:color w:val="auto"/>
                <w:sz w:val="28"/>
                <w:szCs w:val="28"/>
              </w:rPr>
            </w:pPr>
            <w:r>
              <w:rPr>
                <w:rFonts w:ascii="Times New Roman" w:hAnsi="Times New Roman"/>
                <w:color w:val="auto"/>
                <w:sz w:val="28"/>
                <w:szCs w:val="28"/>
              </w:rPr>
              <w:t>2 250,0 тис. грн</w:t>
            </w:r>
          </w:p>
        </w:tc>
      </w:tr>
      <w:tr>
        <w:trPr>
          <w:trHeight w:val="444" w:hRule="atLeast"/>
        </w:trPr>
        <w:tc>
          <w:tcPr>
            <w:tcW w:w="568"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7"/>
                <w:szCs w:val="27"/>
              </w:rPr>
            </w:pPr>
            <w:r>
              <w:rPr>
                <w:rFonts w:ascii="Times New Roman" w:hAnsi="Times New Roman"/>
                <w:sz w:val="27"/>
                <w:szCs w:val="27"/>
              </w:rPr>
              <w:t>7.2</w:t>
            </w:r>
          </w:p>
        </w:tc>
        <w:tc>
          <w:tcPr>
            <w:tcW w:w="3329" w:type="dxa"/>
            <w:tcBorders>
              <w:top w:val="single" w:sz="4" w:space="0" w:color="000000"/>
              <w:left w:val="single" w:sz="4" w:space="0" w:color="000000"/>
              <w:bottom w:val="single" w:sz="4" w:space="0" w:color="000000"/>
            </w:tcBorders>
          </w:tcPr>
          <w:p>
            <w:pPr>
              <w:pStyle w:val="Normal"/>
              <w:widowControl w:val="false"/>
              <w:rPr>
                <w:rFonts w:ascii="Times New Roman" w:hAnsi="Times New Roman"/>
                <w:sz w:val="28"/>
                <w:szCs w:val="28"/>
              </w:rPr>
            </w:pPr>
            <w:r>
              <w:rPr>
                <w:rFonts w:ascii="Times New Roman" w:hAnsi="Times New Roman"/>
                <w:sz w:val="28"/>
                <w:szCs w:val="28"/>
              </w:rPr>
              <w:t>інших коштів</w:t>
            </w:r>
          </w:p>
        </w:tc>
        <w:tc>
          <w:tcPr>
            <w:tcW w:w="52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color w:val="auto"/>
                <w:sz w:val="28"/>
                <w:szCs w:val="28"/>
              </w:rPr>
            </w:pPr>
            <w:r>
              <w:rPr>
                <w:rFonts w:ascii="Times New Roman" w:hAnsi="Times New Roman"/>
                <w:color w:val="auto"/>
                <w:sz w:val="28"/>
                <w:szCs w:val="28"/>
              </w:rPr>
              <w:t>3 610,0 тис. грн</w:t>
            </w:r>
          </w:p>
        </w:tc>
      </w:tr>
    </w:tbl>
    <w:p>
      <w:pPr>
        <w:sectPr>
          <w:type w:val="nextPage"/>
          <w:pgSz w:w="11906" w:h="16838"/>
          <w:pgMar w:left="1985" w:right="567" w:gutter="0" w:header="0" w:top="567" w:footer="0" w:bottom="964"/>
          <w:pgNumType w:fmt="decimal"/>
          <w:formProt w:val="false"/>
          <w:textDirection w:val="lrTb"/>
          <w:docGrid w:type="default" w:linePitch="381" w:charSpace="8192"/>
        </w:sectPr>
      </w:pPr>
    </w:p>
    <w:p>
      <w:pPr>
        <w:pStyle w:val="ListParagraph"/>
        <w:ind w:left="0" w:firstLine="567"/>
        <w:jc w:val="center"/>
        <w:rPr>
          <w:rFonts w:ascii="Times New Roman" w:hAnsi="Times New Roman"/>
        </w:rPr>
      </w:pPr>
      <w:r>
        <w:rPr>
          <w:rFonts w:ascii="Times New Roman" w:hAnsi="Times New Roman"/>
          <w:b/>
          <w:sz w:val="28"/>
          <w:szCs w:val="28"/>
        </w:rPr>
        <w:t>1. Аналіз динаміки змін та поточної ситуації</w:t>
      </w:r>
    </w:p>
    <w:p>
      <w:pPr>
        <w:pStyle w:val="ListParagraph"/>
        <w:ind w:left="0" w:firstLine="567"/>
        <w:jc w:val="center"/>
        <w:rPr>
          <w:rFonts w:ascii="Times New Roman" w:hAnsi="Times New Roman"/>
          <w:b/>
          <w:b/>
          <w:sz w:val="28"/>
          <w:szCs w:val="28"/>
        </w:rPr>
      </w:pPr>
      <w:r>
        <w:rPr>
          <w:rFonts w:ascii="Times New Roman" w:hAnsi="Times New Roman"/>
          <w:b/>
          <w:sz w:val="28"/>
          <w:szCs w:val="28"/>
        </w:rPr>
      </w:r>
    </w:p>
    <w:p>
      <w:pPr>
        <w:pStyle w:val="Normal"/>
        <w:ind w:firstLine="567"/>
        <w:jc w:val="both"/>
        <w:rPr>
          <w:rFonts w:ascii="Times New Roman" w:hAnsi="Times New Roman"/>
        </w:rPr>
      </w:pPr>
      <w:r>
        <w:rPr>
          <w:rFonts w:cs="Times New Roman" w:ascii="Times New Roman" w:hAnsi="Times New Roman"/>
          <w:b/>
          <w:bCs/>
          <w:sz w:val="28"/>
          <w:szCs w:val="28"/>
        </w:rPr>
        <w:t>1.1. Нормативно-правова база</w:t>
      </w:r>
    </w:p>
    <w:p>
      <w:pPr>
        <w:pStyle w:val="Normal"/>
        <w:ind w:firstLine="567"/>
        <w:jc w:val="both"/>
        <w:rPr>
          <w:rFonts w:ascii="Times New Roman" w:hAnsi="Times New Roman"/>
        </w:rPr>
      </w:pPr>
      <w:r>
        <w:rPr>
          <w:rFonts w:cs="Times New Roman" w:ascii="Times New Roman" w:hAnsi="Times New Roman"/>
          <w:sz w:val="28"/>
          <w:szCs w:val="28"/>
        </w:rPr>
        <w:t>Для переходу європейського континенту до кліматичної нейтральності та розвитку справедливого суспільства, на початку 2020 року Європейська Комісія затвердила пакет системних політичних рішень – Європейський зелений курс (The European Green Deal).  Це стало першим кроком до закріплення на законодавчому рівні ефективного споживання ресурсів, озеленення інвестицій, скорочення викидів парникових газів та справедливої трансформації для сталого розвитку і збереження довкілля. Амбіції Європейського зеленого курсу також поширюються на Україну, як частину європейського континенту. З метою посилення реагування на наслідки змін клімату і досягнення цілей сталого низьковуглецевого розвитку всіх галузей економіки, урядом нашої країни розпочато процес виконання ратифікованих міжнародних документів щодо протидії зміні клімату та поліпшення якості атмосферного повітря.</w:t>
      </w:r>
    </w:p>
    <w:p>
      <w:pPr>
        <w:pStyle w:val="Normal"/>
        <w:ind w:firstLine="567"/>
        <w:jc w:val="both"/>
        <w:rPr>
          <w:rFonts w:ascii="Times New Roman" w:hAnsi="Times New Roman"/>
        </w:rPr>
      </w:pPr>
      <w:r>
        <w:rPr>
          <w:rFonts w:cs="Times New Roman" w:ascii="Times New Roman" w:hAnsi="Times New Roman"/>
          <w:sz w:val="28"/>
          <w:szCs w:val="28"/>
        </w:rPr>
        <w:t>Законом України «Про Основні засади (стратегію) державної екологічної політики України на період до 2030 року», який набрав чинності із 01 січня 2020 року, визначено, що забруднення атмосферного повітря у нашій державі є однією з найгостріших екологічних проблем. Основними забруднювачами та джерелами викидів парникових газів є підприємства теплоенергетики, добувної і переробної промисловості та автотранспорт. Інструментами реалізації державної екологічної політики визначено: проведення стратегічної екологічної оцінки документів державного планування; екологічний аудит, екологічна сертифікація та маркування продукції; впровадження науково обґрунтованих та безпечних для навколишнього природного середовища і здоров’я населення вимог до процесів, товарів та послуг, які відповідатимуть європейським нормам/вимогам; екологічна модернізація промислових підприємств тощо.</w:t>
      </w:r>
    </w:p>
    <w:p>
      <w:pPr>
        <w:pStyle w:val="Normal"/>
        <w:ind w:firstLine="567"/>
        <w:jc w:val="both"/>
        <w:rPr/>
      </w:pPr>
      <w:r>
        <w:rPr>
          <w:rFonts w:cs="Times New Roman" w:ascii="Times New Roman" w:hAnsi="Times New Roman"/>
          <w:sz w:val="28"/>
          <w:szCs w:val="28"/>
        </w:rPr>
        <w:t xml:space="preserve">Національною транспортною стратегією України на період до 2030 року передбачено перехід на екологічно-чистий та енергоефективний транспорт. Положення стратегії передбачають насамперед розвиток громадського електротранспорту і велосипедної інфраструктури в містах України, заміна </w:t>
      </w:r>
      <w:hyperlink r:id="rId2" w:tgtFrame="_blank">
        <w:r>
          <w:rPr>
            <w:rFonts w:cs="Times New Roman" w:ascii="Times New Roman" w:hAnsi="Times New Roman"/>
            <w:sz w:val="28"/>
            <w:szCs w:val="28"/>
          </w:rPr>
          <w:t>транспорту</w:t>
        </w:r>
      </w:hyperlink>
      <w:r>
        <w:rPr>
          <w:rFonts w:cs="Times New Roman" w:ascii="Times New Roman" w:hAnsi="Times New Roman"/>
          <w:sz w:val="28"/>
          <w:szCs w:val="28"/>
        </w:rPr>
        <w:t xml:space="preserve"> з вуглеводневими викидами на «зелений» транспорт, запровадження маркування транспорту відповідно до рівня екологічної небезпеки, стимулювання розвитку альтернативних видів авіаційного палива. Крім того, П</w:t>
      </w:r>
      <w:r>
        <w:rPr>
          <w:rFonts w:cs="Times New Roman" w:ascii="Times New Roman" w:hAnsi="Times New Roman"/>
          <w:bCs/>
          <w:sz w:val="28"/>
          <w:szCs w:val="28"/>
          <w:shd w:fill="FFFFFF" w:val="clear"/>
        </w:rPr>
        <w:t xml:space="preserve">ланом заходів із реалізації Національної транспортної стратегії України на період до 2030 року (затверджено розпорядженням Кабінету Міністрів України від 07.04.2021 № 321-р) задекларовано </w:t>
      </w:r>
      <w:r>
        <w:rPr>
          <w:rFonts w:cs="Times New Roman" w:ascii="Times New Roman" w:hAnsi="Times New Roman"/>
          <w:sz w:val="28"/>
          <w:szCs w:val="28"/>
        </w:rPr>
        <w:t>законодавче стимулювання виробництва електромобілів в Україні та створення національної мережі швидкісних електрозарядних станцій.</w:t>
      </w:r>
    </w:p>
    <w:p>
      <w:pPr>
        <w:pStyle w:val="Normal"/>
        <w:ind w:firstLine="567"/>
        <w:jc w:val="both"/>
        <w:rPr>
          <w:rFonts w:ascii="Times New Roman" w:hAnsi="Times New Roman"/>
        </w:rPr>
      </w:pPr>
      <w:r>
        <w:rPr>
          <w:rFonts w:cs="Times New Roman" w:ascii="Times New Roman" w:hAnsi="Times New Roman"/>
          <w:sz w:val="28"/>
          <w:szCs w:val="28"/>
        </w:rPr>
        <w:t xml:space="preserve">З 01 січня 2022 року набули чинності закони України </w:t>
      </w:r>
      <w:r>
        <w:rPr>
          <w:rFonts w:cs="Times New Roman" w:ascii="Times New Roman" w:hAnsi="Times New Roman"/>
          <w:color w:val="auto"/>
          <w:sz w:val="28"/>
          <w:szCs w:val="28"/>
        </w:rPr>
        <w:t>«</w:t>
      </w:r>
      <w:r>
        <w:rPr>
          <w:rFonts w:cs="Times New Roman" w:ascii="Times New Roman" w:hAnsi="Times New Roman"/>
          <w:sz w:val="28"/>
          <w:szCs w:val="28"/>
        </w:rPr>
        <w:t>Про внесення змін до Податкового кодексу України та деяких законодавчих актів України щодо стимулювання розвитку галузі електричного транспорту в Україні</w:t>
      </w:r>
      <w:r>
        <w:rPr>
          <w:rFonts w:cs="Times New Roman" w:ascii="Times New Roman" w:hAnsi="Times New Roman"/>
          <w:color w:val="auto"/>
          <w:sz w:val="28"/>
          <w:szCs w:val="28"/>
        </w:rPr>
        <w:t>»</w:t>
      </w:r>
      <w:r>
        <w:rPr>
          <w:rFonts w:cs="Times New Roman" w:ascii="Times New Roman" w:hAnsi="Times New Roman"/>
          <w:sz w:val="28"/>
          <w:szCs w:val="28"/>
        </w:rPr>
        <w:t xml:space="preserve"> та </w:t>
      </w:r>
      <w:r>
        <w:rPr>
          <w:rFonts w:cs="Times New Roman" w:ascii="Times New Roman" w:hAnsi="Times New Roman"/>
          <w:color w:val="auto"/>
          <w:sz w:val="28"/>
          <w:szCs w:val="28"/>
        </w:rPr>
        <w:t>«</w:t>
      </w:r>
      <w:r>
        <w:rPr>
          <w:rFonts w:cs="Times New Roman" w:ascii="Times New Roman" w:hAnsi="Times New Roman"/>
          <w:sz w:val="28"/>
          <w:szCs w:val="28"/>
        </w:rPr>
        <w:t>Про внесення змін до Митного кодексу України щодо стимулювання розвитку галузі електричного транспорту в Україні</w:t>
      </w:r>
      <w:r>
        <w:rPr>
          <w:rFonts w:cs="Times New Roman" w:ascii="Times New Roman" w:hAnsi="Times New Roman"/>
          <w:color w:val="auto"/>
          <w:sz w:val="28"/>
          <w:szCs w:val="28"/>
        </w:rPr>
        <w:t>»</w:t>
      </w:r>
      <w:r>
        <w:rPr>
          <w:rFonts w:cs="Times New Roman" w:ascii="Times New Roman" w:hAnsi="Times New Roman"/>
          <w:sz w:val="28"/>
          <w:szCs w:val="28"/>
        </w:rPr>
        <w:t>. Основна мета вказаних законодавчих актів – створення сприятливих умов для залучення інвестицій у виробництво електромобілів, зарядних пристроїв, комплектуючих виробів до них, а також стимулюванні попиту на автобуси, легкові та вантажні автомобілі, оснащені електричними двигунами.</w:t>
      </w:r>
    </w:p>
    <w:p>
      <w:pPr>
        <w:pStyle w:val="Normal"/>
        <w:ind w:firstLine="567"/>
        <w:jc w:val="both"/>
        <w:rPr>
          <w:rFonts w:ascii="Times New Roman" w:hAnsi="Times New Roman"/>
        </w:rPr>
      </w:pPr>
      <w:r>
        <w:rPr>
          <w:rFonts w:cs="Times New Roman" w:ascii="Times New Roman" w:hAnsi="Times New Roman"/>
          <w:color w:val="auto"/>
          <w:sz w:val="28"/>
          <w:szCs w:val="28"/>
        </w:rPr>
        <w:t xml:space="preserve">23 березня 2023 року набув чинності Закон України «Про деякі питання використання транспортних засобів, оснащених електричними двигунами, та внесення змін до деяких законів України щодо подолання паливної залежності і розвитку електрозарядної інфраструктури та електричних транспортних засобів», який спрямований на </w:t>
      </w:r>
      <w:r>
        <w:rPr>
          <w:rFonts w:cs="Times New Roman" w:ascii="Times New Roman" w:hAnsi="Times New Roman"/>
          <w:sz w:val="28"/>
          <w:szCs w:val="28"/>
        </w:rPr>
        <w:t xml:space="preserve">створення умов для використання транспортних засобів, оснащених електричними двигунами, розвиток інфраструктури зарядних станцій, а також зменшення залежності України від імпорту енергетичних ресурсів та сприяння економічній вигоді у зв’язку із меншою вартістю електроенергії порівняно з іншими видами палива. На виконання вказаного закону були внесені зміни до ряду інших, відповідних нормативно-правових актів, зокрема і до Закону України </w:t>
      </w:r>
      <w:r>
        <w:rPr>
          <w:rFonts w:cs="Times New Roman" w:ascii="Times New Roman" w:hAnsi="Times New Roman"/>
          <w:color w:val="auto"/>
          <w:sz w:val="28"/>
          <w:szCs w:val="28"/>
        </w:rPr>
        <w:t xml:space="preserve">«Про об’єднання співвласників багатоквартирного будинку», в частині надання права </w:t>
      </w:r>
      <w:r>
        <w:rPr>
          <w:rFonts w:cs="Times New Roman" w:ascii="Times New Roman" w:hAnsi="Times New Roman"/>
          <w:sz w:val="28"/>
          <w:szCs w:val="28"/>
        </w:rPr>
        <w:t>об’єднанням облаштовувати на прибудинкових територіях місця для стоянки та зберігання транспортних засобів, які обладнані станціями зарядки електромобілів, для заряджання систем акумулювання електричної енергії (акумуляторних батарей) електромобілів. Також згідно з п. </w:t>
      </w:r>
      <w:r>
        <w:rPr>
          <w:rFonts w:cs="Times New Roman" w:ascii="Times New Roman" w:hAnsi="Times New Roman"/>
          <w:color w:val="auto"/>
          <w:sz w:val="28"/>
          <w:szCs w:val="28"/>
        </w:rPr>
        <w:t>4 ст. 5 вказаного закону органам місцевого самоврядування необхідно розробити та затвердити власні програми розвитку електрозарядної інфраструктури з метою облаштування комунальних об’єктів необхідною договірною потужністю та станціями зарядки електромобілів.</w:t>
      </w:r>
    </w:p>
    <w:p>
      <w:pPr>
        <w:pStyle w:val="ListParagraph"/>
        <w:ind w:left="0" w:firstLine="567"/>
        <w:jc w:val="both"/>
        <w:rPr>
          <w:rFonts w:ascii="Times New Roman" w:hAnsi="Times New Roman"/>
          <w:b/>
          <w:b/>
          <w:color w:val="auto"/>
          <w:sz w:val="28"/>
          <w:szCs w:val="28"/>
        </w:rPr>
      </w:pPr>
      <w:r>
        <w:rPr>
          <w:rFonts w:ascii="Times New Roman" w:hAnsi="Times New Roman"/>
          <w:b/>
          <w:color w:val="auto"/>
          <w:sz w:val="28"/>
          <w:szCs w:val="28"/>
        </w:rPr>
      </w:r>
    </w:p>
    <w:p>
      <w:pPr>
        <w:pStyle w:val="Normal"/>
        <w:ind w:firstLine="567"/>
        <w:jc w:val="both"/>
        <w:rPr>
          <w:rFonts w:ascii="Times New Roman" w:hAnsi="Times New Roman"/>
        </w:rPr>
      </w:pPr>
      <w:r>
        <w:rPr>
          <w:rFonts w:cs="Times New Roman" w:ascii="Times New Roman" w:hAnsi="Times New Roman"/>
          <w:b/>
          <w:bCs/>
          <w:sz w:val="28"/>
          <w:szCs w:val="28"/>
        </w:rPr>
        <w:t>1.2. Аналіз поточної ситуації</w:t>
      </w:r>
    </w:p>
    <w:p>
      <w:pPr>
        <w:pStyle w:val="Normal"/>
        <w:ind w:firstLine="567"/>
        <w:jc w:val="both"/>
        <w:rPr>
          <w:rFonts w:ascii="Times New Roman" w:hAnsi="Times New Roman"/>
        </w:rPr>
      </w:pPr>
      <w:r>
        <w:rPr>
          <w:rFonts w:cs="Times New Roman" w:ascii="Times New Roman" w:hAnsi="Times New Roman"/>
          <w:sz w:val="28"/>
          <w:szCs w:val="28"/>
        </w:rPr>
        <w:t>Спостереження за рівнем забруднення атмосферного повітря у м. Луцьку здійснює Волинський обласний центр з гідрометеорології на трьох стаціонарних постах. Стан повітря досліджується за сімома основними домішками. Критичними по місту є такі домішки як: пил, діоксид азоту, оксид вуглецю, фенол та формальдегід. Одним із найбільших забруднювачів атмосферного повітря та шумового навантаження (тиску) в Луцькій міський територіальній громаді є автомобільний транспорт (пересувні джерела).</w:t>
      </w:r>
    </w:p>
    <w:p>
      <w:pPr>
        <w:pStyle w:val="Normal"/>
        <w:ind w:firstLine="567"/>
        <w:jc w:val="both"/>
        <w:rPr>
          <w:rFonts w:ascii="Times New Roman" w:hAnsi="Times New Roman"/>
        </w:rPr>
      </w:pPr>
      <w:r>
        <w:rPr>
          <w:rFonts w:cs="Times New Roman" w:ascii="Times New Roman" w:hAnsi="Times New Roman"/>
          <w:sz w:val="28"/>
          <w:szCs w:val="28"/>
        </w:rPr>
        <w:t>У 2022 році забруднення повітря від автотранспорту складало 95 % від сумарного. Така ситуація зумовлює підвищення рівня загазованості повітря у місті, особливо оксидом вуглецю. Його середньорічна концентрація в окремих районах міста перевищує рівень максимально-разової гранично-допустимої (5 мг/м3) та становить 6,62 мг/м3.</w:t>
      </w:r>
    </w:p>
    <w:p>
      <w:pPr>
        <w:pStyle w:val="Normal"/>
        <w:ind w:firstLine="567"/>
        <w:jc w:val="both"/>
        <w:rPr>
          <w:rFonts w:ascii="Times New Roman" w:hAnsi="Times New Roman"/>
        </w:rPr>
      </w:pPr>
      <w:r>
        <w:rPr>
          <w:rFonts w:cs="Times New Roman" w:ascii="Times New Roman" w:hAnsi="Times New Roman"/>
          <w:sz w:val="28"/>
          <w:szCs w:val="28"/>
        </w:rPr>
        <w:t>Для оптимізації ситуації необхідно проводити роботи із: удосконалення пропускної здатності вулично-транспортної мережі з винесенням транзитних потоків за межі житлових зон і міста загалом; заміни рухомого складу громадського автотранспорту на зразки із найновішими екологічними стандартами та більшою пасажиромісткістю; оновлення та збільшення парку міського електротранспорту; стимулювання населення до використання електричних колісних транспортних засобів та електромобілів.</w:t>
      </w:r>
    </w:p>
    <w:p>
      <w:pPr>
        <w:pStyle w:val="Normal"/>
        <w:ind w:firstLine="567"/>
        <w:jc w:val="both"/>
        <w:rPr>
          <w:rFonts w:ascii="Times New Roman" w:hAnsi="Times New Roman"/>
        </w:rPr>
      </w:pPr>
      <w:r>
        <w:rPr>
          <w:rFonts w:cs="Times New Roman" w:ascii="Times New Roman" w:hAnsi="Times New Roman"/>
          <w:sz w:val="28"/>
          <w:szCs w:val="28"/>
        </w:rPr>
        <w:t>За даними Міністерства інфраструктури, станом на 01 лютого 2023 року в Україні було зареєстровано 48 180 електромобілів. Українська зарядна мережа налічувала 3 244 станції, з яких 1 835 – швидкісні (потужність понад 22 кВт). Мережа електрозарядних станцій переважно розміщена на міських територіях. При цьому, виробники електромобілів і дилери також неодноразово заявляють, що для розвитку електротранспорту в Україні повинна бути відповідна інфраструктура, в першу чергу – зарядні станції.</w:t>
      </w:r>
    </w:p>
    <w:p>
      <w:pPr>
        <w:pStyle w:val="Normal"/>
        <w:ind w:firstLine="567"/>
        <w:jc w:val="both"/>
        <w:rPr>
          <w:rFonts w:ascii="Times New Roman" w:hAnsi="Times New Roman"/>
        </w:rPr>
      </w:pPr>
      <w:r>
        <w:rPr>
          <w:rFonts w:cs="Times New Roman" w:ascii="Times New Roman" w:hAnsi="Times New Roman"/>
          <w:sz w:val="28"/>
          <w:szCs w:val="28"/>
        </w:rPr>
        <w:t>Станом на 01.09.2023 у Луцькій міській територіальній громаді було зареєстровано 578 електромобілів та 823 автомобілі із гібридним двигуном. Мережа електрозарядних станцій складала близько 50 од.**</w:t>
      </w:r>
    </w:p>
    <w:p>
      <w:pPr>
        <w:pStyle w:val="NormalWeb"/>
        <w:spacing w:before="280" w:after="280"/>
        <w:ind w:firstLine="567"/>
        <w:jc w:val="center"/>
        <w:rPr>
          <w:rFonts w:ascii="Times New Roman" w:hAnsi="Times New Roman"/>
        </w:rPr>
      </w:pPr>
      <w:r>
        <w:rPr>
          <w:sz w:val="28"/>
          <w:szCs w:val="28"/>
        </w:rPr>
        <w:t>Кількість зареєстрованих електромобілів та автомобілів із гібридним двигуном у Луцькій міській територіальній громаді*</w:t>
      </w:r>
    </w:p>
    <w:tbl>
      <w:tblPr>
        <w:tblW w:w="9493" w:type="dxa"/>
        <w:jc w:val="left"/>
        <w:tblInd w:w="0" w:type="dxa"/>
        <w:tblLayout w:type="fixed"/>
        <w:tblCellMar>
          <w:top w:w="55" w:type="dxa"/>
          <w:left w:w="55" w:type="dxa"/>
          <w:bottom w:w="55" w:type="dxa"/>
          <w:right w:w="55" w:type="dxa"/>
        </w:tblCellMar>
        <w:tblLook w:firstRow="1" w:noVBand="0" w:lastRow="0" w:firstColumn="1" w:lastColumn="0" w:noHBand="0" w:val="00a0"/>
      </w:tblPr>
      <w:tblGrid>
        <w:gridCol w:w="4960"/>
        <w:gridCol w:w="1555"/>
        <w:gridCol w:w="1423"/>
        <w:gridCol w:w="1554"/>
      </w:tblGrid>
      <w:tr>
        <w:trPr/>
        <w:tc>
          <w:tcPr>
            <w:tcW w:w="4960" w:type="dxa"/>
            <w:tcBorders>
              <w:top w:val="single" w:sz="4" w:space="0" w:color="000000"/>
              <w:left w:val="single" w:sz="4" w:space="0" w:color="000000"/>
              <w:bottom w:val="single" w:sz="4" w:space="0" w:color="000000"/>
              <w:right w:val="single" w:sz="4" w:space="0" w:color="000000"/>
            </w:tcBorders>
          </w:tcPr>
          <w:p>
            <w:pPr>
              <w:pStyle w:val="Style24"/>
              <w:widowControl w:val="false"/>
              <w:rPr>
                <w:rFonts w:ascii="Times New Roman" w:hAnsi="Times New Roman"/>
                <w:sz w:val="26"/>
                <w:szCs w:val="26"/>
              </w:rPr>
            </w:pPr>
            <w:r>
              <w:rPr>
                <w:rFonts w:ascii="Times New Roman" w:hAnsi="Times New Roman"/>
                <w:sz w:val="26"/>
                <w:szCs w:val="26"/>
              </w:rPr>
            </w:r>
          </w:p>
        </w:tc>
        <w:tc>
          <w:tcPr>
            <w:tcW w:w="1555" w:type="dxa"/>
            <w:tcBorders>
              <w:top w:val="single" w:sz="4" w:space="0" w:color="000000"/>
              <w:left w:val="single" w:sz="4" w:space="0" w:color="000000"/>
              <w:bottom w:val="single" w:sz="4" w:space="0" w:color="000000"/>
              <w:right w:val="single" w:sz="4" w:space="0" w:color="000000"/>
            </w:tcBorders>
          </w:tcPr>
          <w:p>
            <w:pPr>
              <w:pStyle w:val="Style24"/>
              <w:widowControl w:val="false"/>
              <w:jc w:val="center"/>
              <w:rPr>
                <w:rFonts w:ascii="Times New Roman" w:hAnsi="Times New Roman"/>
                <w:sz w:val="26"/>
                <w:szCs w:val="26"/>
              </w:rPr>
            </w:pPr>
            <w:r>
              <w:rPr>
                <w:rFonts w:ascii="Times New Roman" w:hAnsi="Times New Roman"/>
                <w:sz w:val="26"/>
                <w:szCs w:val="26"/>
              </w:rPr>
              <w:t>01.01.2021</w:t>
            </w:r>
          </w:p>
        </w:tc>
        <w:tc>
          <w:tcPr>
            <w:tcW w:w="1423" w:type="dxa"/>
            <w:tcBorders>
              <w:top w:val="single" w:sz="4" w:space="0" w:color="000000"/>
              <w:left w:val="single" w:sz="4" w:space="0" w:color="000000"/>
              <w:bottom w:val="single" w:sz="4" w:space="0" w:color="000000"/>
              <w:right w:val="single" w:sz="4" w:space="0" w:color="000000"/>
            </w:tcBorders>
          </w:tcPr>
          <w:p>
            <w:pPr>
              <w:pStyle w:val="Style24"/>
              <w:widowControl w:val="false"/>
              <w:jc w:val="center"/>
              <w:rPr>
                <w:rFonts w:ascii="Times New Roman" w:hAnsi="Times New Roman"/>
                <w:sz w:val="26"/>
                <w:szCs w:val="26"/>
              </w:rPr>
            </w:pPr>
            <w:r>
              <w:rPr>
                <w:rFonts w:ascii="Times New Roman" w:hAnsi="Times New Roman"/>
                <w:sz w:val="26"/>
                <w:szCs w:val="26"/>
              </w:rPr>
              <w:t>01.01.2022</w:t>
            </w:r>
          </w:p>
        </w:tc>
        <w:tc>
          <w:tcPr>
            <w:tcW w:w="1554" w:type="dxa"/>
            <w:tcBorders>
              <w:top w:val="single" w:sz="4" w:space="0" w:color="000000"/>
              <w:left w:val="single" w:sz="4" w:space="0" w:color="000000"/>
              <w:bottom w:val="single" w:sz="4" w:space="0" w:color="000000"/>
              <w:right w:val="single" w:sz="4" w:space="0" w:color="000000"/>
            </w:tcBorders>
          </w:tcPr>
          <w:p>
            <w:pPr>
              <w:pStyle w:val="Style24"/>
              <w:widowControl w:val="false"/>
              <w:jc w:val="center"/>
              <w:rPr>
                <w:rFonts w:ascii="Times New Roman" w:hAnsi="Times New Roman"/>
                <w:sz w:val="26"/>
                <w:szCs w:val="26"/>
              </w:rPr>
            </w:pPr>
            <w:r>
              <w:rPr>
                <w:rFonts w:ascii="Times New Roman" w:hAnsi="Times New Roman"/>
                <w:sz w:val="26"/>
                <w:szCs w:val="26"/>
              </w:rPr>
              <w:t>01.09.2023</w:t>
            </w:r>
          </w:p>
        </w:tc>
      </w:tr>
      <w:tr>
        <w:trPr/>
        <w:tc>
          <w:tcPr>
            <w:tcW w:w="4960" w:type="dxa"/>
            <w:tcBorders>
              <w:top w:val="single" w:sz="4" w:space="0" w:color="000000"/>
              <w:left w:val="single" w:sz="4" w:space="0" w:color="000000"/>
              <w:bottom w:val="single" w:sz="4" w:space="0" w:color="000000"/>
              <w:right w:val="single" w:sz="4" w:space="0" w:color="000000"/>
            </w:tcBorders>
          </w:tcPr>
          <w:p>
            <w:pPr>
              <w:pStyle w:val="Style24"/>
              <w:widowControl w:val="false"/>
              <w:rPr>
                <w:rFonts w:ascii="Times New Roman" w:hAnsi="Times New Roman"/>
                <w:sz w:val="26"/>
                <w:szCs w:val="26"/>
              </w:rPr>
            </w:pPr>
            <w:r>
              <w:rPr>
                <w:rFonts w:ascii="Times New Roman" w:hAnsi="Times New Roman"/>
                <w:sz w:val="26"/>
                <w:szCs w:val="26"/>
              </w:rPr>
              <w:t>Кількість електромобілів, од.</w:t>
            </w:r>
          </w:p>
        </w:tc>
        <w:tc>
          <w:tcPr>
            <w:tcW w:w="1555" w:type="dxa"/>
            <w:tcBorders>
              <w:top w:val="single" w:sz="4" w:space="0" w:color="000000"/>
              <w:left w:val="single" w:sz="4" w:space="0" w:color="000000"/>
              <w:bottom w:val="single" w:sz="4" w:space="0" w:color="000000"/>
              <w:right w:val="single" w:sz="4" w:space="0" w:color="000000"/>
            </w:tcBorders>
          </w:tcPr>
          <w:p>
            <w:pPr>
              <w:pStyle w:val="Style24"/>
              <w:widowControl w:val="false"/>
              <w:jc w:val="center"/>
              <w:rPr>
                <w:rFonts w:ascii="Times New Roman" w:hAnsi="Times New Roman"/>
                <w:sz w:val="26"/>
                <w:szCs w:val="26"/>
              </w:rPr>
            </w:pPr>
            <w:r>
              <w:rPr>
                <w:rFonts w:ascii="Times New Roman" w:hAnsi="Times New Roman"/>
                <w:sz w:val="26"/>
                <w:szCs w:val="26"/>
              </w:rPr>
              <w:t>231</w:t>
            </w:r>
          </w:p>
        </w:tc>
        <w:tc>
          <w:tcPr>
            <w:tcW w:w="1423" w:type="dxa"/>
            <w:tcBorders>
              <w:top w:val="single" w:sz="4" w:space="0" w:color="000000"/>
              <w:left w:val="single" w:sz="4" w:space="0" w:color="000000"/>
              <w:bottom w:val="single" w:sz="4" w:space="0" w:color="000000"/>
              <w:right w:val="single" w:sz="4" w:space="0" w:color="000000"/>
            </w:tcBorders>
          </w:tcPr>
          <w:p>
            <w:pPr>
              <w:pStyle w:val="Style24"/>
              <w:widowControl w:val="false"/>
              <w:jc w:val="center"/>
              <w:rPr>
                <w:rFonts w:ascii="Times New Roman" w:hAnsi="Times New Roman"/>
                <w:sz w:val="26"/>
                <w:szCs w:val="26"/>
              </w:rPr>
            </w:pPr>
            <w:r>
              <w:rPr>
                <w:rFonts w:ascii="Times New Roman" w:hAnsi="Times New Roman"/>
                <w:sz w:val="26"/>
                <w:szCs w:val="26"/>
              </w:rPr>
              <w:t>373</w:t>
            </w:r>
          </w:p>
        </w:tc>
        <w:tc>
          <w:tcPr>
            <w:tcW w:w="1554" w:type="dxa"/>
            <w:tcBorders>
              <w:top w:val="single" w:sz="4" w:space="0" w:color="000000"/>
              <w:left w:val="single" w:sz="4" w:space="0" w:color="000000"/>
              <w:bottom w:val="single" w:sz="4" w:space="0" w:color="000000"/>
              <w:right w:val="single" w:sz="4" w:space="0" w:color="000000"/>
            </w:tcBorders>
          </w:tcPr>
          <w:p>
            <w:pPr>
              <w:pStyle w:val="Style24"/>
              <w:widowControl w:val="false"/>
              <w:jc w:val="center"/>
              <w:rPr>
                <w:rFonts w:ascii="Times New Roman" w:hAnsi="Times New Roman"/>
                <w:sz w:val="26"/>
                <w:szCs w:val="26"/>
              </w:rPr>
            </w:pPr>
            <w:r>
              <w:rPr>
                <w:rFonts w:ascii="Times New Roman" w:hAnsi="Times New Roman"/>
                <w:sz w:val="26"/>
                <w:szCs w:val="26"/>
              </w:rPr>
              <w:t>578</w:t>
            </w:r>
          </w:p>
        </w:tc>
      </w:tr>
      <w:tr>
        <w:trPr/>
        <w:tc>
          <w:tcPr>
            <w:tcW w:w="4960" w:type="dxa"/>
            <w:tcBorders>
              <w:top w:val="single" w:sz="4" w:space="0" w:color="000000"/>
              <w:left w:val="single" w:sz="4" w:space="0" w:color="000000"/>
              <w:bottom w:val="single" w:sz="4" w:space="0" w:color="000000"/>
              <w:right w:val="single" w:sz="4" w:space="0" w:color="000000"/>
            </w:tcBorders>
          </w:tcPr>
          <w:p>
            <w:pPr>
              <w:pStyle w:val="Style24"/>
              <w:widowControl w:val="false"/>
              <w:rPr>
                <w:rFonts w:ascii="Times New Roman" w:hAnsi="Times New Roman"/>
                <w:sz w:val="26"/>
                <w:szCs w:val="26"/>
              </w:rPr>
            </w:pPr>
            <w:r>
              <w:rPr>
                <w:rFonts w:ascii="Times New Roman" w:hAnsi="Times New Roman"/>
                <w:sz w:val="26"/>
                <w:szCs w:val="26"/>
              </w:rPr>
              <w:t>Кількість автомобілів із гібридним двигуном, од.</w:t>
            </w:r>
          </w:p>
        </w:tc>
        <w:tc>
          <w:tcPr>
            <w:tcW w:w="1555" w:type="dxa"/>
            <w:tcBorders>
              <w:top w:val="single" w:sz="4" w:space="0" w:color="000000"/>
              <w:left w:val="single" w:sz="4" w:space="0" w:color="000000"/>
              <w:bottom w:val="single" w:sz="4" w:space="0" w:color="000000"/>
              <w:right w:val="single" w:sz="4" w:space="0" w:color="000000"/>
            </w:tcBorders>
          </w:tcPr>
          <w:p>
            <w:pPr>
              <w:pStyle w:val="Style24"/>
              <w:widowControl w:val="false"/>
              <w:jc w:val="center"/>
              <w:rPr>
                <w:rFonts w:ascii="Times New Roman" w:hAnsi="Times New Roman"/>
                <w:sz w:val="26"/>
                <w:szCs w:val="26"/>
              </w:rPr>
            </w:pPr>
            <w:r>
              <w:rPr>
                <w:rFonts w:ascii="Times New Roman" w:hAnsi="Times New Roman"/>
                <w:sz w:val="26"/>
                <w:szCs w:val="26"/>
              </w:rPr>
              <w:t>287</w:t>
            </w:r>
          </w:p>
        </w:tc>
        <w:tc>
          <w:tcPr>
            <w:tcW w:w="1423" w:type="dxa"/>
            <w:tcBorders>
              <w:top w:val="single" w:sz="4" w:space="0" w:color="000000"/>
              <w:left w:val="single" w:sz="4" w:space="0" w:color="000000"/>
              <w:bottom w:val="single" w:sz="4" w:space="0" w:color="000000"/>
              <w:right w:val="single" w:sz="4" w:space="0" w:color="000000"/>
            </w:tcBorders>
          </w:tcPr>
          <w:p>
            <w:pPr>
              <w:pStyle w:val="Style24"/>
              <w:widowControl w:val="false"/>
              <w:jc w:val="center"/>
              <w:rPr>
                <w:rFonts w:ascii="Times New Roman" w:hAnsi="Times New Roman"/>
                <w:sz w:val="26"/>
                <w:szCs w:val="26"/>
              </w:rPr>
            </w:pPr>
            <w:r>
              <w:rPr>
                <w:rFonts w:ascii="Times New Roman" w:hAnsi="Times New Roman"/>
                <w:sz w:val="26"/>
                <w:szCs w:val="26"/>
              </w:rPr>
              <w:t>408</w:t>
            </w:r>
          </w:p>
        </w:tc>
        <w:tc>
          <w:tcPr>
            <w:tcW w:w="1554" w:type="dxa"/>
            <w:tcBorders>
              <w:top w:val="single" w:sz="4" w:space="0" w:color="000000"/>
              <w:left w:val="single" w:sz="4" w:space="0" w:color="000000"/>
              <w:bottom w:val="single" w:sz="4" w:space="0" w:color="000000"/>
              <w:right w:val="single" w:sz="4" w:space="0" w:color="000000"/>
            </w:tcBorders>
          </w:tcPr>
          <w:p>
            <w:pPr>
              <w:pStyle w:val="Style24"/>
              <w:widowControl w:val="false"/>
              <w:jc w:val="center"/>
              <w:rPr>
                <w:rFonts w:ascii="Times New Roman" w:hAnsi="Times New Roman"/>
                <w:sz w:val="26"/>
                <w:szCs w:val="26"/>
              </w:rPr>
            </w:pPr>
            <w:r>
              <w:rPr>
                <w:rFonts w:ascii="Times New Roman" w:hAnsi="Times New Roman"/>
                <w:sz w:val="26"/>
                <w:szCs w:val="26"/>
              </w:rPr>
              <w:t>823</w:t>
            </w:r>
          </w:p>
        </w:tc>
      </w:tr>
      <w:tr>
        <w:trPr/>
        <w:tc>
          <w:tcPr>
            <w:tcW w:w="4960" w:type="dxa"/>
            <w:tcBorders>
              <w:top w:val="single" w:sz="4" w:space="0" w:color="000000"/>
              <w:left w:val="single" w:sz="4" w:space="0" w:color="000000"/>
              <w:bottom w:val="single" w:sz="4" w:space="0" w:color="000000"/>
              <w:right w:val="single" w:sz="4" w:space="0" w:color="000000"/>
            </w:tcBorders>
          </w:tcPr>
          <w:p>
            <w:pPr>
              <w:pStyle w:val="Style24"/>
              <w:widowControl w:val="false"/>
              <w:rPr>
                <w:rFonts w:ascii="Times New Roman" w:hAnsi="Times New Roman"/>
                <w:color w:val="auto"/>
                <w:sz w:val="26"/>
                <w:szCs w:val="26"/>
              </w:rPr>
            </w:pPr>
            <w:r>
              <w:rPr>
                <w:rFonts w:ascii="Times New Roman" w:hAnsi="Times New Roman"/>
                <w:color w:val="auto"/>
                <w:sz w:val="26"/>
                <w:szCs w:val="26"/>
              </w:rPr>
              <w:t>Чисельність населення у Луцькій МТГ, тис. осіб</w:t>
            </w:r>
          </w:p>
        </w:tc>
        <w:tc>
          <w:tcPr>
            <w:tcW w:w="1555" w:type="dxa"/>
            <w:tcBorders>
              <w:top w:val="single" w:sz="4" w:space="0" w:color="000000"/>
              <w:left w:val="single" w:sz="4" w:space="0" w:color="000000"/>
              <w:bottom w:val="single" w:sz="4" w:space="0" w:color="000000"/>
              <w:right w:val="single" w:sz="4" w:space="0" w:color="000000"/>
            </w:tcBorders>
          </w:tcPr>
          <w:p>
            <w:pPr>
              <w:pStyle w:val="Style24"/>
              <w:widowControl w:val="false"/>
              <w:jc w:val="center"/>
              <w:rPr>
                <w:rFonts w:ascii="Times New Roman" w:hAnsi="Times New Roman"/>
                <w:color w:val="auto"/>
                <w:sz w:val="26"/>
                <w:szCs w:val="26"/>
              </w:rPr>
            </w:pPr>
            <w:r>
              <w:rPr>
                <w:rFonts w:ascii="Times New Roman" w:hAnsi="Times New Roman"/>
                <w:color w:val="auto"/>
                <w:sz w:val="26"/>
                <w:szCs w:val="26"/>
              </w:rPr>
              <w:t>240,3</w:t>
            </w:r>
          </w:p>
        </w:tc>
        <w:tc>
          <w:tcPr>
            <w:tcW w:w="1423" w:type="dxa"/>
            <w:tcBorders>
              <w:top w:val="single" w:sz="4" w:space="0" w:color="000000"/>
              <w:left w:val="single" w:sz="4" w:space="0" w:color="000000"/>
              <w:bottom w:val="single" w:sz="4" w:space="0" w:color="000000"/>
              <w:right w:val="single" w:sz="4" w:space="0" w:color="000000"/>
            </w:tcBorders>
          </w:tcPr>
          <w:p>
            <w:pPr>
              <w:pStyle w:val="Style24"/>
              <w:widowControl w:val="false"/>
              <w:jc w:val="center"/>
              <w:rPr>
                <w:rFonts w:ascii="Times New Roman" w:hAnsi="Times New Roman"/>
                <w:color w:val="auto"/>
                <w:sz w:val="26"/>
                <w:szCs w:val="26"/>
              </w:rPr>
            </w:pPr>
            <w:r>
              <w:rPr>
                <w:rFonts w:ascii="Times New Roman" w:hAnsi="Times New Roman"/>
                <w:color w:val="auto"/>
                <w:sz w:val="26"/>
                <w:szCs w:val="26"/>
              </w:rPr>
              <w:t>236,3</w:t>
            </w:r>
          </w:p>
        </w:tc>
        <w:tc>
          <w:tcPr>
            <w:tcW w:w="1554" w:type="dxa"/>
            <w:tcBorders>
              <w:top w:val="single" w:sz="4" w:space="0" w:color="000000"/>
              <w:left w:val="single" w:sz="4" w:space="0" w:color="000000"/>
              <w:bottom w:val="single" w:sz="4" w:space="0" w:color="000000"/>
              <w:right w:val="single" w:sz="4" w:space="0" w:color="000000"/>
            </w:tcBorders>
          </w:tcPr>
          <w:p>
            <w:pPr>
              <w:pStyle w:val="Style24"/>
              <w:widowControl w:val="false"/>
              <w:jc w:val="center"/>
              <w:rPr>
                <w:rFonts w:ascii="Times New Roman" w:hAnsi="Times New Roman"/>
                <w:color w:val="auto"/>
                <w:sz w:val="26"/>
                <w:szCs w:val="26"/>
              </w:rPr>
            </w:pPr>
            <w:r>
              <w:rPr>
                <w:rFonts w:ascii="Times New Roman" w:hAnsi="Times New Roman"/>
                <w:color w:val="auto"/>
                <w:sz w:val="26"/>
                <w:szCs w:val="26"/>
              </w:rPr>
              <w:t>236,3</w:t>
            </w:r>
          </w:p>
        </w:tc>
      </w:tr>
    </w:tbl>
    <w:p>
      <w:pPr>
        <w:pStyle w:val="Normal"/>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567"/>
        <w:jc w:val="both"/>
        <w:rPr>
          <w:rFonts w:ascii="Times New Roman" w:hAnsi="Times New Roman"/>
        </w:rPr>
      </w:pPr>
      <w:r>
        <w:rPr>
          <w:rFonts w:cs="Times New Roman" w:ascii="Times New Roman" w:hAnsi="Times New Roman"/>
          <w:sz w:val="28"/>
          <w:szCs w:val="28"/>
        </w:rPr>
        <w:t>У зв’язку зі стимулюючими нормами не лише Закону України «Про деякі питання використання транспортних засобів, оснащених електричними двигунами, та внесення змін до деяких законів України щодо подолання паливної залежності і розвитку електрозарядної інфраструктури та електричних транспортних засобів», але й усіх вищезгаданих, логічно очікувати збільшення кількості електромобілів у громаді та зростання їх популярності серед населення. Відповідно, основними проблемами, на вирішення яких необхідно зосередити зусилля міській владі, підприємствам, установам та організаціям різних форм власності, об’єднанням співвласників багатоквартирних будинків, протягом наступних 5 років є: створення мережі електрозарядних станцій як у місті, так і між населеними пунктами міської громади, облаштування місць для паркування та автостоянок станціями зарядки електротранспорту.</w:t>
      </w:r>
    </w:p>
    <w:p>
      <w:pPr>
        <w:pStyle w:val="ListParagraph"/>
        <w:ind w:left="0" w:firstLine="567"/>
        <w:jc w:val="both"/>
        <w:rPr>
          <w:rFonts w:ascii="Times New Roman" w:hAnsi="Times New Roman"/>
        </w:rPr>
      </w:pPr>
      <w:r>
        <w:rPr>
          <w:rFonts w:ascii="Times New Roman" w:hAnsi="Times New Roman"/>
        </w:rPr>
      </w:r>
    </w:p>
    <w:p>
      <w:pPr>
        <w:pStyle w:val="ListParagraph"/>
        <w:tabs>
          <w:tab w:val="clear" w:pos="1134"/>
          <w:tab w:val="left" w:pos="2445" w:leader="none"/>
          <w:tab w:val="left" w:pos="2730" w:leader="none"/>
          <w:tab w:val="center" w:pos="4947" w:leader="none"/>
        </w:tabs>
        <w:ind w:left="0" w:hanging="0"/>
        <w:jc w:val="both"/>
        <w:rPr>
          <w:rFonts w:ascii="Times New Roman" w:hAnsi="Times New Roman"/>
        </w:rPr>
      </w:pPr>
      <w:r>
        <w:rPr>
          <w:rFonts w:cs="Times New Roman" w:ascii="Times New Roman" w:hAnsi="Times New Roman"/>
        </w:rPr>
        <w:t xml:space="preserve">*за даними Головного сервісного центру МВС регіонального сервісного центру ГСЦ МВС </w:t>
      </w:r>
      <w:r>
        <w:rPr>
          <w:rFonts w:cs="Times New Roman" w:ascii="Times New Roman" w:hAnsi="Times New Roman"/>
          <w:color w:val="040C28"/>
        </w:rPr>
        <w:t xml:space="preserve">у Волинській області </w:t>
      </w:r>
    </w:p>
    <w:p>
      <w:pPr>
        <w:pStyle w:val="ListParagraph"/>
        <w:tabs>
          <w:tab w:val="clear" w:pos="1134"/>
          <w:tab w:val="left" w:pos="2445" w:leader="none"/>
          <w:tab w:val="left" w:pos="2730" w:leader="none"/>
          <w:tab w:val="center" w:pos="4947" w:leader="none"/>
        </w:tabs>
        <w:ind w:left="0" w:hanging="0"/>
        <w:jc w:val="both"/>
        <w:rPr/>
      </w:pPr>
      <w:r>
        <w:rPr>
          <w:rFonts w:cs="Times New Roman" w:ascii="Times New Roman" w:hAnsi="Times New Roman"/>
        </w:rPr>
        <w:t xml:space="preserve">**за даними </w:t>
      </w:r>
      <w:hyperlink r:id="rId3">
        <w:r>
          <w:rPr>
            <w:rFonts w:ascii="Times New Roman" w:hAnsi="Times New Roman"/>
          </w:rPr>
          <w:t>https://www.plugshare.com</w:t>
        </w:r>
      </w:hyperlink>
      <w:r>
        <w:rPr>
          <w:rFonts w:cs="Times New Roman" w:ascii="Times New Roman" w:hAnsi="Times New Roman"/>
        </w:rPr>
        <w:t xml:space="preserve"> (</w:t>
      </w:r>
      <w:r>
        <w:rPr>
          <w:rFonts w:cs="Times New Roman" w:ascii="Times New Roman" w:hAnsi="Times New Roman"/>
          <w:color w:val="040C28"/>
        </w:rPr>
        <w:t>найбільша у світі спільнота водіїв електромобілів</w:t>
      </w:r>
      <w:r>
        <w:rPr>
          <w:rFonts w:cs="Times New Roman" w:ascii="Times New Roman" w:hAnsi="Times New Roman"/>
          <w:color w:val="202124"/>
          <w:shd w:fill="FFFFFF" w:val="clear"/>
        </w:rPr>
        <w:t>).</w:t>
      </w:r>
    </w:p>
    <w:p>
      <w:pPr>
        <w:pStyle w:val="Normal"/>
        <w:jc w:val="center"/>
        <w:rPr>
          <w:rFonts w:ascii="Times New Roman" w:hAnsi="Times New Roman"/>
        </w:rPr>
      </w:pPr>
      <w:r>
        <w:rPr>
          <w:rFonts w:ascii="Times New Roman" w:hAnsi="Times New Roman"/>
        </w:rPr>
      </w:r>
    </w:p>
    <w:p>
      <w:pPr>
        <w:pStyle w:val="Normal"/>
        <w:jc w:val="center"/>
        <w:rPr>
          <w:rFonts w:ascii="Times New Roman" w:hAnsi="Times New Roman"/>
        </w:rPr>
      </w:pPr>
      <w:r>
        <w:rPr>
          <w:rFonts w:ascii="Times New Roman" w:hAnsi="Times New Roman"/>
          <w:b/>
          <w:sz w:val="28"/>
          <w:szCs w:val="28"/>
        </w:rPr>
        <w:t>2. Визначення мети</w:t>
      </w:r>
    </w:p>
    <w:p>
      <w:pPr>
        <w:pStyle w:val="Normal"/>
        <w:jc w:val="center"/>
        <w:rPr>
          <w:rFonts w:ascii="Times New Roman" w:hAnsi="Times New Roman"/>
          <w:sz w:val="18"/>
          <w:szCs w:val="18"/>
        </w:rPr>
      </w:pPr>
      <w:r>
        <w:rPr>
          <w:rFonts w:ascii="Times New Roman" w:hAnsi="Times New Roman"/>
          <w:sz w:val="18"/>
          <w:szCs w:val="18"/>
        </w:rPr>
      </w:r>
    </w:p>
    <w:p>
      <w:pPr>
        <w:pStyle w:val="ListParagraph"/>
        <w:ind w:left="0" w:firstLine="567"/>
        <w:jc w:val="both"/>
        <w:rPr>
          <w:rFonts w:ascii="Times New Roman" w:hAnsi="Times New Roman"/>
        </w:rPr>
      </w:pPr>
      <w:r>
        <w:rPr>
          <w:rFonts w:ascii="Times New Roman" w:hAnsi="Times New Roman"/>
          <w:sz w:val="28"/>
          <w:szCs w:val="28"/>
        </w:rPr>
        <w:t>Метою Програми є розбудова електрозарядної інфраструктури Луцької міської територіальної громади, покращення екологічної ситуації, створення сприятливих умов для збільшення кількості користувачів та власників транспортних засобів із електричними двигунами.</w:t>
      </w:r>
    </w:p>
    <w:p>
      <w:pPr>
        <w:pStyle w:val="ListParagraph"/>
        <w:tabs>
          <w:tab w:val="clear" w:pos="1134"/>
          <w:tab w:val="left" w:pos="2445" w:leader="none"/>
          <w:tab w:val="left" w:pos="2730" w:leader="none"/>
          <w:tab w:val="center" w:pos="4947" w:leader="none"/>
        </w:tabs>
        <w:ind w:left="0" w:hanging="0"/>
        <w:jc w:val="center"/>
        <w:rPr>
          <w:rFonts w:ascii="Times New Roman" w:hAnsi="Times New Roman"/>
          <w:sz w:val="28"/>
          <w:szCs w:val="28"/>
        </w:rPr>
      </w:pPr>
      <w:r>
        <w:rPr>
          <w:rFonts w:ascii="Times New Roman" w:hAnsi="Times New Roman"/>
          <w:sz w:val="28"/>
          <w:szCs w:val="28"/>
        </w:rPr>
      </w:r>
    </w:p>
    <w:p>
      <w:pPr>
        <w:pStyle w:val="ListParagraph"/>
        <w:tabs>
          <w:tab w:val="clear" w:pos="1134"/>
          <w:tab w:val="left" w:pos="2445" w:leader="none"/>
          <w:tab w:val="left" w:pos="2730" w:leader="none"/>
          <w:tab w:val="center" w:pos="4947" w:leader="none"/>
        </w:tabs>
        <w:ind w:left="0" w:hanging="0"/>
        <w:jc w:val="center"/>
        <w:rPr>
          <w:rFonts w:ascii="Times New Roman" w:hAnsi="Times New Roman"/>
          <w:sz w:val="28"/>
          <w:szCs w:val="28"/>
        </w:rPr>
      </w:pPr>
      <w:r>
        <w:rPr>
          <w:rFonts w:ascii="Times New Roman" w:hAnsi="Times New Roman"/>
          <w:sz w:val="28"/>
          <w:szCs w:val="28"/>
        </w:rPr>
      </w:r>
    </w:p>
    <w:p>
      <w:pPr>
        <w:pStyle w:val="ListParagraph"/>
        <w:tabs>
          <w:tab w:val="clear" w:pos="1134"/>
          <w:tab w:val="left" w:pos="2445" w:leader="none"/>
          <w:tab w:val="left" w:pos="2730" w:leader="none"/>
          <w:tab w:val="center" w:pos="4947" w:leader="none"/>
        </w:tabs>
        <w:ind w:left="0" w:hanging="0"/>
        <w:jc w:val="center"/>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rPr>
      </w:pPr>
      <w:r>
        <w:rPr>
          <w:rFonts w:ascii="Times New Roman" w:hAnsi="Times New Roman"/>
          <w:b/>
          <w:bCs/>
          <w:sz w:val="28"/>
          <w:szCs w:val="28"/>
        </w:rPr>
        <w:t>3. Засоби розв’язання проблеми</w:t>
      </w:r>
    </w:p>
    <w:p>
      <w:pPr>
        <w:pStyle w:val="ListParagraph"/>
        <w:tabs>
          <w:tab w:val="clear" w:pos="1134"/>
          <w:tab w:val="left" w:pos="2445" w:leader="none"/>
          <w:tab w:val="left" w:pos="2730" w:leader="none"/>
          <w:tab w:val="center" w:pos="4947" w:leader="none"/>
        </w:tabs>
        <w:ind w:left="0" w:hanging="0"/>
        <w:jc w:val="center"/>
        <w:rPr>
          <w:rFonts w:ascii="Times New Roman" w:hAnsi="Times New Roman" w:cs="Times New Roman"/>
          <w:b/>
          <w:b/>
          <w:sz w:val="18"/>
          <w:szCs w:val="18"/>
        </w:rPr>
      </w:pPr>
      <w:r>
        <w:rPr>
          <w:rFonts w:cs="Times New Roman" w:ascii="Times New Roman" w:hAnsi="Times New Roman"/>
          <w:b/>
          <w:sz w:val="18"/>
          <w:szCs w:val="18"/>
        </w:rPr>
      </w:r>
    </w:p>
    <w:p>
      <w:pPr>
        <w:pStyle w:val="Normal"/>
        <w:ind w:firstLine="567"/>
        <w:jc w:val="both"/>
        <w:rPr>
          <w:rFonts w:ascii="Times New Roman" w:hAnsi="Times New Roman"/>
        </w:rPr>
      </w:pPr>
      <w:r>
        <w:rPr>
          <w:rFonts w:cs="Times New Roman" w:ascii="Times New Roman" w:hAnsi="Times New Roman"/>
          <w:sz w:val="28"/>
          <w:szCs w:val="28"/>
        </w:rPr>
        <w:t xml:space="preserve">Програма включає спектр заходів для сприяння до максимального переходу на використання електричних транспортних засобів. </w:t>
      </w:r>
      <w:r>
        <w:rPr>
          <w:rFonts w:cs="Times New Roman" w:ascii="Times New Roman" w:hAnsi="Times New Roman"/>
          <w:color w:val="auto"/>
          <w:sz w:val="28"/>
          <w:szCs w:val="28"/>
        </w:rPr>
        <w:t xml:space="preserve">Ключовим елементом для розвитку мережі зарядних станцій є фінансування з різних джерел (приватні інвестиції, кошти місцевих бюджетів, державні фінансові програми тощо) будівництва нових станцій зарядки електротранспорту як у густонаселених районах міста, так і на дорогах міжміського сполучення. </w:t>
      </w:r>
      <w:r>
        <w:rPr>
          <w:rFonts w:cs="Times New Roman" w:ascii="Times New Roman" w:hAnsi="Times New Roman"/>
          <w:sz w:val="28"/>
          <w:szCs w:val="28"/>
        </w:rPr>
        <w:t>Важливим аспектом при цьому є забезпечення сумісності між різними моделями електромобілів та зарядними станціями.</w:t>
      </w:r>
    </w:p>
    <w:p>
      <w:pPr>
        <w:pStyle w:val="Normal"/>
        <w:ind w:firstLine="567"/>
        <w:jc w:val="both"/>
        <w:rPr>
          <w:rFonts w:ascii="Times New Roman" w:hAnsi="Times New Roman"/>
        </w:rPr>
      </w:pPr>
      <w:r>
        <w:rPr>
          <w:rFonts w:cs="Times New Roman" w:ascii="Times New Roman" w:hAnsi="Times New Roman"/>
          <w:sz w:val="28"/>
          <w:szCs w:val="28"/>
        </w:rPr>
        <w:t xml:space="preserve">Важлива роль у досягненні визначеної мети також належить навчанню/освіті </w:t>
      </w:r>
      <w:r>
        <w:rPr>
          <w:rFonts w:cs="Times New Roman" w:ascii="Times New Roman" w:hAnsi="Times New Roman"/>
          <w:color w:val="auto"/>
          <w:sz w:val="28"/>
          <w:szCs w:val="28"/>
        </w:rPr>
        <w:t>населення</w:t>
      </w:r>
      <w:r>
        <w:rPr>
          <w:rFonts w:cs="Times New Roman" w:ascii="Times New Roman" w:hAnsi="Times New Roman"/>
          <w:sz w:val="28"/>
          <w:szCs w:val="28"/>
        </w:rPr>
        <w:t xml:space="preserve"> щодо переваг використання електротранспортних засобів, а також навчанню спеціалістів, які займаються обслуговуванням та ремонтом електромобілів. Тому, одним із заходів Програми є сприяння дослідженням та розвитку нових технологій в галузі електротранспорту, в тому числі фінансуванню дослідницьких проєктів, налагодженню партнерства із університетами та приватними компаніями, а також створення інкубаторів для стартапів, які працюють у сфері електротранспорту.</w:t>
      </w:r>
    </w:p>
    <w:p>
      <w:pPr>
        <w:pStyle w:val="Normal"/>
        <w:ind w:firstLine="567"/>
        <w:jc w:val="both"/>
        <w:rPr>
          <w:rFonts w:ascii="Times New Roman" w:hAnsi="Times New Roman"/>
        </w:rPr>
      </w:pPr>
      <w:r>
        <w:rPr>
          <w:rFonts w:ascii="Times New Roman" w:hAnsi="Times New Roman"/>
          <w:sz w:val="28"/>
          <w:szCs w:val="28"/>
        </w:rPr>
        <w:t>Збільшення використання електрокарів населенням громади вплине на зменшення викидів парникових газів та інших шкідливих для здоров’я речовин,</w:t>
      </w:r>
      <w:r>
        <w:rPr>
          <w:rFonts w:ascii="Times New Roman" w:hAnsi="Times New Roman"/>
          <w:color w:val="auto"/>
          <w:sz w:val="28"/>
          <w:szCs w:val="28"/>
        </w:rPr>
        <w:t xml:space="preserve"> а також зменшить інтенсивність шумового навантаження (тиску), що призведе до зменшення негативних фізіологічних і психологічних наслідків на нервову систему, сон, емоції та працездатність.</w:t>
      </w:r>
    </w:p>
    <w:p>
      <w:pPr>
        <w:pStyle w:val="Normal"/>
        <w:ind w:firstLine="567"/>
        <w:jc w:val="both"/>
        <w:rPr>
          <w:rFonts w:ascii="Times New Roman" w:hAnsi="Times New Roman"/>
        </w:rPr>
      </w:pPr>
      <w:r>
        <w:rPr>
          <w:rFonts w:cs="Times New Roman" w:ascii="Times New Roman" w:hAnsi="Times New Roman"/>
          <w:sz w:val="28"/>
          <w:szCs w:val="28"/>
        </w:rPr>
        <w:t>Джерелом фінансування Програми є кошти бюджету Луцької міської територіальної громади,</w:t>
      </w:r>
      <w:r>
        <w:rPr>
          <w:rFonts w:cs="Times New Roman" w:ascii="Times New Roman" w:hAnsi="Times New Roman"/>
          <w:color w:val="FF0000"/>
          <w:sz w:val="28"/>
          <w:szCs w:val="28"/>
        </w:rPr>
        <w:t xml:space="preserve"> </w:t>
      </w:r>
      <w:r>
        <w:rPr>
          <w:rFonts w:cs="Times New Roman" w:ascii="Times New Roman" w:hAnsi="Times New Roman"/>
          <w:color w:val="auto"/>
          <w:sz w:val="28"/>
          <w:szCs w:val="28"/>
        </w:rPr>
        <w:t>власні кошти підприємств, установ та організацій, а</w:t>
      </w:r>
      <w:r>
        <w:rPr>
          <w:rFonts w:cs="Times New Roman" w:ascii="Times New Roman" w:hAnsi="Times New Roman"/>
          <w:color w:val="FF0000"/>
          <w:sz w:val="28"/>
          <w:szCs w:val="28"/>
        </w:rPr>
        <w:t xml:space="preserve"> </w:t>
      </w:r>
      <w:r>
        <w:rPr>
          <w:rFonts w:cs="Times New Roman" w:ascii="Times New Roman" w:hAnsi="Times New Roman"/>
          <w:color w:val="auto"/>
          <w:sz w:val="28"/>
          <w:szCs w:val="28"/>
        </w:rPr>
        <w:t>також</w:t>
      </w:r>
      <w:r>
        <w:rPr>
          <w:rFonts w:cs="Times New Roman" w:ascii="Times New Roman" w:hAnsi="Times New Roman"/>
          <w:sz w:val="28"/>
          <w:szCs w:val="28"/>
        </w:rPr>
        <w:t xml:space="preserve"> інші джерела фінансування не заборонені чинним законодавством. Ресурсне забезпечення Програми наведено у додатку 1 до Програми.</w:t>
      </w:r>
    </w:p>
    <w:p>
      <w:pPr>
        <w:pStyle w:val="Normal"/>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567"/>
        <w:jc w:val="center"/>
        <w:rPr>
          <w:rFonts w:ascii="Times New Roman" w:hAnsi="Times New Roman"/>
        </w:rPr>
      </w:pPr>
      <w:r>
        <w:rPr>
          <w:rFonts w:ascii="Times New Roman" w:hAnsi="Times New Roman"/>
          <w:b/>
          <w:sz w:val="28"/>
          <w:szCs w:val="28"/>
        </w:rPr>
        <w:t>4. Перелік завдань та заходів Програми.</w:t>
      </w:r>
    </w:p>
    <w:p>
      <w:pPr>
        <w:pStyle w:val="Normal"/>
        <w:ind w:firstLine="567"/>
        <w:jc w:val="center"/>
        <w:rPr>
          <w:rFonts w:ascii="Times New Roman" w:hAnsi="Times New Roman"/>
        </w:rPr>
      </w:pPr>
      <w:r>
        <w:rPr>
          <w:rFonts w:ascii="Times New Roman" w:hAnsi="Times New Roman"/>
          <w:b/>
          <w:sz w:val="28"/>
          <w:szCs w:val="28"/>
        </w:rPr>
        <w:t>Результативні показники</w:t>
      </w:r>
    </w:p>
    <w:p>
      <w:pPr>
        <w:pStyle w:val="Normal"/>
        <w:ind w:firstLine="567"/>
        <w:jc w:val="both"/>
        <w:rPr>
          <w:rFonts w:ascii="Times New Roman" w:hAnsi="Times New Roman"/>
          <w:sz w:val="18"/>
          <w:szCs w:val="18"/>
        </w:rPr>
      </w:pPr>
      <w:r>
        <w:rPr>
          <w:rFonts w:ascii="Times New Roman" w:hAnsi="Times New Roman"/>
          <w:sz w:val="18"/>
          <w:szCs w:val="18"/>
        </w:rPr>
      </w:r>
    </w:p>
    <w:p>
      <w:pPr>
        <w:pStyle w:val="Normal"/>
        <w:ind w:firstLine="567"/>
        <w:jc w:val="both"/>
        <w:rPr>
          <w:rFonts w:ascii="Times New Roman" w:hAnsi="Times New Roman"/>
        </w:rPr>
      </w:pPr>
      <w:r>
        <w:rPr>
          <w:rFonts w:ascii="Times New Roman" w:hAnsi="Times New Roman"/>
          <w:sz w:val="28"/>
          <w:szCs w:val="28"/>
        </w:rPr>
        <w:t xml:space="preserve">Розвиток мережі зарядних станцій для електротранспорту є потужним засобом для покращення екологічної ситуації, енергетичної незалежності та підвищення рівня комфорту проживання у громаді. Для популяризації в глобальних масштабах переваг користування електротранспортом, у першу чергу, необхідно створити розвинуту мережу зарядної інфраструктури, яка б дозволяла власникам електромобілів комфортно пересуватися як у </w:t>
      </w:r>
      <w:r>
        <w:rPr>
          <w:rFonts w:ascii="Times New Roman" w:hAnsi="Times New Roman"/>
          <w:color w:val="auto"/>
          <w:sz w:val="28"/>
          <w:szCs w:val="28"/>
        </w:rPr>
        <w:t>місті</w:t>
      </w:r>
      <w:r>
        <w:rPr>
          <w:rFonts w:ascii="Times New Roman" w:hAnsi="Times New Roman"/>
          <w:sz w:val="28"/>
          <w:szCs w:val="28"/>
        </w:rPr>
        <w:t>, так і на міжміському сполученні.</w:t>
      </w:r>
    </w:p>
    <w:p>
      <w:pPr>
        <w:pStyle w:val="Normal"/>
        <w:ind w:firstLine="567"/>
        <w:jc w:val="both"/>
        <w:rPr>
          <w:rFonts w:ascii="Times New Roman" w:hAnsi="Times New Roman"/>
        </w:rPr>
      </w:pPr>
      <w:r>
        <w:rPr>
          <w:rFonts w:ascii="Times New Roman" w:hAnsi="Times New Roman"/>
          <w:color w:val="auto"/>
          <w:sz w:val="28"/>
          <w:szCs w:val="28"/>
        </w:rPr>
        <w:t>Серед першочергових заходів для стимулювання розвитку електрозарядної інфраструктури Програмою передбачено:</w:t>
      </w:r>
    </w:p>
    <w:p>
      <w:pPr>
        <w:pStyle w:val="Normal"/>
        <w:ind w:firstLine="567"/>
        <w:jc w:val="both"/>
        <w:rPr>
          <w:rFonts w:ascii="Times New Roman" w:hAnsi="Times New Roman"/>
        </w:rPr>
      </w:pPr>
      <w:r>
        <w:rPr>
          <w:rFonts w:ascii="Times New Roman" w:hAnsi="Times New Roman"/>
          <w:color w:val="auto"/>
          <w:sz w:val="28"/>
          <w:szCs w:val="28"/>
        </w:rPr>
        <w:t>розробка прозорого та узгодженого порядку надання у тимчасове користування окремих елементів благоустрою для встановлення станцій зарядки електротранспорту;</w:t>
      </w:r>
    </w:p>
    <w:p>
      <w:pPr>
        <w:pStyle w:val="Normal"/>
        <w:ind w:firstLine="567"/>
        <w:jc w:val="both"/>
        <w:rPr>
          <w:rFonts w:ascii="Times New Roman" w:hAnsi="Times New Roman"/>
        </w:rPr>
      </w:pPr>
      <w:r>
        <w:rPr>
          <w:rFonts w:ascii="Times New Roman" w:hAnsi="Times New Roman"/>
          <w:color w:val="auto"/>
          <w:sz w:val="28"/>
          <w:szCs w:val="28"/>
        </w:rPr>
        <w:t>планування розміщення об’єктів станцій зарядки електротранспорту при розробці та затвердженні містобудівної документації;</w:t>
      </w:r>
    </w:p>
    <w:p>
      <w:pPr>
        <w:pStyle w:val="Normal"/>
        <w:ind w:firstLine="567"/>
        <w:jc w:val="both"/>
        <w:rPr>
          <w:rFonts w:ascii="Times New Roman" w:hAnsi="Times New Roman"/>
        </w:rPr>
      </w:pPr>
      <w:r>
        <w:rPr>
          <w:rFonts w:ascii="Times New Roman" w:hAnsi="Times New Roman"/>
          <w:color w:val="auto"/>
          <w:sz w:val="28"/>
          <w:szCs w:val="28"/>
        </w:rPr>
        <w:t>різностороннє сприяння суб’єктам господарської діяльності, що мають у власності зарядні станції, у розширенні їх мережі;</w:t>
      </w:r>
    </w:p>
    <w:p>
      <w:pPr>
        <w:pStyle w:val="Normal"/>
        <w:ind w:firstLine="567"/>
        <w:jc w:val="both"/>
        <w:rPr>
          <w:rFonts w:ascii="Times New Roman" w:hAnsi="Times New Roman"/>
        </w:rPr>
      </w:pPr>
      <w:r>
        <w:rPr>
          <w:rFonts w:ascii="Times New Roman" w:hAnsi="Times New Roman"/>
          <w:sz w:val="28"/>
          <w:szCs w:val="28"/>
        </w:rPr>
        <w:t>облаштування на паркувальних майданчиках та місцях для паркування машиномісць виключно для транспортних засобів, оснащених електричними двигунами;</w:t>
      </w:r>
    </w:p>
    <w:p>
      <w:pPr>
        <w:pStyle w:val="Normal"/>
        <w:ind w:firstLine="567"/>
        <w:jc w:val="both"/>
        <w:rPr>
          <w:rFonts w:ascii="Times New Roman" w:hAnsi="Times New Roman"/>
        </w:rPr>
      </w:pPr>
      <w:r>
        <w:rPr>
          <w:rFonts w:ascii="Times New Roman" w:hAnsi="Times New Roman"/>
          <w:sz w:val="28"/>
          <w:szCs w:val="28"/>
        </w:rPr>
        <w:t>створення та оновлення інтерактивної мапи розташування елементів електрозарядної інфраструктури на території громади тощо.</w:t>
      </w:r>
    </w:p>
    <w:p>
      <w:pPr>
        <w:pStyle w:val="ListParagraph"/>
        <w:ind w:left="0" w:firstLine="567"/>
        <w:jc w:val="both"/>
        <w:rPr>
          <w:rFonts w:ascii="Times New Roman" w:hAnsi="Times New Roman"/>
        </w:rPr>
      </w:pPr>
      <w:r>
        <w:rPr>
          <w:rFonts w:ascii="Times New Roman" w:hAnsi="Times New Roman"/>
          <w:sz w:val="28"/>
          <w:szCs w:val="28"/>
        </w:rPr>
        <w:t xml:space="preserve">Механізм моніторингу та оцінки ефективності запланованих заходів полягає у щорічній оцінці </w:t>
      </w:r>
      <w:r>
        <w:rPr>
          <w:rFonts w:cs="Times New Roman" w:ascii="Times New Roman" w:hAnsi="Times New Roman"/>
          <w:sz w:val="28"/>
          <w:szCs w:val="28"/>
        </w:rPr>
        <w:t>якості повітря, отриманню даних про кількість діючих електрозарядних станцій, кількість зареєстрованих електромобілів та автомобілів із гібридними двигунами у Луцькій міській територіальній громаді. На основі отриманих результативних показників здійснюється оцінка п</w:t>
      </w:r>
      <w:r>
        <w:rPr>
          <w:rFonts w:ascii="Times New Roman" w:hAnsi="Times New Roman"/>
          <w:sz w:val="28"/>
          <w:szCs w:val="28"/>
        </w:rPr>
        <w:t>рогресу розвитку електрозарядної інфраструктури, визначаються проблемні аспекти та вносяться відповідні корективи до Програми.</w:t>
      </w:r>
    </w:p>
    <w:p>
      <w:pPr>
        <w:pStyle w:val="Normal"/>
        <w:ind w:firstLine="567"/>
        <w:jc w:val="both"/>
        <w:rPr>
          <w:rFonts w:ascii="Times New Roman" w:hAnsi="Times New Roman"/>
        </w:rPr>
      </w:pPr>
      <w:r>
        <w:rPr>
          <w:rFonts w:ascii="Times New Roman" w:hAnsi="Times New Roman"/>
          <w:sz w:val="28"/>
          <w:szCs w:val="28"/>
        </w:rPr>
        <w:t>Перелік завдань, заходів та результативні показники Програми наведено у додатку 2 до Програми.</w:t>
      </w:r>
    </w:p>
    <w:p>
      <w:pPr>
        <w:pStyle w:val="Normal"/>
        <w:ind w:firstLine="567"/>
        <w:jc w:val="both"/>
        <w:rPr>
          <w:rFonts w:ascii="Times New Roman" w:hAnsi="Times New Roman"/>
        </w:rPr>
      </w:pPr>
      <w:r>
        <w:rPr>
          <w:rFonts w:ascii="Times New Roman" w:hAnsi="Times New Roman"/>
        </w:rPr>
      </w:r>
    </w:p>
    <w:p>
      <w:pPr>
        <w:pStyle w:val="Normal"/>
        <w:jc w:val="center"/>
        <w:rPr>
          <w:rFonts w:ascii="Times New Roman" w:hAnsi="Times New Roman"/>
        </w:rPr>
      </w:pPr>
      <w:r>
        <w:rPr>
          <w:rFonts w:ascii="Times New Roman" w:hAnsi="Times New Roman"/>
          <w:b/>
          <w:sz w:val="28"/>
          <w:szCs w:val="28"/>
        </w:rPr>
        <w:t>5. Координація та контроль за ходом виконання Програми.</w:t>
      </w:r>
    </w:p>
    <w:p>
      <w:pPr>
        <w:pStyle w:val="Normal"/>
        <w:jc w:val="center"/>
        <w:rPr>
          <w:rFonts w:ascii="Times New Roman" w:hAnsi="Times New Roman"/>
        </w:rPr>
      </w:pPr>
      <w:r>
        <w:rPr>
          <w:rFonts w:ascii="Times New Roman" w:hAnsi="Times New Roman"/>
          <w:b/>
          <w:sz w:val="28"/>
          <w:szCs w:val="28"/>
        </w:rPr>
        <w:t>Звіт про виконання Програми</w:t>
      </w:r>
    </w:p>
    <w:p>
      <w:pPr>
        <w:pStyle w:val="Normal"/>
        <w:jc w:val="center"/>
        <w:rPr>
          <w:rFonts w:ascii="Times New Roman" w:hAnsi="Times New Roman"/>
          <w:b/>
          <w:b/>
          <w:sz w:val="18"/>
          <w:szCs w:val="18"/>
        </w:rPr>
      </w:pPr>
      <w:r>
        <w:rPr>
          <w:rFonts w:ascii="Times New Roman" w:hAnsi="Times New Roman"/>
          <w:b/>
          <w:sz w:val="18"/>
          <w:szCs w:val="18"/>
        </w:rPr>
      </w:r>
    </w:p>
    <w:p>
      <w:pPr>
        <w:pStyle w:val="Normal"/>
        <w:ind w:firstLine="567"/>
        <w:jc w:val="both"/>
        <w:rPr>
          <w:rFonts w:ascii="Times New Roman" w:hAnsi="Times New Roman"/>
        </w:rPr>
      </w:pPr>
      <w:r>
        <w:rPr>
          <w:rFonts w:cs="Times New Roman" w:ascii="Times New Roman" w:hAnsi="Times New Roman"/>
          <w:sz w:val="28"/>
          <w:szCs w:val="28"/>
        </w:rPr>
        <w:t xml:space="preserve">Виконання Програми забезпечується усіма її учасниками, визначеними у Паспорті. Координація діяльності щодо реалізації заходів Програми покладена на </w:t>
      </w:r>
      <w:r>
        <w:rPr>
          <w:rFonts w:cs="Times New Roman" w:ascii="Times New Roman" w:hAnsi="Times New Roman"/>
          <w:color w:val="auto"/>
          <w:sz w:val="28"/>
          <w:szCs w:val="28"/>
        </w:rPr>
        <w:t xml:space="preserve">постійні комісії міської ради, що опікуються питаннями бюджету, містобудування, архітектури, житлово-комунального господарства, екології та транспорту; </w:t>
      </w:r>
      <w:r>
        <w:rPr>
          <w:rFonts w:cs="Times New Roman" w:ascii="Times New Roman" w:hAnsi="Times New Roman"/>
          <w:sz w:val="28"/>
          <w:szCs w:val="28"/>
        </w:rPr>
        <w:t>моніторинг її ефективності здійснюватиме департамент економічної політики міської ради.</w:t>
      </w:r>
    </w:p>
    <w:p>
      <w:pPr>
        <w:pStyle w:val="Normal"/>
        <w:ind w:firstLine="567"/>
        <w:jc w:val="both"/>
        <w:rPr>
          <w:rFonts w:ascii="Times New Roman" w:hAnsi="Times New Roman"/>
        </w:rPr>
      </w:pPr>
      <w:r>
        <w:rPr>
          <w:rFonts w:cs="Times New Roman" w:ascii="Times New Roman" w:hAnsi="Times New Roman"/>
          <w:sz w:val="28"/>
          <w:szCs w:val="28"/>
        </w:rPr>
        <w:t>Впродовж терміну дії Програми можуть вноситися зміни і доповнення з метою дотримання диференційованого підходу до виконання основних заходів.</w:t>
      </w:r>
    </w:p>
    <w:p>
      <w:pPr>
        <w:pStyle w:val="Normal"/>
        <w:ind w:firstLine="567"/>
        <w:jc w:val="both"/>
        <w:rPr>
          <w:rFonts w:ascii="Times New Roman" w:hAnsi="Times New Roman"/>
        </w:rPr>
      </w:pPr>
      <w:r>
        <w:rPr>
          <w:rFonts w:ascii="Times New Roman" w:hAnsi="Times New Roman"/>
          <w:sz w:val="28"/>
          <w:szCs w:val="28"/>
        </w:rPr>
        <w:t>Звіт про виконання Програми заслуховується на сесії міської ради після завершення її дії на вимогу депутатів Луцької міської ради.</w:t>
      </w:r>
    </w:p>
    <w:p>
      <w:pPr>
        <w:pStyle w:val="Normal"/>
        <w:ind w:firstLine="567"/>
        <w:jc w:val="both"/>
        <w:rPr>
          <w:rFonts w:ascii="Times New Roman" w:hAnsi="Times New Roman"/>
          <w:sz w:val="28"/>
          <w:szCs w:val="28"/>
        </w:rPr>
      </w:pPr>
      <w:r>
        <w:rPr>
          <w:rFonts w:ascii="Times New Roman" w:hAnsi="Times New Roman"/>
          <w:sz w:val="28"/>
          <w:szCs w:val="28"/>
        </w:rPr>
      </w:r>
    </w:p>
    <w:p>
      <w:pPr>
        <w:pStyle w:val="Normal"/>
        <w:ind w:firstLine="567"/>
        <w:jc w:val="both"/>
        <w:rPr>
          <w:rFonts w:ascii="Times New Roman" w:hAnsi="Times New Roman"/>
          <w:sz w:val="28"/>
          <w:szCs w:val="28"/>
        </w:rPr>
      </w:pPr>
      <w:r>
        <w:rPr>
          <w:rFonts w:ascii="Times New Roman" w:hAnsi="Times New Roman"/>
          <w:sz w:val="28"/>
          <w:szCs w:val="28"/>
        </w:rPr>
      </w:r>
    </w:p>
    <w:p>
      <w:pPr>
        <w:pStyle w:val="Normal"/>
        <w:ind w:firstLine="567"/>
        <w:jc w:val="both"/>
        <w:rPr>
          <w:rFonts w:ascii="Times New Roman" w:hAnsi="Times New Roman"/>
          <w:sz w:val="28"/>
          <w:szCs w:val="28"/>
        </w:rPr>
      </w:pPr>
      <w:r>
        <w:rPr>
          <w:rFonts w:ascii="Times New Roman" w:hAnsi="Times New Roman"/>
          <w:sz w:val="28"/>
          <w:szCs w:val="28"/>
        </w:rPr>
      </w:r>
    </w:p>
    <w:p>
      <w:pPr>
        <w:pStyle w:val="Normal"/>
        <w:jc w:val="both"/>
        <w:rPr>
          <w:rFonts w:ascii="Times New Roman" w:hAnsi="Times New Roman"/>
        </w:rPr>
      </w:pPr>
      <w:r>
        <w:rPr>
          <w:rFonts w:ascii="Times New Roman" w:hAnsi="Times New Roman"/>
          <w:sz w:val="28"/>
          <w:szCs w:val="28"/>
        </w:rPr>
        <w:t>Секретар міської ради</w:t>
        <w:tab/>
        <w:tab/>
        <w:tab/>
        <w:tab/>
        <w:t xml:space="preserve">      Юрій БЕЗПЯТКО</w:t>
      </w:r>
    </w:p>
    <w:p>
      <w:pPr>
        <w:pStyle w:val="Normal"/>
        <w:jc w:val="both"/>
        <w:rPr>
          <w:rFonts w:ascii="Times New Roman" w:hAnsi="Times New Roman"/>
          <w:sz w:val="28"/>
          <w:szCs w:val="28"/>
        </w:rPr>
      </w:pPr>
      <w:r>
        <w:rPr>
          <w:rFonts w:ascii="Times New Roman" w:hAnsi="Times New Roman"/>
          <w:sz w:val="28"/>
          <w:szCs w:val="28"/>
        </w:rPr>
      </w:r>
    </w:p>
    <w:p>
      <w:pPr>
        <w:pStyle w:val="Normal"/>
        <w:jc w:val="both"/>
        <w:rPr>
          <w:rFonts w:ascii="Times New Roman" w:hAnsi="Times New Roman"/>
          <w:sz w:val="28"/>
          <w:szCs w:val="28"/>
        </w:rPr>
      </w:pPr>
      <w:r>
        <w:rPr>
          <w:rFonts w:ascii="Times New Roman" w:hAnsi="Times New Roman"/>
          <w:sz w:val="28"/>
          <w:szCs w:val="28"/>
        </w:rPr>
      </w:r>
    </w:p>
    <w:p>
      <w:pPr>
        <w:sectPr>
          <w:headerReference w:type="default" r:id="rId4"/>
          <w:type w:val="nextPage"/>
          <w:pgSz w:w="11906" w:h="16838"/>
          <w:pgMar w:left="1701" w:right="566" w:gutter="0" w:header="567" w:top="1191" w:footer="0" w:bottom="1134"/>
          <w:pgNumType w:fmt="decimal"/>
          <w:formProt w:val="false"/>
          <w:textDirection w:val="lrTb"/>
          <w:docGrid w:type="default" w:linePitch="100" w:charSpace="0"/>
        </w:sectPr>
        <w:pStyle w:val="Normal"/>
        <w:jc w:val="both"/>
        <w:rPr>
          <w:rFonts w:ascii="Times New Roman" w:hAnsi="Times New Roman"/>
        </w:rPr>
      </w:pPr>
      <w:r>
        <w:rPr>
          <w:rFonts w:ascii="Times New Roman" w:hAnsi="Times New Roman"/>
        </w:rPr>
        <w:t>Смаль 777 955</w:t>
      </w:r>
    </w:p>
    <w:p>
      <w:pPr>
        <w:pStyle w:val="Normal"/>
        <w:ind w:left="10431" w:hanging="0"/>
        <w:jc w:val="both"/>
        <w:rPr>
          <w:rFonts w:ascii="Times New Roman" w:hAnsi="Times New Roman"/>
        </w:rPr>
      </w:pPr>
      <w:r>
        <w:rPr>
          <w:rFonts w:ascii="Times New Roman" w:hAnsi="Times New Roman"/>
          <w:sz w:val="28"/>
          <w:szCs w:val="28"/>
        </w:rPr>
        <w:t>Додаток 1</w:t>
      </w:r>
    </w:p>
    <w:p>
      <w:pPr>
        <w:pStyle w:val="Normal"/>
        <w:ind w:left="10431" w:hanging="0"/>
        <w:jc w:val="both"/>
        <w:rPr>
          <w:rFonts w:ascii="Times New Roman" w:hAnsi="Times New Roman"/>
        </w:rPr>
      </w:pPr>
      <w:r>
        <w:rPr>
          <w:rFonts w:ascii="Times New Roman" w:hAnsi="Times New Roman"/>
          <w:sz w:val="28"/>
          <w:szCs w:val="28"/>
        </w:rPr>
        <w:t>до Програми розвитку</w:t>
      </w:r>
    </w:p>
    <w:p>
      <w:pPr>
        <w:pStyle w:val="Normal"/>
        <w:ind w:left="10431" w:hanging="0"/>
        <w:jc w:val="both"/>
        <w:rPr>
          <w:rFonts w:ascii="Times New Roman" w:hAnsi="Times New Roman"/>
        </w:rPr>
      </w:pPr>
      <w:r>
        <w:rPr>
          <w:rFonts w:ascii="Times New Roman" w:hAnsi="Times New Roman"/>
          <w:sz w:val="28"/>
          <w:szCs w:val="28"/>
        </w:rPr>
        <w:t>електрозарядної інфраструктури</w:t>
      </w:r>
    </w:p>
    <w:p>
      <w:pPr>
        <w:pStyle w:val="Normal"/>
        <w:ind w:left="10431" w:hanging="0"/>
        <w:jc w:val="both"/>
        <w:rPr>
          <w:rFonts w:ascii="Times New Roman" w:hAnsi="Times New Roman"/>
        </w:rPr>
      </w:pPr>
      <w:r>
        <w:rPr>
          <w:rFonts w:ascii="Times New Roman" w:hAnsi="Times New Roman"/>
          <w:sz w:val="28"/>
          <w:szCs w:val="28"/>
        </w:rPr>
        <w:t>Луцької міської територіальної</w:t>
      </w:r>
    </w:p>
    <w:p>
      <w:pPr>
        <w:pStyle w:val="Normal"/>
        <w:ind w:left="10431" w:hanging="0"/>
        <w:jc w:val="both"/>
        <w:rPr>
          <w:rFonts w:ascii="Times New Roman" w:hAnsi="Times New Roman"/>
        </w:rPr>
      </w:pPr>
      <w:r>
        <w:rPr>
          <w:rFonts w:ascii="Times New Roman" w:hAnsi="Times New Roman"/>
          <w:sz w:val="28"/>
          <w:szCs w:val="28"/>
        </w:rPr>
        <w:t>громади на 2023–2027 роки</w:t>
      </w:r>
    </w:p>
    <w:p>
      <w:pPr>
        <w:pStyle w:val="Normal"/>
        <w:shd w:val="clear" w:color="auto" w:fill="FFFFFF"/>
        <w:ind w:right="150" w:firstLine="720"/>
        <w:jc w:val="center"/>
        <w:rPr>
          <w:rFonts w:ascii="Times New Roman" w:hAnsi="Times New Roman"/>
          <w:b/>
          <w:b/>
          <w:sz w:val="28"/>
          <w:szCs w:val="28"/>
        </w:rPr>
      </w:pPr>
      <w:r>
        <w:rPr>
          <w:rFonts w:ascii="Times New Roman" w:hAnsi="Times New Roman"/>
          <w:b/>
          <w:sz w:val="28"/>
          <w:szCs w:val="28"/>
        </w:rPr>
      </w:r>
    </w:p>
    <w:p>
      <w:pPr>
        <w:pStyle w:val="Normal"/>
        <w:shd w:val="clear" w:color="auto" w:fill="FFFFFF"/>
        <w:ind w:right="150" w:firstLine="720"/>
        <w:jc w:val="center"/>
        <w:rPr>
          <w:rFonts w:ascii="Times New Roman" w:hAnsi="Times New Roman"/>
        </w:rPr>
      </w:pPr>
      <w:r>
        <w:rPr>
          <w:rFonts w:ascii="Times New Roman" w:hAnsi="Times New Roman"/>
          <w:b/>
          <w:bCs/>
          <w:sz w:val="28"/>
          <w:szCs w:val="28"/>
        </w:rPr>
        <w:t xml:space="preserve">Ресурсне забезпечення </w:t>
      </w:r>
    </w:p>
    <w:p>
      <w:pPr>
        <w:pStyle w:val="Normal"/>
        <w:shd w:val="clear" w:color="auto" w:fill="FFFFFF"/>
        <w:ind w:right="150" w:firstLine="720"/>
        <w:jc w:val="center"/>
        <w:rPr>
          <w:rFonts w:ascii="Times New Roman" w:hAnsi="Times New Roman"/>
        </w:rPr>
      </w:pPr>
      <w:r>
        <w:rPr>
          <w:rFonts w:ascii="Times New Roman" w:hAnsi="Times New Roman"/>
          <w:b/>
          <w:bCs/>
          <w:sz w:val="28"/>
          <w:szCs w:val="28"/>
        </w:rPr>
        <w:t>Програми розвитку електрозарядної інфраструктури</w:t>
      </w:r>
    </w:p>
    <w:p>
      <w:pPr>
        <w:pStyle w:val="Normal"/>
        <w:shd w:val="clear" w:color="auto" w:fill="FFFFFF"/>
        <w:ind w:right="150" w:firstLine="720"/>
        <w:jc w:val="center"/>
        <w:rPr>
          <w:rFonts w:ascii="Times New Roman" w:hAnsi="Times New Roman"/>
        </w:rPr>
      </w:pPr>
      <w:r>
        <w:rPr>
          <w:rFonts w:ascii="Times New Roman" w:hAnsi="Times New Roman"/>
          <w:b/>
          <w:bCs/>
          <w:sz w:val="28"/>
          <w:szCs w:val="28"/>
        </w:rPr>
        <w:t>Луцької міської територіальної громади на 2023–2027 роки</w:t>
      </w:r>
    </w:p>
    <w:p>
      <w:pPr>
        <w:pStyle w:val="Normal"/>
        <w:rPr>
          <w:rFonts w:ascii="Times New Roman" w:hAnsi="Times New Roman"/>
          <w:b/>
          <w:b/>
          <w:bCs/>
          <w:sz w:val="28"/>
          <w:szCs w:val="28"/>
        </w:rPr>
      </w:pPr>
      <w:r>
        <w:rPr>
          <w:rFonts w:ascii="Times New Roman" w:hAnsi="Times New Roman"/>
          <w:b/>
          <w:bCs/>
          <w:sz w:val="28"/>
          <w:szCs w:val="28"/>
        </w:rPr>
      </w:r>
    </w:p>
    <w:tbl>
      <w:tblPr>
        <w:tblW w:w="12750" w:type="dxa"/>
        <w:jc w:val="center"/>
        <w:tblInd w:w="0" w:type="dxa"/>
        <w:tblLayout w:type="fixed"/>
        <w:tblCellMar>
          <w:top w:w="28" w:type="dxa"/>
          <w:left w:w="28" w:type="dxa"/>
          <w:bottom w:w="28" w:type="dxa"/>
          <w:right w:w="28" w:type="dxa"/>
        </w:tblCellMar>
        <w:tblLook w:firstRow="1" w:noVBand="0" w:lastRow="0" w:firstColumn="1" w:lastColumn="0" w:noHBand="0" w:val="00a0"/>
      </w:tblPr>
      <w:tblGrid>
        <w:gridCol w:w="3284"/>
        <w:gridCol w:w="1247"/>
        <w:gridCol w:w="1201"/>
        <w:gridCol w:w="1183"/>
        <w:gridCol w:w="1247"/>
        <w:gridCol w:w="1228"/>
        <w:gridCol w:w="3359"/>
      </w:tblGrid>
      <w:tr>
        <w:trPr>
          <w:trHeight w:val="1160" w:hRule="atLeast"/>
        </w:trPr>
        <w:tc>
          <w:tcPr>
            <w:tcW w:w="3284" w:type="dxa"/>
            <w:vMerge w:val="restart"/>
            <w:tcBorders>
              <w:top w:val="single" w:sz="2" w:space="0" w:color="000000"/>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b/>
                <w:b/>
                <w:bCs/>
                <w:sz w:val="28"/>
                <w:szCs w:val="28"/>
              </w:rPr>
            </w:pPr>
            <w:r>
              <w:rPr>
                <w:rFonts w:ascii="Times New Roman" w:hAnsi="Times New Roman"/>
                <w:b/>
                <w:bCs/>
                <w:sz w:val="28"/>
                <w:szCs w:val="28"/>
              </w:rPr>
              <w:t>Обсяг коштів, які планується залучити на виконання Програми, тис. грн</w:t>
            </w:r>
          </w:p>
        </w:tc>
        <w:tc>
          <w:tcPr>
            <w:tcW w:w="6106" w:type="dxa"/>
            <w:gridSpan w:val="5"/>
            <w:tcBorders>
              <w:top w:val="single" w:sz="2" w:space="0" w:color="000000"/>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b/>
                <w:b/>
                <w:bCs/>
                <w:sz w:val="28"/>
                <w:szCs w:val="28"/>
              </w:rPr>
            </w:pPr>
            <w:r>
              <w:rPr>
                <w:rFonts w:ascii="Times New Roman" w:hAnsi="Times New Roman"/>
                <w:b/>
                <w:bCs/>
                <w:sz w:val="28"/>
                <w:szCs w:val="28"/>
              </w:rPr>
              <w:t>Роки</w:t>
            </w:r>
          </w:p>
        </w:tc>
        <w:tc>
          <w:tcPr>
            <w:tcW w:w="3359" w:type="dxa"/>
            <w:vMerge w:val="restart"/>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ascii="Times New Roman" w:hAnsi="Times New Roman"/>
                <w:b/>
                <w:b/>
                <w:bCs/>
                <w:sz w:val="28"/>
                <w:szCs w:val="28"/>
              </w:rPr>
            </w:pPr>
            <w:r>
              <w:rPr>
                <w:rFonts w:ascii="Times New Roman" w:hAnsi="Times New Roman"/>
                <w:b/>
                <w:bCs/>
                <w:sz w:val="28"/>
                <w:szCs w:val="28"/>
              </w:rPr>
              <w:t>Загальний обсяг фінансування,</w:t>
            </w:r>
          </w:p>
          <w:p>
            <w:pPr>
              <w:pStyle w:val="Normal"/>
              <w:widowControl w:val="false"/>
              <w:jc w:val="center"/>
              <w:rPr>
                <w:rFonts w:ascii="Times New Roman" w:hAnsi="Times New Roman"/>
                <w:b/>
                <w:b/>
                <w:bCs/>
                <w:sz w:val="28"/>
                <w:szCs w:val="28"/>
              </w:rPr>
            </w:pPr>
            <w:r>
              <w:rPr>
                <w:rFonts w:ascii="Times New Roman" w:hAnsi="Times New Roman"/>
                <w:b/>
                <w:bCs/>
                <w:sz w:val="28"/>
                <w:szCs w:val="28"/>
              </w:rPr>
              <w:t>тис. грн</w:t>
            </w:r>
          </w:p>
        </w:tc>
      </w:tr>
      <w:tr>
        <w:trPr>
          <w:trHeight w:val="490" w:hRule="atLeast"/>
        </w:trPr>
        <w:tc>
          <w:tcPr>
            <w:tcW w:w="3284" w:type="dxa"/>
            <w:vMerge w:val="continue"/>
            <w:tcBorders>
              <w:left w:val="single" w:sz="2" w:space="0" w:color="000000"/>
              <w:bottom w:val="single" w:sz="2" w:space="0" w:color="000000"/>
            </w:tcBorders>
            <w:shd w:color="auto" w:fill="auto" w:val="clear"/>
          </w:tcPr>
          <w:p>
            <w:pPr>
              <w:pStyle w:val="Style24"/>
              <w:widowControl w:val="false"/>
              <w:snapToGrid w:val="false"/>
              <w:rPr>
                <w:rFonts w:ascii="Times New Roman" w:hAnsi="Times New Roman"/>
                <w:sz w:val="28"/>
                <w:szCs w:val="28"/>
              </w:rPr>
            </w:pPr>
            <w:r>
              <w:rPr>
                <w:rFonts w:ascii="Times New Roman" w:hAnsi="Times New Roman"/>
                <w:sz w:val="28"/>
                <w:szCs w:val="28"/>
              </w:rPr>
            </w:r>
          </w:p>
        </w:tc>
        <w:tc>
          <w:tcPr>
            <w:tcW w:w="1247" w:type="dxa"/>
            <w:tcBorders>
              <w:left w:val="single" w:sz="2" w:space="0" w:color="000000"/>
              <w:bottom w:val="single" w:sz="2" w:space="0" w:color="000000"/>
            </w:tcBorders>
            <w:shd w:color="auto" w:fill="auto" w:val="clear"/>
            <w:vAlign w:val="center"/>
          </w:tcPr>
          <w:p>
            <w:pPr>
              <w:pStyle w:val="Normal"/>
              <w:widowControl w:val="false"/>
              <w:jc w:val="center"/>
              <w:rPr>
                <w:rFonts w:ascii="Times New Roman" w:hAnsi="Times New Roman"/>
                <w:b/>
                <w:b/>
                <w:bCs/>
                <w:sz w:val="28"/>
                <w:szCs w:val="28"/>
              </w:rPr>
            </w:pPr>
            <w:r>
              <w:rPr>
                <w:rFonts w:ascii="Times New Roman" w:hAnsi="Times New Roman"/>
                <w:b/>
                <w:bCs/>
                <w:sz w:val="28"/>
                <w:szCs w:val="28"/>
              </w:rPr>
              <w:t>2023</w:t>
            </w:r>
          </w:p>
        </w:tc>
        <w:tc>
          <w:tcPr>
            <w:tcW w:w="1201" w:type="dxa"/>
            <w:tcBorders>
              <w:left w:val="single" w:sz="2" w:space="0" w:color="000000"/>
              <w:bottom w:val="single" w:sz="2" w:space="0" w:color="000000"/>
            </w:tcBorders>
            <w:shd w:color="auto" w:fill="auto" w:val="clear"/>
            <w:vAlign w:val="center"/>
          </w:tcPr>
          <w:p>
            <w:pPr>
              <w:pStyle w:val="Normal"/>
              <w:widowControl w:val="false"/>
              <w:snapToGrid w:val="false"/>
              <w:jc w:val="center"/>
              <w:rPr>
                <w:rFonts w:ascii="Times New Roman" w:hAnsi="Times New Roman"/>
                <w:b/>
                <w:b/>
                <w:bCs/>
                <w:sz w:val="28"/>
                <w:szCs w:val="28"/>
              </w:rPr>
            </w:pPr>
            <w:r>
              <w:rPr>
                <w:rFonts w:ascii="Times New Roman" w:hAnsi="Times New Roman"/>
                <w:b/>
                <w:bCs/>
                <w:sz w:val="28"/>
                <w:szCs w:val="28"/>
              </w:rPr>
              <w:t>2024</w:t>
            </w:r>
          </w:p>
        </w:tc>
        <w:tc>
          <w:tcPr>
            <w:tcW w:w="1183" w:type="dxa"/>
            <w:tcBorders>
              <w:left w:val="single" w:sz="2" w:space="0" w:color="000000"/>
              <w:bottom w:val="single" w:sz="2" w:space="0" w:color="000000"/>
            </w:tcBorders>
            <w:shd w:color="auto" w:fill="auto" w:val="clear"/>
            <w:vAlign w:val="center"/>
          </w:tcPr>
          <w:p>
            <w:pPr>
              <w:pStyle w:val="Normal"/>
              <w:widowControl w:val="false"/>
              <w:snapToGrid w:val="false"/>
              <w:jc w:val="center"/>
              <w:rPr>
                <w:rFonts w:ascii="Times New Roman" w:hAnsi="Times New Roman"/>
                <w:b/>
                <w:b/>
                <w:bCs/>
                <w:sz w:val="28"/>
                <w:szCs w:val="28"/>
              </w:rPr>
            </w:pPr>
            <w:r>
              <w:rPr>
                <w:rFonts w:ascii="Times New Roman" w:hAnsi="Times New Roman"/>
                <w:b/>
                <w:bCs/>
                <w:sz w:val="28"/>
                <w:szCs w:val="28"/>
              </w:rPr>
              <w:t>2025</w:t>
            </w:r>
          </w:p>
        </w:tc>
        <w:tc>
          <w:tcPr>
            <w:tcW w:w="1247" w:type="dxa"/>
            <w:tcBorders>
              <w:left w:val="single" w:sz="2" w:space="0" w:color="000000"/>
              <w:bottom w:val="single" w:sz="2" w:space="0" w:color="000000"/>
            </w:tcBorders>
            <w:shd w:color="auto" w:fill="auto" w:val="clear"/>
            <w:vAlign w:val="center"/>
          </w:tcPr>
          <w:p>
            <w:pPr>
              <w:pStyle w:val="Normal"/>
              <w:widowControl w:val="false"/>
              <w:snapToGrid w:val="false"/>
              <w:jc w:val="center"/>
              <w:rPr>
                <w:rFonts w:ascii="Times New Roman" w:hAnsi="Times New Roman"/>
                <w:b/>
                <w:b/>
                <w:bCs/>
                <w:sz w:val="28"/>
                <w:szCs w:val="28"/>
              </w:rPr>
            </w:pPr>
            <w:r>
              <w:rPr>
                <w:rFonts w:ascii="Times New Roman" w:hAnsi="Times New Roman"/>
                <w:b/>
                <w:bCs/>
                <w:sz w:val="28"/>
                <w:szCs w:val="28"/>
              </w:rPr>
              <w:t>2026</w:t>
            </w:r>
          </w:p>
        </w:tc>
        <w:tc>
          <w:tcPr>
            <w:tcW w:w="1228" w:type="dxa"/>
            <w:tcBorders>
              <w:left w:val="single" w:sz="2" w:space="0" w:color="000000"/>
              <w:bottom w:val="single" w:sz="2" w:space="0" w:color="000000"/>
            </w:tcBorders>
            <w:shd w:color="auto" w:fill="auto" w:val="clear"/>
            <w:vAlign w:val="center"/>
          </w:tcPr>
          <w:p>
            <w:pPr>
              <w:pStyle w:val="Normal"/>
              <w:widowControl w:val="false"/>
              <w:snapToGrid w:val="false"/>
              <w:jc w:val="center"/>
              <w:rPr>
                <w:rFonts w:ascii="Times New Roman" w:hAnsi="Times New Roman"/>
                <w:b/>
                <w:b/>
                <w:bCs/>
                <w:sz w:val="28"/>
                <w:szCs w:val="28"/>
              </w:rPr>
            </w:pPr>
            <w:r>
              <w:rPr>
                <w:rFonts w:ascii="Times New Roman" w:hAnsi="Times New Roman"/>
                <w:b/>
                <w:bCs/>
                <w:sz w:val="28"/>
                <w:szCs w:val="28"/>
              </w:rPr>
              <w:t>2027</w:t>
            </w:r>
          </w:p>
        </w:tc>
        <w:tc>
          <w:tcPr>
            <w:tcW w:w="3359" w:type="dxa"/>
            <w:vMerge w:val="continue"/>
            <w:tcBorders>
              <w:left w:val="single" w:sz="2" w:space="0" w:color="000000"/>
              <w:bottom w:val="single" w:sz="2" w:space="0" w:color="000000"/>
              <w:right w:val="single" w:sz="2" w:space="0" w:color="000000"/>
            </w:tcBorders>
            <w:shd w:color="auto" w:fill="auto" w:val="clear"/>
          </w:tcPr>
          <w:p>
            <w:pPr>
              <w:pStyle w:val="Style24"/>
              <w:widowControl w:val="false"/>
              <w:snapToGrid w:val="false"/>
              <w:rPr>
                <w:rFonts w:ascii="Times New Roman" w:hAnsi="Times New Roman"/>
                <w:sz w:val="28"/>
                <w:szCs w:val="28"/>
              </w:rPr>
            </w:pPr>
            <w:r>
              <w:rPr>
                <w:rFonts w:ascii="Times New Roman" w:hAnsi="Times New Roman"/>
                <w:sz w:val="28"/>
                <w:szCs w:val="28"/>
              </w:rPr>
            </w:r>
          </w:p>
        </w:tc>
      </w:tr>
      <w:tr>
        <w:trPr>
          <w:trHeight w:val="750" w:hRule="atLeast"/>
        </w:trPr>
        <w:tc>
          <w:tcPr>
            <w:tcW w:w="3284" w:type="dxa"/>
            <w:tcBorders>
              <w:left w:val="single" w:sz="2" w:space="0" w:color="000000"/>
              <w:bottom w:val="single" w:sz="2" w:space="0" w:color="000000"/>
            </w:tcBorders>
            <w:shd w:color="auto" w:fill="auto" w:val="clear"/>
            <w:vAlign w:val="center"/>
          </w:tcPr>
          <w:p>
            <w:pPr>
              <w:pStyle w:val="Normal"/>
              <w:widowControl w:val="false"/>
              <w:rPr>
                <w:rFonts w:ascii="Times New Roman" w:hAnsi="Times New Roman"/>
                <w:sz w:val="28"/>
                <w:szCs w:val="28"/>
              </w:rPr>
            </w:pPr>
            <w:r>
              <w:rPr>
                <w:rFonts w:ascii="Times New Roman" w:hAnsi="Times New Roman"/>
                <w:sz w:val="28"/>
                <w:szCs w:val="28"/>
              </w:rPr>
              <w:t>Обсяг фінансових ресурсів всього,</w:t>
            </w:r>
            <w:r>
              <w:rPr>
                <w:rFonts w:eastAsia="Times New Roman" w:ascii="Times New Roman" w:hAnsi="Times New Roman"/>
                <w:sz w:val="28"/>
                <w:szCs w:val="28"/>
              </w:rPr>
              <w:t xml:space="preserve"> </w:t>
            </w:r>
            <w:r>
              <w:rPr>
                <w:rFonts w:ascii="Times New Roman" w:hAnsi="Times New Roman"/>
                <w:sz w:val="28"/>
                <w:szCs w:val="28"/>
              </w:rPr>
              <w:t>у тому числі:</w:t>
            </w:r>
          </w:p>
        </w:tc>
        <w:tc>
          <w:tcPr>
            <w:tcW w:w="1247"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150,0</w:t>
            </w:r>
          </w:p>
        </w:tc>
        <w:tc>
          <w:tcPr>
            <w:tcW w:w="1201"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1 423,0</w:t>
            </w:r>
          </w:p>
        </w:tc>
        <w:tc>
          <w:tcPr>
            <w:tcW w:w="1183"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1 327,0</w:t>
            </w:r>
          </w:p>
        </w:tc>
        <w:tc>
          <w:tcPr>
            <w:tcW w:w="1247"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1 563,0</w:t>
            </w:r>
          </w:p>
        </w:tc>
        <w:tc>
          <w:tcPr>
            <w:tcW w:w="1228"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1 397,0</w:t>
            </w:r>
          </w:p>
        </w:tc>
        <w:tc>
          <w:tcPr>
            <w:tcW w:w="3359" w:type="dxa"/>
            <w:tcBorders>
              <w:left w:val="single" w:sz="2" w:space="0" w:color="000000"/>
              <w:bottom w:val="single" w:sz="2" w:space="0" w:color="000000"/>
              <w:right w:val="single" w:sz="2" w:space="0" w:color="000000"/>
            </w:tcBorders>
            <w:shd w:color="auto" w:fill="auto" w:val="clear"/>
            <w:vAlign w:val="center"/>
          </w:tcPr>
          <w:p>
            <w:pPr>
              <w:pStyle w:val="Style24"/>
              <w:widowControl w:val="false"/>
              <w:jc w:val="center"/>
              <w:rPr>
                <w:rFonts w:ascii="Times New Roman" w:hAnsi="Times New Roman"/>
                <w:b/>
                <w:b/>
                <w:bCs/>
                <w:sz w:val="28"/>
                <w:szCs w:val="28"/>
              </w:rPr>
            </w:pPr>
            <w:r>
              <w:rPr>
                <w:rFonts w:ascii="Times New Roman" w:hAnsi="Times New Roman"/>
                <w:b/>
                <w:bCs/>
                <w:sz w:val="28"/>
                <w:szCs w:val="28"/>
              </w:rPr>
              <w:t>5 860,0</w:t>
            </w:r>
          </w:p>
        </w:tc>
      </w:tr>
      <w:tr>
        <w:trPr>
          <w:trHeight w:val="570" w:hRule="atLeast"/>
        </w:trPr>
        <w:tc>
          <w:tcPr>
            <w:tcW w:w="3284" w:type="dxa"/>
            <w:tcBorders>
              <w:left w:val="single" w:sz="2" w:space="0" w:color="000000"/>
              <w:bottom w:val="single" w:sz="2" w:space="0" w:color="000000"/>
            </w:tcBorders>
            <w:shd w:color="auto" w:fill="auto" w:val="clear"/>
            <w:vAlign w:val="center"/>
          </w:tcPr>
          <w:p>
            <w:pPr>
              <w:pStyle w:val="Style24"/>
              <w:widowControl w:val="false"/>
              <w:rPr>
                <w:rFonts w:ascii="Times New Roman" w:hAnsi="Times New Roman"/>
                <w:sz w:val="28"/>
                <w:szCs w:val="28"/>
              </w:rPr>
            </w:pPr>
            <w:r>
              <w:rPr>
                <w:rFonts w:ascii="Times New Roman" w:hAnsi="Times New Roman"/>
                <w:sz w:val="28"/>
                <w:szCs w:val="28"/>
              </w:rPr>
              <w:t>коштів бюджету громади</w:t>
            </w:r>
          </w:p>
        </w:tc>
        <w:tc>
          <w:tcPr>
            <w:tcW w:w="1247"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50,0</w:t>
            </w:r>
          </w:p>
        </w:tc>
        <w:tc>
          <w:tcPr>
            <w:tcW w:w="1201"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623,0</w:t>
            </w:r>
          </w:p>
        </w:tc>
        <w:tc>
          <w:tcPr>
            <w:tcW w:w="1183"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477,0</w:t>
            </w:r>
          </w:p>
        </w:tc>
        <w:tc>
          <w:tcPr>
            <w:tcW w:w="1247"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683,0</w:t>
            </w:r>
          </w:p>
        </w:tc>
        <w:tc>
          <w:tcPr>
            <w:tcW w:w="1228"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417,0</w:t>
            </w:r>
          </w:p>
        </w:tc>
        <w:tc>
          <w:tcPr>
            <w:tcW w:w="3359" w:type="dxa"/>
            <w:tcBorders>
              <w:left w:val="single" w:sz="2" w:space="0" w:color="000000"/>
              <w:bottom w:val="single" w:sz="2" w:space="0" w:color="000000"/>
              <w:right w:val="single" w:sz="2" w:space="0" w:color="000000"/>
            </w:tcBorders>
            <w:shd w:color="auto" w:fill="auto" w:val="clear"/>
            <w:vAlign w:val="center"/>
          </w:tcPr>
          <w:p>
            <w:pPr>
              <w:pStyle w:val="Style24"/>
              <w:widowControl w:val="false"/>
              <w:jc w:val="center"/>
              <w:rPr>
                <w:rFonts w:ascii="Times New Roman" w:hAnsi="Times New Roman"/>
                <w:b/>
                <w:b/>
                <w:bCs/>
                <w:sz w:val="28"/>
                <w:szCs w:val="28"/>
              </w:rPr>
            </w:pPr>
            <w:r>
              <w:rPr>
                <w:rFonts w:ascii="Times New Roman" w:hAnsi="Times New Roman"/>
                <w:b/>
                <w:bCs/>
                <w:sz w:val="28"/>
                <w:szCs w:val="28"/>
              </w:rPr>
              <w:t>2 250,0</w:t>
            </w:r>
          </w:p>
        </w:tc>
      </w:tr>
      <w:tr>
        <w:trPr>
          <w:trHeight w:val="570" w:hRule="atLeast"/>
        </w:trPr>
        <w:tc>
          <w:tcPr>
            <w:tcW w:w="3284" w:type="dxa"/>
            <w:tcBorders>
              <w:left w:val="single" w:sz="2" w:space="0" w:color="000000"/>
              <w:bottom w:val="single" w:sz="2" w:space="0" w:color="000000"/>
            </w:tcBorders>
            <w:shd w:color="auto" w:fill="auto" w:val="clear"/>
            <w:vAlign w:val="center"/>
          </w:tcPr>
          <w:p>
            <w:pPr>
              <w:pStyle w:val="Style24"/>
              <w:widowControl w:val="false"/>
              <w:rPr>
                <w:rFonts w:ascii="Times New Roman" w:hAnsi="Times New Roman"/>
                <w:sz w:val="28"/>
                <w:szCs w:val="28"/>
              </w:rPr>
            </w:pPr>
            <w:r>
              <w:rPr>
                <w:rFonts w:ascii="Times New Roman" w:hAnsi="Times New Roman"/>
                <w:sz w:val="28"/>
                <w:szCs w:val="28"/>
              </w:rPr>
              <w:t>коштів інших джерел</w:t>
            </w:r>
          </w:p>
        </w:tc>
        <w:tc>
          <w:tcPr>
            <w:tcW w:w="1247"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100,0</w:t>
            </w:r>
          </w:p>
        </w:tc>
        <w:tc>
          <w:tcPr>
            <w:tcW w:w="1201"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800,0</w:t>
            </w:r>
          </w:p>
        </w:tc>
        <w:tc>
          <w:tcPr>
            <w:tcW w:w="1183"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850,0</w:t>
            </w:r>
          </w:p>
        </w:tc>
        <w:tc>
          <w:tcPr>
            <w:tcW w:w="1247"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880,0</w:t>
            </w:r>
          </w:p>
        </w:tc>
        <w:tc>
          <w:tcPr>
            <w:tcW w:w="1228" w:type="dxa"/>
            <w:tcBorders>
              <w:left w:val="single" w:sz="2" w:space="0" w:color="000000"/>
              <w:bottom w:val="single" w:sz="2" w:space="0" w:color="000000"/>
            </w:tcBorders>
            <w:shd w:color="auto" w:fill="auto" w:val="clear"/>
            <w:vAlign w:val="center"/>
          </w:tcPr>
          <w:p>
            <w:pPr>
              <w:pStyle w:val="Style24"/>
              <w:widowControl w:val="false"/>
              <w:jc w:val="center"/>
              <w:rPr>
                <w:rFonts w:ascii="Times New Roman" w:hAnsi="Times New Roman"/>
                <w:sz w:val="28"/>
                <w:szCs w:val="28"/>
              </w:rPr>
            </w:pPr>
            <w:r>
              <w:rPr>
                <w:rFonts w:ascii="Times New Roman" w:hAnsi="Times New Roman"/>
                <w:sz w:val="28"/>
                <w:szCs w:val="28"/>
              </w:rPr>
              <w:t>980,0</w:t>
            </w:r>
          </w:p>
        </w:tc>
        <w:tc>
          <w:tcPr>
            <w:tcW w:w="3359" w:type="dxa"/>
            <w:tcBorders>
              <w:left w:val="single" w:sz="2" w:space="0" w:color="000000"/>
              <w:bottom w:val="single" w:sz="2" w:space="0" w:color="000000"/>
              <w:right w:val="single" w:sz="2" w:space="0" w:color="000000"/>
            </w:tcBorders>
            <w:shd w:color="auto" w:fill="auto" w:val="clear"/>
            <w:vAlign w:val="center"/>
          </w:tcPr>
          <w:p>
            <w:pPr>
              <w:pStyle w:val="Style24"/>
              <w:widowControl w:val="false"/>
              <w:jc w:val="center"/>
              <w:rPr>
                <w:rFonts w:ascii="Times New Roman" w:hAnsi="Times New Roman"/>
                <w:b/>
                <w:b/>
                <w:bCs/>
                <w:sz w:val="28"/>
                <w:szCs w:val="28"/>
              </w:rPr>
            </w:pPr>
            <w:r>
              <w:rPr>
                <w:rFonts w:ascii="Times New Roman" w:hAnsi="Times New Roman"/>
                <w:b/>
                <w:bCs/>
                <w:sz w:val="28"/>
                <w:szCs w:val="28"/>
              </w:rPr>
              <w:t>3 610,0</w:t>
            </w:r>
          </w:p>
        </w:tc>
      </w:tr>
    </w:tbl>
    <w:p>
      <w:pPr>
        <w:pStyle w:val="Normal"/>
        <w:rPr>
          <w:rFonts w:ascii="Times New Roman" w:hAnsi="Times New Roman"/>
          <w:sz w:val="28"/>
          <w:szCs w:val="28"/>
        </w:rPr>
      </w:pPr>
      <w:r>
        <w:rPr>
          <w:rFonts w:ascii="Times New Roman" w:hAnsi="Times New Roman"/>
          <w:sz w:val="28"/>
          <w:szCs w:val="28"/>
        </w:rPr>
      </w:r>
    </w:p>
    <w:p>
      <w:pPr>
        <w:pStyle w:val="Normal"/>
        <w:rPr>
          <w:rFonts w:ascii="Times New Roman" w:hAnsi="Times New Roman"/>
          <w:sz w:val="28"/>
          <w:szCs w:val="28"/>
        </w:rPr>
      </w:pPr>
      <w:r>
        <w:rPr>
          <w:rFonts w:ascii="Times New Roman" w:hAnsi="Times New Roman"/>
          <w:sz w:val="28"/>
          <w:szCs w:val="28"/>
        </w:rPr>
      </w:r>
    </w:p>
    <w:p>
      <w:pPr>
        <w:pStyle w:val="Normal"/>
        <w:rPr>
          <w:rFonts w:ascii="Times New Roman" w:hAnsi="Times New Roman"/>
          <w:sz w:val="28"/>
          <w:szCs w:val="28"/>
        </w:rPr>
      </w:pPr>
      <w:r>
        <w:rPr>
          <w:rFonts w:ascii="Times New Roman" w:hAnsi="Times New Roman"/>
          <w:sz w:val="28"/>
          <w:szCs w:val="28"/>
        </w:rPr>
      </w:r>
    </w:p>
    <w:p>
      <w:pPr>
        <w:sectPr>
          <w:headerReference w:type="default" r:id="rId5"/>
          <w:type w:val="nextPage"/>
          <w:pgSz w:orient="landscape" w:w="16838" w:h="11906"/>
          <w:pgMar w:left="1134" w:right="1134" w:gutter="0" w:header="0" w:top="1984" w:footer="0" w:bottom="567"/>
          <w:pgNumType w:fmt="decimal"/>
          <w:formProt w:val="false"/>
          <w:textDirection w:val="lrTb"/>
          <w:docGrid w:type="default" w:linePitch="100" w:charSpace="0"/>
        </w:sectPr>
        <w:pStyle w:val="Normal"/>
        <w:tabs>
          <w:tab w:val="clear" w:pos="1134"/>
          <w:tab w:val="left" w:pos="12780" w:leader="none"/>
        </w:tabs>
        <w:ind w:left="851" w:hanging="0"/>
        <w:rPr>
          <w:rFonts w:ascii="Times New Roman" w:hAnsi="Times New Roman"/>
        </w:rPr>
      </w:pPr>
      <w:r>
        <w:rPr>
          <w:rFonts w:ascii="Times New Roman" w:hAnsi="Times New Roman"/>
        </w:rPr>
        <w:t>Смаль 777 955</w:t>
      </w:r>
    </w:p>
    <w:p>
      <w:pPr>
        <w:pStyle w:val="Normal"/>
        <w:ind w:left="10431" w:hanging="0"/>
        <w:rPr>
          <w:rFonts w:ascii="Times New Roman" w:hAnsi="Times New Roman"/>
        </w:rPr>
      </w:pPr>
      <w:r>
        <w:rPr>
          <w:rFonts w:ascii="Times New Roman" w:hAnsi="Times New Roman"/>
          <w:sz w:val="28"/>
          <w:szCs w:val="28"/>
        </w:rPr>
        <w:t>Додаток 2</w:t>
      </w:r>
    </w:p>
    <w:p>
      <w:pPr>
        <w:pStyle w:val="Normal"/>
        <w:ind w:left="10431" w:hanging="0"/>
        <w:rPr>
          <w:rFonts w:ascii="Times New Roman" w:hAnsi="Times New Roman"/>
        </w:rPr>
      </w:pPr>
      <w:r>
        <w:rPr>
          <w:rFonts w:ascii="Times New Roman" w:hAnsi="Times New Roman"/>
          <w:sz w:val="28"/>
          <w:szCs w:val="28"/>
        </w:rPr>
        <w:t>до Програми розвитку</w:t>
      </w:r>
    </w:p>
    <w:p>
      <w:pPr>
        <w:pStyle w:val="Normal"/>
        <w:ind w:left="10431" w:hanging="0"/>
        <w:rPr>
          <w:rFonts w:ascii="Times New Roman" w:hAnsi="Times New Roman"/>
        </w:rPr>
      </w:pPr>
      <w:r>
        <w:rPr>
          <w:rFonts w:ascii="Times New Roman" w:hAnsi="Times New Roman"/>
          <w:sz w:val="28"/>
          <w:szCs w:val="28"/>
        </w:rPr>
        <w:t>електрозарядної інфраструктури</w:t>
      </w:r>
    </w:p>
    <w:p>
      <w:pPr>
        <w:pStyle w:val="Normal"/>
        <w:ind w:left="10431" w:hanging="0"/>
        <w:rPr>
          <w:rFonts w:ascii="Times New Roman" w:hAnsi="Times New Roman"/>
        </w:rPr>
      </w:pPr>
      <w:r>
        <w:rPr>
          <w:rFonts w:ascii="Times New Roman" w:hAnsi="Times New Roman"/>
          <w:sz w:val="28"/>
          <w:szCs w:val="28"/>
        </w:rPr>
        <w:t>Луцької міської територіальної</w:t>
      </w:r>
    </w:p>
    <w:p>
      <w:pPr>
        <w:pStyle w:val="Normal"/>
        <w:ind w:left="10431" w:hanging="0"/>
        <w:jc w:val="both"/>
        <w:rPr>
          <w:rFonts w:ascii="Times New Roman" w:hAnsi="Times New Roman"/>
        </w:rPr>
      </w:pPr>
      <w:r>
        <w:rPr>
          <w:rFonts w:ascii="Times New Roman" w:hAnsi="Times New Roman"/>
          <w:sz w:val="28"/>
          <w:szCs w:val="28"/>
        </w:rPr>
        <w:t>громади на 2023–2027 роки</w:t>
      </w:r>
    </w:p>
    <w:p>
      <w:pPr>
        <w:pStyle w:val="Normal"/>
        <w:shd w:val="clear" w:color="auto" w:fill="FFFFFF"/>
        <w:ind w:right="150" w:firstLine="720"/>
        <w:jc w:val="center"/>
        <w:rPr>
          <w:rFonts w:ascii="Times New Roman" w:hAnsi="Times New Roman"/>
          <w:b/>
          <w:b/>
          <w:sz w:val="28"/>
          <w:szCs w:val="28"/>
        </w:rPr>
      </w:pPr>
      <w:r>
        <w:rPr>
          <w:rFonts w:ascii="Times New Roman" w:hAnsi="Times New Roman"/>
          <w:b/>
          <w:sz w:val="28"/>
          <w:szCs w:val="28"/>
        </w:rPr>
      </w:r>
    </w:p>
    <w:p>
      <w:pPr>
        <w:pStyle w:val="Normal"/>
        <w:tabs>
          <w:tab w:val="clear" w:pos="1134"/>
          <w:tab w:val="left" w:pos="12780" w:leader="none"/>
        </w:tabs>
        <w:jc w:val="center"/>
        <w:rPr>
          <w:rFonts w:ascii="Times New Roman" w:hAnsi="Times New Roman"/>
        </w:rPr>
      </w:pPr>
      <w:r>
        <w:rPr>
          <w:rFonts w:ascii="Times New Roman" w:hAnsi="Times New Roman"/>
          <w:b/>
          <w:bCs/>
          <w:sz w:val="28"/>
          <w:szCs w:val="28"/>
        </w:rPr>
        <w:t>Перелік завдань, заходів та результативні показники</w:t>
      </w:r>
    </w:p>
    <w:p>
      <w:pPr>
        <w:pStyle w:val="Normal"/>
        <w:tabs>
          <w:tab w:val="clear" w:pos="1134"/>
          <w:tab w:val="left" w:pos="12780" w:leader="none"/>
        </w:tabs>
        <w:jc w:val="center"/>
        <w:rPr>
          <w:rFonts w:ascii="Times New Roman" w:hAnsi="Times New Roman"/>
        </w:rPr>
      </w:pPr>
      <w:r>
        <w:rPr>
          <w:rFonts w:ascii="Times New Roman" w:hAnsi="Times New Roman"/>
          <w:b/>
          <w:bCs/>
          <w:sz w:val="28"/>
          <w:szCs w:val="28"/>
        </w:rPr>
        <w:t>Програми розвитку електрозарядної інфраструктури Луцької міської територіальної громади</w:t>
      </w:r>
    </w:p>
    <w:p>
      <w:pPr>
        <w:pStyle w:val="Normal"/>
        <w:shd w:val="clear" w:color="auto" w:fill="FFFFFF"/>
        <w:tabs>
          <w:tab w:val="clear" w:pos="1134"/>
          <w:tab w:val="left" w:pos="12780" w:leader="none"/>
        </w:tabs>
        <w:ind w:right="150" w:firstLine="720"/>
        <w:jc w:val="center"/>
        <w:rPr>
          <w:rFonts w:ascii="Times New Roman" w:hAnsi="Times New Roman"/>
        </w:rPr>
      </w:pPr>
      <w:r>
        <w:rPr>
          <w:rFonts w:ascii="Times New Roman" w:hAnsi="Times New Roman"/>
          <w:b/>
          <w:bCs/>
          <w:sz w:val="28"/>
          <w:szCs w:val="28"/>
        </w:rPr>
        <w:t>на 2023–2027 роки</w:t>
      </w:r>
    </w:p>
    <w:tbl>
      <w:tblPr>
        <w:tblW w:w="15075" w:type="dxa"/>
        <w:jc w:val="left"/>
        <w:tblInd w:w="31" w:type="dxa"/>
        <w:tblLayout w:type="fixed"/>
        <w:tblCellMar>
          <w:top w:w="0" w:type="dxa"/>
          <w:left w:w="108" w:type="dxa"/>
          <w:bottom w:w="0" w:type="dxa"/>
          <w:right w:w="108" w:type="dxa"/>
        </w:tblCellMar>
        <w:tblLook w:firstRow="1" w:noVBand="1" w:lastRow="0" w:firstColumn="1" w:lastColumn="0" w:noHBand="0" w:val="04a0"/>
      </w:tblPr>
      <w:tblGrid>
        <w:gridCol w:w="509"/>
        <w:gridCol w:w="2490"/>
        <w:gridCol w:w="2957"/>
        <w:gridCol w:w="2039"/>
        <w:gridCol w:w="1245"/>
        <w:gridCol w:w="1877"/>
        <w:gridCol w:w="1861"/>
        <w:gridCol w:w="2095"/>
      </w:tblGrid>
      <w:tr>
        <w:trPr>
          <w:trHeight w:val="690" w:hRule="atLeast"/>
        </w:trPr>
        <w:tc>
          <w:tcPr>
            <w:tcW w:w="50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t xml:space="preserve">№ </w:t>
            </w:r>
            <w:r>
              <w:rPr>
                <w:rFonts w:eastAsia="Times New Roman" w:ascii="Times New Roman" w:hAnsi="Times New Roman"/>
                <w:b/>
                <w:bCs/>
                <w:sz w:val="26"/>
                <w:szCs w:val="26"/>
                <w:lang w:eastAsia="uk-UA"/>
              </w:rPr>
              <w:t>з/п</w:t>
            </w:r>
          </w:p>
        </w:tc>
        <w:tc>
          <w:tcPr>
            <w:tcW w:w="249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t>Завдання</w:t>
            </w:r>
          </w:p>
        </w:tc>
        <w:tc>
          <w:tcPr>
            <w:tcW w:w="295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t>Заходи</w:t>
            </w:r>
          </w:p>
        </w:tc>
        <w:tc>
          <w:tcPr>
            <w:tcW w:w="203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t>Виконавці</w:t>
            </w:r>
          </w:p>
        </w:tc>
        <w:tc>
          <w:tcPr>
            <w:tcW w:w="124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t>Термін виконання, роки</w:t>
            </w:r>
          </w:p>
        </w:tc>
        <w:tc>
          <w:tcPr>
            <w:tcW w:w="373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t>Фінансування</w:t>
            </w:r>
          </w:p>
        </w:tc>
        <w:tc>
          <w:tcPr>
            <w:tcW w:w="209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t>Результативні показники</w:t>
            </w:r>
          </w:p>
        </w:tc>
      </w:tr>
      <w:tr>
        <w:trPr>
          <w:trHeight w:val="717" w:hRule="atLeast"/>
        </w:trPr>
        <w:tc>
          <w:tcPr>
            <w:tcW w:w="5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9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0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12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18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t>Джерела</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t>Обсяги, тис. грн</w:t>
            </w:r>
          </w:p>
        </w:tc>
        <w:tc>
          <w:tcPr>
            <w:tcW w:w="209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r>
      <w:tr>
        <w:trPr>
          <w:trHeight w:val="2259" w:hRule="atLeast"/>
        </w:trPr>
        <w:tc>
          <w:tcPr>
            <w:tcW w:w="50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rPr>
            </w:pPr>
            <w:r>
              <w:rPr>
                <w:rFonts w:ascii="Times New Roman" w:hAnsi="Times New Roman"/>
              </w:rPr>
              <w:t>1</w:t>
            </w:r>
          </w:p>
        </w:tc>
        <w:tc>
          <w:tcPr>
            <w:tcW w:w="249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Розвиток електрозарядної інфраструктури</w:t>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sz w:val="26"/>
                <w:szCs w:val="26"/>
                <w:lang w:eastAsia="uk-UA"/>
              </w:rPr>
            </w:pPr>
            <w:r>
              <w:rPr>
                <w:rFonts w:eastAsia="Times New Roman" w:ascii="Times New Roman" w:hAnsi="Times New Roman"/>
                <w:sz w:val="26"/>
                <w:szCs w:val="26"/>
                <w:lang w:eastAsia="uk-UA"/>
              </w:rPr>
              <w:t>Розробка порядку надання в тимчасове користування окремих елементів благоустрою комунальної власності для встановлення станцій зарядки електротранспорту</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Департамент містобудування, земельних ресурсів та реклами, департамент економічної політики, відділ управління майном міської комунальної власності</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2024</w:t>
            </w:r>
          </w:p>
        </w:tc>
        <w:tc>
          <w:tcPr>
            <w:tcW w:w="1877" w:type="dxa"/>
            <w:tcBorders>
              <w:top w:val="single" w:sz="4" w:space="0" w:color="000000"/>
              <w:left w:val="single" w:sz="4" w:space="0" w:color="000000"/>
              <w:bottom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Не потребує фінансування</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r>
          </w:p>
        </w:tc>
        <w:tc>
          <w:tcPr>
            <w:tcW w:w="209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t>Мережа електрозарядних станцій: збільшення щороку мінімум на 50 од.</w:t>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t>Кількість зареєстрованих електромобілів: 2500 од./рік</w:t>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sz w:val="26"/>
                <w:szCs w:val="26"/>
              </w:rPr>
            </w:pPr>
            <w:r>
              <w:rPr>
                <w:rFonts w:ascii="Times New Roman" w:hAnsi="Times New Roman"/>
                <w:sz w:val="26"/>
                <w:szCs w:val="26"/>
              </w:rPr>
            </w:r>
          </w:p>
          <w:p>
            <w:pPr>
              <w:pStyle w:val="Normal"/>
              <w:widowControl w:val="false"/>
              <w:jc w:val="center"/>
              <w:rPr>
                <w:rFonts w:ascii="Times New Roman" w:hAnsi="Times New Roman"/>
              </w:rPr>
            </w:pPr>
            <w:r>
              <w:rPr>
                <w:rFonts w:ascii="Times New Roman" w:hAnsi="Times New Roman"/>
              </w:rPr>
            </w:r>
          </w:p>
          <w:p>
            <w:pPr>
              <w:pStyle w:val="Normal"/>
              <w:widowControl w:val="false"/>
              <w:jc w:val="center"/>
              <w:rPr>
                <w:rFonts w:ascii="Times New Roman" w:hAnsi="Times New Roman"/>
                <w:sz w:val="26"/>
                <w:szCs w:val="26"/>
              </w:rPr>
            </w:pPr>
            <w:r>
              <w:rPr>
                <w:rFonts w:ascii="Times New Roman" w:hAnsi="Times New Roman"/>
                <w:sz w:val="26"/>
                <w:szCs w:val="26"/>
              </w:rPr>
              <w:t>Кількість зареєстрованих автомобілів із гібридним двигуном: 5000 од./рік</w:t>
            </w:r>
          </w:p>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1553" w:hRule="atLeast"/>
        </w:trPr>
        <w:tc>
          <w:tcPr>
            <w:tcW w:w="50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sz w:val="26"/>
                <w:szCs w:val="26"/>
                <w:lang w:eastAsia="uk-UA"/>
              </w:rPr>
            </w:pPr>
            <w:r>
              <w:rPr>
                <w:rFonts w:eastAsia="Times New Roman" w:ascii="Times New Roman" w:hAnsi="Times New Roman"/>
                <w:sz w:val="26"/>
                <w:szCs w:val="26"/>
                <w:lang w:eastAsia="uk-UA"/>
              </w:rPr>
              <w:t>Облаштування на територіях ОСББ місць для стоянки та зберігання електромобілів та станцій зарядки електротранспорту</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Департамент житлово-комунального господарства, ОСББ</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2023–2027</w:t>
            </w:r>
          </w:p>
        </w:tc>
        <w:tc>
          <w:tcPr>
            <w:tcW w:w="18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Інші кошти</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2023 р. ‒ 50,0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2024 р. ‒ 100,0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2025 р. ‒ 100,0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2026 р. ‒ 100,0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2027 р. ‒ 100,0</w:t>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1553" w:hRule="atLeast"/>
        </w:trPr>
        <w:tc>
          <w:tcPr>
            <w:tcW w:w="50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sz w:val="26"/>
                <w:szCs w:val="26"/>
                <w:lang w:eastAsia="uk-UA"/>
              </w:rPr>
            </w:pPr>
            <w:r>
              <w:rPr>
                <w:rFonts w:eastAsia="Times New Roman" w:ascii="Times New Roman" w:hAnsi="Times New Roman"/>
                <w:sz w:val="26"/>
                <w:szCs w:val="26"/>
                <w:lang w:eastAsia="uk-UA"/>
              </w:rPr>
              <w:t>Позначення паркомісць, призначених для обслуговування транспортних засобів з електродвигуном, спеціальними дорожніми знаками, розміткою, таблицями тощо</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Департамент житлово-комунального господарства</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2023–2027</w:t>
            </w:r>
          </w:p>
        </w:tc>
        <w:tc>
          <w:tcPr>
            <w:tcW w:w="1877"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6"/>
                <w:szCs w:val="26"/>
              </w:rPr>
            </w:pPr>
            <w:r>
              <w:rPr>
                <w:rFonts w:cs="Times New Roman" w:ascii="Times New Roman" w:hAnsi="Times New Roman"/>
                <w:sz w:val="26"/>
                <w:szCs w:val="26"/>
              </w:rPr>
              <w:t>Кошти бюжету громади</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2023 р. ‒ 50,0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2024 р. ‒ 50,0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2025 р. ‒ 50,0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2026 р. ‒ 50,0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2027 р. ‒ 50,0</w:t>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1508" w:hRule="atLeast"/>
        </w:trPr>
        <w:tc>
          <w:tcPr>
            <w:tcW w:w="5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sz w:val="26"/>
                <w:szCs w:val="26"/>
              </w:rPr>
            </w:pPr>
            <w:r>
              <w:rPr>
                <w:rFonts w:eastAsia="Times New Roman" w:ascii="Times New Roman" w:hAnsi="Times New Roman"/>
                <w:color w:val="auto"/>
                <w:sz w:val="26"/>
                <w:szCs w:val="26"/>
                <w:lang w:eastAsia="uk-UA"/>
              </w:rPr>
              <w:t xml:space="preserve">Планування розміщення </w:t>
            </w:r>
            <w:r>
              <w:rPr>
                <w:rFonts w:eastAsia="Times New Roman" w:ascii="Times New Roman" w:hAnsi="Times New Roman"/>
                <w:sz w:val="26"/>
                <w:szCs w:val="26"/>
                <w:lang w:eastAsia="uk-UA"/>
              </w:rPr>
              <w:t>об’єктів</w:t>
            </w:r>
            <w:r>
              <w:rPr>
                <w:rFonts w:eastAsia="Times New Roman" w:ascii="Times New Roman" w:hAnsi="Times New Roman"/>
                <w:color w:val="auto"/>
                <w:sz w:val="26"/>
                <w:szCs w:val="26"/>
                <w:lang w:eastAsia="uk-UA"/>
              </w:rPr>
              <w:t xml:space="preserve"> станції зарядки електротранспорту при розробці та затверджені містобудівної документації</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Департамент містобудування, земельних ресурсів та реклами</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2023–2027</w:t>
            </w:r>
          </w:p>
        </w:tc>
        <w:tc>
          <w:tcPr>
            <w:tcW w:w="1877" w:type="dxa"/>
            <w:tcBorders>
              <w:top w:val="single" w:sz="4" w:space="0" w:color="000000"/>
              <w:left w:val="single" w:sz="4" w:space="0" w:color="000000"/>
              <w:bottom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Не потребує фінансування</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2692" w:hRule="atLeast"/>
        </w:trPr>
        <w:tc>
          <w:tcPr>
            <w:tcW w:w="50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sz w:val="26"/>
                <w:szCs w:val="26"/>
              </w:rPr>
            </w:pPr>
            <w:r>
              <w:rPr>
                <w:rFonts w:cs="Times New Roman" w:ascii="Times New Roman" w:hAnsi="Times New Roman"/>
                <w:sz w:val="26"/>
                <w:szCs w:val="26"/>
              </w:rPr>
              <w:t>2</w:t>
            </w:r>
          </w:p>
        </w:tc>
        <w:tc>
          <w:tcPr>
            <w:tcW w:w="249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Стимулювання підприємницької діяльності, що спрямована на поширення та обслуговування електротранспорту</w:t>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Різностороннє сприяння суб'єктам господарської діяльності, що мають у власності зарядні станції, у розширенні їх мережі</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Департамент економічної політики</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2023–2027</w:t>
            </w:r>
          </w:p>
        </w:tc>
        <w:tc>
          <w:tcPr>
            <w:tcW w:w="1877" w:type="dxa"/>
            <w:tcBorders>
              <w:top w:val="single" w:sz="4" w:space="0" w:color="000000"/>
              <w:left w:val="single" w:sz="4" w:space="0" w:color="000000"/>
              <w:bottom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Не потребує фінансування</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1275" w:hRule="atLeast"/>
        </w:trPr>
        <w:tc>
          <w:tcPr>
            <w:tcW w:w="509"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2957"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5"/>
                <w:szCs w:val="25"/>
              </w:rPr>
            </w:pPr>
            <w:r>
              <w:rPr>
                <w:rFonts w:ascii="Times New Roman" w:hAnsi="Times New Roman"/>
                <w:sz w:val="25"/>
                <w:szCs w:val="25"/>
              </w:rPr>
              <w:t>Розробка порядку нарахування оплати за тимчасове користування окремими елементами благоустрою комунальної власності для розміщення станцій обслуговування електромобілів, що передбачає пільгові умови (терміни) для розвитку</w:t>
            </w:r>
          </w:p>
        </w:tc>
        <w:tc>
          <w:tcPr>
            <w:tcW w:w="2039"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color w:val="auto"/>
                <w:sz w:val="26"/>
                <w:szCs w:val="26"/>
              </w:rPr>
              <w:t xml:space="preserve">Відділ управління майном міської комунальної власності, </w:t>
            </w:r>
            <w:r>
              <w:rPr>
                <w:rFonts w:ascii="Times New Roman" w:hAnsi="Times New Roman"/>
                <w:sz w:val="26"/>
                <w:szCs w:val="26"/>
              </w:rPr>
              <w:t>департамент містобудування, земельних ресурсів та реклами</w:t>
            </w:r>
          </w:p>
        </w:tc>
        <w:tc>
          <w:tcPr>
            <w:tcW w:w="1245"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2024</w:t>
            </w:r>
          </w:p>
        </w:tc>
        <w:tc>
          <w:tcPr>
            <w:tcW w:w="1877" w:type="dxa"/>
            <w:tcBorders>
              <w:left w:val="single" w:sz="4" w:space="0" w:color="000000"/>
              <w:bottom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Не потребує фінансування</w:t>
            </w:r>
          </w:p>
        </w:tc>
        <w:tc>
          <w:tcPr>
            <w:tcW w:w="1861" w:type="dxa"/>
            <w:tcBorders>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699" w:hRule="atLeast"/>
        </w:trPr>
        <w:tc>
          <w:tcPr>
            <w:tcW w:w="50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sz w:val="26"/>
                <w:szCs w:val="26"/>
              </w:rPr>
            </w:pPr>
            <w:r>
              <w:rPr>
                <w:rFonts w:cs="Times New Roman" w:ascii="Times New Roman" w:hAnsi="Times New Roman"/>
                <w:sz w:val="26"/>
                <w:szCs w:val="26"/>
              </w:rPr>
              <w:t>3</w:t>
            </w:r>
          </w:p>
        </w:tc>
        <w:tc>
          <w:tcPr>
            <w:tcW w:w="249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Цифровізація процесу користування та обслуговування електрозарядної інфраструктури</w:t>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sz w:val="26"/>
                <w:szCs w:val="26"/>
              </w:rPr>
              <w:t>Розрахунок оптимальної кількості елементів електрозарядної інфраструктури та їх локалізації на території громади</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5"/>
                <w:szCs w:val="25"/>
              </w:rPr>
            </w:pPr>
            <w:r>
              <w:rPr>
                <w:rFonts w:ascii="Times New Roman" w:hAnsi="Times New Roman"/>
                <w:sz w:val="25"/>
                <w:szCs w:val="25"/>
              </w:rPr>
              <w:t>Відділ транспорту, департамент містобудування, земельних ресурсів та реклами, департамент економічної політики</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2023–2024</w:t>
            </w:r>
          </w:p>
        </w:tc>
        <w:tc>
          <w:tcPr>
            <w:tcW w:w="18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Не потребує фінансування</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1275" w:hRule="atLeast"/>
        </w:trPr>
        <w:tc>
          <w:tcPr>
            <w:tcW w:w="50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sz w:val="26"/>
                <w:szCs w:val="26"/>
              </w:rPr>
              <w:t>Створення та постійне оновлення інтерактивної мапи/мобільного додатку розташування елементів електрозарядної інфраструктури на території громади</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color w:val="auto"/>
                <w:sz w:val="26"/>
                <w:szCs w:val="26"/>
              </w:rPr>
              <w:t xml:space="preserve">Управління інформаційно-комунікаційних технологій, </w:t>
            </w:r>
            <w:r>
              <w:rPr>
                <w:rFonts w:ascii="Times New Roman" w:hAnsi="Times New Roman"/>
                <w:sz w:val="26"/>
                <w:szCs w:val="26"/>
              </w:rPr>
              <w:t>департамент економічної політики</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sz w:val="26"/>
                <w:szCs w:val="26"/>
              </w:rPr>
              <w:t>2024–2027</w:t>
            </w:r>
          </w:p>
        </w:tc>
        <w:tc>
          <w:tcPr>
            <w:tcW w:w="18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Інші кошти</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2024 р. ‒ 50,0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2025 р. ‒ 50,0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2026 р. ‒ 30,0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2027 р. ‒ 30,0</w:t>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2155" w:hRule="atLeast"/>
        </w:trPr>
        <w:tc>
          <w:tcPr>
            <w:tcW w:w="50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sz w:val="26"/>
                <w:szCs w:val="26"/>
              </w:rPr>
              <w:t>Збір та обробка статистичних даних щодо кількості зареєстрованих транспортних засобів з електричними двигунами</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sz w:val="26"/>
                <w:szCs w:val="26"/>
              </w:rPr>
              <w:t>Відділ транспорту, департамент економічної політики</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sz w:val="26"/>
                <w:szCs w:val="26"/>
              </w:rPr>
              <w:t>2024–2027</w:t>
            </w:r>
          </w:p>
        </w:tc>
        <w:tc>
          <w:tcPr>
            <w:tcW w:w="18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Не потребує фінансування</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3378" w:hRule="atLeast"/>
        </w:trPr>
        <w:tc>
          <w:tcPr>
            <w:tcW w:w="50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sz w:val="26"/>
                <w:szCs w:val="26"/>
              </w:rPr>
              <w:t>Створення можливості проходження максимальної кількості процедур, необхідних для облаштування та експлуатації електрозарядної інфраструктури, в режимі онлайн</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sz w:val="26"/>
                <w:szCs w:val="26"/>
              </w:rPr>
              <w:t>Департамент ЦНАП, департамент економічної політики</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sz w:val="26"/>
                <w:szCs w:val="26"/>
              </w:rPr>
              <w:t>2024–2027</w:t>
            </w:r>
          </w:p>
        </w:tc>
        <w:tc>
          <w:tcPr>
            <w:tcW w:w="18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Не потребує фінансування</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1755" w:hRule="atLeast"/>
        </w:trPr>
        <w:tc>
          <w:tcPr>
            <w:tcW w:w="50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sz w:val="26"/>
                <w:szCs w:val="26"/>
              </w:rPr>
              <w:t>Сприяння дослідженням та розвитку нових технологій в галузі електротранспорту, налагодженню партнерства із університетами та приватними компаніями, а також створення інкубаторів для стартапів, які працюють у сфері електротранспорту</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sz w:val="26"/>
                <w:szCs w:val="26"/>
              </w:rPr>
              <w:t>Департамент економічної політики</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sz w:val="26"/>
                <w:szCs w:val="26"/>
              </w:rPr>
              <w:t>2023–2027</w:t>
            </w:r>
          </w:p>
        </w:tc>
        <w:tc>
          <w:tcPr>
            <w:tcW w:w="18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Не потребує фінансування</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1275" w:hRule="atLeast"/>
        </w:trPr>
        <w:tc>
          <w:tcPr>
            <w:tcW w:w="50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sz w:val="26"/>
                <w:szCs w:val="26"/>
              </w:rPr>
              <w:t>Уніфікація комунікаційних інтерфейсів та способів розрахунку за послуги електрозарядної інфраструктури, електронне управління чергою на станціях зарядки електротранспорту</w:t>
            </w:r>
          </w:p>
          <w:p>
            <w:pPr>
              <w:pStyle w:val="Style24"/>
              <w:widowControl w:val="false"/>
              <w:jc w:val="center"/>
              <w:rPr>
                <w:rFonts w:ascii="Times New Roman" w:hAnsi="Times New Roman"/>
                <w:sz w:val="26"/>
                <w:szCs w:val="26"/>
              </w:rPr>
            </w:pPr>
            <w:r>
              <w:rPr>
                <w:rFonts w:ascii="Times New Roman" w:hAnsi="Times New Roman"/>
                <w:sz w:val="26"/>
                <w:szCs w:val="26"/>
              </w:rPr>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color w:val="auto"/>
                <w:sz w:val="26"/>
                <w:szCs w:val="26"/>
              </w:rPr>
              <w:t xml:space="preserve">Управління інформаційно-комунікаційних технологій, </w:t>
            </w:r>
            <w:r>
              <w:rPr>
                <w:rFonts w:ascii="Times New Roman" w:hAnsi="Times New Roman"/>
                <w:sz w:val="26"/>
                <w:szCs w:val="26"/>
              </w:rPr>
              <w:t>департамент економічної політики</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4"/>
              <w:widowControl w:val="false"/>
              <w:jc w:val="center"/>
              <w:rPr>
                <w:rFonts w:ascii="Times New Roman" w:hAnsi="Times New Roman"/>
                <w:sz w:val="26"/>
                <w:szCs w:val="26"/>
              </w:rPr>
            </w:pPr>
            <w:r>
              <w:rPr>
                <w:rFonts w:ascii="Times New Roman" w:hAnsi="Times New Roman"/>
                <w:sz w:val="26"/>
                <w:szCs w:val="26"/>
              </w:rPr>
              <w:t>2023–2027</w:t>
            </w:r>
          </w:p>
        </w:tc>
        <w:tc>
          <w:tcPr>
            <w:tcW w:w="1877" w:type="dxa"/>
            <w:tcBorders>
              <w:top w:val="single" w:sz="4" w:space="0" w:color="000000"/>
              <w:left w:val="single" w:sz="4" w:space="0" w:color="000000"/>
              <w:bottom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Інші кошти</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2023 р. ‒ 50,0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2024 р. ‒ 50,0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2025 р. ‒ 50,0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2026 р. ‒ 50,0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2027 р. ‒ 50,0</w:t>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1275" w:hRule="atLeast"/>
        </w:trPr>
        <w:tc>
          <w:tcPr>
            <w:tcW w:w="50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sz w:val="26"/>
                <w:szCs w:val="26"/>
                <w:lang w:eastAsia="uk-UA"/>
              </w:rPr>
            </w:pPr>
            <w:r>
              <w:rPr>
                <w:rFonts w:eastAsia="Times New Roman" w:ascii="Times New Roman" w:hAnsi="Times New Roman"/>
                <w:sz w:val="26"/>
                <w:szCs w:val="26"/>
                <w:lang w:eastAsia="uk-UA"/>
              </w:rPr>
              <w:t>4</w:t>
            </w:r>
          </w:p>
        </w:tc>
        <w:tc>
          <w:tcPr>
            <w:tcW w:w="249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Розвиток уніфікованої інфраструктури міського автомобільного транспорту, що обладнаний електричними двигунами</w:t>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Облаштування на паркувальних майданчиках та місцях для паркування машиномісць виключно для транспортних засобів, оснащених електричними двигунами</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Департамент житлово-комунального господарства</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2024–2027</w:t>
            </w:r>
          </w:p>
        </w:tc>
        <w:tc>
          <w:tcPr>
            <w:tcW w:w="18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cs="Times New Roman"/>
                <w:sz w:val="26"/>
                <w:szCs w:val="26"/>
              </w:rPr>
            </w:pPr>
            <w:r>
              <w:rPr>
                <w:rFonts w:cs="Times New Roman" w:ascii="Times New Roman" w:hAnsi="Times New Roman"/>
                <w:sz w:val="26"/>
                <w:szCs w:val="26"/>
              </w:rPr>
              <w:t>Кошти бюжету громади</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2024 р. ‒ 573,0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2025 р. ‒ 427,0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2026 р. ‒ 633,0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2027 р. ‒ 367,0</w:t>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1275" w:hRule="atLeast"/>
        </w:trPr>
        <w:tc>
          <w:tcPr>
            <w:tcW w:w="50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Придбання та використання  електротранспорту у міському комунальному господарстві, встановлення станцій зарядки електротранспорту на території та в зоні діяльності комунальних підприємств</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Департамент житлово-комунального господарства, комунальні підприємства</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2024–2027</w:t>
            </w:r>
          </w:p>
        </w:tc>
        <w:tc>
          <w:tcPr>
            <w:tcW w:w="1877" w:type="dxa"/>
            <w:tcBorders>
              <w:top w:val="single" w:sz="4" w:space="0" w:color="000000"/>
              <w:left w:val="single" w:sz="4" w:space="0" w:color="000000"/>
              <w:bottom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Інші джерела</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2024 р. ‒ 500,0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2025 р. ‒ 500,0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2026 р. ‒ 500,0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2027 р. ‒ 500,0</w:t>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1275" w:hRule="atLeast"/>
        </w:trPr>
        <w:tc>
          <w:tcPr>
            <w:tcW w:w="509"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2957"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Облаштування (у разі можливості) станцій зарядки електротранспорту альтернативними джерелами накопичення енергії</w:t>
            </w:r>
          </w:p>
        </w:tc>
        <w:tc>
          <w:tcPr>
            <w:tcW w:w="2039"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Департамент житлово-комунального господарства, комунальні підприємства</w:t>
            </w:r>
          </w:p>
        </w:tc>
        <w:tc>
          <w:tcPr>
            <w:tcW w:w="1245"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2024–2027</w:t>
            </w:r>
          </w:p>
        </w:tc>
        <w:tc>
          <w:tcPr>
            <w:tcW w:w="1877" w:type="dxa"/>
            <w:tcBorders>
              <w:left w:val="single" w:sz="4" w:space="0" w:color="000000"/>
              <w:bottom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Інші джерела</w:t>
            </w:r>
          </w:p>
        </w:tc>
        <w:tc>
          <w:tcPr>
            <w:tcW w:w="1861" w:type="dxa"/>
            <w:tcBorders>
              <w:left w:val="single" w:sz="4" w:space="0" w:color="000000"/>
              <w:bottom w:val="single" w:sz="4" w:space="0" w:color="000000"/>
              <w:right w:val="single" w:sz="4" w:space="0" w:color="000000"/>
            </w:tcBorders>
            <w:shd w:color="auto" w:fill="auto" w:val="clear"/>
            <w:vAlign w:val="center"/>
          </w:tcPr>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2024 р. ‒ 100,0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2025 р. ‒ 150,0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2026 р. ‒ 200,0</w:t>
            </w:r>
          </w:p>
          <w:p>
            <w:pPr>
              <w:pStyle w:val="TableParagraph"/>
              <w:widowControl w:val="false"/>
              <w:suppressAutoHyphens w:val="false"/>
              <w:ind w:left="0" w:hanging="0"/>
              <w:jc w:val="center"/>
              <w:rPr>
                <w:rFonts w:ascii="Times New Roman" w:hAnsi="Times New Roman"/>
                <w:sz w:val="26"/>
                <w:szCs w:val="26"/>
              </w:rPr>
            </w:pPr>
            <w:r>
              <w:rPr>
                <w:rFonts w:ascii="Times New Roman" w:hAnsi="Times New Roman"/>
                <w:sz w:val="26"/>
                <w:szCs w:val="26"/>
              </w:rPr>
              <w:t>2027 р. ‒ 300,0</w:t>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1275" w:hRule="atLeast"/>
        </w:trPr>
        <w:tc>
          <w:tcPr>
            <w:tcW w:w="50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sz w:val="26"/>
                <w:szCs w:val="26"/>
                <w:lang w:eastAsia="uk-UA"/>
              </w:rPr>
            </w:pPr>
            <w:r>
              <w:rPr>
                <w:rFonts w:eastAsia="Times New Roman" w:ascii="Times New Roman" w:hAnsi="Times New Roman"/>
                <w:sz w:val="26"/>
                <w:szCs w:val="26"/>
                <w:lang w:eastAsia="uk-UA"/>
              </w:rPr>
              <w:t>5</w:t>
            </w:r>
          </w:p>
        </w:tc>
        <w:tc>
          <w:tcPr>
            <w:tcW w:w="249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Покращення екології на території міської територіальної громади</w:t>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Постійний контроль за рівнем забруднення атмосферного повітря та шумового навантаження у м. Луцьку</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Відділ екології</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2023-2027</w:t>
            </w:r>
          </w:p>
        </w:tc>
        <w:tc>
          <w:tcPr>
            <w:tcW w:w="18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Не потребує фінансування</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w:t>
            </w:r>
          </w:p>
        </w:tc>
        <w:tc>
          <w:tcPr>
            <w:tcW w:w="209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Рівень загазованості повітря оксидом вуглецю в усіх мікрорайонах міста: не більше 3–4 мг/м.куб.</w:t>
            </w:r>
          </w:p>
        </w:tc>
      </w:tr>
      <w:tr>
        <w:trPr>
          <w:trHeight w:val="984" w:hRule="atLeast"/>
        </w:trPr>
        <w:tc>
          <w:tcPr>
            <w:tcW w:w="50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Оприлюднення на сайті ЛМР аналізу динаміки та роз'яснення  результатів дослідження атмосферного повітря, що проводиться Волинським обласним центром з гідрометеорології  на  стаціонарних постах, з точки зору впливу на ці показники транспортних засобів, обладнаних двигунами внутрішнього згорання</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Відділ екології</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2023–2027</w:t>
            </w:r>
          </w:p>
        </w:tc>
        <w:tc>
          <w:tcPr>
            <w:tcW w:w="1877" w:type="dxa"/>
            <w:tcBorders>
              <w:top w:val="single" w:sz="4" w:space="0" w:color="000000"/>
              <w:left w:val="single" w:sz="4" w:space="0" w:color="000000"/>
              <w:bottom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Не потребує фінансування</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w:t>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2762" w:hRule="atLeast"/>
        </w:trPr>
        <w:tc>
          <w:tcPr>
            <w:tcW w:w="50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sz w:val="26"/>
                <w:szCs w:val="26"/>
                <w:lang w:eastAsia="uk-UA"/>
              </w:rPr>
            </w:pPr>
            <w:r>
              <w:rPr>
                <w:rFonts w:eastAsia="Times New Roman" w:ascii="Times New Roman" w:hAnsi="Times New Roman"/>
                <w:sz w:val="26"/>
                <w:szCs w:val="26"/>
                <w:lang w:eastAsia="uk-UA"/>
              </w:rPr>
              <w:t>6</w:t>
            </w:r>
          </w:p>
        </w:tc>
        <w:tc>
          <w:tcPr>
            <w:tcW w:w="249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Промоція електротранспорту, електрозарядної інфраструктури та стимулювання населення до використання електричних колісних транспортних засобів та електромобілів</w:t>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Налагодження співпраці із банківськими установами щодо популяризації «гнучких» кредитів на придбання електроавтомобілів</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Департамент економічної політики</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2023–2027</w:t>
            </w:r>
          </w:p>
        </w:tc>
        <w:tc>
          <w:tcPr>
            <w:tcW w:w="18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Не потребує фінансування</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w:t>
            </w:r>
          </w:p>
        </w:tc>
        <w:tc>
          <w:tcPr>
            <w:tcW w:w="209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Зростання глобального ринку електромобілів. Створення сприятливих умов для розвитку електротранс-порту. Підвищення безпеки руху.</w:t>
            </w:r>
          </w:p>
        </w:tc>
      </w:tr>
      <w:tr>
        <w:trPr>
          <w:trHeight w:val="1275" w:hRule="atLeast"/>
        </w:trPr>
        <w:tc>
          <w:tcPr>
            <w:tcW w:w="50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Обмін найкращими практиками, технологіями та стандартами у сфері електрозарядної інфраструктури із містами України та закордонними містами</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Департамент економічної політики, управління міжнародного співробітництва та проектної діяльності</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2023–2027</w:t>
            </w:r>
          </w:p>
        </w:tc>
        <w:tc>
          <w:tcPr>
            <w:tcW w:w="1877" w:type="dxa"/>
            <w:tcBorders>
              <w:top w:val="single" w:sz="4" w:space="0" w:color="000000"/>
              <w:left w:val="single" w:sz="4" w:space="0" w:color="000000"/>
              <w:bottom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Не потребує фінансування</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w:t>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416" w:hRule="atLeast"/>
        </w:trPr>
        <w:tc>
          <w:tcPr>
            <w:tcW w:w="509"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r>
          </w:p>
        </w:tc>
        <w:tc>
          <w:tcPr>
            <w:tcW w:w="2490"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2957"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5"/>
                <w:szCs w:val="25"/>
              </w:rPr>
            </w:pPr>
            <w:r>
              <w:rPr>
                <w:rFonts w:ascii="Times New Roman" w:hAnsi="Times New Roman"/>
                <w:sz w:val="25"/>
                <w:szCs w:val="25"/>
              </w:rPr>
              <w:t>Інформування населення про діяльність партнерських платформ (українських та міжнародних) де користувачі можуть побачити, чи доступна та чи інша станція, і зарезервувати її на потрібний час</w:t>
            </w:r>
          </w:p>
        </w:tc>
        <w:tc>
          <w:tcPr>
            <w:tcW w:w="2039"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Департамент економічної політики, управління міжнародного співробітництва та проектної діяльності</w:t>
            </w:r>
          </w:p>
        </w:tc>
        <w:tc>
          <w:tcPr>
            <w:tcW w:w="1245"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2023–2027</w:t>
            </w:r>
          </w:p>
        </w:tc>
        <w:tc>
          <w:tcPr>
            <w:tcW w:w="1877" w:type="dxa"/>
            <w:tcBorders>
              <w:left w:val="single" w:sz="4" w:space="0" w:color="000000"/>
              <w:bottom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Не потребує фінансування</w:t>
            </w:r>
          </w:p>
        </w:tc>
        <w:tc>
          <w:tcPr>
            <w:tcW w:w="1861" w:type="dxa"/>
            <w:tcBorders>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w:t>
            </w:r>
          </w:p>
        </w:tc>
        <w:tc>
          <w:tcPr>
            <w:tcW w:w="2095" w:type="dxa"/>
            <w:vMerge w:val="continue"/>
            <w:tcBorders>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1275" w:hRule="atLeast"/>
        </w:trPr>
        <w:tc>
          <w:tcPr>
            <w:tcW w:w="50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sz w:val="26"/>
                <w:szCs w:val="26"/>
                <w:lang w:eastAsia="uk-UA"/>
              </w:rPr>
            </w:pPr>
            <w:r>
              <w:rPr>
                <w:rFonts w:eastAsia="Times New Roman" w:ascii="Times New Roman" w:hAnsi="Times New Roman"/>
                <w:sz w:val="26"/>
                <w:szCs w:val="26"/>
                <w:lang w:eastAsia="uk-UA"/>
              </w:rPr>
              <w:t>7</w:t>
            </w:r>
          </w:p>
        </w:tc>
        <w:tc>
          <w:tcPr>
            <w:tcW w:w="24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Участь у міжнародних проєктах</w:t>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Залучення грантових коштів та коштів міжнародної технічної допомоги на розвиток електозарядної інфраструктури</w:t>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Департамент економічної політики, управління міжнародного співробітництва та проектної діяльності</w:t>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sz w:val="26"/>
                <w:szCs w:val="26"/>
              </w:rPr>
            </w:pPr>
            <w:r>
              <w:rPr>
                <w:rFonts w:ascii="Times New Roman" w:hAnsi="Times New Roman"/>
                <w:sz w:val="26"/>
                <w:szCs w:val="26"/>
              </w:rPr>
              <w:t>2023–2027</w:t>
            </w:r>
          </w:p>
        </w:tc>
        <w:tc>
          <w:tcPr>
            <w:tcW w:w="18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Не потребує фінансування</w:t>
            </w:r>
          </w:p>
        </w:tc>
        <w:tc>
          <w:tcPr>
            <w:tcW w:w="1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w:t>
            </w:r>
          </w:p>
        </w:tc>
        <w:tc>
          <w:tcPr>
            <w:tcW w:w="209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sz w:val="26"/>
                <w:szCs w:val="26"/>
              </w:rPr>
            </w:pPr>
            <w:r>
              <w:rPr>
                <w:rFonts w:ascii="Times New Roman" w:hAnsi="Times New Roman"/>
                <w:sz w:val="26"/>
                <w:szCs w:val="26"/>
              </w:rPr>
            </w:r>
          </w:p>
        </w:tc>
      </w:tr>
      <w:tr>
        <w:trPr>
          <w:trHeight w:val="387" w:hRule="atLeast"/>
        </w:trPr>
        <w:tc>
          <w:tcPr>
            <w:tcW w:w="9240" w:type="dxa"/>
            <w:gridSpan w:val="5"/>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t>Всього за роками:</w:t>
            </w:r>
          </w:p>
        </w:tc>
        <w:tc>
          <w:tcPr>
            <w:tcW w:w="373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b/>
                <w:b/>
                <w:bCs/>
                <w:sz w:val="26"/>
                <w:szCs w:val="26"/>
              </w:rPr>
            </w:pPr>
            <w:r>
              <w:rPr>
                <w:rFonts w:ascii="Times New Roman" w:hAnsi="Times New Roman"/>
                <w:b/>
                <w:bCs/>
                <w:sz w:val="26"/>
                <w:szCs w:val="26"/>
              </w:rPr>
              <w:t>Бюджетні кошти</w:t>
            </w:r>
          </w:p>
        </w:tc>
        <w:tc>
          <w:tcPr>
            <w:tcW w:w="209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t>Інші джерела</w:t>
            </w:r>
          </w:p>
        </w:tc>
      </w:tr>
      <w:tr>
        <w:trPr>
          <w:trHeight w:val="387" w:hRule="atLeast"/>
        </w:trPr>
        <w:tc>
          <w:tcPr>
            <w:tcW w:w="509" w:type="dxa"/>
            <w:tcBorders>
              <w:left w:val="single" w:sz="4" w:space="0" w:color="000000"/>
              <w:bottom w:val="single" w:sz="4" w:space="0" w:color="000000"/>
            </w:tcBorders>
            <w:shd w:color="auto" w:fill="auto" w:val="clear"/>
            <w:vAlign w:val="center"/>
          </w:tcPr>
          <w:p>
            <w:pPr>
              <w:pStyle w:val="Normal"/>
              <w:widowControl w:val="false"/>
              <w:jc w:val="right"/>
              <w:rPr>
                <w:rFonts w:ascii="Times New Roman" w:hAnsi="Times New Roman"/>
                <w:sz w:val="26"/>
                <w:szCs w:val="26"/>
              </w:rPr>
            </w:pPr>
            <w:r>
              <w:rPr>
                <w:rFonts w:ascii="Times New Roman" w:hAnsi="Times New Roman"/>
                <w:sz w:val="26"/>
                <w:szCs w:val="26"/>
              </w:rPr>
            </w:r>
          </w:p>
        </w:tc>
        <w:tc>
          <w:tcPr>
            <w:tcW w:w="2490" w:type="dxa"/>
            <w:tcBorders>
              <w:left w:val="single" w:sz="4" w:space="0" w:color="000000"/>
              <w:bottom w:val="single" w:sz="4" w:space="0" w:color="000000"/>
            </w:tcBorders>
            <w:shd w:color="auto" w:fill="auto" w:val="clear"/>
            <w:vAlign w:val="center"/>
          </w:tcPr>
          <w:p>
            <w:pPr>
              <w:pStyle w:val="Normal"/>
              <w:widowControl w:val="false"/>
              <w:jc w:val="right"/>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957" w:type="dxa"/>
            <w:tcBorders>
              <w:left w:val="single" w:sz="4" w:space="0" w:color="000000"/>
              <w:bottom w:val="single" w:sz="4" w:space="0" w:color="000000"/>
            </w:tcBorders>
            <w:shd w:color="auto" w:fill="auto" w:val="clear"/>
            <w:vAlign w:val="center"/>
          </w:tcPr>
          <w:p>
            <w:pPr>
              <w:pStyle w:val="Normal"/>
              <w:widowControl w:val="false"/>
              <w:jc w:val="right"/>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039"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1245"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Times New Roman" w:hAnsi="Times New Roman" w:eastAsia="Times New Roman"/>
                <w:sz w:val="26"/>
                <w:szCs w:val="26"/>
                <w:lang w:eastAsia="uk-UA"/>
              </w:rPr>
            </w:pPr>
            <w:r>
              <w:rPr>
                <w:rFonts w:eastAsia="Times New Roman" w:ascii="Times New Roman" w:hAnsi="Times New Roman"/>
                <w:sz w:val="26"/>
                <w:szCs w:val="26"/>
                <w:lang w:eastAsia="uk-UA"/>
              </w:rPr>
              <w:t>2023</w:t>
            </w:r>
          </w:p>
        </w:tc>
        <w:tc>
          <w:tcPr>
            <w:tcW w:w="3738"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50,0</w:t>
            </w:r>
          </w:p>
        </w:tc>
        <w:tc>
          <w:tcPr>
            <w:tcW w:w="2095"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sz w:val="26"/>
                <w:szCs w:val="26"/>
                <w:lang w:eastAsia="uk-UA"/>
              </w:rPr>
            </w:pPr>
            <w:r>
              <w:rPr>
                <w:rFonts w:eastAsia="Times New Roman" w:ascii="Times New Roman" w:hAnsi="Times New Roman"/>
                <w:sz w:val="26"/>
                <w:szCs w:val="26"/>
                <w:lang w:eastAsia="uk-UA"/>
              </w:rPr>
              <w:t>100,0</w:t>
            </w:r>
          </w:p>
        </w:tc>
      </w:tr>
      <w:tr>
        <w:trPr>
          <w:trHeight w:val="315" w:hRule="atLeast"/>
        </w:trPr>
        <w:tc>
          <w:tcPr>
            <w:tcW w:w="50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4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Times New Roman" w:hAnsi="Times New Roman" w:eastAsia="Times New Roman"/>
                <w:sz w:val="26"/>
                <w:szCs w:val="26"/>
                <w:lang w:eastAsia="uk-UA"/>
              </w:rPr>
            </w:pPr>
            <w:r>
              <w:rPr>
                <w:rFonts w:eastAsia="Times New Roman" w:ascii="Times New Roman" w:hAnsi="Times New Roman"/>
                <w:sz w:val="26"/>
                <w:szCs w:val="26"/>
                <w:lang w:eastAsia="uk-UA"/>
              </w:rPr>
              <w:t>2024</w:t>
            </w:r>
          </w:p>
        </w:tc>
        <w:tc>
          <w:tcPr>
            <w:tcW w:w="373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623,0</w:t>
            </w:r>
          </w:p>
        </w:tc>
        <w:tc>
          <w:tcPr>
            <w:tcW w:w="209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sz w:val="26"/>
                <w:szCs w:val="26"/>
                <w:lang w:eastAsia="uk-UA"/>
              </w:rPr>
            </w:pPr>
            <w:r>
              <w:rPr>
                <w:rFonts w:eastAsia="Times New Roman" w:ascii="Times New Roman" w:hAnsi="Times New Roman"/>
                <w:sz w:val="26"/>
                <w:szCs w:val="26"/>
                <w:lang w:eastAsia="uk-UA"/>
              </w:rPr>
              <w:t>800,0</w:t>
            </w:r>
          </w:p>
        </w:tc>
      </w:tr>
      <w:tr>
        <w:trPr>
          <w:trHeight w:val="315" w:hRule="atLeast"/>
        </w:trPr>
        <w:tc>
          <w:tcPr>
            <w:tcW w:w="50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4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Times New Roman" w:hAnsi="Times New Roman" w:eastAsia="Times New Roman"/>
                <w:sz w:val="26"/>
                <w:szCs w:val="26"/>
                <w:lang w:eastAsia="uk-UA"/>
              </w:rPr>
            </w:pPr>
            <w:r>
              <w:rPr>
                <w:rFonts w:eastAsia="Times New Roman" w:ascii="Times New Roman" w:hAnsi="Times New Roman"/>
                <w:sz w:val="26"/>
                <w:szCs w:val="26"/>
                <w:lang w:eastAsia="uk-UA"/>
              </w:rPr>
              <w:t>2025</w:t>
            </w:r>
          </w:p>
        </w:tc>
        <w:tc>
          <w:tcPr>
            <w:tcW w:w="373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477,0</w:t>
            </w:r>
          </w:p>
        </w:tc>
        <w:tc>
          <w:tcPr>
            <w:tcW w:w="209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sz w:val="26"/>
                <w:szCs w:val="26"/>
                <w:lang w:eastAsia="uk-UA"/>
              </w:rPr>
            </w:pPr>
            <w:r>
              <w:rPr>
                <w:rFonts w:eastAsia="Times New Roman" w:ascii="Times New Roman" w:hAnsi="Times New Roman"/>
                <w:sz w:val="26"/>
                <w:szCs w:val="26"/>
                <w:lang w:eastAsia="uk-UA"/>
              </w:rPr>
              <w:t>850,0</w:t>
            </w:r>
          </w:p>
        </w:tc>
      </w:tr>
      <w:tr>
        <w:trPr>
          <w:trHeight w:val="315" w:hRule="atLeast"/>
        </w:trPr>
        <w:tc>
          <w:tcPr>
            <w:tcW w:w="50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49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95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0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1245"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Times New Roman" w:hAnsi="Times New Roman" w:eastAsia="Times New Roman"/>
                <w:sz w:val="26"/>
                <w:szCs w:val="26"/>
                <w:lang w:eastAsia="uk-UA"/>
              </w:rPr>
            </w:pPr>
            <w:r>
              <w:rPr>
                <w:rFonts w:eastAsia="Times New Roman" w:ascii="Times New Roman" w:hAnsi="Times New Roman"/>
                <w:sz w:val="26"/>
                <w:szCs w:val="26"/>
                <w:lang w:eastAsia="uk-UA"/>
              </w:rPr>
              <w:t>2026</w:t>
            </w:r>
          </w:p>
        </w:tc>
        <w:tc>
          <w:tcPr>
            <w:tcW w:w="3738"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683,0</w:t>
            </w:r>
          </w:p>
        </w:tc>
        <w:tc>
          <w:tcPr>
            <w:tcW w:w="2095"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sz w:val="26"/>
                <w:szCs w:val="26"/>
                <w:lang w:eastAsia="uk-UA"/>
              </w:rPr>
            </w:pPr>
            <w:r>
              <w:rPr>
                <w:rFonts w:eastAsia="Times New Roman" w:ascii="Times New Roman" w:hAnsi="Times New Roman"/>
                <w:sz w:val="26"/>
                <w:szCs w:val="26"/>
                <w:lang w:eastAsia="uk-UA"/>
              </w:rPr>
              <w:t>880,0</w:t>
            </w:r>
          </w:p>
        </w:tc>
      </w:tr>
      <w:tr>
        <w:trPr>
          <w:trHeight w:val="315" w:hRule="atLeast"/>
        </w:trPr>
        <w:tc>
          <w:tcPr>
            <w:tcW w:w="50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49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957"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039"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1245"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Times New Roman" w:hAnsi="Times New Roman" w:eastAsia="Times New Roman"/>
                <w:sz w:val="26"/>
                <w:szCs w:val="26"/>
                <w:lang w:eastAsia="uk-UA"/>
              </w:rPr>
            </w:pPr>
            <w:r>
              <w:rPr>
                <w:rFonts w:eastAsia="Times New Roman" w:ascii="Times New Roman" w:hAnsi="Times New Roman"/>
                <w:sz w:val="26"/>
                <w:szCs w:val="26"/>
                <w:lang w:eastAsia="uk-UA"/>
              </w:rPr>
              <w:t>2027</w:t>
            </w:r>
          </w:p>
        </w:tc>
        <w:tc>
          <w:tcPr>
            <w:tcW w:w="3738"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sz w:val="26"/>
                <w:szCs w:val="26"/>
              </w:rPr>
            </w:pPr>
            <w:r>
              <w:rPr>
                <w:rFonts w:ascii="Times New Roman" w:hAnsi="Times New Roman"/>
                <w:sz w:val="26"/>
                <w:szCs w:val="26"/>
              </w:rPr>
              <w:t>417,0</w:t>
            </w:r>
          </w:p>
        </w:tc>
        <w:tc>
          <w:tcPr>
            <w:tcW w:w="2095"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sz w:val="26"/>
                <w:szCs w:val="26"/>
                <w:lang w:eastAsia="uk-UA"/>
              </w:rPr>
            </w:pPr>
            <w:r>
              <w:rPr>
                <w:rFonts w:eastAsia="Times New Roman" w:ascii="Times New Roman" w:hAnsi="Times New Roman"/>
                <w:sz w:val="26"/>
                <w:szCs w:val="26"/>
                <w:lang w:eastAsia="uk-UA"/>
              </w:rPr>
              <w:t>980,0</w:t>
            </w:r>
          </w:p>
        </w:tc>
      </w:tr>
      <w:tr>
        <w:trPr>
          <w:trHeight w:val="315" w:hRule="atLeast"/>
        </w:trPr>
        <w:tc>
          <w:tcPr>
            <w:tcW w:w="50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4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9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203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eastAsia="Times New Roman"/>
                <w:sz w:val="26"/>
                <w:szCs w:val="26"/>
                <w:lang w:eastAsia="uk-UA"/>
              </w:rPr>
            </w:pPr>
            <w:r>
              <w:rPr>
                <w:rFonts w:eastAsia="Times New Roman" w:ascii="Times New Roman" w:hAnsi="Times New Roman"/>
                <w:sz w:val="26"/>
                <w:szCs w:val="26"/>
                <w:lang w:eastAsia="uk-UA"/>
              </w:rPr>
            </w:r>
          </w:p>
        </w:tc>
        <w:tc>
          <w:tcPr>
            <w:tcW w:w="124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Times New Roman" w:hAnsi="Times New Roman" w:eastAsia="Times New Roman"/>
                <w:b/>
                <w:b/>
                <w:bCs/>
                <w:sz w:val="26"/>
                <w:szCs w:val="26"/>
                <w:lang w:eastAsia="uk-UA"/>
              </w:rPr>
            </w:pPr>
            <w:r>
              <w:rPr>
                <w:rFonts w:eastAsia="Times New Roman" w:ascii="Times New Roman" w:hAnsi="Times New Roman"/>
                <w:b/>
                <w:bCs/>
                <w:sz w:val="26"/>
                <w:szCs w:val="26"/>
                <w:lang w:eastAsia="uk-UA"/>
              </w:rPr>
              <w:t>РАЗОМ:</w:t>
            </w:r>
          </w:p>
        </w:tc>
        <w:tc>
          <w:tcPr>
            <w:tcW w:w="373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rFonts w:ascii="Times New Roman" w:hAnsi="Times New Roman"/>
                <w:b/>
                <w:b/>
                <w:bCs/>
                <w:sz w:val="26"/>
                <w:szCs w:val="26"/>
              </w:rPr>
            </w:pPr>
            <w:r>
              <w:rPr>
                <w:rFonts w:ascii="Times New Roman" w:hAnsi="Times New Roman"/>
                <w:b/>
                <w:bCs/>
                <w:sz w:val="26"/>
                <w:szCs w:val="26"/>
              </w:rPr>
              <w:t>2 250,0</w:t>
            </w:r>
          </w:p>
        </w:tc>
        <w:tc>
          <w:tcPr>
            <w:tcW w:w="209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cs="Calibri"/>
                <w:b/>
                <w:b/>
                <w:bCs/>
                <w:sz w:val="26"/>
                <w:szCs w:val="26"/>
                <w:lang w:eastAsia="uk-UA"/>
              </w:rPr>
            </w:pPr>
            <w:r>
              <w:rPr>
                <w:rFonts w:eastAsia="Times New Roman" w:cs="Calibri" w:ascii="Times New Roman" w:hAnsi="Times New Roman"/>
                <w:b/>
                <w:bCs/>
                <w:sz w:val="26"/>
                <w:szCs w:val="26"/>
                <w:lang w:eastAsia="uk-UA"/>
              </w:rPr>
              <w:t>3 610,0</w:t>
            </w:r>
          </w:p>
        </w:tc>
      </w:tr>
    </w:tbl>
    <w:p>
      <w:pPr>
        <w:pStyle w:val="Normal"/>
        <w:jc w:val="both"/>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rPr>
      </w:r>
    </w:p>
    <w:p>
      <w:pPr>
        <w:pStyle w:val="Normal"/>
        <w:tabs>
          <w:tab w:val="clear" w:pos="1134"/>
          <w:tab w:val="left" w:pos="12780" w:leader="none"/>
        </w:tabs>
        <w:rPr>
          <w:rFonts w:ascii="Times New Roman" w:hAnsi="Times New Roman"/>
        </w:rPr>
      </w:pPr>
      <w:r>
        <w:rPr>
          <w:rFonts w:ascii="Times New Roman" w:hAnsi="Times New Roman"/>
        </w:rPr>
        <w:t>Смаль 777 955</w:t>
      </w:r>
    </w:p>
    <w:sectPr>
      <w:headerReference w:type="default" r:id="rId6"/>
      <w:type w:val="nextPage"/>
      <w:pgSz w:orient="landscape" w:w="16838" w:h="11906"/>
      <w:pgMar w:left="1134" w:right="567" w:gutter="0" w:header="567" w:top="963"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Segoe U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6"/>
      <w:jc w:val="center"/>
      <w:rPr>
        <w:rFonts w:ascii="Times New Roman" w:hAnsi="Times New Roman" w:cs="Times New Roman"/>
        <w:sz w:val="28"/>
        <w:szCs w:val="28"/>
      </w:rPr>
    </w:pPr>
    <w:r>
      <w:rPr>
        <w:rFonts w:cs="Times New Roman" w:ascii="Times New Roman" w:hAnsi="Times New Roman"/>
        <w:sz w:val="28"/>
        <w:szCs w:val="28"/>
      </w:rPr>
      <w:fldChar w:fldCharType="begin"/>
    </w:r>
    <w:r>
      <w:rPr>
        <w:sz w:val="28"/>
        <w:szCs w:val="28"/>
        <w:rFonts w:cs="Times New Roman" w:ascii="Times New Roman" w:hAnsi="Times New Roman"/>
      </w:rPr>
      <w:instrText> PAGE </w:instrText>
    </w:r>
    <w:r>
      <w:rPr>
        <w:sz w:val="28"/>
        <w:szCs w:val="28"/>
        <w:rFonts w:cs="Times New Roman" w:ascii="Times New Roman" w:hAnsi="Times New Roman"/>
      </w:rPr>
      <w:fldChar w:fldCharType="separate"/>
    </w:r>
    <w:r>
      <w:rPr>
        <w:sz w:val="28"/>
        <w:szCs w:val="28"/>
        <w:rFonts w:cs="Times New Roman" w:ascii="Times New Roman" w:hAnsi="Times New Roman"/>
      </w:rPr>
      <w:t>6</w:t>
    </w:r>
    <w:r>
      <w:rPr>
        <w:sz w:val="28"/>
        <w:szCs w:val="28"/>
        <w:rFonts w:cs="Times New Roman" w:ascii="Times New Roman" w:hAnsi="Times New Roman"/>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6"/>
      <w:jc w:val="center"/>
      <w:rPr>
        <w:rFonts w:ascii="Times New Roman" w:hAnsi="Times New Roman" w:cs="Times New Roman"/>
        <w:sz w:val="28"/>
        <w:szCs w:val="28"/>
      </w:rPr>
    </w:pPr>
    <w:r>
      <w:rPr>
        <w:rFonts w:cs="Times New Roman" w:ascii="Times New Roman" w:hAnsi="Times New Roman"/>
        <w:sz w:val="28"/>
        <w:szCs w:val="28"/>
      </w:rPr>
      <w:fldChar w:fldCharType="begin"/>
    </w:r>
    <w:r>
      <w:rPr>
        <w:sz w:val="28"/>
        <w:szCs w:val="28"/>
        <w:rFonts w:cs="Times New Roman" w:ascii="Times New Roman" w:hAnsi="Times New Roman"/>
      </w:rPr>
      <w:instrText> PAGE </w:instrText>
    </w:r>
    <w:r>
      <w:rPr>
        <w:sz w:val="28"/>
        <w:szCs w:val="28"/>
        <w:rFonts w:cs="Times New Roman" w:ascii="Times New Roman" w:hAnsi="Times New Roman"/>
      </w:rPr>
      <w:fldChar w:fldCharType="separate"/>
    </w:r>
    <w:r>
      <w:rPr>
        <w:sz w:val="28"/>
        <w:szCs w:val="28"/>
        <w:rFonts w:cs="Times New Roman" w:ascii="Times New Roman" w:hAnsi="Times New Roman"/>
      </w:rPr>
      <w:t>7</w:t>
    </w:r>
    <w:r>
      <w:rPr>
        <w:sz w:val="28"/>
        <w:szCs w:val="28"/>
        <w:rFonts w:cs="Times New Roman" w:ascii="Times New Roman" w:hAnsi="Times New Roman"/>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6"/>
      <w:jc w:val="center"/>
      <w:rPr>
        <w:rFonts w:ascii="Times New Roman" w:hAnsi="Times New Roman" w:cs="Times New Roman"/>
        <w:sz w:val="28"/>
        <w:szCs w:val="28"/>
      </w:rPr>
    </w:pPr>
    <w:r>
      <w:rPr>
        <w:rFonts w:cs="Times New Roman" w:ascii="Times New Roman" w:hAnsi="Times New Roman"/>
        <w:sz w:val="28"/>
        <w:szCs w:val="28"/>
      </w:rPr>
      <w:fldChar w:fldCharType="begin"/>
    </w:r>
    <w:r>
      <w:rPr>
        <w:sz w:val="28"/>
        <w:szCs w:val="28"/>
        <w:rFonts w:cs="Times New Roman" w:ascii="Times New Roman" w:hAnsi="Times New Roman"/>
      </w:rPr>
      <w:instrText> PAGE </w:instrText>
    </w:r>
    <w:r>
      <w:rPr>
        <w:sz w:val="28"/>
        <w:szCs w:val="28"/>
        <w:rFonts w:cs="Times New Roman" w:ascii="Times New Roman" w:hAnsi="Times New Roman"/>
      </w:rPr>
      <w:fldChar w:fldCharType="separate"/>
    </w:r>
    <w:r>
      <w:rPr>
        <w:sz w:val="28"/>
        <w:szCs w:val="28"/>
        <w:rFonts w:cs="Times New Roman" w:ascii="Times New Roman" w:hAnsi="Times New Roman"/>
      </w:rPr>
      <w:t>15</w:t>
    </w:r>
    <w:r>
      <w:rPr>
        <w:sz w:val="28"/>
        <w:szCs w:val="28"/>
        <w:rFonts w:cs="Times New Roman" w:ascii="Times New Roman" w:hAnsi="Times New Roman"/>
      </w:rPr>
      <w:fldChar w:fldCharType="end"/>
    </w:r>
  </w:p>
</w:hdr>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sz w:val="22"/>
        <w:szCs w:val="22"/>
        <w:lang w:val="uk-UA" w:eastAsia="uk-UA"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918"/>
    <w:pPr>
      <w:widowControl w:val="false"/>
      <w:suppressAutoHyphens w:val="true"/>
      <w:bidi w:val="0"/>
      <w:spacing w:before="0" w:after="0"/>
      <w:jc w:val="left"/>
    </w:pPr>
    <w:rPr>
      <w:rFonts w:ascii="Liberation Serif" w:hAnsi="Liberation Serif" w:eastAsia="Segoe UI" w:cs="Tahoma"/>
      <w:color w:val="000000"/>
      <w:kern w:val="0"/>
      <w:sz w:val="24"/>
      <w:szCs w:val="24"/>
      <w:lang w:val="uk-UA" w:eastAsia="zh-CN" w:bidi="hi-IN"/>
    </w:rPr>
  </w:style>
  <w:style w:type="character" w:styleId="DefaultParagraphFont" w:default="1">
    <w:name w:val="Default Paragraph Font"/>
    <w:uiPriority w:val="1"/>
    <w:semiHidden/>
    <w:unhideWhenUsed/>
    <w:qFormat/>
    <w:rPr/>
  </w:style>
  <w:style w:type="character" w:styleId="Style14">
    <w:name w:val="Гіперпосилання"/>
    <w:basedOn w:val="DefaultParagraphFont"/>
    <w:uiPriority w:val="99"/>
    <w:rsid w:val="00057918"/>
    <w:rPr>
      <w:rFonts w:cs="Times New Roman"/>
      <w:color w:val="0000FF"/>
      <w:u w:val="single"/>
    </w:rPr>
  </w:style>
  <w:style w:type="character" w:styleId="Style15" w:customStyle="1">
    <w:name w:val="Основний текст Знак"/>
    <w:basedOn w:val="DefaultParagraphFont"/>
    <w:uiPriority w:val="99"/>
    <w:semiHidden/>
    <w:qFormat/>
    <w:rsid w:val="003b12cc"/>
    <w:rPr>
      <w:rFonts w:cs="Mangal"/>
      <w:color w:val="000000"/>
      <w:sz w:val="24"/>
      <w:szCs w:val="21"/>
      <w:lang w:eastAsia="zh-CN" w:bidi="hi-IN"/>
    </w:rPr>
  </w:style>
  <w:style w:type="character" w:styleId="Style16" w:customStyle="1">
    <w:name w:val="Текст у виносці Знак"/>
    <w:basedOn w:val="DefaultParagraphFont"/>
    <w:uiPriority w:val="99"/>
    <w:semiHidden/>
    <w:qFormat/>
    <w:locked/>
    <w:rsid w:val="00ca30bc"/>
    <w:rPr>
      <w:rFonts w:ascii="Segoe UI" w:hAnsi="Segoe UI" w:cs="Mangal"/>
      <w:sz w:val="16"/>
      <w:szCs w:val="16"/>
    </w:rPr>
  </w:style>
  <w:style w:type="character" w:styleId="Style17" w:customStyle="1">
    <w:name w:val="Верхній колонтитул Знак"/>
    <w:basedOn w:val="DefaultParagraphFont"/>
    <w:link w:val="af"/>
    <w:uiPriority w:val="99"/>
    <w:qFormat/>
    <w:rsid w:val="00911da6"/>
    <w:rPr>
      <w:rFonts w:cs="Mangal"/>
      <w:color w:val="000000"/>
      <w:sz w:val="24"/>
      <w:szCs w:val="21"/>
      <w:lang w:eastAsia="zh-CN" w:bidi="hi-IN"/>
    </w:rPr>
  </w:style>
  <w:style w:type="character" w:styleId="Style18" w:customStyle="1">
    <w:name w:val="Нижній колонтитул Знак"/>
    <w:basedOn w:val="DefaultParagraphFont"/>
    <w:link w:val="af1"/>
    <w:uiPriority w:val="99"/>
    <w:qFormat/>
    <w:rsid w:val="00911da6"/>
    <w:rPr>
      <w:rFonts w:cs="Mangal"/>
      <w:color w:val="000000"/>
      <w:sz w:val="24"/>
      <w:szCs w:val="21"/>
      <w:lang w:eastAsia="zh-CN" w:bidi="hi-IN"/>
    </w:rPr>
  </w:style>
  <w:style w:type="paragraph" w:styleId="Style19" w:customStyle="1">
    <w:name w:val="Заголовок"/>
    <w:basedOn w:val="Normal"/>
    <w:next w:val="Style20"/>
    <w:uiPriority w:val="99"/>
    <w:qFormat/>
    <w:rsid w:val="00057918"/>
    <w:pPr>
      <w:keepNext w:val="true"/>
      <w:spacing w:before="240" w:after="120"/>
    </w:pPr>
    <w:rPr>
      <w:rFonts w:ascii="Liberation Sans" w:hAnsi="Liberation Sans" w:eastAsia="Microsoft YaHei" w:cs="Arial"/>
      <w:sz w:val="28"/>
      <w:szCs w:val="28"/>
    </w:rPr>
  </w:style>
  <w:style w:type="paragraph" w:styleId="Style20">
    <w:name w:val="Body Text"/>
    <w:basedOn w:val="Normal"/>
    <w:uiPriority w:val="99"/>
    <w:rsid w:val="00057918"/>
    <w:pPr>
      <w:spacing w:lineRule="auto" w:line="276" w:before="0" w:after="140"/>
    </w:pPr>
    <w:rPr/>
  </w:style>
  <w:style w:type="paragraph" w:styleId="Style21">
    <w:name w:val="List"/>
    <w:basedOn w:val="Style20"/>
    <w:uiPriority w:val="99"/>
    <w:rsid w:val="00057918"/>
    <w:pPr/>
    <w:rPr>
      <w:rFonts w:cs="Arial"/>
    </w:rPr>
  </w:style>
  <w:style w:type="paragraph" w:styleId="Style22">
    <w:name w:val="Caption"/>
    <w:basedOn w:val="Normal"/>
    <w:qFormat/>
    <w:pPr>
      <w:suppressLineNumbers/>
      <w:spacing w:before="120" w:after="120"/>
    </w:pPr>
    <w:rPr>
      <w:rFonts w:cs="Arial"/>
      <w:i/>
      <w:iCs/>
      <w:sz w:val="24"/>
      <w:szCs w:val="24"/>
    </w:rPr>
  </w:style>
  <w:style w:type="paragraph" w:styleId="Style23" w:customStyle="1">
    <w:name w:val="Покажчик"/>
    <w:basedOn w:val="Normal"/>
    <w:uiPriority w:val="99"/>
    <w:qFormat/>
    <w:rsid w:val="00057918"/>
    <w:pPr>
      <w:suppressLineNumbers/>
    </w:pPr>
    <w:rPr>
      <w:rFonts w:cs="Arial"/>
    </w:rPr>
  </w:style>
  <w:style w:type="paragraph" w:styleId="Caption">
    <w:name w:val="caption"/>
    <w:basedOn w:val="Normal"/>
    <w:uiPriority w:val="99"/>
    <w:qFormat/>
    <w:rsid w:val="00057918"/>
    <w:pPr>
      <w:suppressLineNumbers/>
      <w:spacing w:before="120" w:after="120"/>
    </w:pPr>
    <w:rPr>
      <w:rFonts w:cs="Arial"/>
      <w:i/>
      <w:iCs/>
    </w:rPr>
  </w:style>
  <w:style w:type="paragraph" w:styleId="ListParagraph">
    <w:name w:val="List Paragraph"/>
    <w:basedOn w:val="Normal"/>
    <w:uiPriority w:val="99"/>
    <w:qFormat/>
    <w:rsid w:val="00057918"/>
    <w:pPr>
      <w:spacing w:before="0" w:after="0"/>
      <w:ind w:left="720" w:hanging="0"/>
      <w:contextualSpacing/>
    </w:pPr>
    <w:rPr/>
  </w:style>
  <w:style w:type="paragraph" w:styleId="NormalWeb">
    <w:name w:val="Normal (Web)"/>
    <w:basedOn w:val="Normal"/>
    <w:uiPriority w:val="99"/>
    <w:qFormat/>
    <w:rsid w:val="00057918"/>
    <w:pPr/>
    <w:rPr>
      <w:rFonts w:ascii="Times New Roman" w:hAnsi="Times New Roman" w:eastAsia="Times New Roman" w:cs="Times New Roman"/>
      <w:lang w:eastAsia="uk-UA"/>
    </w:rPr>
  </w:style>
  <w:style w:type="paragraph" w:styleId="Rvps2" w:customStyle="1">
    <w:name w:val="rvps2"/>
    <w:basedOn w:val="Normal"/>
    <w:uiPriority w:val="99"/>
    <w:qFormat/>
    <w:rsid w:val="002d65af"/>
    <w:pPr>
      <w:widowControl/>
      <w:suppressAutoHyphens w:val="false"/>
      <w:spacing w:beforeAutospacing="1" w:afterAutospacing="1"/>
    </w:pPr>
    <w:rPr>
      <w:rFonts w:ascii="Times New Roman" w:hAnsi="Times New Roman" w:eastAsia="Times New Roman" w:cs="Times New Roman"/>
      <w:color w:val="auto"/>
      <w:lang w:eastAsia="uk-UA" w:bidi="ar-SA"/>
    </w:rPr>
  </w:style>
  <w:style w:type="paragraph" w:styleId="Style24" w:customStyle="1">
    <w:name w:val="Вміст таблиці"/>
    <w:basedOn w:val="Normal"/>
    <w:uiPriority w:val="99"/>
    <w:qFormat/>
    <w:rsid w:val="008330be"/>
    <w:pPr>
      <w:suppressLineNumbers/>
    </w:pPr>
    <w:rPr/>
  </w:style>
  <w:style w:type="paragraph" w:styleId="BalloonText">
    <w:name w:val="Balloon Text"/>
    <w:basedOn w:val="Normal"/>
    <w:uiPriority w:val="99"/>
    <w:semiHidden/>
    <w:qFormat/>
    <w:rsid w:val="00ca30bc"/>
    <w:pPr/>
    <w:rPr>
      <w:rFonts w:ascii="Segoe UI" w:hAnsi="Segoe UI" w:cs="Mangal"/>
      <w:sz w:val="18"/>
      <w:szCs w:val="16"/>
    </w:rPr>
  </w:style>
  <w:style w:type="paragraph" w:styleId="TableParagraph" w:customStyle="1">
    <w:name w:val="Table Paragraph"/>
    <w:basedOn w:val="Normal"/>
    <w:qFormat/>
    <w:pPr>
      <w:ind w:left="146" w:hanging="0"/>
    </w:pPr>
    <w:rPr/>
  </w:style>
  <w:style w:type="paragraph" w:styleId="Style25">
    <w:name w:val="Верхній і нижній колонтитули"/>
    <w:basedOn w:val="Normal"/>
    <w:qFormat/>
    <w:pPr/>
    <w:rPr/>
  </w:style>
  <w:style w:type="paragraph" w:styleId="Style26">
    <w:name w:val="Header"/>
    <w:basedOn w:val="Normal"/>
    <w:link w:val="af0"/>
    <w:uiPriority w:val="99"/>
    <w:unhideWhenUsed/>
    <w:rsid w:val="00911da6"/>
    <w:pPr>
      <w:tabs>
        <w:tab w:val="clear" w:pos="1134"/>
        <w:tab w:val="center" w:pos="4819" w:leader="none"/>
        <w:tab w:val="right" w:pos="9639" w:leader="none"/>
      </w:tabs>
    </w:pPr>
    <w:rPr>
      <w:rFonts w:cs="Mangal"/>
      <w:szCs w:val="21"/>
    </w:rPr>
  </w:style>
  <w:style w:type="paragraph" w:styleId="Style27">
    <w:name w:val="Footer"/>
    <w:basedOn w:val="Normal"/>
    <w:link w:val="af2"/>
    <w:uiPriority w:val="99"/>
    <w:unhideWhenUsed/>
    <w:rsid w:val="00911da6"/>
    <w:pPr>
      <w:tabs>
        <w:tab w:val="clear" w:pos="1134"/>
        <w:tab w:val="center" w:pos="4819" w:leader="none"/>
        <w:tab w:val="right" w:pos="9639" w:leader="none"/>
      </w:tabs>
    </w:pPr>
    <w:rPr>
      <w:rFonts w:cs="Mangal"/>
      <w:szCs w:val="21"/>
    </w:rPr>
  </w:style>
  <w:style w:type="paragraph" w:styleId="Style28">
    <w:name w:val="Заголовок таблиці"/>
    <w:basedOn w:val="Style24"/>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ukrinform.ua/tag-transport" TargetMode="External"/><Relationship Id="rId3" Type="http://schemas.openxmlformats.org/officeDocument/2006/relationships/hyperlink" Target="https://www.plugshare.com/"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Application>LibreOffice/7.2.3.2$Windows_X86_64 LibreOffice_project/d166454616c1632304285822f9c83ce2e660fd92</Application>
  <AppVersion>15.0000</AppVersion>
  <Pages>15</Pages>
  <Words>2658</Words>
  <Characters>19319</Characters>
  <CharactersWithSpaces>21659</CharactersWithSpaces>
  <Paragraphs>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2023-08-28T06:01:00Z</dcterms:created>
  <dc:creator>Карпук Оксана</dc:creator>
  <dc:description/>
  <dc:language>uk-UA</dc:language>
  <cp:lastModifiedBy/>
  <cp:lastPrinted>2023-06-26T09:43:00Z</cp:lastPrinted>
  <dcterms:modified xsi:type="dcterms:W3CDTF">2023-09-28T16:34:19Z</dcterms:modified>
  <cp:revision>68</cp:revision>
  <dc:subject/>
  <dc:title/>
</cp:coreProperties>
</file>

<file path=docProps/custom.xml><?xml version="1.0" encoding="utf-8"?>
<Properties xmlns="http://schemas.openxmlformats.org/officeDocument/2006/custom-properties" xmlns:vt="http://schemas.openxmlformats.org/officeDocument/2006/docPropsVTypes"/>
</file>