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885124132" r:id="rId2"/>
        </w:object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center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</w:t>
      </w:r>
    </w:p>
    <w:p>
      <w:pPr>
        <w:pStyle w:val="Normal"/>
        <w:tabs>
          <w:tab w:val="clear" w:pos="708"/>
          <w:tab w:val="left" w:pos="5040" w:leader="none"/>
          <w:tab w:val="left" w:pos="5100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повторний</w:t>
      </w:r>
      <w:r>
        <w:rPr>
          <w:sz w:val="40"/>
          <w:szCs w:val="4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розгляд 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заяви</w:t>
      </w:r>
      <w:r>
        <w:rPr>
          <w:sz w:val="28"/>
          <w:szCs w:val="28"/>
        </w:rPr>
        <w:t xml:space="preserve">   громадян</w:t>
      </w:r>
    </w:p>
    <w:p>
      <w:pPr>
        <w:pStyle w:val="Normal"/>
        <w:tabs>
          <w:tab w:val="clear" w:pos="708"/>
          <w:tab w:val="left" w:pos="5040" w:leader="none"/>
          <w:tab w:val="left" w:pos="5100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Рудника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І.А., </w:t>
      </w:r>
      <w:r>
        <w:rPr>
          <w:sz w:val="24"/>
          <w:szCs w:val="24"/>
        </w:rPr>
        <w:t xml:space="preserve"> </w:t>
      </w:r>
      <w:r>
        <w:rPr>
          <w:sz w:val="28"/>
          <w:szCs w:val="28"/>
          <w:lang w:val="ru-RU"/>
        </w:rPr>
        <w:t>Рудник</w:t>
      </w:r>
      <w:r>
        <w:rPr>
          <w:sz w:val="36"/>
          <w:szCs w:val="36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С.Ф.  від  </w:t>
      </w:r>
      <w:r>
        <w:rPr>
          <w:sz w:val="28"/>
          <w:szCs w:val="28"/>
          <w:lang w:val="uk-UA"/>
        </w:rPr>
        <w:t>25.10.2019</w:t>
      </w:r>
    </w:p>
    <w:p>
      <w:pPr>
        <w:pStyle w:val="Normal"/>
        <w:tabs>
          <w:tab w:val="clear" w:pos="708"/>
          <w:tab w:val="left" w:pos="5040" w:leader="none"/>
          <w:tab w:val="left" w:pos="5100" w:leader="none"/>
        </w:tabs>
        <w:overflowPunct w:val="true"/>
        <w:ind w:right="-868" w:hanging="0"/>
        <w:jc w:val="both"/>
        <w:rPr/>
      </w:pPr>
      <w:r>
        <w:rPr>
          <w:sz w:val="28"/>
          <w:szCs w:val="28"/>
          <w:lang w:val="ru-RU"/>
        </w:rPr>
        <w:t xml:space="preserve">про    </w:t>
      </w:r>
      <w:r>
        <w:rPr>
          <w:sz w:val="28"/>
          <w:szCs w:val="28"/>
        </w:rPr>
        <w:t>надання</w:t>
      </w:r>
      <w:r>
        <w:rPr>
          <w:sz w:val="24"/>
          <w:szCs w:val="24"/>
        </w:rPr>
        <w:t xml:space="preserve">    </w:t>
      </w:r>
      <w:r>
        <w:rPr>
          <w:sz w:val="28"/>
          <w:szCs w:val="28"/>
        </w:rPr>
        <w:t>дозволу</w:t>
      </w:r>
      <w:r>
        <w:rPr>
          <w:sz w:val="24"/>
          <w:szCs w:val="24"/>
        </w:rPr>
        <w:t xml:space="preserve">    </w:t>
      </w:r>
      <w:r>
        <w:rPr>
          <w:sz w:val="28"/>
          <w:szCs w:val="28"/>
        </w:rPr>
        <w:t>на</w:t>
      </w:r>
      <w:r>
        <w:rPr>
          <w:sz w:val="24"/>
          <w:szCs w:val="24"/>
        </w:rPr>
        <w:t xml:space="preserve">    </w:t>
      </w:r>
      <w:r>
        <w:rPr>
          <w:sz w:val="28"/>
          <w:szCs w:val="28"/>
        </w:rPr>
        <w:t>розроблення</w:t>
      </w:r>
    </w:p>
    <w:p>
      <w:pPr>
        <w:pStyle w:val="Normal"/>
        <w:tabs>
          <w:tab w:val="clear" w:pos="708"/>
          <w:tab w:val="left" w:pos="5040" w:leader="none"/>
          <w:tab w:val="left" w:pos="5100" w:leader="none"/>
        </w:tabs>
        <w:overflowPunct w:val="true"/>
        <w:ind w:right="-868" w:hanging="0"/>
        <w:jc w:val="both"/>
        <w:rPr/>
      </w:pPr>
      <w:r>
        <w:rPr>
          <w:sz w:val="28"/>
          <w:szCs w:val="28"/>
        </w:rPr>
        <w:t xml:space="preserve">проекту   землеустрою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щодо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відведення</w:t>
      </w:r>
    </w:p>
    <w:p>
      <w:pPr>
        <w:pStyle w:val="Normal"/>
        <w:tabs>
          <w:tab w:val="clear" w:pos="708"/>
          <w:tab w:val="left" w:pos="5040" w:leader="none"/>
          <w:tab w:val="left" w:pos="5100" w:leader="none"/>
        </w:tabs>
        <w:overflowPunct w:val="true"/>
        <w:ind w:right="-868" w:hanging="0"/>
        <w:jc w:val="both"/>
        <w:rPr/>
      </w:pPr>
      <w:r>
        <w:rPr>
          <w:sz w:val="28"/>
          <w:szCs w:val="28"/>
        </w:rPr>
        <w:t xml:space="preserve">земельної ділянки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поблизу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жилого будин-</w:t>
      </w:r>
    </w:p>
    <w:p>
      <w:pPr>
        <w:pStyle w:val="Normal"/>
        <w:tabs>
          <w:tab w:val="clear" w:pos="708"/>
          <w:tab w:val="left" w:pos="5040" w:leader="none"/>
          <w:tab w:val="left" w:pos="5100" w:leader="none"/>
        </w:tabs>
        <w:overflowPunct w:val="true"/>
        <w:ind w:right="-868" w:hanging="0"/>
        <w:jc w:val="both"/>
        <w:rPr/>
      </w:pPr>
      <w:r>
        <w:rPr>
          <w:sz w:val="28"/>
          <w:szCs w:val="28"/>
        </w:rPr>
        <w:t>ку на вул. Полонківській,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13 у м. Луцьку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На виконання рішення Волинського окружного адміністративного суду від 11.02.2022 (справа № 140/14474/21),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яке набрало законної сили                             05.04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.2022,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ухвали Волинського окружного адміністративного суду від 29.06.2022 (справа № 140/14474/21),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яка набрала законної сили 29.06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.2022,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щодо визнання протиправним та скасування рішення Луцької міської ради від 26.08.2021 № 17/29 «Про відмову громадянам Руднику І.А., Рудник С.Ф. у наданні дозволу на розроблення проекту землеустрою щодо відведення земельних ділянок поблизу жилого будинку на вул. Полонківській,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13 у                                                                                                            м. Луцьку</w:t>
      </w:r>
      <w:r>
        <w:rPr>
          <w:rStyle w:val="Rvts0"/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» та </w:t>
      </w:r>
      <w:r>
        <w:rPr>
          <w:sz w:val="28"/>
          <w:szCs w:val="28"/>
        </w:rPr>
        <w:t xml:space="preserve">зобов’язання Луцької міської ради повторно розглянути заяву Рудника Ігоря Андрійовича, Рудник Світлани Федорівни від 25.10.2019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відповідності до вимог Конституції України, Земельного кодексу України</w:t>
      </w:r>
      <w:r>
        <w:rPr>
          <w:sz w:val="28"/>
          <w:szCs w:val="28"/>
        </w:rPr>
        <w:t xml:space="preserve">. Враховуючи, що надання вільних земельних ділянок, згідно із ст. 118 Земельного кодексу України передбачено в межах норм безоплатної передачі (ст. 121 </w:t>
      </w:r>
      <w:r>
        <w:rPr>
          <w:sz w:val="28"/>
          <w:szCs w:val="28"/>
          <w:lang w:eastAsia="ru-RU"/>
        </w:rPr>
        <w:t xml:space="preserve">Земельного кодексу України) </w:t>
      </w:r>
      <w:r>
        <w:rPr>
          <w:rStyle w:val="Rvts0"/>
          <w:sz w:val="28"/>
          <w:szCs w:val="28"/>
        </w:rPr>
        <w:t>в містах </w:t>
      </w:r>
      <w:r>
        <w:rPr>
          <w:sz w:val="28"/>
          <w:szCs w:val="28"/>
        </w:rPr>
        <w:t>– </w:t>
      </w:r>
      <w:r>
        <w:rPr>
          <w:rStyle w:val="Rvts0"/>
          <w:sz w:val="28"/>
          <w:szCs w:val="28"/>
        </w:rPr>
        <w:t xml:space="preserve">не більше 0,1000 га із </w:t>
      </w:r>
      <w:r>
        <w:rPr>
          <w:sz w:val="28"/>
          <w:szCs w:val="28"/>
          <w:lang w:eastAsia="ru-RU"/>
        </w:rPr>
        <w:t>цільовим призначенням – </w:t>
      </w:r>
      <w:r>
        <w:rPr>
          <w:rStyle w:val="Rvts0"/>
          <w:sz w:val="28"/>
          <w:szCs w:val="28"/>
        </w:rPr>
        <w:t>для будівництва і обслуговування жилого будинку, господарських будівель і споруд (присадибна ділянка)</w:t>
      </w:r>
      <w:bookmarkStart w:id="0" w:name="n1037"/>
      <w:bookmarkEnd w:id="0"/>
      <w:r>
        <w:rPr>
          <w:rStyle w:val="Rvts0"/>
          <w:sz w:val="28"/>
          <w:szCs w:val="28"/>
        </w:rPr>
        <w:t>, а також і те, що 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га, а не 0,0100 га. Земельні ділянки на вул. Полонківській, 13/1 перебувають у власності, площею 0,1000 га із кадастровим номером 0710100000:41:019:0018 – для будівництва та обслуговування житлового будинку, господарських будівель та споруд і площею 0,0189 га із кадастровим номером 0710100000:41:019:0019 – для ведення садівництва, а надання вільних земельних ділянок для обслуговування жилого будинку чинним законодавством не передбачено. П</w:t>
      </w:r>
      <w:r>
        <w:rPr>
          <w:rStyle w:val="Rvts0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ередача в оренду земельних ділянок, що перебувають у державній або комунальній власності, здійснюється за результатами проведення земельних торгів, крім випадків, встановлених частинами другою, третьою ст. 134 Земельного кодексу України </w:t>
      </w:r>
      <w:r>
        <w:rPr>
          <w:rStyle w:val="Rvts0"/>
          <w:sz w:val="28"/>
          <w:szCs w:val="28"/>
        </w:rPr>
        <w:t xml:space="preserve">(п. 2 ст. 124 Земельного кодексу України). Згідно із </w:t>
      </w:r>
      <w:r>
        <w:rPr>
          <w:sz w:val="28"/>
          <w:szCs w:val="28"/>
        </w:rPr>
        <w:t xml:space="preserve">Генеральним планом міста Луцька, затвердженим рішенням міської ради </w:t>
      </w:r>
      <w:r>
        <w:rPr>
          <w:sz w:val="28"/>
          <w:szCs w:val="28"/>
          <w:u w:val="none"/>
          <w:lang w:val="uk-UA"/>
        </w:rPr>
        <w:t>від 23.02.2022 № 26/49 «Про затвердження містобудівної документації проєкт «м. Луцьк. Внесення змін до генерального плану»,</w:t>
      </w:r>
      <w:r>
        <w:rPr>
          <w:sz w:val="28"/>
          <w:szCs w:val="28"/>
        </w:rPr>
        <w:t xml:space="preserve"> земельна ділянка знаходиться в зоні садибної забудови, де не передбачено облаштування складських приміщень </w:t>
      </w:r>
      <w:r>
        <w:rPr>
          <w:rStyle w:val="Rvts0"/>
          <w:sz w:val="28"/>
          <w:szCs w:val="28"/>
        </w:rPr>
        <w:t xml:space="preserve">і відповідно до ст. 134 Земельного кодексу України, земельні ділянки для підприємницької діяльності надаються лише на конкурентних засадах  (земельних торгах) та </w:t>
      </w:r>
      <w:r>
        <w:rPr>
          <w:rStyle w:val="Rvts0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підпункту 5 пункту 27 розділу X «Перехідні положення» Земельного кодексу України, під час дії воєнного стану, забороняється безоплатна передача земель державної, комунальної власності у приватну власність, надання дозволів на розроблення документації із землеустрою з метою такої безоплатної передачі, розроблення такої документації. Положення цього підпункту не поширюються на безоплатну передачу земельних ділянок у приватну власність власникам розташованих на таких земельних ділянках об’єктів нерухомого майна (будівель, споруд), а також на безоплатну передачу у приватну власність громадянам України земельних ділянок, переданих у користування до набрання чинності цим Кодексом</w:t>
      </w:r>
      <w:r>
        <w:rPr>
          <w:sz w:val="28"/>
          <w:szCs w:val="28"/>
        </w:rPr>
        <w:t>, керуючись статтями 12, 81, 84, 90, 91, 116, 118, 121, 123, 124, 125, 126, 134 Земельного кодексу України,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розділом X «Перехідні положення» Земельного кодексу України, </w:t>
      </w:r>
      <w:r>
        <w:rPr>
          <w:sz w:val="28"/>
          <w:szCs w:val="28"/>
        </w:rPr>
        <w:t xml:space="preserve">Законом України «Про землеустрій», Законом України «Про Державний земельний кадастр», постановою Кабінету Міністрів України від 17.10.2012 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ст. 26 Закону України «Про місцеве самоврядування в Україні» та </w:t>
      </w:r>
      <w:r>
        <w:rPr>
          <w:sz w:val="28"/>
          <w:szCs w:val="28"/>
          <w:u w:val="none"/>
          <w:lang w:val="uk-UA"/>
        </w:rPr>
        <w:t>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</w:t>
      </w:r>
      <w:r>
        <w:rPr>
          <w:sz w:val="28"/>
          <w:szCs w:val="28"/>
        </w:rPr>
        <w:t>, міська рада</w:t>
      </w:r>
    </w:p>
    <w:p>
      <w:pPr>
        <w:pStyle w:val="Normal"/>
        <w:ind w:firstLine="85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Відмовити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громадянам Руднику Ігорю Андрійовичу, Рудник Світлані Федорівні у наданні дозволу на розроблення проекту землеустрою щодо відведення земельної ділянки, орієнтовною площею 0,0100 га із цільовим призначенням – частково для здійснення підприємницької діяльності (облаштування складських приміщень) та частково для обслуговування жилого будинку № 13/1 на вул. Полонківській у м. Луцьку.</w:t>
      </w:r>
    </w:p>
    <w:p>
      <w:pPr>
        <w:pStyle w:val="Normal"/>
        <w:widowControl/>
        <w:tabs>
          <w:tab w:val="clear" w:pos="708"/>
          <w:tab w:val="left" w:pos="620" w:leader="none"/>
          <w:tab w:val="left" w:pos="855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right="-868" w:hanging="0"/>
        <w:jc w:val="both"/>
        <w:rPr/>
      </w:pPr>
      <w:r>
        <w:rPr>
          <w:sz w:val="24"/>
          <w:szCs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character" w:styleId="Rvts0">
    <w:name w:val="rvts0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Normal_x005F_x005F_x005F_x005F_x005F_x005F_x005F_x005F_x005F_x005F_x005F_x005F_x005F_x005F_x005F_x005F_x005F_x005F_x005F_x005F_x005F_x005F_x005F_x005F_x005F_x005F_x0000_</Template>
  <TotalTime>562</TotalTime>
  <Application>LibreOffice/7.1.5.2$Windows_X86_64 LibreOffice_project/85f04e9f809797b8199d13c421bd8a2b025d52b5</Application>
  <AppVersion>15.0000</AppVersion>
  <Pages>2</Pages>
  <Words>636</Words>
  <Characters>4227</Characters>
  <CharactersWithSpaces>5197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2020-03-31T09:40:00Z</dcterms:created>
  <dc:creator>burko</dc:creator>
  <dc:description/>
  <dc:language>uk-UA</dc:language>
  <cp:lastModifiedBy/>
  <cp:lastPrinted>2023-10-04T15:54:21Z</cp:lastPrinted>
  <dcterms:modified xsi:type="dcterms:W3CDTF">2023-10-05T11:38:23Z</dcterms:modified>
  <cp:revision>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