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suppressAutoHyphens w:val="true"/>
        <w:bidi w:val="0"/>
        <w:spacing w:lineRule="auto" w:line="240" w:before="0" w:after="0"/>
        <w:ind w:left="6236" w:right="0" w:hanging="0"/>
        <w:jc w:val="left"/>
        <w:rPr/>
      </w:pPr>
      <w:r>
        <w:rPr>
          <w:color w:val="000000"/>
          <w:sz w:val="28"/>
          <w:szCs w:val="28"/>
        </w:rPr>
        <w:t>Додаток</w:t>
      </w:r>
    </w:p>
    <w:p>
      <w:pPr>
        <w:pStyle w:val="Normal"/>
        <w:widowControl/>
        <w:tabs>
          <w:tab w:val="clear" w:pos="720"/>
          <w:tab w:val="left" w:pos="5400" w:leader="none"/>
        </w:tabs>
        <w:suppressAutoHyphens w:val="true"/>
        <w:bidi w:val="0"/>
        <w:spacing w:lineRule="auto" w:line="240" w:before="0" w:after="0"/>
        <w:ind w:left="6236" w:right="0" w:hanging="0"/>
        <w:jc w:val="left"/>
        <w:rPr/>
      </w:pPr>
      <w:r>
        <w:rPr>
          <w:color w:val="000000"/>
          <w:sz w:val="28"/>
          <w:szCs w:val="28"/>
        </w:rPr>
        <w:t>до рішення міської ради</w:t>
      </w:r>
    </w:p>
    <w:p>
      <w:pPr>
        <w:pStyle w:val="Normal"/>
        <w:widowControl/>
        <w:tabs>
          <w:tab w:val="clear" w:pos="720"/>
          <w:tab w:val="left" w:pos="5400" w:leader="none"/>
        </w:tabs>
        <w:suppressAutoHyphens w:val="true"/>
        <w:bidi w:val="0"/>
        <w:spacing w:lineRule="auto" w:line="240" w:before="0" w:after="0"/>
        <w:ind w:left="6236" w:right="0" w:hanging="0"/>
        <w:jc w:val="left"/>
        <w:rPr/>
      </w:pPr>
      <w:r>
        <w:rPr>
          <w:color w:val="000000"/>
          <w:sz w:val="28"/>
          <w:szCs w:val="28"/>
        </w:rPr>
        <w:t>_____________ № _____</w:t>
      </w:r>
    </w:p>
    <w:p>
      <w:pPr>
        <w:pStyle w:val="Normal"/>
        <w:tabs>
          <w:tab w:val="clear" w:pos="720"/>
          <w:tab w:val="left" w:pos="5400" w:leader="none"/>
        </w:tabs>
        <w:spacing w:lineRule="auto" w:line="240"/>
        <w:ind w:left="0" w:right="0" w:firstLine="567"/>
        <w:jc w:val="center"/>
        <w:rPr>
          <w:color w:val="000000"/>
          <w:sz w:val="28"/>
          <w:szCs w:val="28"/>
        </w:rPr>
      </w:pPr>
      <w:r>
        <w:rPr>
          <w:color w:val="000000"/>
          <w:sz w:val="28"/>
          <w:szCs w:val="28"/>
        </w:rPr>
      </w:r>
    </w:p>
    <w:p>
      <w:pPr>
        <w:pStyle w:val="Normal"/>
        <w:spacing w:lineRule="auto" w:line="240"/>
        <w:ind w:left="0" w:right="0" w:firstLine="567"/>
        <w:jc w:val="center"/>
        <w:rPr/>
      </w:pPr>
      <w:r>
        <w:rPr>
          <w:b/>
          <w:color w:val="000000"/>
          <w:sz w:val="28"/>
          <w:szCs w:val="28"/>
        </w:rPr>
        <w:t>Положення</w:t>
      </w:r>
    </w:p>
    <w:p>
      <w:pPr>
        <w:pStyle w:val="Normal"/>
        <w:spacing w:lineRule="auto" w:line="240"/>
        <w:ind w:left="0" w:right="0" w:firstLine="567"/>
        <w:jc w:val="center"/>
        <w:rPr/>
      </w:pPr>
      <w:r>
        <w:rPr>
          <w:b/>
          <w:color w:val="000000"/>
          <w:sz w:val="28"/>
          <w:szCs w:val="28"/>
        </w:rPr>
        <w:t>про списання майна комунальної власності</w:t>
      </w:r>
    </w:p>
    <w:p>
      <w:pPr>
        <w:pStyle w:val="Normal"/>
        <w:spacing w:lineRule="auto" w:line="240"/>
        <w:ind w:left="0" w:right="0" w:firstLine="567"/>
        <w:jc w:val="center"/>
        <w:rPr/>
      </w:pPr>
      <w:r>
        <w:rPr>
          <w:b/>
          <w:color w:val="000000"/>
          <w:sz w:val="28"/>
          <w:szCs w:val="28"/>
        </w:rPr>
        <w:t>Луцької міської територіальної громади</w:t>
      </w:r>
    </w:p>
    <w:p>
      <w:pPr>
        <w:pStyle w:val="Normal"/>
        <w:spacing w:lineRule="auto" w:line="240"/>
        <w:ind w:left="0" w:right="0" w:firstLine="567"/>
        <w:jc w:val="both"/>
        <w:rPr>
          <w:color w:val="000000"/>
          <w:sz w:val="28"/>
          <w:szCs w:val="28"/>
        </w:rPr>
      </w:pPr>
      <w:r>
        <w:rPr>
          <w:color w:val="000000"/>
          <w:sz w:val="28"/>
          <w:szCs w:val="28"/>
        </w:rPr>
      </w:r>
    </w:p>
    <w:p>
      <w:pPr>
        <w:pStyle w:val="Style19"/>
        <w:spacing w:lineRule="auto" w:line="240" w:before="0" w:after="0"/>
        <w:ind w:left="0" w:right="0" w:firstLine="567"/>
        <w:jc w:val="both"/>
        <w:rPr/>
      </w:pPr>
      <w:r>
        <w:rPr>
          <w:color w:val="000000"/>
          <w:sz w:val="28"/>
          <w:szCs w:val="28"/>
          <w:highlight w:val="white"/>
        </w:rPr>
        <w:t xml:space="preserve">Положення розроблено з метою забезпечення ефективного використання та збереження майна, що є комунальною власністю Луцької міської територіальної громади, здійснення належного контролю та встановлення єдиної процедури списання </w:t>
      </w:r>
      <w:r>
        <w:rPr>
          <w:color w:val="000000"/>
          <w:sz w:val="28"/>
          <w:szCs w:val="28"/>
        </w:rPr>
        <w:t>основних засобів з балансів підприємств, установ, організацій та закладів, у тому числі бюджетних, що належать до комунальної власності Луцької міської територіальної громади, засновником яких є Луцька міська рада. Положення є обов'язковим до виконання комунальними підприємствами, установами, організаціями, в тому числі бюджетними, засновником яких є Луцька міська рада, та які обліковують на балансах майно, що перебуває у комунальній власності Луцької міської територіальної громади (далі − Підприємства).</w:t>
      </w:r>
    </w:p>
    <w:p>
      <w:pPr>
        <w:pStyle w:val="Style19"/>
        <w:spacing w:lineRule="auto" w:line="240" w:before="0" w:after="0"/>
        <w:ind w:left="0" w:right="0" w:firstLine="567"/>
        <w:jc w:val="both"/>
        <w:rPr/>
      </w:pPr>
      <w:r>
        <w:rPr>
          <w:color w:val="000000"/>
          <w:sz w:val="28"/>
          <w:szCs w:val="28"/>
        </w:rPr>
        <w:t>Положення розроблено відповідно до Закону України «Про місцеве самоврядування в Україні», Господарського кодексу України, наказу Міністерства фінансів України від 27.04.2000 № 92 «Про затвердження Положення (стандарту) бухгалтерського обліку 7 «Основні засоби» та інших нормативно-правових актів. Постанова Кабінету Міністрів України від 08.11.2007 № 1314 «Про затвердження Порядку списання об'єктів державної власності»</w:t>
      </w:r>
      <w:r>
        <w:rPr>
          <w:sz w:val="28"/>
          <w:szCs w:val="28"/>
        </w:rPr>
        <w:t xml:space="preserve"> застосовується в частині</w:t>
      </w:r>
      <w:r>
        <w:rPr>
          <w:color w:val="000000"/>
          <w:sz w:val="28"/>
          <w:szCs w:val="28"/>
        </w:rPr>
        <w:t>, що не суперечить Закону України «Про місцеве самоврядування в Україні» та іншим законам України, що регулюють діяльність місцевого самоврядування.</w:t>
      </w:r>
    </w:p>
    <w:p>
      <w:pPr>
        <w:pStyle w:val="3"/>
        <w:numPr>
          <w:ilvl w:val="2"/>
          <w:numId w:val="2"/>
        </w:numPr>
        <w:spacing w:lineRule="auto" w:line="240" w:before="0" w:after="0"/>
        <w:ind w:left="0" w:right="0" w:firstLine="567"/>
        <w:jc w:val="center"/>
        <w:rPr>
          <w:rFonts w:ascii="Times New Roman" w:hAnsi="Times New Roman"/>
          <w:color w:val="000000"/>
        </w:rPr>
      </w:pPr>
      <w:r>
        <w:rPr>
          <w:rFonts w:ascii="Times New Roman" w:hAnsi="Times New Roman"/>
          <w:color w:val="000000"/>
        </w:rPr>
      </w:r>
    </w:p>
    <w:p>
      <w:pPr>
        <w:pStyle w:val="3"/>
        <w:numPr>
          <w:ilvl w:val="2"/>
          <w:numId w:val="2"/>
        </w:numPr>
        <w:spacing w:lineRule="auto" w:line="240" w:before="0" w:after="0"/>
        <w:ind w:left="0" w:right="0" w:firstLine="567"/>
        <w:jc w:val="center"/>
        <w:rPr/>
      </w:pPr>
      <w:r>
        <w:rPr>
          <w:rFonts w:ascii="Times New Roman" w:hAnsi="Times New Roman"/>
          <w:color w:val="000000"/>
        </w:rPr>
        <w:t>1. Загальні положення</w:t>
      </w:r>
    </w:p>
    <w:p>
      <w:pPr>
        <w:pStyle w:val="Style19"/>
        <w:spacing w:lineRule="auto" w:line="240" w:before="0" w:after="0"/>
        <w:ind w:left="0" w:right="0" w:firstLine="567"/>
        <w:jc w:val="center"/>
        <w:rPr>
          <w:sz w:val="28"/>
          <w:szCs w:val="28"/>
        </w:rPr>
      </w:pPr>
      <w:r>
        <w:rPr>
          <w:sz w:val="28"/>
          <w:szCs w:val="28"/>
        </w:rPr>
      </w:r>
    </w:p>
    <w:p>
      <w:pPr>
        <w:pStyle w:val="Style19"/>
        <w:spacing w:lineRule="auto" w:line="240" w:before="0" w:after="0"/>
        <w:ind w:left="0" w:right="0" w:firstLine="567"/>
        <w:jc w:val="both"/>
        <w:rPr/>
      </w:pPr>
      <w:r>
        <w:rPr>
          <w:color w:val="000000"/>
          <w:sz w:val="28"/>
          <w:szCs w:val="28"/>
        </w:rPr>
        <w:t>1.1. Положення визначає єдині вимоги до порядку списання майна, яке належить до комунальної власності Луцької міської територіальної громади, а саме: матеріальні активи, що відповідно до законодавства визнаються основними засобами, іншими необоротними матеріальними активами, та об'єкти незавершеного будівництва (незавершені капітальні інвестиції в необоротні матеріальні активи).</w:t>
      </w:r>
    </w:p>
    <w:p>
      <w:pPr>
        <w:pStyle w:val="Style19"/>
        <w:spacing w:lineRule="auto" w:line="240" w:before="0" w:after="0"/>
        <w:ind w:left="0" w:right="0" w:firstLine="567"/>
        <w:jc w:val="both"/>
        <w:rPr/>
      </w:pPr>
      <w:r>
        <w:rPr>
          <w:color w:val="000000"/>
          <w:sz w:val="28"/>
          <w:szCs w:val="28"/>
        </w:rPr>
        <w:t>1.2. Дія цього Положення поширюється на майно, яке належить до комунальної власності Луцької міської територіальної громади та закріплено за суб'єктами господарювання на праві господарського відання або оперативного управління.</w:t>
      </w:r>
    </w:p>
    <w:p>
      <w:pPr>
        <w:pStyle w:val="Style19"/>
        <w:spacing w:lineRule="auto" w:line="240" w:before="0" w:after="0"/>
        <w:ind w:left="0" w:right="0" w:firstLine="567"/>
        <w:jc w:val="both"/>
        <w:rPr/>
      </w:pPr>
      <w:r>
        <w:rPr>
          <w:color w:val="000000"/>
          <w:sz w:val="28"/>
          <w:szCs w:val="28"/>
        </w:rPr>
        <w:t>1.3. Терміни, які використовуються в цьому Положенні, вживаються у значенні, наведеному в законодавчих актах, що регулюють питання правового режиму власності відповідного майна та питання управління майном, його оцінки та бухгалтерського обліку.</w:t>
      </w:r>
    </w:p>
    <w:p>
      <w:pPr>
        <w:pStyle w:val="Style19"/>
        <w:spacing w:lineRule="auto" w:line="240" w:before="0" w:after="0"/>
        <w:ind w:left="0" w:right="0" w:firstLine="567"/>
        <w:jc w:val="both"/>
        <w:rPr/>
      </w:pPr>
      <w:r>
        <w:rPr>
          <w:color w:val="000000"/>
          <w:sz w:val="28"/>
          <w:szCs w:val="28"/>
        </w:rPr>
        <w:t>1.4. Об'єкти, що зараховані на баланс Підприємства під час введення в експлуатацію як основні засоби, а також обліковуються в складі основних засобів на момент затвердження цього Положення, у разі зміни облікової політики чи критерію віднесення об'єктів до малоцінних необоротних матеріальних активів не можуть бути в подальшому визнані малоцінними необоротними матеріальними активами і в усіх випадках списуються з балансу Підприємства згідно з цим Положенням як основні засоби.</w:t>
      </w:r>
    </w:p>
    <w:p>
      <w:pPr>
        <w:pStyle w:val="Style19"/>
        <w:spacing w:lineRule="auto" w:line="240" w:before="0" w:after="0"/>
        <w:ind w:left="0" w:right="0" w:firstLine="567"/>
        <w:jc w:val="both"/>
        <w:rPr/>
      </w:pPr>
      <w:r>
        <w:rPr>
          <w:color w:val="000000"/>
          <w:sz w:val="28"/>
          <w:szCs w:val="28"/>
        </w:rPr>
        <w:t>1.5. Дія цього Положення не поширюється на майно, порядок списання якого визначається окремими законами (об'єкти житлового фонду, об'єкти цивільної оборони, цілісні майнові комплекси тощо), та майно, надане в концесію, створене у зв'язку з виконанням умов концесійного договору або придбане за рахунок інвестицій, передбачених концесійним договором.</w:t>
      </w:r>
    </w:p>
    <w:p>
      <w:pPr>
        <w:pStyle w:val="Style19"/>
        <w:spacing w:lineRule="auto" w:line="240" w:before="0" w:after="0"/>
        <w:ind w:left="0" w:right="0" w:firstLine="567"/>
        <w:jc w:val="both"/>
        <w:rPr/>
      </w:pPr>
      <w:r>
        <w:rPr>
          <w:color w:val="000000"/>
          <w:sz w:val="28"/>
          <w:szCs w:val="28"/>
        </w:rPr>
        <w:t xml:space="preserve">1.6. Підприємства, при списанні майна, яке не належить до основних засобів та об'єктів незавершеного будівництва, а саме, інших необоротних матеріальних активів, малоцінних необоротних матеріальних активів, нематеріальних активів та всіх груп запасів, строк використання яких більше одного року, повинні керуватися нормами </w:t>
      </w:r>
      <w:r>
        <w:rPr>
          <w:rFonts w:eastAsia="NSimSun" w:cs="Times New Roman"/>
          <w:color w:val="000000"/>
          <w:kern w:val="0"/>
          <w:sz w:val="28"/>
          <w:szCs w:val="28"/>
          <w:shd w:fill="auto" w:val="clear"/>
          <w:lang w:val="uk-UA" w:eastAsia="zh-CN" w:bidi="ar-SA"/>
        </w:rPr>
        <w:t>чинного</w:t>
      </w:r>
      <w:r>
        <w:rPr>
          <w:color w:val="000000"/>
          <w:sz w:val="28"/>
          <w:szCs w:val="28"/>
        </w:rPr>
        <w:t xml:space="preserve"> законодавства України і проводити їх списання на підставі акта про списання майна, погодженого виконавчим органом міської ради, до сфери управління якого належить Підприємство (орган управління) (підприємства, облік яких проводиться централізованою бухгалтерією − безпосередньо за погодженням головного розпорядника коштів), строк використання яких менше одного року − повинні керуватися нормами </w:t>
      </w:r>
      <w:r>
        <w:rPr>
          <w:rFonts w:eastAsia="NSimSun" w:cs="Times New Roman"/>
          <w:color w:val="000000"/>
          <w:kern w:val="0"/>
          <w:sz w:val="28"/>
          <w:szCs w:val="28"/>
          <w:shd w:fill="auto" w:val="clear"/>
          <w:lang w:val="uk-UA" w:eastAsia="zh-CN" w:bidi="ar-SA"/>
        </w:rPr>
        <w:t>чинного</w:t>
      </w:r>
      <w:r>
        <w:rPr>
          <w:color w:val="000000"/>
          <w:sz w:val="28"/>
          <w:szCs w:val="28"/>
        </w:rPr>
        <w:t xml:space="preserve"> законодавства і проводити їх списання на підставі акта про списання майна, затвердженого керівником Підприємства, без попереднього погодження відповідним органом управління.</w:t>
      </w:r>
    </w:p>
    <w:p>
      <w:pPr>
        <w:pStyle w:val="Style19"/>
        <w:spacing w:lineRule="auto" w:line="240" w:before="0" w:after="0"/>
        <w:ind w:left="0" w:right="0" w:firstLine="567"/>
        <w:jc w:val="both"/>
        <w:rPr/>
      </w:pPr>
      <w:r>
        <w:rPr>
          <w:color w:val="000000"/>
          <w:sz w:val="28"/>
          <w:szCs w:val="28"/>
        </w:rPr>
        <w:t>При цьому керівник Підприємства контролює процес списання та несе відповідальність за достовірність та правильність оформлення документів на списання.</w:t>
      </w:r>
    </w:p>
    <w:p>
      <w:pPr>
        <w:pStyle w:val="Style19"/>
        <w:spacing w:lineRule="auto" w:line="240" w:before="0" w:after="0"/>
        <w:ind w:left="0" w:right="0" w:firstLine="567"/>
        <w:jc w:val="both"/>
        <w:rPr/>
      </w:pPr>
      <w:r>
        <w:rPr>
          <w:color w:val="000000"/>
          <w:sz w:val="28"/>
          <w:szCs w:val="28"/>
        </w:rPr>
        <w:t>1.7. Основні засоби списуються з балансу Підприємства як такі, що:</w:t>
      </w:r>
    </w:p>
    <w:p>
      <w:pPr>
        <w:pStyle w:val="Style19"/>
        <w:spacing w:lineRule="auto" w:line="240" w:before="0" w:after="0"/>
        <w:ind w:left="0" w:right="0" w:firstLine="567"/>
        <w:jc w:val="both"/>
        <w:rPr/>
      </w:pPr>
      <w:r>
        <w:rPr>
          <w:color w:val="000000"/>
          <w:sz w:val="28"/>
          <w:szCs w:val="28"/>
        </w:rPr>
        <w:t>а) морально застарілі чи фізично зношені, не придатні для подальшого використання, зокрема, у зв'язку з будівництвом, розширенням, реконструкцією і технічним переоснащенням;</w:t>
      </w:r>
    </w:p>
    <w:p>
      <w:pPr>
        <w:pStyle w:val="Style19"/>
        <w:spacing w:lineRule="auto" w:line="240" w:before="0" w:after="0"/>
        <w:ind w:left="0" w:right="0" w:firstLine="567"/>
        <w:jc w:val="both"/>
        <w:rPr/>
      </w:pPr>
      <w:r>
        <w:rPr>
          <w:color w:val="000000"/>
          <w:sz w:val="28"/>
          <w:szCs w:val="28"/>
        </w:rPr>
        <w:t>б) виявлені в результаті інвентаризації як нестача (здійснюється після відшкодування його вартості, крім випадків, коли здійснити таке відшкодування неможливо);</w:t>
      </w:r>
    </w:p>
    <w:p>
      <w:pPr>
        <w:pStyle w:val="Style19"/>
        <w:spacing w:lineRule="auto" w:line="240" w:before="0" w:after="0"/>
        <w:ind w:left="0" w:right="0" w:firstLine="567"/>
        <w:jc w:val="both"/>
        <w:rPr/>
      </w:pPr>
      <w:r>
        <w:rPr>
          <w:color w:val="000000"/>
          <w:sz w:val="28"/>
          <w:szCs w:val="28"/>
        </w:rPr>
        <w:t>в) втрачені, знищені або пошкоджені і не піддягають відновленню внаслідок аварії, стихійного лиха або воєнних дій;</w:t>
      </w:r>
    </w:p>
    <w:p>
      <w:pPr>
        <w:pStyle w:val="Style19"/>
        <w:spacing w:lineRule="auto" w:line="240" w:before="0" w:after="0"/>
        <w:ind w:left="0" w:right="0" w:firstLine="567"/>
        <w:jc w:val="both"/>
        <w:rPr/>
      </w:pPr>
      <w:r>
        <w:rPr>
          <w:color w:val="000000"/>
          <w:sz w:val="28"/>
          <w:szCs w:val="28"/>
        </w:rPr>
        <w:t>г) втратили критерій визнання активом, визначений у ст. 1 Закону України «Про бухгалтерський облік та фінансову звітність в Україні», тобто отримання економічних вигод від їх використання в майбутньому не очікується.</w:t>
      </w:r>
    </w:p>
    <w:p>
      <w:pPr>
        <w:pStyle w:val="Style19"/>
        <w:spacing w:lineRule="auto" w:line="240" w:before="0" w:after="0"/>
        <w:ind w:left="0" w:right="0" w:firstLine="567"/>
        <w:jc w:val="both"/>
        <w:rPr/>
      </w:pPr>
      <w:r>
        <w:rPr>
          <w:color w:val="000000"/>
          <w:sz w:val="28"/>
          <w:szCs w:val="28"/>
        </w:rPr>
        <w:t>1.8. Знос, нарахований у розмірі 100 % вартості основних засобів, не може бути підставою для їх списання.</w:t>
      </w:r>
    </w:p>
    <w:p>
      <w:pPr>
        <w:pStyle w:val="Style19"/>
        <w:spacing w:lineRule="auto" w:line="240" w:before="0" w:after="0"/>
        <w:ind w:left="0" w:right="0" w:firstLine="567"/>
        <w:jc w:val="both"/>
        <w:rPr/>
      </w:pPr>
      <w:r>
        <w:rPr>
          <w:color w:val="000000"/>
          <w:sz w:val="28"/>
          <w:szCs w:val="28"/>
        </w:rPr>
        <w:t>1.9. Списання з балансу Підприємств основних засобів здійснюється шляхом їх:</w:t>
      </w:r>
    </w:p>
    <w:p>
      <w:pPr>
        <w:pStyle w:val="Style19"/>
        <w:spacing w:lineRule="auto" w:line="240" w:before="0" w:after="0"/>
        <w:ind w:left="0" w:right="0" w:firstLine="567"/>
        <w:jc w:val="both"/>
        <w:rPr/>
      </w:pPr>
      <w:r>
        <w:rPr>
          <w:color w:val="000000"/>
          <w:sz w:val="28"/>
          <w:szCs w:val="28"/>
        </w:rPr>
        <w:t>відчуження (продажу, безоплатної передачі);</w:t>
      </w:r>
    </w:p>
    <w:p>
      <w:pPr>
        <w:pStyle w:val="Style19"/>
        <w:spacing w:lineRule="auto" w:line="240" w:before="0" w:after="0"/>
        <w:ind w:left="0" w:right="0" w:firstLine="567"/>
        <w:jc w:val="both"/>
        <w:rPr/>
      </w:pPr>
      <w:r>
        <w:rPr>
          <w:color w:val="000000"/>
          <w:sz w:val="28"/>
          <w:szCs w:val="28"/>
        </w:rPr>
        <w:t>ліквідації.</w:t>
      </w:r>
    </w:p>
    <w:p>
      <w:pPr>
        <w:pStyle w:val="3"/>
        <w:numPr>
          <w:ilvl w:val="2"/>
          <w:numId w:val="2"/>
        </w:numPr>
        <w:spacing w:lineRule="auto" w:line="240" w:before="0" w:after="0"/>
        <w:ind w:left="0" w:right="0" w:firstLine="567"/>
        <w:jc w:val="center"/>
        <w:rPr>
          <w:rFonts w:ascii="Times New Roman" w:hAnsi="Times New Roman"/>
          <w:color w:val="000000"/>
        </w:rPr>
      </w:pPr>
      <w:r>
        <w:rPr>
          <w:rFonts w:ascii="Times New Roman" w:hAnsi="Times New Roman"/>
          <w:color w:val="000000"/>
        </w:rPr>
      </w:r>
    </w:p>
    <w:p>
      <w:pPr>
        <w:pStyle w:val="3"/>
        <w:numPr>
          <w:ilvl w:val="2"/>
          <w:numId w:val="2"/>
        </w:numPr>
        <w:spacing w:lineRule="auto" w:line="240" w:before="0" w:after="0"/>
        <w:ind w:left="0" w:right="0" w:firstLine="567"/>
        <w:jc w:val="center"/>
        <w:rPr/>
      </w:pPr>
      <w:r>
        <w:rPr>
          <w:rFonts w:ascii="Times New Roman" w:hAnsi="Times New Roman"/>
          <w:color w:val="000000"/>
        </w:rPr>
        <w:t>2. Порядок надання дозволу на списання основних засобів</w:t>
      </w:r>
    </w:p>
    <w:p>
      <w:pPr>
        <w:pStyle w:val="Style19"/>
        <w:spacing w:lineRule="auto" w:line="240" w:before="0" w:after="0"/>
        <w:ind w:left="0" w:right="0" w:firstLine="567"/>
        <w:jc w:val="center"/>
        <w:rPr>
          <w:sz w:val="28"/>
          <w:szCs w:val="28"/>
        </w:rPr>
      </w:pPr>
      <w:r>
        <w:rPr>
          <w:sz w:val="28"/>
          <w:szCs w:val="28"/>
        </w:rPr>
      </w:r>
    </w:p>
    <w:p>
      <w:pPr>
        <w:pStyle w:val="Style19"/>
        <w:spacing w:lineRule="auto" w:line="240" w:before="0" w:after="0"/>
        <w:ind w:left="0" w:right="0" w:firstLine="567"/>
        <w:jc w:val="both"/>
        <w:rPr/>
      </w:pPr>
      <w:r>
        <w:rPr>
          <w:color w:val="000000"/>
          <w:sz w:val="28"/>
          <w:szCs w:val="28"/>
        </w:rPr>
        <w:t>2.1. Списання основних засобів здійснюється Підприємством, на балансі якого вони перебувають, після надання згоди:</w:t>
      </w:r>
    </w:p>
    <w:p>
      <w:pPr>
        <w:pStyle w:val="Style19"/>
        <w:spacing w:lineRule="auto" w:line="240" w:before="0" w:after="0"/>
        <w:ind w:left="0" w:right="0" w:firstLine="567"/>
        <w:jc w:val="both"/>
        <w:rPr/>
      </w:pPr>
      <w:r>
        <w:rPr>
          <w:color w:val="000000"/>
          <w:sz w:val="28"/>
          <w:szCs w:val="28"/>
        </w:rPr>
        <w:t>а) міської ради на:</w:t>
      </w:r>
    </w:p>
    <w:p>
      <w:pPr>
        <w:pStyle w:val="Style19"/>
        <w:spacing w:lineRule="auto" w:line="240" w:before="0" w:after="0"/>
        <w:ind w:left="0" w:right="0" w:firstLine="567"/>
        <w:jc w:val="both"/>
        <w:rPr/>
      </w:pPr>
      <w:r>
        <w:rPr>
          <w:color w:val="000000"/>
          <w:sz w:val="28"/>
          <w:szCs w:val="28"/>
        </w:rPr>
        <w:t>списання будівель, споруд, приміщень, передавальних пристроїв, транспортних засобів незалежно від вартості, ступеня зносу та строку експлуатації;</w:t>
      </w:r>
    </w:p>
    <w:p>
      <w:pPr>
        <w:pStyle w:val="Style19"/>
        <w:spacing w:lineRule="auto" w:line="240" w:before="0" w:after="0"/>
        <w:ind w:left="0" w:right="0" w:firstLine="567"/>
        <w:jc w:val="both"/>
        <w:rPr/>
      </w:pPr>
      <w:r>
        <w:rPr>
          <w:color w:val="000000"/>
          <w:sz w:val="28"/>
          <w:szCs w:val="28"/>
        </w:rPr>
        <w:t>списання основних засобів, первісна (переоцінена) вартість яких становить більш як 20,0 тис. грн за одиницю (комплект);</w:t>
      </w:r>
    </w:p>
    <w:p>
      <w:pPr>
        <w:pStyle w:val="Style19"/>
        <w:spacing w:lineRule="auto" w:line="240" w:before="0" w:after="0"/>
        <w:ind w:left="0" w:right="0" w:firstLine="567"/>
        <w:jc w:val="both"/>
        <w:rPr/>
      </w:pPr>
      <w:r>
        <w:rPr>
          <w:color w:val="000000"/>
          <w:sz w:val="28"/>
          <w:szCs w:val="28"/>
        </w:rPr>
        <w:t>б) виконавчого комітету міської ради на списання основних засобів первісною (переоціненою) вартістю від 10,0 тис. грн до 20,0 тис. грн за одиницю (комплект):</w:t>
      </w:r>
    </w:p>
    <w:p>
      <w:pPr>
        <w:pStyle w:val="Style19"/>
        <w:spacing w:lineRule="auto" w:line="240" w:before="0" w:after="0"/>
        <w:ind w:left="0" w:right="0" w:firstLine="567"/>
        <w:jc w:val="both"/>
        <w:rPr/>
      </w:pPr>
      <w:r>
        <w:rPr>
          <w:color w:val="000000"/>
          <w:sz w:val="28"/>
          <w:szCs w:val="28"/>
        </w:rPr>
        <w:t>які мають залишкову вартість, але непридатні для подальшого використання;</w:t>
      </w:r>
    </w:p>
    <w:p>
      <w:pPr>
        <w:pStyle w:val="Style19"/>
        <w:spacing w:lineRule="auto" w:line="240" w:before="0" w:after="0"/>
        <w:ind w:left="0" w:right="0" w:firstLine="567"/>
        <w:jc w:val="both"/>
        <w:rPr/>
      </w:pPr>
      <w:r>
        <w:rPr>
          <w:color w:val="000000"/>
          <w:sz w:val="28"/>
          <w:szCs w:val="28"/>
        </w:rPr>
        <w:t>які мають повністю нарахований 100 % знос і непридатні для подальшого використання;</w:t>
      </w:r>
    </w:p>
    <w:p>
      <w:pPr>
        <w:pStyle w:val="Style19"/>
        <w:spacing w:lineRule="auto" w:line="240" w:before="0" w:after="0"/>
        <w:ind w:left="0" w:right="0" w:firstLine="567"/>
        <w:jc w:val="both"/>
        <w:rPr/>
      </w:pPr>
      <w:r>
        <w:rPr>
          <w:color w:val="000000"/>
          <w:sz w:val="28"/>
          <w:szCs w:val="28"/>
        </w:rPr>
        <w:t>в) відділу управління майном міської комунальної власності на списання основних засобів, які:</w:t>
      </w:r>
    </w:p>
    <w:p>
      <w:pPr>
        <w:pStyle w:val="Normal"/>
        <w:spacing w:lineRule="auto" w:line="240"/>
        <w:ind w:left="0" w:right="0" w:firstLine="567"/>
        <w:jc w:val="both"/>
        <w:rPr/>
      </w:pPr>
      <w:r>
        <w:rPr>
          <w:color w:val="000000"/>
          <w:sz w:val="28"/>
          <w:szCs w:val="28"/>
        </w:rPr>
        <w:t>непридатні для подальшого використання та первісна (переоцінена) вартість яких становить до 10,0 тис. грн;</w:t>
      </w:r>
    </w:p>
    <w:p>
      <w:pPr>
        <w:pStyle w:val="Style19"/>
        <w:spacing w:lineRule="auto" w:line="240" w:before="0" w:after="0"/>
        <w:ind w:left="0" w:right="0" w:firstLine="567"/>
        <w:jc w:val="both"/>
        <w:rPr/>
      </w:pPr>
      <w:r>
        <w:rPr>
          <w:color w:val="000000"/>
          <w:sz w:val="28"/>
          <w:szCs w:val="28"/>
        </w:rPr>
        <w:t>мають 100 % нарахований знос та первісна (переоцінена) вартість яких становить до 10,0 тис. грн.</w:t>
      </w:r>
    </w:p>
    <w:p>
      <w:pPr>
        <w:pStyle w:val="Style19"/>
        <w:spacing w:lineRule="auto" w:line="240" w:before="0" w:after="0"/>
        <w:ind w:left="0" w:right="0" w:firstLine="567"/>
        <w:jc w:val="both"/>
        <w:rPr/>
      </w:pPr>
      <w:r>
        <w:rPr>
          <w:color w:val="000000"/>
          <w:sz w:val="28"/>
          <w:szCs w:val="28"/>
        </w:rPr>
        <w:t xml:space="preserve">2.2. При розгляді питання про списання об'єктів, для яких визначення придатності до експлуатації </w:t>
      </w:r>
      <w:r>
        <w:rPr>
          <w:rFonts w:cs="Times New Roman"/>
          <w:color w:val="000000"/>
          <w:sz w:val="28"/>
          <w:szCs w:val="28"/>
          <w:lang w:eastAsia="zh-CN"/>
        </w:rPr>
        <w:t>потребує додаткової експертної оцінки</w:t>
      </w:r>
      <w:r>
        <w:rPr>
          <w:color w:val="000000"/>
          <w:sz w:val="28"/>
          <w:szCs w:val="28"/>
        </w:rPr>
        <w:t xml:space="preserve">, міська рада може вимагати </w:t>
      </w:r>
      <w:r>
        <w:rPr>
          <w:rFonts w:cs="Times New Roman"/>
          <w:color w:val="000000"/>
          <w:sz w:val="28"/>
          <w:szCs w:val="28"/>
          <w:lang w:eastAsia="zh-CN"/>
        </w:rPr>
        <w:t xml:space="preserve">від </w:t>
      </w:r>
      <w:r>
        <w:rPr>
          <w:color w:val="000000"/>
          <w:sz w:val="28"/>
          <w:szCs w:val="28"/>
        </w:rPr>
        <w:t>Підприємства висновків органів управління чи інших виконавчих органів, до відання яких входить вирішення відповідних питань.</w:t>
      </w:r>
    </w:p>
    <w:p>
      <w:pPr>
        <w:pStyle w:val="Style19"/>
        <w:spacing w:lineRule="auto" w:line="240" w:before="0" w:after="0"/>
        <w:ind w:left="0" w:right="0" w:firstLine="567"/>
        <w:jc w:val="both"/>
        <w:rPr/>
      </w:pPr>
      <w:r>
        <w:rPr>
          <w:color w:val="000000"/>
          <w:sz w:val="28"/>
          <w:szCs w:val="28"/>
        </w:rPr>
        <w:t>2.3. При наявності документів, що підтверджують правомірність списання об'єктів основних засобів, термін розгляду документів у Луцькій міській раді та надання дозволу (погодження) або відмови в його наданні не повинен перевищувати 45 календарних днів.</w:t>
      </w:r>
    </w:p>
    <w:p>
      <w:pPr>
        <w:pStyle w:val="Style19"/>
        <w:spacing w:lineRule="auto" w:line="240" w:before="0" w:after="0"/>
        <w:ind w:left="0" w:right="0" w:firstLine="567"/>
        <w:jc w:val="both"/>
        <w:rPr/>
      </w:pPr>
      <w:r>
        <w:rPr>
          <w:color w:val="000000"/>
          <w:sz w:val="28"/>
          <w:szCs w:val="28"/>
        </w:rPr>
        <w:t>2.4. Нестачі об'єктів основних засобів, що виявлені в результаті інвентаризації, втрат від псувань, а також, коли конкретні винуватці не встановлені (втрати від нерозкритих крадіжок тощо), списуються з балансів лише після ретельної перевірки дійсної відсутності винних осіб.</w:t>
      </w:r>
    </w:p>
    <w:p>
      <w:pPr>
        <w:pStyle w:val="Style19"/>
        <w:spacing w:lineRule="auto" w:line="240" w:before="0" w:after="0"/>
        <w:ind w:left="0" w:right="0" w:firstLine="567"/>
        <w:jc w:val="both"/>
        <w:rPr/>
      </w:pPr>
      <w:r>
        <w:rPr>
          <w:color w:val="000000"/>
          <w:sz w:val="28"/>
          <w:szCs w:val="28"/>
        </w:rPr>
        <w:t>У документах, які Підприємства подають для оформлення списання в таких випадках, слід вказати заходи, яких вжито задля попередження таких втрат.</w:t>
      </w:r>
    </w:p>
    <w:p>
      <w:pPr>
        <w:pStyle w:val="Style19"/>
        <w:spacing w:lineRule="auto" w:line="240" w:before="0" w:after="0"/>
        <w:ind w:left="0" w:right="0" w:firstLine="567"/>
        <w:jc w:val="both"/>
        <w:rPr/>
      </w:pPr>
      <w:r>
        <w:rPr>
          <w:color w:val="000000"/>
          <w:sz w:val="28"/>
          <w:szCs w:val="28"/>
        </w:rPr>
        <w:t>2.5. При наданні дозволу на списання основних засобів в усіх випадках, передбачених цим Положенням, визначається спосіб їх списання.</w:t>
      </w:r>
    </w:p>
    <w:p>
      <w:pPr>
        <w:pStyle w:val="3"/>
        <w:numPr>
          <w:ilvl w:val="2"/>
          <w:numId w:val="2"/>
        </w:numPr>
        <w:spacing w:lineRule="auto" w:line="240" w:before="0" w:after="0"/>
        <w:ind w:left="0" w:right="0" w:firstLine="567"/>
        <w:jc w:val="center"/>
        <w:rPr>
          <w:rFonts w:ascii="Times New Roman" w:hAnsi="Times New Roman"/>
          <w:color w:val="000000"/>
        </w:rPr>
      </w:pPr>
      <w:r>
        <w:rPr>
          <w:rFonts w:ascii="Times New Roman" w:hAnsi="Times New Roman"/>
          <w:color w:val="000000"/>
        </w:rPr>
      </w:r>
    </w:p>
    <w:p>
      <w:pPr>
        <w:pStyle w:val="3"/>
        <w:numPr>
          <w:ilvl w:val="2"/>
          <w:numId w:val="2"/>
        </w:numPr>
        <w:spacing w:lineRule="auto" w:line="240" w:before="0" w:after="0"/>
        <w:ind w:left="0" w:right="0" w:firstLine="567"/>
        <w:jc w:val="center"/>
        <w:rPr/>
      </w:pPr>
      <w:r>
        <w:rPr>
          <w:rFonts w:ascii="Times New Roman" w:hAnsi="Times New Roman"/>
          <w:color w:val="000000"/>
        </w:rPr>
        <w:t>3. Утворення комісії зі списання основних засобів,</w:t>
      </w:r>
    </w:p>
    <w:p>
      <w:pPr>
        <w:pStyle w:val="3"/>
        <w:numPr>
          <w:ilvl w:val="2"/>
          <w:numId w:val="2"/>
        </w:numPr>
        <w:spacing w:lineRule="auto" w:line="240" w:before="0" w:after="0"/>
        <w:ind w:left="0" w:right="0" w:firstLine="567"/>
        <w:jc w:val="center"/>
        <w:rPr/>
      </w:pPr>
      <w:r>
        <w:rPr>
          <w:rFonts w:ascii="Times New Roman" w:hAnsi="Times New Roman"/>
          <w:color w:val="000000"/>
        </w:rPr>
        <w:t>її завдання та повноваження</w:t>
      </w:r>
    </w:p>
    <w:p>
      <w:pPr>
        <w:pStyle w:val="Style19"/>
        <w:spacing w:lineRule="auto" w:line="240" w:before="0" w:after="0"/>
        <w:ind w:left="0" w:right="0" w:firstLine="567"/>
        <w:jc w:val="center"/>
        <w:rPr>
          <w:sz w:val="28"/>
          <w:szCs w:val="28"/>
        </w:rPr>
      </w:pPr>
      <w:r>
        <w:rPr>
          <w:sz w:val="28"/>
          <w:szCs w:val="28"/>
        </w:rPr>
      </w:r>
    </w:p>
    <w:p>
      <w:pPr>
        <w:pStyle w:val="Style19"/>
        <w:spacing w:lineRule="auto" w:line="240" w:before="0" w:after="0"/>
        <w:ind w:left="0" w:right="0" w:firstLine="567"/>
        <w:jc w:val="both"/>
        <w:rPr/>
      </w:pPr>
      <w:r>
        <w:rPr>
          <w:color w:val="000000"/>
          <w:sz w:val="28"/>
          <w:szCs w:val="28"/>
        </w:rPr>
        <w:t>3.1. Для визначення факту непридатності майна і встановлення неможливості або неефективності проведення його відновлювального ремонту, а також для оформлення необхідної документації на списання цього майна наказом керівника Підприємства створюється комісія зі списання основних засобів (далі − Комісія) у складі:</w:t>
      </w:r>
    </w:p>
    <w:p>
      <w:pPr>
        <w:pStyle w:val="Style19"/>
        <w:spacing w:lineRule="auto" w:line="240" w:before="0" w:after="0"/>
        <w:ind w:left="0" w:right="0" w:firstLine="567"/>
        <w:jc w:val="both"/>
        <w:rPr/>
      </w:pPr>
      <w:r>
        <w:rPr>
          <w:color w:val="000000"/>
          <w:sz w:val="28"/>
          <w:szCs w:val="28"/>
        </w:rPr>
        <w:t>голови комісії (керівник Підприємства або його заступник);</w:t>
      </w:r>
    </w:p>
    <w:p>
      <w:pPr>
        <w:pStyle w:val="Style19"/>
        <w:spacing w:lineRule="auto" w:line="240" w:before="0" w:after="0"/>
        <w:ind w:left="0" w:right="0" w:firstLine="567"/>
        <w:jc w:val="both"/>
        <w:rPr/>
      </w:pPr>
      <w:r>
        <w:rPr>
          <w:color w:val="000000"/>
          <w:sz w:val="28"/>
          <w:szCs w:val="28"/>
        </w:rPr>
        <w:t>заступника голови комісії (головний бухгалтер або його заступник (на Підприємствах, де штатним розписом посаду головного бухгалтера не передбачено, − особа, на яку покладено ведення бухгалтерського обліку));</w:t>
      </w:r>
    </w:p>
    <w:p>
      <w:pPr>
        <w:pStyle w:val="Style19"/>
        <w:spacing w:lineRule="auto" w:line="240" w:before="0" w:after="0"/>
        <w:ind w:left="0" w:right="0" w:firstLine="567"/>
        <w:jc w:val="both"/>
        <w:rPr/>
      </w:pPr>
      <w:r>
        <w:rPr>
          <w:color w:val="000000"/>
          <w:sz w:val="28"/>
          <w:szCs w:val="28"/>
        </w:rPr>
        <w:t>членів комісії, а саме працівників бухгалтерії, які обліковують матеріальні цінності, інженерних, технічних, технологічних, будівельних, обліково-економічних та інших служб Підприємства, а також залучених інших фахівців на розсуд керівника.</w:t>
      </w:r>
    </w:p>
    <w:p>
      <w:pPr>
        <w:pStyle w:val="Style19"/>
        <w:spacing w:lineRule="auto" w:line="240" w:before="0" w:after="0"/>
        <w:ind w:left="0" w:right="0" w:firstLine="567"/>
        <w:jc w:val="both"/>
        <w:rPr/>
      </w:pPr>
      <w:r>
        <w:rPr>
          <w:color w:val="000000"/>
          <w:sz w:val="28"/>
          <w:szCs w:val="28"/>
        </w:rPr>
        <w:t>3.2. У випадку, коли для списання основних засобів необхідний дозвіл міської ради, до участі у комісії залучаються  представники органу управління.</w:t>
      </w:r>
    </w:p>
    <w:p>
      <w:pPr>
        <w:pStyle w:val="Style19"/>
        <w:spacing w:lineRule="auto" w:line="240" w:before="0" w:after="0"/>
        <w:ind w:left="0" w:right="0" w:firstLine="567"/>
        <w:jc w:val="both"/>
        <w:rPr/>
      </w:pPr>
      <w:r>
        <w:rPr>
          <w:color w:val="000000"/>
          <w:sz w:val="28"/>
          <w:szCs w:val="28"/>
        </w:rPr>
        <w:t>3.3. Для участі в роботі комісії із списання основних засобів, що перебувають під наглядом державних інспекцій (автомобілів, нагрівальних котлів, підйомників тощо) залучається представник відповідної інспекції, який підписує акт про списання або передає комісії свій письмовий висновок, що додається до акта.</w:t>
      </w:r>
    </w:p>
    <w:p>
      <w:pPr>
        <w:pStyle w:val="Style19"/>
        <w:spacing w:lineRule="auto" w:line="240" w:before="0" w:after="0"/>
        <w:ind w:left="0" w:right="0" w:firstLine="567"/>
        <w:jc w:val="both"/>
        <w:rPr/>
      </w:pPr>
      <w:r>
        <w:rPr>
          <w:color w:val="000000"/>
          <w:sz w:val="28"/>
          <w:szCs w:val="28"/>
        </w:rPr>
        <w:t>3.4. Право визначення непридатності матеріальних цінностей і встановлення неможливості або неефективності проведення відновлювального ремонту наказом керівника підприємства може бути надано Комісії.</w:t>
      </w:r>
    </w:p>
    <w:p>
      <w:pPr>
        <w:pStyle w:val="Style19"/>
        <w:spacing w:lineRule="auto" w:line="240" w:before="0" w:after="0"/>
        <w:ind w:left="0" w:right="0" w:firstLine="567"/>
        <w:jc w:val="both"/>
        <w:rPr/>
      </w:pPr>
      <w:r>
        <w:rPr>
          <w:color w:val="000000"/>
          <w:sz w:val="28"/>
          <w:szCs w:val="28"/>
        </w:rPr>
        <w:t>3.5. Комісія зі списання основних засобів:</w:t>
      </w:r>
    </w:p>
    <w:p>
      <w:pPr>
        <w:pStyle w:val="Style19"/>
        <w:spacing w:lineRule="auto" w:line="240" w:before="0" w:after="0"/>
        <w:ind w:left="0" w:right="0" w:firstLine="567"/>
        <w:jc w:val="both"/>
        <w:rPr/>
      </w:pPr>
      <w:r>
        <w:rPr>
          <w:color w:val="000000"/>
          <w:sz w:val="28"/>
          <w:szCs w:val="28"/>
        </w:rPr>
        <w:t>проводить в установленому законодавством порядку інвентаризацію майна, що пропонується до списання, та, за її результатами, складає відповідний акт;</w:t>
      </w:r>
    </w:p>
    <w:p>
      <w:pPr>
        <w:pStyle w:val="Style19"/>
        <w:spacing w:lineRule="auto" w:line="240" w:before="0" w:after="0"/>
        <w:ind w:left="0" w:right="0" w:firstLine="567"/>
        <w:jc w:val="both"/>
        <w:rPr/>
      </w:pPr>
      <w:r>
        <w:rPr>
          <w:color w:val="000000"/>
          <w:sz w:val="28"/>
          <w:szCs w:val="28"/>
        </w:rPr>
        <w:t>проводить огляд майна, що підлягає списанню, з використанням необхідної технічної документації (технічних паспортів, поверхових планів, відомостей про дефекти тощо), а також даних бухгалтерського обліку;</w:t>
      </w:r>
    </w:p>
    <w:p>
      <w:pPr>
        <w:pStyle w:val="Style19"/>
        <w:spacing w:lineRule="auto" w:line="240" w:before="0" w:after="0"/>
        <w:ind w:left="0" w:right="0" w:firstLine="567"/>
        <w:jc w:val="both"/>
        <w:rPr/>
      </w:pPr>
      <w:r>
        <w:rPr>
          <w:color w:val="000000"/>
          <w:sz w:val="28"/>
          <w:szCs w:val="28"/>
        </w:rPr>
        <w:t>визначає економічну (технічну) доцільність чи недоцільність відновлення та/або подальшого використання основних засобів підприємством та вносить пропозиції про їх продаж, передачу чи ліквідацію;</w:t>
      </w:r>
    </w:p>
    <w:p>
      <w:pPr>
        <w:pStyle w:val="Style19"/>
        <w:spacing w:lineRule="auto" w:line="240" w:before="0" w:after="0"/>
        <w:ind w:left="0" w:right="0" w:firstLine="567"/>
        <w:jc w:val="both"/>
        <w:rPr/>
      </w:pPr>
      <w:r>
        <w:rPr>
          <w:color w:val="000000"/>
          <w:sz w:val="28"/>
          <w:szCs w:val="28"/>
        </w:rPr>
        <w:t>встановлює конкретні причини списання об'єкта основних засобів: моральна застарілість чи фізична зношеність; непридатність для подальшого використання Підприємством, зокрема у зв'язку з будівництвом, розширенням, реконструкцією і технічним переоснащенням; порушення нормальних умов експлуатації; пошкодження внаслідок аварії чи стихійного лиха та неможливість відновлення, виявлення його в результаті інвентаризації як нестачі та ін.;</w:t>
      </w:r>
    </w:p>
    <w:p>
      <w:pPr>
        <w:pStyle w:val="Style19"/>
        <w:spacing w:lineRule="auto" w:line="240" w:before="0" w:after="0"/>
        <w:ind w:left="0" w:right="0" w:firstLine="567"/>
        <w:jc w:val="both"/>
        <w:rPr/>
      </w:pPr>
      <w:r>
        <w:rPr>
          <w:color w:val="000000"/>
          <w:sz w:val="28"/>
          <w:szCs w:val="28"/>
        </w:rPr>
        <w:t>встановлює осіб, з вини яких трапився передчасний вихід майна з ладу (якщо такі є);</w:t>
      </w:r>
    </w:p>
    <w:p>
      <w:pPr>
        <w:pStyle w:val="Style19"/>
        <w:spacing w:lineRule="auto" w:line="240" w:before="0" w:after="0"/>
        <w:ind w:left="0" w:right="0" w:firstLine="567"/>
        <w:jc w:val="both"/>
        <w:rPr/>
      </w:pPr>
      <w:r>
        <w:rPr>
          <w:color w:val="000000"/>
          <w:sz w:val="28"/>
          <w:szCs w:val="28"/>
        </w:rPr>
        <w:t>визначає можливість використання окремих вузлів, деталей, матеріалів та агрегатів об'єкта, що підлягає списанню, і проводить їх оцінку;</w:t>
      </w:r>
    </w:p>
    <w:p>
      <w:pPr>
        <w:pStyle w:val="Style19"/>
        <w:spacing w:lineRule="auto" w:line="240" w:before="0" w:after="0"/>
        <w:ind w:left="0" w:right="0" w:firstLine="567"/>
        <w:jc w:val="both"/>
        <w:rPr/>
      </w:pPr>
      <w:r>
        <w:rPr>
          <w:color w:val="000000"/>
          <w:sz w:val="28"/>
          <w:szCs w:val="28"/>
        </w:rPr>
        <w:t>після отримання дозволу на списання основних засобів (якщо його отримання є обов'язковим згідно з цим Положенням) здійснює контроль за вилученням із списаного майна придатних вузлів, деталей, матеріалів та агрегатів, а також вузлів, деталей, матеріалів та агрегатів, що містять дорогоцінні метали і дорогоцінне каміння, визначає їх кількість, вагу та контролює їх здавання на склад і оприбуткування на відповідних балансових рахунках.</w:t>
      </w:r>
    </w:p>
    <w:p>
      <w:pPr>
        <w:pStyle w:val="Style19"/>
        <w:spacing w:lineRule="auto" w:line="240" w:before="0" w:after="0"/>
        <w:ind w:left="0" w:right="0" w:firstLine="567"/>
        <w:jc w:val="both"/>
        <w:rPr/>
      </w:pPr>
      <w:r>
        <w:rPr>
          <w:color w:val="000000"/>
          <w:sz w:val="28"/>
          <w:szCs w:val="28"/>
        </w:rPr>
        <w:t>3.6. За результатами проведеної роботи складається протокол засідання комісії, до якого додаються:</w:t>
      </w:r>
    </w:p>
    <w:p>
      <w:pPr>
        <w:pStyle w:val="Style19"/>
        <w:spacing w:lineRule="auto" w:line="240" w:before="0" w:after="0"/>
        <w:ind w:left="0" w:right="0" w:firstLine="567"/>
        <w:jc w:val="both"/>
        <w:rPr/>
      </w:pPr>
      <w:r>
        <w:rPr>
          <w:color w:val="000000"/>
          <w:sz w:val="28"/>
          <w:szCs w:val="28"/>
        </w:rPr>
        <w:t>акт інвентаризації майна, що пропонується до списання (додаток 2);</w:t>
      </w:r>
    </w:p>
    <w:p>
      <w:pPr>
        <w:pStyle w:val="Style19"/>
        <w:spacing w:lineRule="auto" w:line="240" w:before="0" w:after="0"/>
        <w:ind w:left="0" w:right="0" w:firstLine="567"/>
        <w:jc w:val="both"/>
        <w:rPr/>
      </w:pPr>
      <w:r>
        <w:rPr>
          <w:color w:val="000000"/>
          <w:sz w:val="28"/>
          <w:szCs w:val="28"/>
        </w:rPr>
        <w:t>акти технічного стану майна, що пропонується до списання, довільної форми (не додаються у разі списання майна, виявленого в результаті інвентаризації як нестача);</w:t>
      </w:r>
    </w:p>
    <w:p>
      <w:pPr>
        <w:pStyle w:val="Style19"/>
        <w:spacing w:lineRule="auto" w:line="240" w:before="0" w:after="0"/>
        <w:ind w:left="0" w:right="0" w:firstLine="567"/>
        <w:jc w:val="both"/>
        <w:rPr/>
      </w:pPr>
      <w:r>
        <w:rPr>
          <w:color w:val="000000"/>
          <w:sz w:val="28"/>
          <w:szCs w:val="28"/>
        </w:rPr>
        <w:t>акти на списання майна викладаються у вигляді актів про списання матеріальних цінностей за встановленою типовою формою. Акти подаються на розгляд керівника Підприємства, який приймає рішення про їх затвердження та несе персональну відповідальність за прийняте рішення;</w:t>
      </w:r>
    </w:p>
    <w:p>
      <w:pPr>
        <w:pStyle w:val="Style19"/>
        <w:spacing w:lineRule="auto" w:line="240" w:before="0" w:after="0"/>
        <w:ind w:left="0" w:right="0" w:firstLine="567"/>
        <w:jc w:val="both"/>
        <w:rPr/>
      </w:pPr>
      <w:r>
        <w:rPr>
          <w:color w:val="000000"/>
          <w:sz w:val="28"/>
          <w:szCs w:val="28"/>
        </w:rPr>
        <w:t>інші документи (копія акта про аварію, висновки відповідних інспекцій, державних органів тощо (за наявності)).</w:t>
      </w:r>
    </w:p>
    <w:p>
      <w:pPr>
        <w:pStyle w:val="Style19"/>
        <w:spacing w:lineRule="auto" w:line="240" w:before="0" w:after="0"/>
        <w:ind w:left="0" w:right="0" w:firstLine="567"/>
        <w:jc w:val="both"/>
        <w:rPr/>
      </w:pPr>
      <w:r>
        <w:rPr>
          <w:color w:val="000000"/>
          <w:sz w:val="28"/>
          <w:szCs w:val="28"/>
        </w:rPr>
        <w:t>3.7. В актах технічного стану майна зазначаються: рік виготовлення (будівництва) майна, дата введення в експлуатацію, обсяг проведеної роботи з модернізації, модифікації, добудови, дообладнання і реконструкції, стан основних частин, деталей і вузлів, конструктивних елементів тощо.</w:t>
      </w:r>
    </w:p>
    <w:p>
      <w:pPr>
        <w:pStyle w:val="Style19"/>
        <w:spacing w:lineRule="auto" w:line="240" w:before="0" w:after="0"/>
        <w:ind w:left="0" w:right="0" w:firstLine="567"/>
        <w:jc w:val="both"/>
        <w:rPr/>
      </w:pPr>
      <w:r>
        <w:rPr>
          <w:color w:val="000000"/>
          <w:sz w:val="28"/>
          <w:szCs w:val="28"/>
        </w:rPr>
        <w:t>3.8. При списанні автотранспортних засобів, крім того, вказується пробіг автомобіля і додається технічна характеристика агрегатів і деталей автомобіля та можливість подальшого використання основних деталей і вузлів, які можуть бути отримані в результаті демонтажу.</w:t>
      </w:r>
    </w:p>
    <w:p>
      <w:pPr>
        <w:pStyle w:val="Style19"/>
        <w:spacing w:lineRule="auto" w:line="240" w:before="0" w:after="0"/>
        <w:ind w:left="0" w:right="0" w:firstLine="567"/>
        <w:jc w:val="both"/>
        <w:rPr/>
      </w:pPr>
      <w:r>
        <w:rPr>
          <w:color w:val="000000"/>
          <w:sz w:val="28"/>
          <w:szCs w:val="28"/>
        </w:rPr>
        <w:t>3.9. При списанні з балансів установ майна, яке вибуло внаслідок непередбачених подій, до акта про списання додається копія акта про подію з поясненням причин, які викликали її, та вказуються заходи, прийняті щодо винних осіб. У разі списання майна, пошкодженого внаслідок аварії, до акта на його списання додається належним чином завірена копія акта про аварію, в якій зазначаються причини, що призвели до неї; у разі списання майна, пошкодженого внаслідок стихійного лиха або воєнних дій − належним чином завірені копії документів, що підтверджують факт стихійного лиха / воєнних дій.</w:t>
      </w:r>
      <w:bookmarkStart w:id="0" w:name="_GoBack"/>
      <w:bookmarkEnd w:id="0"/>
    </w:p>
    <w:p>
      <w:pPr>
        <w:pStyle w:val="Style19"/>
        <w:spacing w:lineRule="auto" w:line="240" w:before="0" w:after="0"/>
        <w:ind w:left="0" w:right="0" w:firstLine="567"/>
        <w:jc w:val="both"/>
        <w:rPr/>
      </w:pPr>
      <w:r>
        <w:rPr>
          <w:color w:val="000000"/>
          <w:sz w:val="28"/>
          <w:szCs w:val="28"/>
        </w:rPr>
        <w:t>3.10. Якщо, в результаті ліквідації майна, окремі деталі, вузли, матеріали можуть бути використані чи підлягають передачі в установленому порядку, комісією додатково складається акт про оцінку таких цінностей.</w:t>
      </w:r>
    </w:p>
    <w:p>
      <w:pPr>
        <w:pStyle w:val="Style19"/>
        <w:spacing w:lineRule="auto" w:line="240" w:before="0" w:after="0"/>
        <w:ind w:left="0" w:right="0" w:firstLine="567"/>
        <w:jc w:val="both"/>
        <w:rPr/>
      </w:pPr>
      <w:r>
        <w:rPr>
          <w:color w:val="000000"/>
          <w:sz w:val="28"/>
          <w:szCs w:val="28"/>
        </w:rPr>
        <w:t>3.11. У протоколі засідання комісії зазначаються пропозиції щодо шляхів використання майна, списання якого за висновками комісії є недоцільним, заходи з відшкодування вартості майна, в результаті інвентаризації якого виявлена нестача, чи розукомплектованого, зазначається рішення про списання майна шляхом ліквідації, продажу чи безоплатної передачі.</w:t>
      </w:r>
    </w:p>
    <w:p>
      <w:pPr>
        <w:pStyle w:val="Style19"/>
        <w:spacing w:lineRule="auto" w:line="240" w:before="0" w:after="0"/>
        <w:ind w:left="0" w:right="0" w:firstLine="567"/>
        <w:jc w:val="both"/>
        <w:rPr/>
      </w:pPr>
      <w:r>
        <w:rPr>
          <w:color w:val="000000"/>
          <w:sz w:val="28"/>
          <w:szCs w:val="28"/>
        </w:rPr>
        <w:t>3.12. Протокол засідання комісії підписується всіма членами комісії. У разі незгоди з рішенням комісії її члени мають право викласти у письмовій формі свою окрему думку, що додається до протоколу засідання.</w:t>
      </w:r>
    </w:p>
    <w:p>
      <w:pPr>
        <w:pStyle w:val="Style19"/>
        <w:spacing w:lineRule="auto" w:line="240" w:before="0" w:after="0"/>
        <w:ind w:left="0" w:right="0" w:firstLine="567"/>
        <w:jc w:val="both"/>
        <w:rPr/>
      </w:pPr>
      <w:r>
        <w:rPr>
          <w:color w:val="000000"/>
          <w:sz w:val="28"/>
          <w:szCs w:val="28"/>
        </w:rPr>
        <w:t>3.13. Протокол засідання комісії, акт інвентаризації, акти на списання майна та технічного стану затверджуються керівником Підприємства.</w:t>
      </w:r>
    </w:p>
    <w:p>
      <w:pPr>
        <w:pStyle w:val="Style19"/>
        <w:spacing w:lineRule="auto" w:line="240" w:before="0" w:after="0"/>
        <w:ind w:left="0" w:right="0" w:firstLine="567"/>
        <w:jc w:val="both"/>
        <w:rPr/>
      </w:pPr>
      <w:r>
        <w:rPr>
          <w:color w:val="000000"/>
          <w:sz w:val="28"/>
          <w:szCs w:val="28"/>
        </w:rPr>
        <w:t>3.14. Складені комісією акти про списання майна відображаються в бухгалтерському обліку після їх затвердження (погодження) посадовою особою (керівним органом), уповноваженим приймати рішення щодо розпорядження майном.</w:t>
      </w:r>
    </w:p>
    <w:p>
      <w:pPr>
        <w:pStyle w:val="3"/>
        <w:numPr>
          <w:ilvl w:val="2"/>
          <w:numId w:val="2"/>
        </w:numPr>
        <w:spacing w:lineRule="auto" w:line="240" w:before="0" w:after="0"/>
        <w:ind w:left="0" w:right="0" w:firstLine="567"/>
        <w:jc w:val="center"/>
        <w:rPr>
          <w:rFonts w:ascii="Times New Roman" w:hAnsi="Times New Roman"/>
          <w:color w:val="000000"/>
        </w:rPr>
      </w:pPr>
      <w:r>
        <w:rPr>
          <w:rFonts w:ascii="Times New Roman" w:hAnsi="Times New Roman"/>
          <w:color w:val="000000"/>
        </w:rPr>
      </w:r>
    </w:p>
    <w:p>
      <w:pPr>
        <w:pStyle w:val="3"/>
        <w:numPr>
          <w:ilvl w:val="2"/>
          <w:numId w:val="2"/>
        </w:numPr>
        <w:spacing w:lineRule="auto" w:line="240" w:before="0" w:after="0"/>
        <w:ind w:left="0" w:right="0" w:firstLine="567"/>
        <w:jc w:val="center"/>
        <w:rPr/>
      </w:pPr>
      <w:r>
        <w:rPr>
          <w:rFonts w:ascii="Times New Roman" w:hAnsi="Times New Roman"/>
          <w:color w:val="000000"/>
        </w:rPr>
        <w:t>4. Порядок списання майна шляхом ліквідації</w:t>
      </w:r>
    </w:p>
    <w:p>
      <w:pPr>
        <w:pStyle w:val="Style19"/>
        <w:spacing w:lineRule="auto" w:line="240" w:before="0" w:after="0"/>
        <w:ind w:left="0" w:right="0" w:firstLine="567"/>
        <w:jc w:val="center"/>
        <w:rPr>
          <w:sz w:val="28"/>
          <w:szCs w:val="28"/>
        </w:rPr>
      </w:pPr>
      <w:r>
        <w:rPr>
          <w:sz w:val="28"/>
          <w:szCs w:val="28"/>
        </w:rPr>
      </w:r>
    </w:p>
    <w:p>
      <w:pPr>
        <w:pStyle w:val="Style19"/>
        <w:spacing w:lineRule="auto" w:line="240" w:before="0" w:after="0"/>
        <w:ind w:left="0" w:right="0" w:firstLine="567"/>
        <w:jc w:val="both"/>
        <w:rPr/>
      </w:pPr>
      <w:r>
        <w:rPr>
          <w:color w:val="000000"/>
          <w:sz w:val="28"/>
          <w:szCs w:val="28"/>
        </w:rPr>
        <w:t>4.1. Списання основних засобів шляхом ліквідації дозволяється лише у випадках, коли інші способи списання майна з балансу визнані неможливими та тільки після отримання дозволу на списання основних засобів (якщо його отримання є обов'язковим згідно з цим Положенням).</w:t>
      </w:r>
    </w:p>
    <w:p>
      <w:pPr>
        <w:pStyle w:val="Style19"/>
        <w:spacing w:lineRule="auto" w:line="240" w:before="0" w:after="0"/>
        <w:ind w:left="0" w:right="0" w:firstLine="567"/>
        <w:jc w:val="both"/>
        <w:rPr/>
      </w:pPr>
      <w:r>
        <w:rPr>
          <w:color w:val="000000"/>
          <w:sz w:val="28"/>
          <w:szCs w:val="28"/>
        </w:rPr>
        <w:t>4.2. Для отримання дозволу на списання майна шляхом ліквідації до Луцької міської ради необхідно надати наступні документи:</w:t>
      </w:r>
    </w:p>
    <w:p>
      <w:pPr>
        <w:pStyle w:val="Style19"/>
        <w:spacing w:lineRule="auto" w:line="240" w:before="0" w:after="0"/>
        <w:ind w:left="0" w:right="0" w:firstLine="567"/>
        <w:jc w:val="both"/>
        <w:rPr/>
      </w:pPr>
      <w:r>
        <w:rPr>
          <w:color w:val="000000"/>
          <w:sz w:val="28"/>
          <w:szCs w:val="28"/>
        </w:rPr>
        <w:t>звернення Підприємства з техніко-економічним обґрунтуванням доцільності списання майна, в якому містяться економічні та/або технічні розрахунки, інформація про очікуваний фінансовий результат списання майна та про те, як воно вплине на фінансовий план, а також напрями використання коштів, які передбачається одержати в результаті списання майна;</w:t>
      </w:r>
    </w:p>
    <w:p>
      <w:pPr>
        <w:pStyle w:val="Style19"/>
        <w:spacing w:lineRule="auto" w:line="240" w:before="0" w:after="0"/>
        <w:ind w:left="0" w:right="0" w:firstLine="567"/>
        <w:jc w:val="both"/>
        <w:rPr/>
      </w:pPr>
      <w:r>
        <w:rPr>
          <w:color w:val="000000"/>
          <w:sz w:val="28"/>
          <w:szCs w:val="28"/>
        </w:rPr>
        <w:t>протокол засідання Комісії із належними додатками;</w:t>
      </w:r>
    </w:p>
    <w:p>
      <w:pPr>
        <w:pStyle w:val="Style19"/>
        <w:spacing w:lineRule="auto" w:line="240" w:before="0" w:after="0"/>
        <w:ind w:left="0" w:right="0" w:firstLine="567"/>
        <w:jc w:val="both"/>
        <w:rPr/>
      </w:pPr>
      <w:r>
        <w:rPr>
          <w:color w:val="000000"/>
          <w:sz w:val="28"/>
          <w:szCs w:val="28"/>
        </w:rPr>
        <w:t>відомості про майно, що пропонується до списання (додаток 1), згідно з даними бухгалтерського обліку;</w:t>
      </w:r>
    </w:p>
    <w:p>
      <w:pPr>
        <w:pStyle w:val="Style19"/>
        <w:spacing w:lineRule="auto" w:line="240" w:before="0" w:after="0"/>
        <w:ind w:left="0" w:right="0" w:firstLine="567"/>
        <w:jc w:val="both"/>
        <w:rPr/>
      </w:pPr>
      <w:r>
        <w:rPr>
          <w:color w:val="000000"/>
          <w:sz w:val="28"/>
          <w:szCs w:val="28"/>
        </w:rPr>
        <w:t>відомості про причини передчасного зносу основних засобів (наявність залишкової вартості) та вказати винних осіб, якщо такі є;</w:t>
      </w:r>
    </w:p>
    <w:p>
      <w:pPr>
        <w:pStyle w:val="Style19"/>
        <w:spacing w:lineRule="auto" w:line="240" w:before="0" w:after="0"/>
        <w:ind w:left="0" w:right="0" w:firstLine="567"/>
        <w:jc w:val="both"/>
        <w:rPr/>
      </w:pPr>
      <w:r>
        <w:rPr>
          <w:color w:val="000000"/>
          <w:sz w:val="28"/>
          <w:szCs w:val="28"/>
        </w:rPr>
        <w:t>письмовий висновок експерта про неможливість або неефективність проведення відновлювального ремонту (за потреби);</w:t>
      </w:r>
    </w:p>
    <w:p>
      <w:pPr>
        <w:pStyle w:val="Style19"/>
        <w:spacing w:lineRule="auto" w:line="240" w:before="0" w:after="0"/>
        <w:ind w:left="0" w:right="0" w:firstLine="567"/>
        <w:jc w:val="both"/>
        <w:rPr/>
      </w:pPr>
      <w:r>
        <w:rPr>
          <w:color w:val="000000"/>
          <w:sz w:val="28"/>
          <w:szCs w:val="28"/>
        </w:rPr>
        <w:t>відомості про наявність обтяжень чи обмежень стосовно розпорядження майном, що пропонується списати (разом з відповідними підтверджуючими документами);</w:t>
      </w:r>
    </w:p>
    <w:p>
      <w:pPr>
        <w:pStyle w:val="Style19"/>
        <w:spacing w:lineRule="auto" w:line="240" w:before="0" w:after="0"/>
        <w:ind w:left="0" w:right="0" w:firstLine="567"/>
        <w:jc w:val="both"/>
        <w:rPr/>
      </w:pPr>
      <w:r>
        <w:rPr>
          <w:color w:val="000000"/>
          <w:sz w:val="28"/>
          <w:szCs w:val="28"/>
        </w:rPr>
        <w:t>відомості про земельну ділянку, на якій розташоване нерухоме майно, із зазначенням напрямків подальшого використання земельної ділянки, яка вивільняється, а також копії відповідних підтверджуючих документів, зокрема державного акта на право постійного користування землею, кадастровий план тощо;</w:t>
      </w:r>
    </w:p>
    <w:p>
      <w:pPr>
        <w:pStyle w:val="Style19"/>
        <w:spacing w:lineRule="auto" w:line="240" w:before="0" w:after="0"/>
        <w:ind w:left="0" w:right="0" w:firstLine="567"/>
        <w:jc w:val="both"/>
        <w:rPr/>
      </w:pPr>
      <w:r>
        <w:rPr>
          <w:color w:val="000000"/>
          <w:sz w:val="28"/>
          <w:szCs w:val="28"/>
        </w:rPr>
        <w:t>відомості про об'єкти незавершеного будівництва, а саме: дата початку та припинення будівництва, затверджена загальна вартість, вартість робіт, виконаних на дату припинення будівництва тощо;</w:t>
      </w:r>
    </w:p>
    <w:p>
      <w:pPr>
        <w:pStyle w:val="Style19"/>
        <w:spacing w:lineRule="auto" w:line="240" w:before="0" w:after="0"/>
        <w:ind w:left="0" w:right="0" w:firstLine="567"/>
        <w:jc w:val="both"/>
        <w:rPr/>
      </w:pPr>
      <w:r>
        <w:rPr>
          <w:color w:val="000000"/>
          <w:sz w:val="28"/>
          <w:szCs w:val="28"/>
        </w:rPr>
        <w:t>лист-погодження органу управління.</w:t>
      </w:r>
    </w:p>
    <w:p>
      <w:pPr>
        <w:pStyle w:val="Style19"/>
        <w:spacing w:lineRule="auto" w:line="240" w:before="0" w:after="0"/>
        <w:ind w:left="0" w:right="0" w:firstLine="567"/>
        <w:jc w:val="both"/>
        <w:rPr/>
      </w:pPr>
      <w:r>
        <w:rPr>
          <w:color w:val="000000"/>
          <w:sz w:val="28"/>
          <w:szCs w:val="28"/>
        </w:rPr>
        <w:t>Керівник Підприємства несе відповідальність за зміст наданих документів та достовірність наведених у них даних.</w:t>
      </w:r>
    </w:p>
    <w:p>
      <w:pPr>
        <w:pStyle w:val="Style19"/>
        <w:spacing w:lineRule="auto" w:line="240" w:before="0" w:after="0"/>
        <w:ind w:left="0" w:right="0" w:firstLine="567"/>
        <w:jc w:val="both"/>
        <w:rPr/>
      </w:pPr>
      <w:r>
        <w:rPr>
          <w:color w:val="000000"/>
          <w:sz w:val="28"/>
          <w:szCs w:val="28"/>
        </w:rPr>
        <w:t>4.3. Списання майна, виявленого в результаті інвентаризації як нестача, здійснюється з подальшим його відображенням в бухгалтерському обліку в порядку, встановленому законодавством</w:t>
      </w:r>
      <w:r>
        <w:rPr>
          <w:color w:val="000000"/>
          <w:sz w:val="28"/>
          <w:szCs w:val="28"/>
          <w:lang w:val="en-US"/>
        </w:rPr>
        <w:t>.</w:t>
      </w:r>
    </w:p>
    <w:p>
      <w:pPr>
        <w:pStyle w:val="Style19"/>
        <w:spacing w:lineRule="auto" w:line="240" w:before="0" w:after="0"/>
        <w:ind w:left="0" w:right="0" w:firstLine="567"/>
        <w:jc w:val="both"/>
        <w:rPr/>
      </w:pPr>
      <w:r>
        <w:rPr>
          <w:color w:val="000000"/>
          <w:sz w:val="28"/>
          <w:szCs w:val="28"/>
        </w:rPr>
        <w:t>4.4. Розбирання та демонтаж матеріальних цінностей, які втратили своє виробниче призначення або стали непридатними, проводяться тільки після затвердження у встановленому порядку акта про їх списання і отримання дозволу (погодження) на їх списання (у випадках, коли їх надання є необхідним згідно з цим Положенням).</w:t>
      </w:r>
    </w:p>
    <w:p>
      <w:pPr>
        <w:pStyle w:val="Style19"/>
        <w:spacing w:lineRule="auto" w:line="240" w:before="0" w:after="0"/>
        <w:ind w:left="0" w:right="0" w:firstLine="567"/>
        <w:jc w:val="both"/>
        <w:rPr/>
      </w:pPr>
      <w:r>
        <w:rPr>
          <w:color w:val="000000"/>
          <w:sz w:val="28"/>
          <w:szCs w:val="28"/>
        </w:rPr>
        <w:t>4.5. Усі деталі, вузли і агрегати розібраного та демонтованого обладнання, які придатні для ремонту іншого обладнання, а також матеріали, отримані від ліквідації необоротних активів, оприбутковуються на відповідних субрахунках бухгалтерського обліку (згідно оціночної вартості, визначеної Комісією).</w:t>
      </w:r>
    </w:p>
    <w:p>
      <w:pPr>
        <w:pStyle w:val="Style19"/>
        <w:spacing w:lineRule="auto" w:line="240" w:before="0" w:after="0"/>
        <w:ind w:left="0" w:right="0" w:firstLine="567"/>
        <w:jc w:val="both"/>
        <w:rPr/>
      </w:pPr>
      <w:r>
        <w:rPr>
          <w:color w:val="000000"/>
          <w:sz w:val="28"/>
          <w:szCs w:val="28"/>
        </w:rPr>
        <w:t>4.6. Не придатні для використання вузли, деталі та матеріали оприбутковуються як вторинна сировина (металобрухт тощо).</w:t>
      </w:r>
    </w:p>
    <w:p>
      <w:pPr>
        <w:pStyle w:val="Style19"/>
        <w:spacing w:lineRule="auto" w:line="240" w:before="0" w:after="0"/>
        <w:ind w:left="0" w:right="0" w:firstLine="567"/>
        <w:jc w:val="both"/>
        <w:rPr/>
      </w:pPr>
      <w:r>
        <w:rPr>
          <w:color w:val="000000"/>
          <w:sz w:val="28"/>
          <w:szCs w:val="28"/>
        </w:rPr>
        <w:t>4.7. Вилучені після демонтажу та розбирання майна вузли, деталі, матеріали та агрегати, що містять дорогоцінні метали і дорогоцінне каміння, підлягають здачі суб'єктам господарювання, які провадять діяльність із збирання та первинної обробки брухту і відходів дорогоцінних металів і дорогоцінного каміння.</w:t>
      </w:r>
    </w:p>
    <w:p>
      <w:pPr>
        <w:pStyle w:val="Style19"/>
        <w:spacing w:lineRule="auto" w:line="240" w:before="0" w:after="0"/>
        <w:ind w:left="0" w:right="0" w:firstLine="567"/>
        <w:jc w:val="both"/>
        <w:rPr/>
      </w:pPr>
      <w:r>
        <w:rPr>
          <w:color w:val="000000"/>
          <w:sz w:val="28"/>
          <w:szCs w:val="28"/>
        </w:rPr>
        <w:t>4.8. Якщо технічні паспорти основних засобів, які можуть містити дорогоцінні метали, відсутні або в них не вказано потрібних деталей, необхідно отримати висновок щодо вмісту у них дорогоцінних металів від фахівців (виробників або організацій, які займаються їх ремонтом та обслуговуванням).</w:t>
      </w:r>
    </w:p>
    <w:p>
      <w:pPr>
        <w:pStyle w:val="Style19"/>
        <w:spacing w:lineRule="auto" w:line="240" w:before="0" w:after="0"/>
        <w:ind w:left="0" w:right="0" w:firstLine="567"/>
        <w:jc w:val="both"/>
        <w:rPr/>
      </w:pPr>
      <w:r>
        <w:rPr>
          <w:color w:val="000000"/>
          <w:sz w:val="28"/>
          <w:szCs w:val="28"/>
        </w:rPr>
        <w:t>4.9. Комп'ютерна, офісна та інша побутова техніка, яка містить у собі чорні та кольорові метали (їх сплави), а також компоненти, небезпечні для навколишнього середовища або здоров'я людини, обов'язково піддягає утилізації.</w:t>
      </w:r>
    </w:p>
    <w:p>
      <w:pPr>
        <w:pStyle w:val="Style19"/>
        <w:spacing w:lineRule="auto" w:line="240" w:before="0" w:after="0"/>
        <w:ind w:left="0" w:right="0" w:firstLine="567"/>
        <w:jc w:val="both"/>
        <w:rPr/>
      </w:pPr>
      <w:r>
        <w:rPr>
          <w:color w:val="000000"/>
          <w:sz w:val="28"/>
          <w:szCs w:val="28"/>
        </w:rPr>
        <w:t>4.10. Утилізація комп'ютерної, офісної та іншої побутової техніки відбувається із врахуванням вимог нормативно-правових актів, що регулюють порядок поводження із відходами дорогоцінних металів та металобрухтом.</w:t>
      </w:r>
    </w:p>
    <w:p>
      <w:pPr>
        <w:pStyle w:val="Style19"/>
        <w:spacing w:lineRule="auto" w:line="240" w:before="0" w:after="0"/>
        <w:ind w:left="0" w:right="0" w:firstLine="567"/>
        <w:jc w:val="both"/>
        <w:rPr/>
      </w:pPr>
      <w:r>
        <w:rPr>
          <w:color w:val="000000"/>
          <w:sz w:val="28"/>
          <w:szCs w:val="28"/>
        </w:rPr>
        <w:t>4.11. Забороняється знищувати, здавати у брухт з кольорових і чорних металів техніку, апаратуру, прилади та інші вироби, що містять дорогоцінні метали і дорогоцінне каміння, без попереднього їх вилучення та одночасного оприбуткування придатних для подальшого використання деталей.</w:t>
      </w:r>
    </w:p>
    <w:p>
      <w:pPr>
        <w:pStyle w:val="Style19"/>
        <w:spacing w:lineRule="auto" w:line="240" w:before="0" w:after="0"/>
        <w:ind w:left="0" w:right="0" w:firstLine="567"/>
        <w:jc w:val="both"/>
        <w:rPr/>
      </w:pPr>
      <w:r>
        <w:rPr>
          <w:color w:val="000000"/>
          <w:sz w:val="28"/>
          <w:szCs w:val="28"/>
        </w:rPr>
        <w:t>4.12. Забороняється передача, списання і продаж техніки, апаратури, приладів та інших необоротних активів за цінами, нижчими від вартості лому, дорогоцінних металів і дорогоцінного каміння, що містяться в них, за вирахуванням витрат на їх вилучення.</w:t>
      </w:r>
    </w:p>
    <w:p>
      <w:pPr>
        <w:pStyle w:val="Style19"/>
        <w:spacing w:lineRule="auto" w:line="240" w:before="0" w:after="0"/>
        <w:ind w:left="0" w:right="0" w:firstLine="567"/>
        <w:jc w:val="both"/>
        <w:rPr/>
      </w:pPr>
      <w:r>
        <w:rPr>
          <w:color w:val="000000"/>
          <w:sz w:val="28"/>
          <w:szCs w:val="28"/>
        </w:rPr>
        <w:t>4.13. Списання основних засобів та інших необоротних активів (за винятком пошкоджених внаслідок аварії чи стихійного лиха, морально застарілих, фізично зношених та виявлених в результаті інвентаризації як недостача) до закінчення періоду нарахування зносу на них не може бути здійснено.</w:t>
      </w:r>
    </w:p>
    <w:p>
      <w:pPr>
        <w:pStyle w:val="Style19"/>
        <w:spacing w:lineRule="auto" w:line="240" w:before="0" w:after="0"/>
        <w:ind w:left="0" w:right="0" w:firstLine="567"/>
        <w:jc w:val="both"/>
        <w:rPr/>
      </w:pPr>
      <w:r>
        <w:rPr>
          <w:color w:val="000000"/>
          <w:sz w:val="28"/>
          <w:szCs w:val="28"/>
        </w:rPr>
        <w:t>4.14. Списання основних засобів проводиться за первісною або переоціненою вартістю (у разі проведення індексації або переоцінки матеріальних цінностей) та сумою накопиченої амортизації (зносу), які вказуються в усіх документах, пов'язаних зі списанням основних засобів (актах, дозволах, висновках спеціалістів та інших).</w:t>
      </w:r>
    </w:p>
    <w:p>
      <w:pPr>
        <w:pStyle w:val="3"/>
        <w:numPr>
          <w:ilvl w:val="2"/>
          <w:numId w:val="2"/>
        </w:numPr>
        <w:spacing w:lineRule="auto" w:line="240" w:before="0" w:after="0"/>
        <w:ind w:left="0" w:right="0" w:firstLine="567"/>
        <w:jc w:val="center"/>
        <w:rPr>
          <w:rFonts w:ascii="Times New Roman" w:hAnsi="Times New Roman"/>
          <w:color w:val="000000"/>
        </w:rPr>
      </w:pPr>
      <w:r>
        <w:rPr>
          <w:rFonts w:ascii="Times New Roman" w:hAnsi="Times New Roman"/>
          <w:color w:val="000000"/>
        </w:rPr>
      </w:r>
    </w:p>
    <w:p>
      <w:pPr>
        <w:pStyle w:val="3"/>
        <w:numPr>
          <w:ilvl w:val="2"/>
          <w:numId w:val="2"/>
        </w:numPr>
        <w:spacing w:lineRule="auto" w:line="240" w:before="0" w:after="0"/>
        <w:ind w:left="0" w:right="0" w:firstLine="567"/>
        <w:jc w:val="center"/>
        <w:rPr/>
      </w:pPr>
      <w:r>
        <w:rPr>
          <w:rFonts w:ascii="Times New Roman" w:hAnsi="Times New Roman"/>
          <w:color w:val="000000"/>
        </w:rPr>
        <w:t>5. Порядок списання майна шляхом безоплатної передачі</w:t>
      </w:r>
    </w:p>
    <w:p>
      <w:pPr>
        <w:pStyle w:val="Style19"/>
        <w:spacing w:lineRule="auto" w:line="240" w:before="0" w:after="0"/>
        <w:ind w:left="0" w:right="0" w:firstLine="567"/>
        <w:jc w:val="center"/>
        <w:rPr>
          <w:sz w:val="28"/>
          <w:szCs w:val="28"/>
        </w:rPr>
      </w:pPr>
      <w:r>
        <w:rPr>
          <w:sz w:val="28"/>
          <w:szCs w:val="28"/>
        </w:rPr>
      </w:r>
    </w:p>
    <w:p>
      <w:pPr>
        <w:pStyle w:val="Style19"/>
        <w:spacing w:lineRule="auto" w:line="240" w:before="0" w:after="0"/>
        <w:ind w:left="0" w:right="0" w:firstLine="567"/>
        <w:jc w:val="both"/>
        <w:rPr/>
      </w:pPr>
      <w:r>
        <w:rPr>
          <w:color w:val="000000"/>
          <w:sz w:val="28"/>
          <w:szCs w:val="28"/>
        </w:rPr>
        <w:t xml:space="preserve">5.1. Безоплатна передача майна, що є комунальною власністю Луцької міської територіальної громади, з комунальної власності до інших форм власності здійснюється відповідно до вимог </w:t>
      </w:r>
      <w:r>
        <w:rPr>
          <w:rFonts w:eastAsia="NSimSun" w:cs="Times New Roman"/>
          <w:color w:val="000000"/>
          <w:kern w:val="0"/>
          <w:sz w:val="28"/>
          <w:szCs w:val="28"/>
          <w:shd w:fill="auto" w:val="clear"/>
          <w:lang w:val="uk-UA" w:eastAsia="zh-CN" w:bidi="ar-SA"/>
        </w:rPr>
        <w:t>чинного</w:t>
      </w:r>
      <w:r>
        <w:rPr>
          <w:color w:val="000000"/>
          <w:sz w:val="28"/>
          <w:szCs w:val="28"/>
        </w:rPr>
        <w:t xml:space="preserve"> законодавства з дозволу міської ради.</w:t>
      </w:r>
    </w:p>
    <w:p>
      <w:pPr>
        <w:pStyle w:val="Style19"/>
        <w:spacing w:lineRule="auto" w:line="240" w:before="0" w:after="0"/>
        <w:ind w:left="0" w:right="0" w:firstLine="567"/>
        <w:jc w:val="both"/>
        <w:rPr/>
      </w:pPr>
      <w:r>
        <w:rPr>
          <w:color w:val="000000"/>
          <w:sz w:val="28"/>
          <w:szCs w:val="28"/>
        </w:rPr>
        <w:t>5.2. Безоплатна передача майна, яке належить до комунальної власності Луцької міської територіальної громади в межах міської комунальної власності, здійснюється Підприємством, на балансі якого воно перебуває, після отримання на це відповідного дозволу, який надається:</w:t>
      </w:r>
    </w:p>
    <w:p>
      <w:pPr>
        <w:pStyle w:val="Style19"/>
        <w:spacing w:lineRule="auto" w:line="240" w:before="0" w:after="0"/>
        <w:ind w:left="0" w:right="0" w:firstLine="567"/>
        <w:jc w:val="both"/>
        <w:rPr/>
      </w:pPr>
      <w:r>
        <w:rPr>
          <w:color w:val="000000"/>
          <w:sz w:val="28"/>
          <w:szCs w:val="28"/>
        </w:rPr>
        <w:t>на безоплатну передачу основних засобів, первісна (переоцінена) вартість яких становить більш як 20,0 тис. грн − міською радою;</w:t>
      </w:r>
    </w:p>
    <w:p>
      <w:pPr>
        <w:pStyle w:val="Style19"/>
        <w:spacing w:lineRule="auto" w:line="240" w:before="0" w:after="0"/>
        <w:ind w:left="0" w:right="0" w:firstLine="567"/>
        <w:jc w:val="both"/>
        <w:rPr/>
      </w:pPr>
      <w:r>
        <w:rPr>
          <w:color w:val="000000"/>
          <w:sz w:val="28"/>
          <w:szCs w:val="28"/>
        </w:rPr>
        <w:t>на безоплатну передачу основних засобів, первісна (переоцінена) вартість яких становить від 10,0 тис. грн до 20,0 тис. грн − виконавчим комітетом міської ради.</w:t>
      </w:r>
    </w:p>
    <w:p>
      <w:pPr>
        <w:pStyle w:val="Style19"/>
        <w:spacing w:lineRule="auto" w:line="240" w:before="0" w:after="0"/>
        <w:ind w:left="0" w:right="0" w:firstLine="567"/>
        <w:jc w:val="both"/>
        <w:rPr/>
      </w:pPr>
      <w:r>
        <w:rPr>
          <w:color w:val="000000"/>
          <w:sz w:val="28"/>
          <w:szCs w:val="28"/>
        </w:rPr>
        <w:t>Безоплатна передача основних засобів, первісна (переоцінена) вартість яких становить менш як 10,0 тис. грн, здійснюється за рішенням керівника Підприємства за погодженням з органом управління.</w:t>
      </w:r>
    </w:p>
    <w:p>
      <w:pPr>
        <w:pStyle w:val="Style19"/>
        <w:spacing w:lineRule="auto" w:line="240" w:before="0" w:after="0"/>
        <w:ind w:left="0" w:right="0" w:firstLine="567"/>
        <w:jc w:val="both"/>
        <w:rPr/>
      </w:pPr>
      <w:r>
        <w:rPr>
          <w:color w:val="000000"/>
          <w:sz w:val="28"/>
          <w:szCs w:val="28"/>
        </w:rPr>
        <w:t xml:space="preserve">Підприємства при безоплатній передачі майна, яке не належить до основних засобів, повинні керуватися нормами </w:t>
      </w:r>
      <w:r>
        <w:rPr>
          <w:rFonts w:eastAsia="NSimSun" w:cs="Times New Roman"/>
          <w:color w:val="000000"/>
          <w:kern w:val="0"/>
          <w:sz w:val="28"/>
          <w:szCs w:val="28"/>
          <w:shd w:fill="auto" w:val="clear"/>
          <w:lang w:val="uk-UA" w:eastAsia="zh-CN" w:bidi="ar-SA"/>
        </w:rPr>
        <w:t>чинного</w:t>
      </w:r>
      <w:r>
        <w:rPr>
          <w:color w:val="000000"/>
          <w:sz w:val="28"/>
          <w:szCs w:val="28"/>
        </w:rPr>
        <w:t xml:space="preserve"> законодавства і проводити їх передачу на підставі акту приймання-передачі майна, затвердженого керівником, за погодженням з органом управління, якому воно підпорядковується, без оформлення додаткової згоди. При цьому керівник контролює процес безоплатної передачі та несе відповідальність за достовірність та правильність складених документів.</w:t>
      </w:r>
    </w:p>
    <w:p>
      <w:pPr>
        <w:pStyle w:val="Style19"/>
        <w:spacing w:lineRule="auto" w:line="240" w:before="0" w:after="0"/>
        <w:ind w:left="0" w:right="0" w:firstLine="567"/>
        <w:jc w:val="both"/>
        <w:rPr/>
      </w:pPr>
      <w:r>
        <w:rPr>
          <w:color w:val="000000"/>
          <w:sz w:val="28"/>
          <w:szCs w:val="28"/>
        </w:rPr>
        <w:t>5.3. З метою отримання дозволу на безоплатну передачу майна до міської ради необхідно подати:</w:t>
      </w:r>
    </w:p>
    <w:p>
      <w:pPr>
        <w:pStyle w:val="Style19"/>
        <w:spacing w:lineRule="auto" w:line="240" w:before="0" w:after="0"/>
        <w:ind w:left="0" w:right="0" w:firstLine="567"/>
        <w:jc w:val="both"/>
        <w:rPr/>
      </w:pPr>
      <w:r>
        <w:rPr>
          <w:color w:val="000000"/>
          <w:sz w:val="28"/>
          <w:szCs w:val="28"/>
        </w:rPr>
        <w:t>звернення стосовно безоплатної передачі майна з обґрунтуванням необхідності та доцільності, погоджене органом управління;</w:t>
      </w:r>
    </w:p>
    <w:p>
      <w:pPr>
        <w:pStyle w:val="Style19"/>
        <w:spacing w:lineRule="auto" w:line="240" w:before="0" w:after="0"/>
        <w:ind w:left="0" w:right="0" w:firstLine="567"/>
        <w:jc w:val="both"/>
        <w:rPr/>
      </w:pPr>
      <w:r>
        <w:rPr>
          <w:color w:val="000000"/>
          <w:sz w:val="28"/>
          <w:szCs w:val="28"/>
        </w:rPr>
        <w:t>відомості про майно, що пропонується до списання (крім об'єктів незавершеного будівництва) (додаток 1);</w:t>
      </w:r>
    </w:p>
    <w:p>
      <w:pPr>
        <w:pStyle w:val="Style19"/>
        <w:spacing w:lineRule="auto" w:line="240" w:before="0" w:after="0"/>
        <w:ind w:left="0" w:right="0" w:firstLine="567"/>
        <w:jc w:val="both"/>
        <w:rPr/>
      </w:pPr>
      <w:r>
        <w:rPr>
          <w:color w:val="000000"/>
          <w:sz w:val="28"/>
          <w:szCs w:val="28"/>
        </w:rPr>
        <w:t>акт інвентаризації майна комунальної власності, що пропонується до списання (додаток 2);</w:t>
      </w:r>
    </w:p>
    <w:p>
      <w:pPr>
        <w:pStyle w:val="Style19"/>
        <w:spacing w:lineRule="auto" w:line="240" w:before="0" w:after="0"/>
        <w:ind w:left="0" w:right="0" w:firstLine="567"/>
        <w:jc w:val="both"/>
        <w:rPr/>
      </w:pPr>
      <w:r>
        <w:rPr>
          <w:color w:val="000000"/>
          <w:sz w:val="28"/>
          <w:szCs w:val="28"/>
        </w:rPr>
        <w:t>акт технічного стану майна, затверджений керівником Підприємства (не подається у разі списання майна, виявленого в результаті інвентаризації як нестача);</w:t>
      </w:r>
    </w:p>
    <w:p>
      <w:pPr>
        <w:pStyle w:val="Style19"/>
        <w:spacing w:lineRule="auto" w:line="240" w:before="0" w:after="0"/>
        <w:ind w:left="0" w:right="0" w:firstLine="567"/>
        <w:jc w:val="both"/>
        <w:rPr/>
      </w:pPr>
      <w:r>
        <w:rPr>
          <w:color w:val="000000"/>
          <w:sz w:val="28"/>
          <w:szCs w:val="28"/>
        </w:rPr>
        <w:t>при безоплатній передачі транспортного засобу, крім зазначених вище документів, завірену належним чином копію технічного паспорта;</w:t>
      </w:r>
    </w:p>
    <w:p>
      <w:pPr>
        <w:pStyle w:val="Style19"/>
        <w:spacing w:lineRule="auto" w:line="240" w:before="0" w:after="0"/>
        <w:ind w:left="0" w:right="0" w:firstLine="567"/>
        <w:jc w:val="both"/>
        <w:rPr/>
      </w:pPr>
      <w:r>
        <w:rPr>
          <w:color w:val="000000"/>
          <w:sz w:val="28"/>
          <w:szCs w:val="28"/>
        </w:rPr>
        <w:t>при безоплатній передачі об'єктів незавершеного будівництва відомості про об'єкти незавершеного будівництва, а саме: дата початку і припинення будівництва, затверджена загальна вартість, вартість робіт, виконаних станом на дату припинення будівництва (ким і коли затверджено завдання на проектування, загальна кошторисна вартість проектно-вишукувальних робіт, кошторисна вартість проектно-вишукувальних робіт, виконаних до їх припинення, стадії виконання робіт).</w:t>
      </w:r>
    </w:p>
    <w:p>
      <w:pPr>
        <w:pStyle w:val="Style19"/>
        <w:spacing w:lineRule="auto" w:line="240" w:before="0" w:after="0"/>
        <w:ind w:left="0" w:right="0" w:firstLine="567"/>
        <w:jc w:val="both"/>
        <w:rPr/>
      </w:pPr>
      <w:r>
        <w:rPr>
          <w:color w:val="000000"/>
          <w:sz w:val="28"/>
          <w:szCs w:val="28"/>
        </w:rPr>
        <w:t>Керівник Підприємства несе відповідальність за зміст наданих документів та достовірність наведених у них даних.</w:t>
      </w:r>
    </w:p>
    <w:p>
      <w:pPr>
        <w:pStyle w:val="Style19"/>
        <w:spacing w:lineRule="auto" w:line="240" w:before="0" w:after="0"/>
        <w:ind w:left="0" w:right="0" w:firstLine="567"/>
        <w:jc w:val="both"/>
        <w:rPr/>
      </w:pPr>
      <w:r>
        <w:rPr>
          <w:color w:val="000000"/>
          <w:sz w:val="28"/>
          <w:szCs w:val="28"/>
        </w:rPr>
        <w:t>Прийняття рішення про надання чи відмову в наданні дозволу на безоплатну передачу майна, яке належить до комунальної власності Луцької міської територіальної громади, створення комісії з прийняття-передачі та здійснення безоплатної передачі майна з балансів комунальних установ та закладів здійснюється відповідно до норм даного Положення.</w:t>
      </w:r>
    </w:p>
    <w:p>
      <w:pPr>
        <w:pStyle w:val="Style19"/>
        <w:spacing w:lineRule="auto" w:line="240" w:before="0" w:after="0"/>
        <w:ind w:left="0" w:right="0" w:firstLine="567"/>
        <w:jc w:val="both"/>
        <w:rPr/>
      </w:pPr>
      <w:r>
        <w:rPr>
          <w:color w:val="000000"/>
          <w:sz w:val="28"/>
          <w:szCs w:val="28"/>
        </w:rPr>
        <w:t>Приймання-передача комунального майна оформляється актом приймання-передачі.</w:t>
      </w:r>
    </w:p>
    <w:p>
      <w:pPr>
        <w:pStyle w:val="Style19"/>
        <w:spacing w:lineRule="auto" w:line="240" w:before="0" w:after="0"/>
        <w:ind w:left="0" w:right="0" w:firstLine="567"/>
        <w:jc w:val="both"/>
        <w:rPr>
          <w:color w:val="000000"/>
          <w:sz w:val="28"/>
          <w:szCs w:val="28"/>
        </w:rPr>
      </w:pPr>
      <w:r>
        <w:rPr>
          <w:color w:val="000000"/>
          <w:sz w:val="28"/>
          <w:szCs w:val="28"/>
        </w:rPr>
      </w:r>
    </w:p>
    <w:p>
      <w:pPr>
        <w:pStyle w:val="3"/>
        <w:numPr>
          <w:ilvl w:val="2"/>
          <w:numId w:val="2"/>
        </w:numPr>
        <w:spacing w:lineRule="auto" w:line="240" w:before="0" w:after="0"/>
        <w:ind w:left="0" w:right="0" w:firstLine="567"/>
        <w:jc w:val="center"/>
        <w:rPr/>
      </w:pPr>
      <w:r>
        <w:rPr>
          <w:rFonts w:ascii="Times New Roman" w:hAnsi="Times New Roman"/>
          <w:color w:val="000000"/>
        </w:rPr>
        <w:t>6. Порядок списання майна шляхом відчуження</w:t>
      </w:r>
    </w:p>
    <w:p>
      <w:pPr>
        <w:pStyle w:val="3"/>
        <w:numPr>
          <w:ilvl w:val="2"/>
          <w:numId w:val="2"/>
        </w:numPr>
        <w:spacing w:lineRule="auto" w:line="240" w:before="0" w:after="0"/>
        <w:ind w:left="0" w:right="0" w:firstLine="567"/>
        <w:jc w:val="center"/>
        <w:rPr/>
      </w:pPr>
      <w:r>
        <w:rPr>
          <w:rFonts w:ascii="Times New Roman" w:hAnsi="Times New Roman"/>
          <w:color w:val="000000"/>
        </w:rPr>
        <w:t>(продаж рухомого майна)</w:t>
      </w:r>
    </w:p>
    <w:p>
      <w:pPr>
        <w:pStyle w:val="Style19"/>
        <w:spacing w:lineRule="auto" w:line="240" w:before="0" w:after="0"/>
        <w:ind w:left="0" w:right="0" w:firstLine="567"/>
        <w:jc w:val="center"/>
        <w:rPr>
          <w:sz w:val="28"/>
          <w:szCs w:val="28"/>
        </w:rPr>
      </w:pPr>
      <w:r>
        <w:rPr>
          <w:sz w:val="28"/>
          <w:szCs w:val="28"/>
        </w:rPr>
      </w:r>
    </w:p>
    <w:p>
      <w:pPr>
        <w:pStyle w:val="Style19"/>
        <w:spacing w:lineRule="auto" w:line="240" w:before="0" w:after="0"/>
        <w:ind w:left="0" w:right="0" w:firstLine="567"/>
        <w:jc w:val="both"/>
        <w:rPr/>
      </w:pPr>
      <w:r>
        <w:rPr>
          <w:color w:val="000000"/>
          <w:sz w:val="28"/>
          <w:szCs w:val="28"/>
        </w:rPr>
        <w:t>6.1. Списання майна шляхом відчуження (продажу) здійснюється безпосередньо Підприємством, на балансі якого воно перебуває, лише після надання на це дозволу Луцької міської ради.</w:t>
      </w:r>
    </w:p>
    <w:p>
      <w:pPr>
        <w:pStyle w:val="Style19"/>
        <w:spacing w:lineRule="auto" w:line="240" w:before="0" w:after="0"/>
        <w:ind w:left="0" w:right="0" w:firstLine="567"/>
        <w:jc w:val="both"/>
        <w:rPr/>
      </w:pPr>
      <w:r>
        <w:rPr>
          <w:color w:val="000000"/>
          <w:sz w:val="28"/>
          <w:szCs w:val="28"/>
        </w:rPr>
        <w:t>6.2. Відчуження майна не має обмежувати провадження суб'єктом господарювання виробничої та іншої діяльності. Відчуження можливе, якщо відповідно до економічних, технічних (або інших) показників подальше використання майна є неможливим та/або економічно недоцільним.</w:t>
      </w:r>
    </w:p>
    <w:p>
      <w:pPr>
        <w:pStyle w:val="Style19"/>
        <w:spacing w:lineRule="auto" w:line="240" w:before="0" w:after="0"/>
        <w:ind w:left="0" w:right="0" w:firstLine="567"/>
        <w:jc w:val="both"/>
        <w:rPr/>
      </w:pPr>
      <w:r>
        <w:rPr>
          <w:color w:val="000000"/>
          <w:sz w:val="28"/>
          <w:szCs w:val="28"/>
        </w:rPr>
        <w:t>6.3. Строк подання заяви з документами на розгляд міської ради не може перевищувати 2-х місяців від дати оцінки майна.</w:t>
      </w:r>
    </w:p>
    <w:p>
      <w:pPr>
        <w:pStyle w:val="Style19"/>
        <w:spacing w:lineRule="auto" w:line="240" w:before="0" w:after="0"/>
        <w:ind w:left="0" w:right="0" w:firstLine="567"/>
        <w:jc w:val="both"/>
        <w:rPr/>
      </w:pPr>
      <w:r>
        <w:rPr>
          <w:color w:val="000000"/>
          <w:sz w:val="28"/>
          <w:szCs w:val="28"/>
        </w:rPr>
        <w:t>6.4. Для підготовки дозволу на відчуження до Луцької міської ради необхідно надати наступні документи:</w:t>
      </w:r>
    </w:p>
    <w:p>
      <w:pPr>
        <w:pStyle w:val="Style19"/>
        <w:spacing w:lineRule="auto" w:line="240" w:before="0" w:after="0"/>
        <w:ind w:left="0" w:right="0" w:firstLine="567"/>
        <w:jc w:val="both"/>
        <w:rPr/>
      </w:pPr>
      <w:r>
        <w:rPr>
          <w:color w:val="000000"/>
          <w:sz w:val="28"/>
          <w:szCs w:val="28"/>
        </w:rPr>
        <w:t>звернення підприємства з техніко-економічним обґрунтуванням доцільності відчуження майна, в якому містяться економічні та/або технічні розрахунки, інформація про очікуваний фінансовий результат відчуження майна та про те, як воно вплине на фінансовий план, а також напрями використання коштів, які передбачається одержати в результаті відчуження;</w:t>
      </w:r>
    </w:p>
    <w:p>
      <w:pPr>
        <w:pStyle w:val="Style19"/>
        <w:spacing w:lineRule="auto" w:line="240" w:before="0" w:after="0"/>
        <w:ind w:left="0" w:right="0" w:firstLine="567"/>
        <w:jc w:val="both"/>
        <w:rPr/>
      </w:pPr>
      <w:r>
        <w:rPr>
          <w:color w:val="000000"/>
          <w:sz w:val="28"/>
          <w:szCs w:val="28"/>
        </w:rPr>
        <w:t>протокол засідання Комісії із належними додатками;</w:t>
      </w:r>
    </w:p>
    <w:p>
      <w:pPr>
        <w:pStyle w:val="Style19"/>
        <w:spacing w:lineRule="auto" w:line="240" w:before="0" w:after="0"/>
        <w:ind w:left="0" w:right="0" w:firstLine="567"/>
        <w:jc w:val="both"/>
        <w:rPr/>
      </w:pPr>
      <w:r>
        <w:rPr>
          <w:color w:val="000000"/>
          <w:sz w:val="28"/>
          <w:szCs w:val="28"/>
        </w:rPr>
        <w:t>відомості про майно, що пропонується до списання (додаток 1), згідно з даними бухгалтерського обліку;</w:t>
      </w:r>
    </w:p>
    <w:p>
      <w:pPr>
        <w:pStyle w:val="Style19"/>
        <w:spacing w:lineRule="auto" w:line="240" w:before="0" w:after="0"/>
        <w:ind w:left="0" w:right="0" w:firstLine="567"/>
        <w:jc w:val="both"/>
        <w:rPr/>
      </w:pPr>
      <w:r>
        <w:rPr>
          <w:color w:val="000000"/>
          <w:sz w:val="28"/>
          <w:szCs w:val="28"/>
        </w:rPr>
        <w:t>звіт про експертну оцінку вартості основних засобів;</w:t>
      </w:r>
    </w:p>
    <w:p>
      <w:pPr>
        <w:pStyle w:val="Style19"/>
        <w:spacing w:lineRule="auto" w:line="240" w:before="0" w:after="0"/>
        <w:ind w:left="0" w:right="0" w:firstLine="567"/>
        <w:jc w:val="both"/>
        <w:rPr/>
      </w:pPr>
      <w:r>
        <w:rPr>
          <w:color w:val="000000"/>
          <w:sz w:val="28"/>
          <w:szCs w:val="28"/>
        </w:rPr>
        <w:t>лист-погодження органу управління;</w:t>
      </w:r>
    </w:p>
    <w:p>
      <w:pPr>
        <w:pStyle w:val="Style19"/>
        <w:spacing w:lineRule="auto" w:line="240" w:before="0" w:after="0"/>
        <w:ind w:left="0" w:right="0" w:firstLine="567"/>
        <w:jc w:val="both"/>
        <w:rPr/>
      </w:pPr>
      <w:r>
        <w:rPr>
          <w:color w:val="000000"/>
          <w:sz w:val="28"/>
          <w:szCs w:val="28"/>
        </w:rPr>
        <w:t>у разі відчуження транспортного засобу − завірену копію технічного паспорта;</w:t>
      </w:r>
    </w:p>
    <w:p>
      <w:pPr>
        <w:pStyle w:val="Style19"/>
        <w:spacing w:lineRule="auto" w:line="240" w:before="0" w:after="0"/>
        <w:ind w:left="0" w:right="0" w:firstLine="567"/>
        <w:jc w:val="both"/>
        <w:rPr/>
      </w:pPr>
      <w:r>
        <w:rPr>
          <w:color w:val="000000"/>
          <w:sz w:val="28"/>
          <w:szCs w:val="28"/>
        </w:rPr>
        <w:t>відомості про наявність обтяжень чи обмежень стосовно розпорядження майном, яке пропонується до відчуження (разом з відповідними підтверджуючими документами).</w:t>
      </w:r>
    </w:p>
    <w:p>
      <w:pPr>
        <w:pStyle w:val="Style19"/>
        <w:spacing w:lineRule="auto" w:line="240" w:before="0" w:after="0"/>
        <w:ind w:left="0" w:right="0" w:firstLine="567"/>
        <w:jc w:val="both"/>
        <w:rPr/>
      </w:pPr>
      <w:r>
        <w:rPr>
          <w:color w:val="000000"/>
          <w:sz w:val="28"/>
          <w:szCs w:val="28"/>
        </w:rPr>
        <w:t>6.5. У разі потреби можуть бути затребувані додаткові документи, необхідні для прийняття рішення (технічні паспорти, витяги з реєстрів, висновки спеціалізованих організацій, договори (проєкти договорів) тощо).</w:t>
      </w:r>
    </w:p>
    <w:p>
      <w:pPr>
        <w:pStyle w:val="Style19"/>
        <w:spacing w:lineRule="auto" w:line="240" w:before="0" w:after="0"/>
        <w:ind w:left="0" w:right="0" w:firstLine="567"/>
        <w:jc w:val="both"/>
        <w:rPr/>
      </w:pPr>
      <w:r>
        <w:rPr>
          <w:color w:val="000000"/>
          <w:sz w:val="28"/>
          <w:szCs w:val="28"/>
        </w:rPr>
        <w:t>6.6. Після проведення оцінки Підприємству забороняється здійснювати дії щодо об'єкта відчуження, які можуть призвести до зміни його вартості.</w:t>
      </w:r>
    </w:p>
    <w:p>
      <w:pPr>
        <w:pStyle w:val="Style19"/>
        <w:spacing w:lineRule="auto" w:line="240" w:before="0" w:after="0"/>
        <w:ind w:left="0" w:right="0" w:firstLine="567"/>
        <w:jc w:val="both"/>
        <w:rPr/>
      </w:pPr>
      <w:r>
        <w:rPr>
          <w:color w:val="000000"/>
          <w:sz w:val="28"/>
          <w:szCs w:val="28"/>
        </w:rPr>
        <w:t>У разі виявлення у документах недоліків (наявність суперечностей та/або неповної чи неточної інформації про основні засоби (рухоме майно), які пропонуються до відчуження) пропонується Заявнику усунути протягом 25 робочих днів такі недоліки і подати доопрацьовані документи, про що повідомляють йому листом у строки встановлені чинним законодавством.</w:t>
      </w:r>
    </w:p>
    <w:p>
      <w:pPr>
        <w:pStyle w:val="Style19"/>
        <w:spacing w:lineRule="auto" w:line="240" w:before="0" w:after="0"/>
        <w:ind w:left="0" w:right="0" w:firstLine="567"/>
        <w:jc w:val="both"/>
        <w:rPr/>
      </w:pPr>
      <w:r>
        <w:rPr>
          <w:color w:val="000000"/>
          <w:sz w:val="28"/>
          <w:szCs w:val="28"/>
        </w:rPr>
        <w:t>6.7. Висновок про вартість основних засобів (рухомого майна), які пропонуються до відчуження, затверджується рішенням виконавчого комітету міської ради.</w:t>
      </w:r>
    </w:p>
    <w:p>
      <w:pPr>
        <w:pStyle w:val="Style19"/>
        <w:spacing w:lineRule="auto" w:line="240" w:before="0" w:after="0"/>
        <w:ind w:left="0" w:right="0" w:firstLine="567"/>
        <w:jc w:val="both"/>
        <w:rPr/>
      </w:pPr>
      <w:r>
        <w:rPr>
          <w:color w:val="000000"/>
          <w:sz w:val="28"/>
          <w:szCs w:val="28"/>
        </w:rPr>
        <w:t>6.8. Оцінка основних засобів (рухомого майна), які пропонуються до відчуження, проводиться на підставі договору між суб'єктом оціночної діяльності (оцінювачем) та замовником оцінки.</w:t>
      </w:r>
    </w:p>
    <w:p>
      <w:pPr>
        <w:pStyle w:val="Style19"/>
        <w:spacing w:lineRule="auto" w:line="240" w:before="0" w:after="0"/>
        <w:ind w:left="0" w:right="0" w:firstLine="567"/>
        <w:jc w:val="both"/>
        <w:rPr/>
      </w:pPr>
      <w:r>
        <w:rPr>
          <w:color w:val="000000"/>
          <w:sz w:val="28"/>
          <w:szCs w:val="28"/>
        </w:rPr>
        <w:t>Заявник виступає замовником незалежної оцінки основних засобів (рухомого майна), які пропонуються до відчуження. Заявник самостійно визначає суб'єкта оціночної діяльності (оцінювача) та за власні кошти замовляє звіт про оцінку майна, що пропонується до відчуження, з висновком про вартість майна та рецензію на звіт про оцінку майна. Для затвердження висновку про вартість майна, яке пропонується до відчуження (продажу рухомого майна), Заявник надає звіт про оцінку основних засобів (рухомого майна) з висновком про вартість основних засобів (рухомого майна) та рецензію на звіт про оцінку основних засобів (рухомого майна).</w:t>
      </w:r>
    </w:p>
    <w:p>
      <w:pPr>
        <w:pStyle w:val="Style19"/>
        <w:spacing w:lineRule="auto" w:line="240" w:before="0" w:after="0"/>
        <w:ind w:left="0" w:right="0" w:firstLine="567"/>
        <w:jc w:val="both"/>
        <w:rPr/>
      </w:pPr>
      <w:r>
        <w:rPr>
          <w:color w:val="000000"/>
          <w:sz w:val="28"/>
          <w:szCs w:val="28"/>
        </w:rPr>
        <w:t>Незалежна оцінка основних засобів (рухомого майна), яке пропонується до відчуження, та рецензування звіту про оцінку майна проводиться відповідно до законодавства про оцінку майна, майнових прав та професійну оціночну діяльність.</w:t>
      </w:r>
    </w:p>
    <w:p>
      <w:pPr>
        <w:pStyle w:val="Style19"/>
        <w:spacing w:lineRule="auto" w:line="240" w:before="0" w:after="0"/>
        <w:ind w:left="0" w:right="0" w:firstLine="567"/>
        <w:jc w:val="both"/>
        <w:rPr/>
      </w:pPr>
      <w:r>
        <w:rPr>
          <w:color w:val="000000"/>
          <w:sz w:val="28"/>
          <w:szCs w:val="28"/>
        </w:rPr>
        <w:t>6.9. Затвердження висновку про вартість основних засобів (рухомого майна), які пропонуються до відчуження, здійснюється не пізніше двох місяців з дати оцінки такого майна. У разі перевищення цього строку проводиться оцінка основних засобів (рухомого манна) на нову дату оцінки.</w:t>
      </w:r>
    </w:p>
    <w:p>
      <w:pPr>
        <w:pStyle w:val="Style19"/>
        <w:spacing w:lineRule="auto" w:line="240" w:before="0" w:after="0"/>
        <w:ind w:left="0" w:right="0" w:firstLine="567"/>
        <w:jc w:val="both"/>
        <w:rPr/>
      </w:pPr>
      <w:r>
        <w:rPr>
          <w:color w:val="000000"/>
          <w:sz w:val="28"/>
          <w:szCs w:val="28"/>
        </w:rPr>
        <w:t>Затверджений висновок про вартість основних засобів (рухомого майна) діє не більш як шість місяців з дати його затвердження.</w:t>
      </w:r>
    </w:p>
    <w:p>
      <w:pPr>
        <w:pStyle w:val="Style19"/>
        <w:spacing w:lineRule="auto" w:line="240" w:before="0" w:after="0"/>
        <w:ind w:left="0" w:right="0" w:firstLine="567"/>
        <w:jc w:val="both"/>
        <w:rPr/>
      </w:pPr>
      <w:r>
        <w:rPr>
          <w:color w:val="000000"/>
          <w:sz w:val="28"/>
          <w:szCs w:val="28"/>
        </w:rPr>
        <w:t>6.10. Термін прийняття рішення про надання чи відмову в наданні дозволу щодо відчуження основних засобів (рухомого майна) не повинен перевищувати 45 робочих днів від часу надходження повного комплекту документів, потрібних для підготовки відповідного проєкту рішення міської ради.</w:t>
      </w:r>
    </w:p>
    <w:p>
      <w:pPr>
        <w:pStyle w:val="Style19"/>
        <w:spacing w:lineRule="auto" w:line="240" w:before="0" w:after="0"/>
        <w:ind w:left="0" w:right="0" w:firstLine="567"/>
        <w:jc w:val="both"/>
        <w:rPr/>
      </w:pPr>
      <w:r>
        <w:rPr>
          <w:color w:val="000000"/>
          <w:sz w:val="28"/>
          <w:szCs w:val="28"/>
        </w:rPr>
        <w:t>Рішення міської ради про надання дозволу на відчуження основних засобів (рухомого майна) дійсне до закінчення строку дії затвердженого висновку про вартість такого майна.</w:t>
      </w:r>
    </w:p>
    <w:p>
      <w:pPr>
        <w:pStyle w:val="Style19"/>
        <w:spacing w:lineRule="auto" w:line="240" w:before="0" w:after="0"/>
        <w:ind w:left="0" w:right="0" w:firstLine="567"/>
        <w:jc w:val="both"/>
        <w:rPr/>
      </w:pPr>
      <w:r>
        <w:rPr>
          <w:color w:val="000000"/>
          <w:sz w:val="28"/>
          <w:szCs w:val="28"/>
        </w:rPr>
        <w:t>6.11. Початкова вартість продажу основних засобів (рухомого майна) встановлюється на підставі затвердженого висновку про вартість такого майна.</w:t>
      </w:r>
    </w:p>
    <w:p>
      <w:pPr>
        <w:pStyle w:val="Style19"/>
        <w:spacing w:lineRule="auto" w:line="240" w:before="0" w:after="0"/>
        <w:ind w:left="0" w:right="0" w:firstLine="567"/>
        <w:jc w:val="both"/>
        <w:rPr/>
      </w:pPr>
      <w:r>
        <w:rPr>
          <w:color w:val="000000"/>
          <w:sz w:val="28"/>
          <w:szCs w:val="28"/>
        </w:rPr>
        <w:t>6.12. Відчуження основних засобів (рухомого майна) здійснюється шляхом його продажу на аукціоні, який проводиться організатором аукціону − юридичною особою, зареєстрованою у встановленому законом порядку, що має право здійснювати продаж майна шляхом проведення аукціону.</w:t>
      </w:r>
    </w:p>
    <w:p>
      <w:pPr>
        <w:pStyle w:val="Style19"/>
        <w:spacing w:lineRule="auto" w:line="240" w:before="0" w:after="0"/>
        <w:ind w:left="0" w:right="0" w:firstLine="567"/>
        <w:jc w:val="both"/>
        <w:rPr/>
      </w:pPr>
      <w:r>
        <w:rPr>
          <w:color w:val="000000"/>
          <w:sz w:val="28"/>
          <w:szCs w:val="28"/>
        </w:rPr>
        <w:t>Організатором аукціону виступає відділ комунального майна Луцької міської ради спільно із заявниками, що подали матеріали на списання майна шляхом відчуження (продаж рухомого майна). Аукціон проводиться за потреби, але не більше 1 разу на місяць, з включенням усіх лотів, щодо яких надійшли заявки від суб'єктів господарювання, з обов'язковою публікацією на офіційному веб-сайті Луцької міської ради.</w:t>
      </w:r>
    </w:p>
    <w:p>
      <w:pPr>
        <w:pStyle w:val="Style19"/>
        <w:spacing w:lineRule="auto" w:line="240" w:before="0" w:after="0"/>
        <w:ind w:left="0" w:right="0" w:firstLine="567"/>
        <w:jc w:val="both"/>
        <w:rPr/>
      </w:pPr>
      <w:r>
        <w:rPr>
          <w:color w:val="000000"/>
          <w:sz w:val="28"/>
          <w:szCs w:val="28"/>
        </w:rPr>
        <w:t>Організатор аукціону відповідає за проведення аукціону та дотримання умов участі учасників (покупців) в аукціоні.</w:t>
      </w:r>
    </w:p>
    <w:p>
      <w:pPr>
        <w:pStyle w:val="Style19"/>
        <w:spacing w:lineRule="auto" w:line="240" w:before="0" w:after="0"/>
        <w:ind w:left="0" w:right="0" w:firstLine="567"/>
        <w:jc w:val="both"/>
        <w:rPr/>
      </w:pPr>
      <w:r>
        <w:rPr>
          <w:color w:val="000000"/>
          <w:sz w:val="28"/>
          <w:szCs w:val="28"/>
        </w:rPr>
        <w:t>Строк призначення аукціону не повинен перевищувати шість місяців з дати затвердження висновку про вартість основних засобів (рухомого майна).</w:t>
      </w:r>
    </w:p>
    <w:p>
      <w:pPr>
        <w:pStyle w:val="Style19"/>
        <w:spacing w:lineRule="auto" w:line="240" w:before="0" w:after="0"/>
        <w:ind w:left="0" w:right="0" w:firstLine="567"/>
        <w:jc w:val="both"/>
        <w:rPr/>
      </w:pPr>
      <w:r>
        <w:rPr>
          <w:color w:val="000000"/>
          <w:sz w:val="28"/>
          <w:szCs w:val="28"/>
        </w:rPr>
        <w:t>Під час аукціону ведеться протокол, який підписується організатором та переможцем аукціону (його представником).</w:t>
      </w:r>
    </w:p>
    <w:p>
      <w:pPr>
        <w:pStyle w:val="Style19"/>
        <w:spacing w:lineRule="auto" w:line="240" w:before="0" w:after="0"/>
        <w:ind w:left="0" w:right="0" w:firstLine="567"/>
        <w:jc w:val="both"/>
        <w:rPr/>
      </w:pPr>
      <w:r>
        <w:rPr>
          <w:color w:val="000000"/>
          <w:sz w:val="28"/>
          <w:szCs w:val="28"/>
        </w:rPr>
        <w:t>Організатор аукціону надсилає протягом трьох робочих днів після проведення аукціону протокол Заявнику, на балансі якого перебувають основні засоби (рухоме майно).</w:t>
      </w:r>
    </w:p>
    <w:p>
      <w:pPr>
        <w:pStyle w:val="Style19"/>
        <w:spacing w:lineRule="auto" w:line="240" w:before="0" w:after="0"/>
        <w:ind w:left="0" w:right="0" w:firstLine="567"/>
        <w:jc w:val="both"/>
        <w:rPr/>
      </w:pPr>
      <w:r>
        <w:rPr>
          <w:color w:val="000000"/>
          <w:sz w:val="28"/>
          <w:szCs w:val="28"/>
        </w:rPr>
        <w:t>Заявник протягом десяти робочих днів з дати надходження від організатора аукціону протоколу затверджує його, а в разі порушення порядку проведення аукціону надсилає обґрунтовану відмову в такому затвердженні. Копії затвердженого протоколу чи відмови в його затвердженні подаються переможцю та організатору аукціону. Протокол, затверджений Заявником, є підставою для укладення протягом місяця з дати його затвердження договору купівлі-продажу між переможцем аукціону та Заявником.</w:t>
      </w:r>
    </w:p>
    <w:p>
      <w:pPr>
        <w:pStyle w:val="Style19"/>
        <w:spacing w:lineRule="auto" w:line="240" w:before="0" w:after="0"/>
        <w:ind w:left="0" w:right="0" w:firstLine="567"/>
        <w:jc w:val="both"/>
        <w:rPr/>
      </w:pPr>
      <w:r>
        <w:rPr>
          <w:color w:val="000000"/>
          <w:sz w:val="28"/>
          <w:szCs w:val="28"/>
        </w:rPr>
        <w:t>Якщо аукціон не відбувся, організатор аукціону протягом п'яти робочих днів з дати призначення аукціону письмово повідомляє про це Заявника.</w:t>
      </w:r>
    </w:p>
    <w:p>
      <w:pPr>
        <w:pStyle w:val="Style19"/>
        <w:spacing w:lineRule="auto" w:line="240" w:before="0" w:after="0"/>
        <w:ind w:left="0" w:right="0" w:firstLine="567"/>
        <w:jc w:val="both"/>
        <w:rPr/>
      </w:pPr>
      <w:r>
        <w:rPr>
          <w:color w:val="000000"/>
          <w:sz w:val="28"/>
          <w:szCs w:val="28"/>
        </w:rPr>
        <w:t>6.13. У разі коли основні засоби (рухоме майно) не продані, Заявник, на балансі якого перебуває таке майно, може звернутися до міської ради про проведення повторного їх продажу.</w:t>
      </w:r>
    </w:p>
    <w:p>
      <w:pPr>
        <w:pStyle w:val="Style19"/>
        <w:spacing w:lineRule="auto" w:line="240" w:before="0" w:after="0"/>
        <w:ind w:left="0" w:right="0" w:firstLine="567"/>
        <w:jc w:val="both"/>
        <w:rPr/>
      </w:pPr>
      <w:r>
        <w:rPr>
          <w:color w:val="000000"/>
          <w:sz w:val="28"/>
          <w:szCs w:val="28"/>
        </w:rPr>
        <w:t xml:space="preserve">У разі повторного проведення аукціону можлива зміна умов продажу, включаючи початкову вартість. У цьому разі початкову вартість продажу може бути зменшено не більш як </w:t>
      </w:r>
      <w:r>
        <w:rPr>
          <w:color w:val="000000"/>
          <w:sz w:val="28"/>
          <w:szCs w:val="28"/>
          <w:highlight w:val="white"/>
        </w:rPr>
        <w:t>на 30 % і тільки за згодою виконавчого комітету міської ради.</w:t>
      </w:r>
    </w:p>
    <w:p>
      <w:pPr>
        <w:pStyle w:val="Style19"/>
        <w:spacing w:lineRule="auto" w:line="240" w:before="0" w:after="0"/>
        <w:ind w:left="0" w:right="0" w:firstLine="567"/>
        <w:jc w:val="both"/>
        <w:rPr/>
      </w:pPr>
      <w:r>
        <w:rPr>
          <w:color w:val="000000"/>
          <w:sz w:val="28"/>
          <w:szCs w:val="28"/>
        </w:rPr>
        <w:t>Проєкт рішення про надання згоди на повторний продаж та зміну умов продажу основних засобів (рухомого майна) виноситься на розгляд міської ради на підставі поданих Заявником наступних документів:</w:t>
      </w:r>
    </w:p>
    <w:p>
      <w:pPr>
        <w:pStyle w:val="Style19"/>
        <w:spacing w:lineRule="auto" w:line="240" w:before="0" w:after="0"/>
        <w:ind w:left="0" w:right="0" w:firstLine="567"/>
        <w:jc w:val="both"/>
        <w:rPr/>
      </w:pPr>
      <w:r>
        <w:rPr>
          <w:color w:val="000000"/>
          <w:sz w:val="28"/>
          <w:szCs w:val="28"/>
        </w:rPr>
        <w:t>1. Звернення Заявника про повторний продаж та зміну умов продажу основних засобів (рухомого майна), включаючи початкову вартість.</w:t>
      </w:r>
    </w:p>
    <w:p>
      <w:pPr>
        <w:pStyle w:val="Style19"/>
        <w:spacing w:lineRule="auto" w:line="240" w:before="0" w:after="0"/>
        <w:ind w:left="0" w:right="0" w:firstLine="567"/>
        <w:jc w:val="both"/>
        <w:rPr/>
      </w:pPr>
      <w:r>
        <w:rPr>
          <w:color w:val="000000"/>
          <w:sz w:val="28"/>
          <w:szCs w:val="28"/>
        </w:rPr>
        <w:t>2. Повідомлення Заявника про те, що аукціон не відбувся, із зазначенням причин.</w:t>
      </w:r>
    </w:p>
    <w:p>
      <w:pPr>
        <w:pStyle w:val="Style19"/>
        <w:spacing w:lineRule="auto" w:line="240" w:before="0" w:after="0"/>
        <w:ind w:left="0" w:right="0" w:firstLine="567"/>
        <w:jc w:val="both"/>
        <w:rPr/>
      </w:pPr>
      <w:r>
        <w:rPr>
          <w:color w:val="000000"/>
          <w:sz w:val="28"/>
          <w:szCs w:val="28"/>
        </w:rPr>
        <w:t xml:space="preserve">6.14. Кошти, одержані внаслідок відчуження основних засобів (рухомого майна), спрямовуються відповідно до вимог чинного законодавства, за наявності у Підприємства заборгованості з виплати заробітної плати − в першу </w:t>
      </w:r>
      <w:r>
        <w:rPr>
          <w:color w:val="000000"/>
          <w:sz w:val="28"/>
          <w:szCs w:val="28"/>
          <w:highlight w:val="white"/>
        </w:rPr>
        <w:t>чергу на цільове погашення такої заборгованості, а також на погашення заборгованості за податками та зборами (обов'язковими платежами) до бюджетів та державних цільових</w:t>
      </w:r>
      <w:r>
        <w:rPr>
          <w:color w:val="000000"/>
          <w:sz w:val="28"/>
          <w:szCs w:val="28"/>
        </w:rPr>
        <w:t xml:space="preserve"> фондів, пов'язаних із заробітною платою.</w:t>
      </w:r>
    </w:p>
    <w:p>
      <w:pPr>
        <w:pStyle w:val="Style19"/>
        <w:spacing w:lineRule="auto" w:line="240" w:before="0" w:after="0"/>
        <w:ind w:left="0" w:right="0" w:firstLine="567"/>
        <w:jc w:val="both"/>
        <w:rPr/>
      </w:pPr>
      <w:r>
        <w:rPr>
          <w:color w:val="000000"/>
          <w:sz w:val="28"/>
          <w:szCs w:val="28"/>
        </w:rPr>
        <w:t>6.15. Звіт за результатами відчуження основних засобів та використання коштів (додаток 3) Підприємство зобов'язане подати до органу управління протягом 30 календарних днів з моменту реалізації майна.</w:t>
      </w:r>
    </w:p>
    <w:p>
      <w:pPr>
        <w:pStyle w:val="3"/>
        <w:numPr>
          <w:ilvl w:val="2"/>
          <w:numId w:val="2"/>
        </w:numPr>
        <w:spacing w:lineRule="auto" w:line="240" w:before="0" w:after="0"/>
        <w:ind w:left="0" w:right="0" w:firstLine="567"/>
        <w:jc w:val="center"/>
        <w:rPr>
          <w:rFonts w:ascii="Times New Roman" w:hAnsi="Times New Roman"/>
          <w:color w:val="000000"/>
        </w:rPr>
      </w:pPr>
      <w:r>
        <w:rPr>
          <w:rFonts w:ascii="Times New Roman" w:hAnsi="Times New Roman"/>
          <w:color w:val="000000"/>
        </w:rPr>
      </w:r>
    </w:p>
    <w:p>
      <w:pPr>
        <w:pStyle w:val="3"/>
        <w:numPr>
          <w:ilvl w:val="2"/>
          <w:numId w:val="2"/>
        </w:numPr>
        <w:spacing w:lineRule="auto" w:line="240" w:before="0" w:after="0"/>
        <w:ind w:left="0" w:right="0" w:firstLine="567"/>
        <w:jc w:val="center"/>
        <w:rPr/>
      </w:pPr>
      <w:r>
        <w:rPr>
          <w:rFonts w:ascii="Times New Roman" w:hAnsi="Times New Roman"/>
          <w:color w:val="000000"/>
        </w:rPr>
        <w:t>7. Прикінцеві положення</w:t>
      </w:r>
    </w:p>
    <w:p>
      <w:pPr>
        <w:pStyle w:val="Style19"/>
        <w:spacing w:lineRule="auto" w:line="240" w:before="0" w:after="0"/>
        <w:ind w:left="0" w:right="0" w:firstLine="567"/>
        <w:jc w:val="center"/>
        <w:rPr>
          <w:sz w:val="28"/>
          <w:szCs w:val="28"/>
        </w:rPr>
      </w:pPr>
      <w:r>
        <w:rPr>
          <w:sz w:val="28"/>
          <w:szCs w:val="28"/>
        </w:rPr>
      </w:r>
    </w:p>
    <w:p>
      <w:pPr>
        <w:pStyle w:val="Style19"/>
        <w:spacing w:lineRule="auto" w:line="240" w:before="0" w:after="0"/>
        <w:ind w:left="0" w:right="0" w:firstLine="567"/>
        <w:jc w:val="both"/>
        <w:rPr/>
      </w:pPr>
      <w:r>
        <w:rPr>
          <w:color w:val="000000"/>
          <w:sz w:val="28"/>
          <w:szCs w:val="28"/>
        </w:rPr>
        <w:t>7.1. Кошти, що надійшли в результаті списання основних засобів, залишаються в розпорядженні Підприємства.</w:t>
      </w:r>
    </w:p>
    <w:p>
      <w:pPr>
        <w:pStyle w:val="Style19"/>
        <w:spacing w:lineRule="auto" w:line="240" w:before="0" w:after="0"/>
        <w:ind w:left="0" w:right="0" w:firstLine="567"/>
        <w:jc w:val="both"/>
        <w:rPr/>
      </w:pPr>
      <w:r>
        <w:rPr>
          <w:color w:val="000000"/>
          <w:sz w:val="28"/>
          <w:szCs w:val="28"/>
        </w:rPr>
        <w:t>7.2. Посадові особи, які не вжили необхідних заходів для належного забезпечення утримання та збереження майна, несуть відповідальність згідно з чинним законодавством.</w:t>
      </w:r>
    </w:p>
    <w:p>
      <w:pPr>
        <w:pStyle w:val="Style19"/>
        <w:spacing w:lineRule="auto" w:line="240" w:before="0" w:after="0"/>
        <w:ind w:left="0" w:right="0" w:firstLine="567"/>
        <w:jc w:val="both"/>
        <w:rPr/>
      </w:pPr>
      <w:r>
        <w:rPr>
          <w:color w:val="000000"/>
          <w:sz w:val="28"/>
          <w:szCs w:val="28"/>
          <w:highlight w:val="white"/>
        </w:rPr>
        <w:t>7.3. Рішення Луцької міської ради та виконавчого комітету про надання дозволу на списання (відчуження) майна діє не більш як 6 місяців з дати його прийняття.</w:t>
      </w:r>
    </w:p>
    <w:p>
      <w:pPr>
        <w:pStyle w:val="Style19"/>
        <w:spacing w:lineRule="auto" w:line="240" w:before="0" w:after="0"/>
        <w:ind w:left="0" w:right="0" w:firstLine="567"/>
        <w:jc w:val="both"/>
        <w:rPr/>
      </w:pPr>
      <w:r>
        <w:rPr>
          <w:color w:val="000000"/>
          <w:sz w:val="28"/>
          <w:szCs w:val="28"/>
        </w:rPr>
        <w:t>7.4. Рішення про відмову в наданні згоди на списання основних засобів приймається у разі, коли:</w:t>
      </w:r>
    </w:p>
    <w:p>
      <w:pPr>
        <w:pStyle w:val="Style19"/>
        <w:spacing w:lineRule="auto" w:line="240" w:before="0" w:after="0"/>
        <w:ind w:left="0" w:right="0" w:firstLine="567"/>
        <w:jc w:val="both"/>
        <w:rPr/>
      </w:pPr>
      <w:r>
        <w:rPr>
          <w:color w:val="000000"/>
          <w:sz w:val="28"/>
          <w:szCs w:val="28"/>
        </w:rPr>
        <w:t>майно не відповідає вимогам, визначеним у пункті 1.7 цього Положення;</w:t>
      </w:r>
    </w:p>
    <w:p>
      <w:pPr>
        <w:pStyle w:val="Style19"/>
        <w:spacing w:lineRule="auto" w:line="240" w:before="0" w:after="0"/>
        <w:ind w:left="0" w:right="0" w:firstLine="567"/>
        <w:jc w:val="both"/>
        <w:rPr/>
      </w:pPr>
      <w:r>
        <w:rPr>
          <w:color w:val="000000"/>
          <w:sz w:val="28"/>
          <w:szCs w:val="28"/>
        </w:rPr>
        <w:t>орган управління визначив інші шляхи використання майна, що пропонується до списання;</w:t>
      </w:r>
    </w:p>
    <w:p>
      <w:pPr>
        <w:pStyle w:val="Style19"/>
        <w:spacing w:lineRule="auto" w:line="240" w:before="0" w:after="0"/>
        <w:ind w:left="0" w:right="0" w:firstLine="567"/>
        <w:jc w:val="both"/>
        <w:rPr/>
      </w:pPr>
      <w:r>
        <w:rPr>
          <w:color w:val="000000"/>
          <w:sz w:val="28"/>
          <w:szCs w:val="28"/>
        </w:rPr>
        <w:t>Підприємство подало передбачені цим Положенням документи з порушенням установлених вимог, а також коли у документах наявні суперечності;</w:t>
      </w:r>
    </w:p>
    <w:p>
      <w:pPr>
        <w:pStyle w:val="Style19"/>
        <w:spacing w:lineRule="auto" w:line="240" w:before="0" w:after="0"/>
        <w:ind w:left="0" w:right="0" w:firstLine="567"/>
        <w:jc w:val="both"/>
        <w:rPr/>
      </w:pPr>
      <w:r>
        <w:rPr>
          <w:color w:val="000000"/>
          <w:sz w:val="28"/>
          <w:szCs w:val="28"/>
        </w:rPr>
        <w:t>у техніко-економічному обґрунтуванні доцільності списання майна відсутні економічні та/або технічні розрахунки, що підтверджують необхідність списання майна тощо.</w:t>
      </w:r>
    </w:p>
    <w:p>
      <w:pPr>
        <w:pStyle w:val="Style19"/>
        <w:spacing w:lineRule="auto" w:line="240" w:before="0" w:after="0"/>
        <w:ind w:left="0" w:right="0" w:firstLine="567"/>
        <w:jc w:val="both"/>
        <w:rPr/>
      </w:pPr>
      <w:r>
        <w:rPr>
          <w:color w:val="000000"/>
          <w:sz w:val="28"/>
          <w:szCs w:val="28"/>
        </w:rPr>
        <w:t>Відмова у наданні згоди на списання (відчуження) майна надається у формі листа.</w:t>
      </w:r>
    </w:p>
    <w:p>
      <w:pPr>
        <w:pStyle w:val="Style19"/>
        <w:spacing w:lineRule="auto" w:line="240" w:before="0" w:after="0"/>
        <w:ind w:left="0" w:right="0" w:firstLine="567"/>
        <w:jc w:val="both"/>
        <w:rPr/>
      </w:pPr>
      <w:r>
        <w:rPr>
          <w:color w:val="000000"/>
          <w:sz w:val="28"/>
          <w:szCs w:val="28"/>
        </w:rPr>
        <w:t>7.5. Підприємства, на балансі яких перебувало майно, подають органу управління у місячний строк після закінчення процедури розбирання, демонтажу та оприбуткування звіт про списання майна комунальної власності (додаток 4).</w:t>
      </w:r>
    </w:p>
    <w:p>
      <w:pPr>
        <w:pStyle w:val="Style19"/>
        <w:spacing w:lineRule="auto" w:line="240" w:before="0" w:after="0"/>
        <w:ind w:left="0" w:right="0" w:firstLine="567"/>
        <w:jc w:val="both"/>
        <w:rPr/>
      </w:pPr>
      <w:r>
        <w:rPr>
          <w:color w:val="000000"/>
          <w:sz w:val="28"/>
          <w:szCs w:val="28"/>
        </w:rPr>
        <w:t>7.6. Процедура списання основних засобів вважається закінченою з моменту подання Підприємством звіту про списання майна.</w:t>
      </w:r>
    </w:p>
    <w:p>
      <w:pPr>
        <w:pStyle w:val="Style19"/>
        <w:spacing w:lineRule="auto" w:line="240" w:before="0" w:after="0"/>
        <w:ind w:left="0" w:right="0" w:firstLine="567"/>
        <w:jc w:val="both"/>
        <w:rPr/>
      </w:pPr>
      <w:r>
        <w:rPr>
          <w:color w:val="000000"/>
          <w:sz w:val="28"/>
          <w:szCs w:val="28"/>
        </w:rPr>
        <w:t>7.7. Відділ управління майном міської комунальної власності надає роз'яснення з питань застосування цього Положення та методичну допомогу Підприємствам з питань обліку і списання основних засобів.</w:t>
      </w:r>
    </w:p>
    <w:p>
      <w:pPr>
        <w:pStyle w:val="Style19"/>
        <w:spacing w:lineRule="auto" w:line="240" w:before="0" w:after="0"/>
        <w:ind w:left="0" w:right="0" w:firstLine="567"/>
        <w:jc w:val="both"/>
        <w:rPr/>
      </w:pPr>
      <w:r>
        <w:rPr>
          <w:color w:val="000000"/>
          <w:sz w:val="28"/>
          <w:szCs w:val="28"/>
        </w:rPr>
        <w:t>7.8. Керівник Підприємства несе відповідальність за зміст та достовірність документів, що надаються згідно з цим Положенням.</w:t>
      </w:r>
    </w:p>
    <w:p>
      <w:pPr>
        <w:pStyle w:val="Style19"/>
        <w:spacing w:lineRule="auto" w:line="240" w:before="0" w:after="0"/>
        <w:ind w:left="0" w:right="0" w:firstLine="567"/>
        <w:jc w:val="both"/>
        <w:rPr/>
      </w:pPr>
      <w:r>
        <w:rPr>
          <w:color w:val="000000"/>
          <w:sz w:val="28"/>
          <w:szCs w:val="28"/>
        </w:rPr>
        <w:t>7.9. Особи, винні в порушенні порядку списання основних засобів відповідно до Положення, несуть відповідальність згідно з чинним законодавством.</w:t>
      </w:r>
    </w:p>
    <w:p>
      <w:pPr>
        <w:pStyle w:val="Style19"/>
        <w:spacing w:lineRule="auto" w:line="240" w:before="0" w:after="0"/>
        <w:ind w:left="0" w:right="0" w:firstLine="567"/>
        <w:jc w:val="both"/>
        <w:rPr>
          <w:color w:val="000000"/>
          <w:sz w:val="28"/>
          <w:szCs w:val="28"/>
        </w:rPr>
      </w:pPr>
      <w:r>
        <w:rPr>
          <w:color w:val="000000"/>
          <w:sz w:val="28"/>
          <w:szCs w:val="28"/>
        </w:rPr>
      </w:r>
    </w:p>
    <w:p>
      <w:pPr>
        <w:pStyle w:val="Style19"/>
        <w:spacing w:lineRule="auto" w:line="240" w:before="0" w:after="0"/>
        <w:ind w:left="0" w:right="0" w:firstLine="567"/>
        <w:jc w:val="both"/>
        <w:rPr>
          <w:color w:val="000000"/>
          <w:sz w:val="28"/>
          <w:szCs w:val="28"/>
        </w:rPr>
      </w:pPr>
      <w:r>
        <w:rPr>
          <w:color w:val="000000"/>
          <w:sz w:val="28"/>
          <w:szCs w:val="28"/>
        </w:rPr>
      </w:r>
    </w:p>
    <w:p>
      <w:pPr>
        <w:sectPr>
          <w:headerReference w:type="default" r:id="rId2"/>
          <w:type w:val="nextPage"/>
          <w:pgSz w:w="11906" w:h="16838"/>
          <w:pgMar w:left="1984" w:right="567" w:header="1134" w:top="1417" w:footer="0" w:bottom="1134" w:gutter="0"/>
          <w:pgNumType w:fmt="decimal"/>
          <w:formProt w:val="false"/>
          <w:titlePg/>
          <w:textDirection w:val="lrTb"/>
          <w:docGrid w:type="default" w:linePitch="100" w:charSpace="0"/>
        </w:sectPr>
        <w:pStyle w:val="Normal"/>
        <w:tabs>
          <w:tab w:val="clear" w:pos="720"/>
          <w:tab w:val="left" w:pos="7080" w:leader="none"/>
        </w:tabs>
        <w:spacing w:lineRule="auto" w:line="240"/>
        <w:ind w:left="0" w:right="0" w:hanging="0"/>
        <w:jc w:val="both"/>
        <w:rPr/>
      </w:pPr>
      <w:r>
        <w:rPr>
          <w:color w:val="000000"/>
          <w:sz w:val="28"/>
          <w:szCs w:val="28"/>
        </w:rPr>
        <w:t>Секретар міської ради</w:t>
        <w:tab/>
      </w:r>
      <w:r>
        <w:rPr>
          <w:sz w:val="28"/>
          <w:szCs w:val="28"/>
        </w:rPr>
        <w:t>Юрій БЕЗПЯТКО</w:t>
      </w:r>
    </w:p>
    <w:p>
      <w:pPr>
        <w:pStyle w:val="Normal"/>
        <w:widowControl w:val="false"/>
        <w:ind w:left="8617" w:hanging="0"/>
        <w:rPr>
          <w:sz w:val="26"/>
          <w:szCs w:val="26"/>
        </w:rPr>
      </w:pPr>
      <w:r>
        <w:rPr>
          <w:sz w:val="26"/>
          <w:szCs w:val="26"/>
        </w:rPr>
        <w:t>Додаток 1 до</w:t>
        <w:br/>
        <w:t xml:space="preserve">Положення про списання майна комунальної власності </w:t>
      </w:r>
      <w:r>
        <w:rPr>
          <w:color w:val="000000"/>
          <w:sz w:val="26"/>
          <w:szCs w:val="26"/>
        </w:rPr>
        <w:t>Луцької міської територіальної громади</w:t>
      </w:r>
    </w:p>
    <w:p>
      <w:pPr>
        <w:pStyle w:val="Normal"/>
        <w:widowControl w:val="false"/>
        <w:ind w:left="8617" w:hanging="0"/>
        <w:rPr>
          <w:color w:val="000000"/>
        </w:rPr>
      </w:pPr>
      <w:r>
        <w:rPr>
          <w:color w:val="000000"/>
        </w:rPr>
      </w:r>
    </w:p>
    <w:tbl>
      <w:tblPr>
        <w:tblW w:w="4935" w:type="dxa"/>
        <w:jc w:val="left"/>
        <w:tblInd w:w="9069" w:type="dxa"/>
        <w:tblLayout w:type="fixed"/>
        <w:tblCellMar>
          <w:top w:w="0" w:type="dxa"/>
          <w:left w:w="108" w:type="dxa"/>
          <w:bottom w:w="0" w:type="dxa"/>
          <w:right w:w="108" w:type="dxa"/>
        </w:tblCellMar>
        <w:tblLook w:firstRow="1" w:noVBand="0" w:lastRow="0" w:firstColumn="1" w:lastColumn="0" w:noHBand="0" w:val="00a0"/>
      </w:tblPr>
      <w:tblGrid>
        <w:gridCol w:w="4935"/>
      </w:tblGrid>
      <w:tr>
        <w:trPr/>
        <w:tc>
          <w:tcPr>
            <w:tcW w:w="4935" w:type="dxa"/>
            <w:tcBorders/>
            <w:shd w:fill="auto" w:val="clear"/>
          </w:tcPr>
          <w:p>
            <w:pPr>
              <w:pStyle w:val="Normal"/>
              <w:widowControl w:val="false"/>
              <w:spacing w:before="100" w:after="100"/>
              <w:jc w:val="center"/>
              <w:rPr>
                <w:color w:val="000000"/>
                <w:sz w:val="28"/>
                <w:szCs w:val="28"/>
              </w:rPr>
            </w:pPr>
            <w:r>
              <w:rPr/>
              <w:t>ЗАТВЕРДЖУЮ</w:t>
              <w:br/>
              <w:t>_____________________________________</w:t>
              <w:br/>
              <w:t>(керівник підприємства)</w:t>
            </w:r>
          </w:p>
          <w:p>
            <w:pPr>
              <w:pStyle w:val="Normal"/>
              <w:widowControl w:val="false"/>
              <w:spacing w:before="100" w:after="100"/>
              <w:jc w:val="center"/>
              <w:rPr>
                <w:color w:val="000000"/>
                <w:sz w:val="28"/>
                <w:szCs w:val="28"/>
              </w:rPr>
            </w:pPr>
            <w:r>
              <w:rPr/>
              <w:t>_______________  _____________________</w:t>
              <w:br/>
              <w:t xml:space="preserve">   (підпис)                  (ініціали та прізвище)</w:t>
            </w:r>
          </w:p>
          <w:p>
            <w:pPr>
              <w:pStyle w:val="Normal"/>
              <w:widowControl w:val="false"/>
              <w:spacing w:before="100" w:after="100"/>
              <w:jc w:val="center"/>
              <w:rPr>
                <w:color w:val="000000"/>
                <w:sz w:val="28"/>
                <w:szCs w:val="28"/>
              </w:rPr>
            </w:pPr>
            <w:r>
              <w:rPr/>
              <w:t>______  _______________________ 20__ р.</w:t>
            </w:r>
          </w:p>
          <w:p>
            <w:pPr>
              <w:pStyle w:val="Normal"/>
              <w:widowControl w:val="false"/>
              <w:spacing w:before="100" w:after="100"/>
              <w:rPr>
                <w:color w:val="000000"/>
                <w:sz w:val="28"/>
                <w:szCs w:val="28"/>
              </w:rPr>
            </w:pPr>
            <w:r>
              <w:rPr/>
              <w:t>М. П.</w:t>
            </w:r>
          </w:p>
        </w:tc>
      </w:tr>
    </w:tbl>
    <w:p>
      <w:pPr>
        <w:pStyle w:val="H3"/>
        <w:keepNext w:val="false"/>
        <w:widowControl w:val="false"/>
        <w:jc w:val="center"/>
        <w:rPr>
          <w:sz w:val="26"/>
          <w:szCs w:val="26"/>
        </w:rPr>
      </w:pPr>
      <w:r>
        <w:rPr>
          <w:sz w:val="26"/>
          <w:szCs w:val="26"/>
        </w:rPr>
        <w:t>ВІДОМОСТІ</w:t>
        <w:br/>
        <w:t xml:space="preserve">про майно, що пропонується до списання </w:t>
      </w:r>
      <w:r>
        <w:rPr>
          <w:sz w:val="26"/>
          <w:szCs w:val="26"/>
          <w:lang w:val="ru-RU"/>
        </w:rPr>
        <w:br/>
      </w:r>
      <w:r>
        <w:rPr>
          <w:sz w:val="26"/>
          <w:szCs w:val="26"/>
        </w:rPr>
        <w:t>станом на ___ ____________ 20__ р.</w:t>
      </w:r>
    </w:p>
    <w:tbl>
      <w:tblPr>
        <w:tblW w:w="14518" w:type="dxa"/>
        <w:jc w:val="left"/>
        <w:tblInd w:w="52" w:type="dxa"/>
        <w:tblLayout w:type="fixed"/>
        <w:tblCellMar>
          <w:top w:w="0" w:type="dxa"/>
          <w:left w:w="2" w:type="dxa"/>
          <w:bottom w:w="0" w:type="dxa"/>
          <w:right w:w="0" w:type="dxa"/>
        </w:tblCellMar>
        <w:tblLook w:firstRow="1" w:noVBand="0" w:lastRow="0" w:firstColumn="1" w:lastColumn="0" w:noHBand="0" w:val="00a0"/>
      </w:tblPr>
      <w:tblGrid>
        <w:gridCol w:w="509"/>
        <w:gridCol w:w="1530"/>
        <w:gridCol w:w="1382"/>
        <w:gridCol w:w="795"/>
        <w:gridCol w:w="959"/>
        <w:gridCol w:w="960"/>
        <w:gridCol w:w="1530"/>
        <w:gridCol w:w="1305"/>
        <w:gridCol w:w="1424"/>
        <w:gridCol w:w="1471"/>
        <w:gridCol w:w="1304"/>
        <w:gridCol w:w="1348"/>
      </w:tblGrid>
      <w:tr>
        <w:trPr>
          <w:cantSplit w:val="true"/>
        </w:trPr>
        <w:tc>
          <w:tcPr>
            <w:tcW w:w="509" w:type="dxa"/>
            <w:vMerge w:val="restart"/>
            <w:tcBorders>
              <w:top w:val="single" w:sz="2" w:space="0" w:color="000000"/>
              <w:left w:val="single" w:sz="2" w:space="0" w:color="000000"/>
              <w:bottom w:val="single" w:sz="2" w:space="0" w:color="000000"/>
            </w:tcBorders>
            <w:shd w:fill="auto" w:val="clear"/>
            <w:vAlign w:val="center"/>
          </w:tcPr>
          <w:p>
            <w:pPr>
              <w:pStyle w:val="Normal"/>
              <w:widowControl w:val="false"/>
              <w:jc w:val="center"/>
              <w:textAlignment w:val="center"/>
              <w:rPr>
                <w:color w:val="000000"/>
              </w:rPr>
            </w:pPr>
            <w:r>
              <w:rPr>
                <w:color w:val="000000"/>
                <w:sz w:val="22"/>
                <w:szCs w:val="22"/>
              </w:rPr>
              <w:t>№</w:t>
            </w:r>
          </w:p>
          <w:p>
            <w:pPr>
              <w:pStyle w:val="Normal"/>
              <w:widowControl w:val="false"/>
              <w:jc w:val="center"/>
              <w:textAlignment w:val="center"/>
              <w:rPr>
                <w:color w:val="000000"/>
                <w:sz w:val="28"/>
                <w:szCs w:val="28"/>
              </w:rPr>
            </w:pPr>
            <w:r>
              <w:rPr>
                <w:color w:val="000000"/>
                <w:sz w:val="22"/>
                <w:szCs w:val="22"/>
              </w:rPr>
              <w:t>з/п</w:t>
            </w:r>
          </w:p>
        </w:tc>
        <w:tc>
          <w:tcPr>
            <w:tcW w:w="1530" w:type="dxa"/>
            <w:vMerge w:val="restart"/>
            <w:tcBorders>
              <w:top w:val="single" w:sz="2" w:space="0" w:color="000000"/>
              <w:left w:val="single" w:sz="2" w:space="0" w:color="000000"/>
              <w:bottom w:val="single" w:sz="2" w:space="0" w:color="000000"/>
            </w:tcBorders>
            <w:shd w:fill="auto" w:val="clear"/>
            <w:vAlign w:val="center"/>
          </w:tcPr>
          <w:p>
            <w:pPr>
              <w:pStyle w:val="Normal"/>
              <w:widowControl w:val="false"/>
              <w:jc w:val="center"/>
              <w:textAlignment w:val="center"/>
              <w:rPr>
                <w:color w:val="000000"/>
                <w:sz w:val="28"/>
                <w:szCs w:val="28"/>
              </w:rPr>
            </w:pPr>
            <w:r>
              <w:rPr>
                <w:sz w:val="22"/>
                <w:szCs w:val="22"/>
              </w:rPr>
              <w:t>Найменування об'єкта</w:t>
            </w:r>
          </w:p>
        </w:tc>
        <w:tc>
          <w:tcPr>
            <w:tcW w:w="1382" w:type="dxa"/>
            <w:vMerge w:val="restart"/>
            <w:tcBorders>
              <w:top w:val="single" w:sz="2" w:space="0" w:color="000000"/>
              <w:left w:val="single" w:sz="2" w:space="0" w:color="000000"/>
              <w:bottom w:val="single" w:sz="2" w:space="0" w:color="000000"/>
            </w:tcBorders>
            <w:shd w:fill="auto" w:val="clear"/>
            <w:vAlign w:val="center"/>
          </w:tcPr>
          <w:p>
            <w:pPr>
              <w:pStyle w:val="Normal"/>
              <w:widowControl w:val="false"/>
              <w:jc w:val="center"/>
              <w:textAlignment w:val="center"/>
              <w:rPr>
                <w:color w:val="000000"/>
                <w:sz w:val="28"/>
                <w:szCs w:val="28"/>
              </w:rPr>
            </w:pPr>
            <w:r>
              <w:rPr>
                <w:sz w:val="22"/>
                <w:szCs w:val="22"/>
              </w:rPr>
              <w:t>Рік випуску/</w:t>
            </w:r>
          </w:p>
          <w:p>
            <w:pPr>
              <w:pStyle w:val="Normal"/>
              <w:widowControl w:val="false"/>
              <w:jc w:val="center"/>
              <w:textAlignment w:val="center"/>
              <w:rPr>
                <w:color w:val="000000"/>
                <w:sz w:val="28"/>
                <w:szCs w:val="28"/>
              </w:rPr>
            </w:pPr>
            <w:r>
              <w:rPr>
                <w:sz w:val="22"/>
                <w:szCs w:val="22"/>
              </w:rPr>
              <w:t>дата введення в експлуатацію</w:t>
            </w:r>
          </w:p>
        </w:tc>
        <w:tc>
          <w:tcPr>
            <w:tcW w:w="2714" w:type="dxa"/>
            <w:gridSpan w:val="3"/>
            <w:tcBorders>
              <w:top w:val="single" w:sz="2" w:space="0" w:color="000000"/>
              <w:left w:val="single" w:sz="2" w:space="0" w:color="000000"/>
              <w:bottom w:val="single" w:sz="2" w:space="0" w:color="000000"/>
            </w:tcBorders>
            <w:shd w:fill="auto" w:val="clear"/>
            <w:vAlign w:val="center"/>
          </w:tcPr>
          <w:p>
            <w:pPr>
              <w:pStyle w:val="Normal"/>
              <w:widowControl w:val="false"/>
              <w:jc w:val="center"/>
              <w:textAlignment w:val="center"/>
              <w:rPr>
                <w:color w:val="000000"/>
                <w:sz w:val="28"/>
                <w:szCs w:val="28"/>
              </w:rPr>
            </w:pPr>
            <w:r>
              <w:rPr>
                <w:sz w:val="22"/>
                <w:szCs w:val="22"/>
              </w:rPr>
              <w:t>Номер об'єкта</w:t>
            </w:r>
          </w:p>
        </w:tc>
        <w:tc>
          <w:tcPr>
            <w:tcW w:w="1530" w:type="dxa"/>
            <w:vMerge w:val="restart"/>
            <w:tcBorders>
              <w:top w:val="single" w:sz="2" w:space="0" w:color="000000"/>
              <w:left w:val="single" w:sz="2" w:space="0" w:color="000000"/>
              <w:bottom w:val="single" w:sz="2" w:space="0" w:color="000000"/>
            </w:tcBorders>
            <w:shd w:fill="auto" w:val="clear"/>
            <w:vAlign w:val="center"/>
          </w:tcPr>
          <w:p>
            <w:pPr>
              <w:pStyle w:val="Normal"/>
              <w:widowControl w:val="false"/>
              <w:jc w:val="center"/>
              <w:textAlignment w:val="center"/>
              <w:rPr>
                <w:color w:val="000000"/>
                <w:sz w:val="28"/>
                <w:szCs w:val="28"/>
              </w:rPr>
            </w:pPr>
            <w:r>
              <w:rPr>
                <w:sz w:val="22"/>
                <w:szCs w:val="22"/>
              </w:rPr>
              <w:t>Інформація про проведення модернізації, модифікації, добудови, дообладнання, реконструкції</w:t>
            </w:r>
          </w:p>
        </w:tc>
        <w:tc>
          <w:tcPr>
            <w:tcW w:w="1305" w:type="dxa"/>
            <w:vMerge w:val="restart"/>
            <w:tcBorders>
              <w:top w:val="single" w:sz="2" w:space="0" w:color="000000"/>
              <w:left w:val="single" w:sz="2" w:space="0" w:color="000000"/>
              <w:bottom w:val="single" w:sz="2" w:space="0" w:color="000000"/>
            </w:tcBorders>
            <w:shd w:fill="auto" w:val="clear"/>
            <w:vAlign w:val="center"/>
          </w:tcPr>
          <w:p>
            <w:pPr>
              <w:pStyle w:val="Normal"/>
              <w:widowControl w:val="false"/>
              <w:jc w:val="center"/>
              <w:textAlignment w:val="center"/>
              <w:rPr>
                <w:color w:val="000000"/>
                <w:sz w:val="28"/>
                <w:szCs w:val="28"/>
              </w:rPr>
            </w:pPr>
            <w:r>
              <w:rPr>
                <w:sz w:val="22"/>
                <w:szCs w:val="22"/>
              </w:rPr>
              <w:t>Вартість здійснених капітальних інвестицій, грн</w:t>
            </w:r>
          </w:p>
        </w:tc>
        <w:tc>
          <w:tcPr>
            <w:tcW w:w="1424" w:type="dxa"/>
            <w:vMerge w:val="restart"/>
            <w:tcBorders>
              <w:top w:val="single" w:sz="2" w:space="0" w:color="000000"/>
              <w:left w:val="single" w:sz="2" w:space="0" w:color="000000"/>
              <w:bottom w:val="single" w:sz="2" w:space="0" w:color="000000"/>
            </w:tcBorders>
            <w:shd w:fill="auto" w:val="clear"/>
            <w:vAlign w:val="center"/>
          </w:tcPr>
          <w:p>
            <w:pPr>
              <w:pStyle w:val="Normal"/>
              <w:widowControl w:val="false"/>
              <w:jc w:val="center"/>
              <w:textAlignment w:val="center"/>
              <w:rPr>
                <w:color w:val="000000"/>
                <w:sz w:val="28"/>
                <w:szCs w:val="28"/>
              </w:rPr>
            </w:pPr>
            <w:r>
              <w:rPr>
                <w:sz w:val="22"/>
                <w:szCs w:val="22"/>
              </w:rPr>
              <w:t>Первісна (переоцінена) вартість, грн</w:t>
            </w:r>
          </w:p>
        </w:tc>
        <w:tc>
          <w:tcPr>
            <w:tcW w:w="1471" w:type="dxa"/>
            <w:vMerge w:val="restart"/>
            <w:tcBorders>
              <w:top w:val="single" w:sz="2" w:space="0" w:color="000000"/>
              <w:left w:val="single" w:sz="2" w:space="0" w:color="000000"/>
              <w:bottom w:val="single" w:sz="2" w:space="0" w:color="000000"/>
            </w:tcBorders>
            <w:shd w:fill="auto" w:val="clear"/>
            <w:vAlign w:val="center"/>
          </w:tcPr>
          <w:p>
            <w:pPr>
              <w:pStyle w:val="Normal"/>
              <w:widowControl w:val="false"/>
              <w:jc w:val="center"/>
              <w:textAlignment w:val="center"/>
              <w:rPr>
                <w:color w:val="000000"/>
                <w:sz w:val="28"/>
                <w:szCs w:val="28"/>
              </w:rPr>
            </w:pPr>
            <w:r>
              <w:rPr>
                <w:sz w:val="22"/>
                <w:szCs w:val="22"/>
              </w:rPr>
              <w:t>Сума нарахованого зносу, грн</w:t>
            </w:r>
          </w:p>
        </w:tc>
        <w:tc>
          <w:tcPr>
            <w:tcW w:w="1304" w:type="dxa"/>
            <w:vMerge w:val="restart"/>
            <w:tcBorders>
              <w:top w:val="single" w:sz="2" w:space="0" w:color="000000"/>
              <w:left w:val="single" w:sz="2" w:space="0" w:color="000000"/>
              <w:bottom w:val="single" w:sz="2" w:space="0" w:color="000000"/>
            </w:tcBorders>
            <w:shd w:fill="auto" w:val="clear"/>
            <w:vAlign w:val="center"/>
          </w:tcPr>
          <w:p>
            <w:pPr>
              <w:pStyle w:val="Normal"/>
              <w:widowControl w:val="false"/>
              <w:jc w:val="center"/>
              <w:textAlignment w:val="center"/>
              <w:rPr>
                <w:color w:val="000000"/>
                <w:sz w:val="28"/>
                <w:szCs w:val="28"/>
              </w:rPr>
            </w:pPr>
            <w:r>
              <w:rPr>
                <w:sz w:val="22"/>
                <w:szCs w:val="22"/>
              </w:rPr>
              <w:t>Балансова (залишкова) вартість, грн</w:t>
            </w:r>
          </w:p>
        </w:tc>
        <w:tc>
          <w:tcPr>
            <w:tcW w:w="1348" w:type="dxa"/>
            <w:vMerge w:val="restart"/>
            <w:tcBorders>
              <w:top w:val="single" w:sz="2" w:space="0" w:color="000000"/>
              <w:left w:val="single" w:sz="2" w:space="0" w:color="000000"/>
              <w:bottom w:val="single" w:sz="2" w:space="0" w:color="000000"/>
              <w:right w:val="single" w:sz="2" w:space="0" w:color="000000"/>
            </w:tcBorders>
            <w:shd w:fill="auto" w:val="clear"/>
            <w:vAlign w:val="center"/>
          </w:tcPr>
          <w:p>
            <w:pPr>
              <w:pStyle w:val="Style29"/>
              <w:widowControl w:val="false"/>
              <w:spacing w:before="0" w:after="283"/>
              <w:jc w:val="center"/>
              <w:textAlignment w:val="center"/>
              <w:rPr>
                <w:color w:val="000000"/>
                <w:sz w:val="28"/>
                <w:szCs w:val="28"/>
              </w:rPr>
            </w:pPr>
            <w:r>
              <w:rPr>
                <w:sz w:val="22"/>
                <w:szCs w:val="22"/>
              </w:rPr>
              <w:t>Ліквідаційна вартість, грн</w:t>
            </w:r>
          </w:p>
        </w:tc>
      </w:tr>
      <w:tr>
        <w:trPr>
          <w:cantSplit w:val="true"/>
        </w:trPr>
        <w:tc>
          <w:tcPr>
            <w:tcW w:w="509" w:type="dxa"/>
            <w:vMerge w:val="continue"/>
            <w:tcBorders>
              <w:left w:val="single" w:sz="2" w:space="0" w:color="000000"/>
              <w:bottom w:val="single" w:sz="2" w:space="0" w:color="000000"/>
            </w:tcBorders>
            <w:shd w:fill="auto" w:val="clear"/>
          </w:tcPr>
          <w:p>
            <w:pPr>
              <w:pStyle w:val="Normal"/>
              <w:widowControl w:val="false"/>
              <w:snapToGrid w:val="false"/>
              <w:jc w:val="center"/>
              <w:rPr>
                <w:lang w:val="ru-RU"/>
              </w:rPr>
            </w:pPr>
            <w:r>
              <w:rPr>
                <w:lang w:val="ru-RU"/>
              </w:rPr>
            </w:r>
          </w:p>
        </w:tc>
        <w:tc>
          <w:tcPr>
            <w:tcW w:w="1530" w:type="dxa"/>
            <w:vMerge w:val="continue"/>
            <w:tcBorders>
              <w:left w:val="single" w:sz="2" w:space="0" w:color="000000"/>
              <w:bottom w:val="single" w:sz="2" w:space="0" w:color="000000"/>
            </w:tcBorders>
            <w:shd w:fill="auto" w:val="clear"/>
            <w:vAlign w:val="center"/>
          </w:tcPr>
          <w:p>
            <w:pPr>
              <w:pStyle w:val="Normal"/>
              <w:widowControl w:val="false"/>
              <w:snapToGrid w:val="false"/>
              <w:jc w:val="center"/>
              <w:rPr>
                <w:lang w:val="ru-RU"/>
              </w:rPr>
            </w:pPr>
            <w:r>
              <w:rPr>
                <w:lang w:val="ru-RU"/>
              </w:rPr>
            </w:r>
          </w:p>
        </w:tc>
        <w:tc>
          <w:tcPr>
            <w:tcW w:w="1382" w:type="dxa"/>
            <w:vMerge w:val="continue"/>
            <w:tcBorders>
              <w:left w:val="single" w:sz="2" w:space="0" w:color="000000"/>
              <w:bottom w:val="single" w:sz="2" w:space="0" w:color="000000"/>
            </w:tcBorders>
            <w:shd w:fill="auto" w:val="clear"/>
            <w:vAlign w:val="center"/>
          </w:tcPr>
          <w:p>
            <w:pPr>
              <w:pStyle w:val="Normal"/>
              <w:widowControl w:val="false"/>
              <w:snapToGrid w:val="false"/>
              <w:jc w:val="center"/>
              <w:rPr>
                <w:lang w:val="ru-RU"/>
              </w:rPr>
            </w:pPr>
            <w:r>
              <w:rPr>
                <w:lang w:val="ru-RU"/>
              </w:rPr>
            </w:r>
          </w:p>
        </w:tc>
        <w:tc>
          <w:tcPr>
            <w:tcW w:w="795" w:type="dxa"/>
            <w:tcBorders>
              <w:left w:val="single" w:sz="2" w:space="0" w:color="000000"/>
              <w:bottom w:val="single" w:sz="2" w:space="0" w:color="000000"/>
            </w:tcBorders>
            <w:shd w:fill="auto" w:val="clear"/>
            <w:vAlign w:val="center"/>
          </w:tcPr>
          <w:p>
            <w:pPr>
              <w:pStyle w:val="Normal"/>
              <w:widowControl w:val="false"/>
              <w:suppressAutoHyphens w:val="false"/>
              <w:jc w:val="center"/>
              <w:rPr>
                <w:color w:val="000000"/>
                <w:sz w:val="28"/>
                <w:szCs w:val="28"/>
              </w:rPr>
            </w:pPr>
            <w:r>
              <w:rPr>
                <w:sz w:val="22"/>
                <w:szCs w:val="22"/>
              </w:rPr>
              <w:t xml:space="preserve">інвен-тарний </w:t>
            </w:r>
            <w:r>
              <w:rPr>
                <w:color w:val="222222"/>
                <w:sz w:val="22"/>
                <w:szCs w:val="22"/>
              </w:rPr>
              <w:t>(номен-клатурний)</w:t>
            </w:r>
          </w:p>
        </w:tc>
        <w:tc>
          <w:tcPr>
            <w:tcW w:w="959" w:type="dxa"/>
            <w:tcBorders>
              <w:left w:val="single" w:sz="2" w:space="0" w:color="000000"/>
              <w:bottom w:val="single" w:sz="2" w:space="0" w:color="000000"/>
            </w:tcBorders>
            <w:shd w:fill="auto" w:val="clear"/>
            <w:vAlign w:val="center"/>
          </w:tcPr>
          <w:p>
            <w:pPr>
              <w:pStyle w:val="Normal"/>
              <w:widowControl w:val="false"/>
              <w:suppressAutoHyphens w:val="false"/>
              <w:jc w:val="center"/>
              <w:rPr>
                <w:color w:val="000000"/>
                <w:sz w:val="28"/>
                <w:szCs w:val="28"/>
              </w:rPr>
            </w:pPr>
            <w:r>
              <w:rPr>
                <w:sz w:val="22"/>
                <w:szCs w:val="22"/>
              </w:rPr>
              <w:t>заводсь-кий</w:t>
            </w:r>
          </w:p>
        </w:tc>
        <w:tc>
          <w:tcPr>
            <w:tcW w:w="960" w:type="dxa"/>
            <w:tcBorders>
              <w:left w:val="single" w:sz="2" w:space="0" w:color="000000"/>
              <w:bottom w:val="single" w:sz="2" w:space="0" w:color="000000"/>
            </w:tcBorders>
            <w:shd w:fill="auto" w:val="clear"/>
            <w:vAlign w:val="center"/>
          </w:tcPr>
          <w:p>
            <w:pPr>
              <w:pStyle w:val="Normal"/>
              <w:widowControl w:val="false"/>
              <w:suppressAutoHyphens w:val="false"/>
              <w:jc w:val="center"/>
              <w:rPr>
                <w:color w:val="000000"/>
                <w:sz w:val="28"/>
                <w:szCs w:val="28"/>
              </w:rPr>
            </w:pPr>
            <w:r>
              <w:rPr>
                <w:sz w:val="22"/>
                <w:szCs w:val="22"/>
              </w:rPr>
              <w:t>паспортний</w:t>
            </w:r>
          </w:p>
        </w:tc>
        <w:tc>
          <w:tcPr>
            <w:tcW w:w="1530" w:type="dxa"/>
            <w:vMerge w:val="continue"/>
            <w:tcBorders>
              <w:left w:val="single" w:sz="2" w:space="0" w:color="000000"/>
              <w:bottom w:val="single" w:sz="2" w:space="0" w:color="000000"/>
            </w:tcBorders>
            <w:shd w:fill="auto" w:val="clear"/>
            <w:vAlign w:val="center"/>
          </w:tcPr>
          <w:p>
            <w:pPr>
              <w:pStyle w:val="Normal"/>
              <w:widowControl w:val="false"/>
              <w:snapToGrid w:val="false"/>
              <w:jc w:val="center"/>
              <w:rPr>
                <w:color w:val="000000"/>
                <w:sz w:val="28"/>
                <w:szCs w:val="28"/>
              </w:rPr>
            </w:pPr>
            <w:r>
              <w:rPr>
                <w:color w:val="000000"/>
                <w:sz w:val="28"/>
                <w:szCs w:val="28"/>
              </w:rPr>
            </w:r>
          </w:p>
        </w:tc>
        <w:tc>
          <w:tcPr>
            <w:tcW w:w="1305" w:type="dxa"/>
            <w:vMerge w:val="continue"/>
            <w:tcBorders>
              <w:left w:val="single" w:sz="2" w:space="0" w:color="000000"/>
              <w:bottom w:val="single" w:sz="2" w:space="0" w:color="000000"/>
            </w:tcBorders>
            <w:shd w:fill="auto" w:val="clear"/>
            <w:vAlign w:val="center"/>
          </w:tcPr>
          <w:p>
            <w:pPr>
              <w:pStyle w:val="Normal"/>
              <w:widowControl w:val="false"/>
              <w:snapToGrid w:val="false"/>
              <w:jc w:val="center"/>
              <w:rPr>
                <w:color w:val="000000"/>
                <w:sz w:val="28"/>
                <w:szCs w:val="28"/>
              </w:rPr>
            </w:pPr>
            <w:r>
              <w:rPr>
                <w:color w:val="000000"/>
                <w:sz w:val="28"/>
                <w:szCs w:val="28"/>
              </w:rPr>
            </w:r>
          </w:p>
        </w:tc>
        <w:tc>
          <w:tcPr>
            <w:tcW w:w="1424" w:type="dxa"/>
            <w:vMerge w:val="continue"/>
            <w:tcBorders>
              <w:left w:val="single" w:sz="2" w:space="0" w:color="000000"/>
              <w:bottom w:val="single" w:sz="2" w:space="0" w:color="000000"/>
            </w:tcBorders>
            <w:shd w:fill="auto" w:val="clear"/>
            <w:vAlign w:val="center"/>
          </w:tcPr>
          <w:p>
            <w:pPr>
              <w:pStyle w:val="Normal"/>
              <w:widowControl w:val="false"/>
              <w:snapToGrid w:val="false"/>
              <w:jc w:val="center"/>
              <w:rPr>
                <w:color w:val="000000"/>
                <w:sz w:val="28"/>
                <w:szCs w:val="28"/>
              </w:rPr>
            </w:pPr>
            <w:r>
              <w:rPr>
                <w:color w:val="000000"/>
                <w:sz w:val="28"/>
                <w:szCs w:val="28"/>
              </w:rPr>
            </w:r>
          </w:p>
        </w:tc>
        <w:tc>
          <w:tcPr>
            <w:tcW w:w="1471" w:type="dxa"/>
            <w:vMerge w:val="continue"/>
            <w:tcBorders>
              <w:left w:val="single" w:sz="2" w:space="0" w:color="000000"/>
              <w:bottom w:val="single" w:sz="2" w:space="0" w:color="000000"/>
            </w:tcBorders>
            <w:shd w:fill="auto" w:val="clear"/>
            <w:vAlign w:val="center"/>
          </w:tcPr>
          <w:p>
            <w:pPr>
              <w:pStyle w:val="Normal"/>
              <w:widowControl w:val="false"/>
              <w:snapToGrid w:val="false"/>
              <w:jc w:val="center"/>
              <w:rPr>
                <w:color w:val="000000"/>
                <w:sz w:val="28"/>
                <w:szCs w:val="28"/>
              </w:rPr>
            </w:pPr>
            <w:r>
              <w:rPr>
                <w:color w:val="000000"/>
                <w:sz w:val="28"/>
                <w:szCs w:val="28"/>
              </w:rPr>
            </w:r>
          </w:p>
        </w:tc>
        <w:tc>
          <w:tcPr>
            <w:tcW w:w="1304" w:type="dxa"/>
            <w:vMerge w:val="continue"/>
            <w:tcBorders>
              <w:left w:val="single" w:sz="2" w:space="0" w:color="000000"/>
              <w:bottom w:val="single" w:sz="2" w:space="0" w:color="000000"/>
            </w:tcBorders>
            <w:shd w:fill="auto" w:val="clear"/>
            <w:vAlign w:val="center"/>
          </w:tcPr>
          <w:p>
            <w:pPr>
              <w:pStyle w:val="Normal"/>
              <w:widowControl w:val="false"/>
              <w:snapToGrid w:val="false"/>
              <w:jc w:val="center"/>
              <w:rPr>
                <w:color w:val="000000"/>
                <w:sz w:val="28"/>
                <w:szCs w:val="28"/>
              </w:rPr>
            </w:pPr>
            <w:r>
              <w:rPr>
                <w:color w:val="000000"/>
                <w:sz w:val="28"/>
                <w:szCs w:val="28"/>
              </w:rPr>
            </w:r>
          </w:p>
        </w:tc>
        <w:tc>
          <w:tcPr>
            <w:tcW w:w="1348" w:type="dxa"/>
            <w:vMerge w:val="continue"/>
            <w:tcBorders>
              <w:left w:val="single" w:sz="2" w:space="0" w:color="000000"/>
              <w:bottom w:val="single" w:sz="2" w:space="0" w:color="000000"/>
              <w:right w:val="single" w:sz="2" w:space="0" w:color="000000"/>
            </w:tcBorders>
            <w:shd w:fill="auto" w:val="clear"/>
            <w:vAlign w:val="center"/>
          </w:tcPr>
          <w:p>
            <w:pPr>
              <w:pStyle w:val="Normal"/>
              <w:widowControl w:val="false"/>
              <w:snapToGrid w:val="false"/>
              <w:jc w:val="center"/>
              <w:rPr>
                <w:color w:val="000000"/>
                <w:sz w:val="28"/>
                <w:szCs w:val="28"/>
              </w:rPr>
            </w:pPr>
            <w:r>
              <w:rPr>
                <w:color w:val="000000"/>
                <w:sz w:val="28"/>
                <w:szCs w:val="28"/>
              </w:rPr>
            </w:r>
          </w:p>
        </w:tc>
      </w:tr>
      <w:tr>
        <w:trPr>
          <w:cantSplit w:val="true"/>
        </w:trPr>
        <w:tc>
          <w:tcPr>
            <w:tcW w:w="509" w:type="dxa"/>
            <w:tcBorders>
              <w:left w:val="single" w:sz="2" w:space="0" w:color="000000"/>
              <w:bottom w:val="single" w:sz="2" w:space="0" w:color="000000"/>
            </w:tcBorders>
            <w:shd w:fill="auto" w:val="clear"/>
          </w:tcPr>
          <w:p>
            <w:pPr>
              <w:pStyle w:val="Normal"/>
              <w:widowControl w:val="false"/>
              <w:jc w:val="center"/>
              <w:rPr>
                <w:lang w:val="ru-RU"/>
              </w:rPr>
            </w:pPr>
            <w:r>
              <w:rPr>
                <w:lang w:val="ru-RU"/>
              </w:rPr>
              <w:t>1</w:t>
            </w:r>
          </w:p>
        </w:tc>
        <w:tc>
          <w:tcPr>
            <w:tcW w:w="1530" w:type="dxa"/>
            <w:tcBorders>
              <w:left w:val="single" w:sz="2" w:space="0" w:color="000000"/>
              <w:bottom w:val="single" w:sz="2" w:space="0" w:color="000000"/>
            </w:tcBorders>
            <w:shd w:fill="auto" w:val="clear"/>
          </w:tcPr>
          <w:p>
            <w:pPr>
              <w:pStyle w:val="Normal"/>
              <w:widowControl w:val="false"/>
              <w:jc w:val="center"/>
              <w:rPr>
                <w:lang w:val="ru-RU"/>
              </w:rPr>
            </w:pPr>
            <w:r>
              <w:rPr>
                <w:lang w:val="ru-RU"/>
              </w:rPr>
              <w:t>2</w:t>
            </w:r>
          </w:p>
        </w:tc>
        <w:tc>
          <w:tcPr>
            <w:tcW w:w="1382" w:type="dxa"/>
            <w:tcBorders>
              <w:left w:val="single" w:sz="2" w:space="0" w:color="000000"/>
              <w:bottom w:val="single" w:sz="2" w:space="0" w:color="000000"/>
            </w:tcBorders>
            <w:shd w:fill="auto" w:val="clear"/>
          </w:tcPr>
          <w:p>
            <w:pPr>
              <w:pStyle w:val="Normal"/>
              <w:widowControl w:val="false"/>
              <w:jc w:val="center"/>
              <w:rPr>
                <w:lang w:val="ru-RU"/>
              </w:rPr>
            </w:pPr>
            <w:r>
              <w:rPr>
                <w:lang w:val="ru-RU"/>
              </w:rPr>
              <w:t>3</w:t>
            </w:r>
          </w:p>
        </w:tc>
        <w:tc>
          <w:tcPr>
            <w:tcW w:w="795" w:type="dxa"/>
            <w:tcBorders>
              <w:left w:val="single" w:sz="2" w:space="0" w:color="000000"/>
              <w:bottom w:val="single" w:sz="2" w:space="0" w:color="000000"/>
            </w:tcBorders>
            <w:shd w:fill="auto" w:val="clear"/>
          </w:tcPr>
          <w:p>
            <w:pPr>
              <w:pStyle w:val="Normal"/>
              <w:widowControl w:val="false"/>
              <w:jc w:val="center"/>
              <w:rPr>
                <w:color w:val="000000"/>
                <w:sz w:val="28"/>
                <w:szCs w:val="28"/>
              </w:rPr>
            </w:pPr>
            <w:r>
              <w:rPr/>
              <w:t>4</w:t>
            </w:r>
          </w:p>
        </w:tc>
        <w:tc>
          <w:tcPr>
            <w:tcW w:w="959" w:type="dxa"/>
            <w:tcBorders>
              <w:left w:val="single" w:sz="2" w:space="0" w:color="000000"/>
              <w:bottom w:val="single" w:sz="2" w:space="0" w:color="000000"/>
            </w:tcBorders>
            <w:shd w:fill="auto" w:val="clear"/>
          </w:tcPr>
          <w:p>
            <w:pPr>
              <w:pStyle w:val="Normal"/>
              <w:widowControl w:val="false"/>
              <w:jc w:val="center"/>
              <w:rPr>
                <w:color w:val="000000"/>
                <w:sz w:val="28"/>
                <w:szCs w:val="28"/>
              </w:rPr>
            </w:pPr>
            <w:r>
              <w:rPr/>
              <w:t>5</w:t>
            </w:r>
          </w:p>
        </w:tc>
        <w:tc>
          <w:tcPr>
            <w:tcW w:w="960" w:type="dxa"/>
            <w:tcBorders>
              <w:left w:val="single" w:sz="2" w:space="0" w:color="000000"/>
              <w:bottom w:val="single" w:sz="2" w:space="0" w:color="000000"/>
            </w:tcBorders>
            <w:shd w:fill="auto" w:val="clear"/>
          </w:tcPr>
          <w:p>
            <w:pPr>
              <w:pStyle w:val="Normal"/>
              <w:widowControl w:val="false"/>
              <w:jc w:val="center"/>
              <w:rPr>
                <w:color w:val="000000"/>
                <w:sz w:val="28"/>
                <w:szCs w:val="28"/>
              </w:rPr>
            </w:pPr>
            <w:r>
              <w:rPr/>
              <w:t>6</w:t>
            </w:r>
          </w:p>
        </w:tc>
        <w:tc>
          <w:tcPr>
            <w:tcW w:w="1530" w:type="dxa"/>
            <w:tcBorders>
              <w:left w:val="single" w:sz="2" w:space="0" w:color="000000"/>
              <w:bottom w:val="single" w:sz="2" w:space="0" w:color="000000"/>
            </w:tcBorders>
            <w:shd w:fill="auto" w:val="clear"/>
          </w:tcPr>
          <w:p>
            <w:pPr>
              <w:pStyle w:val="Normal"/>
              <w:widowControl w:val="false"/>
              <w:jc w:val="center"/>
              <w:rPr>
                <w:color w:val="000000"/>
                <w:sz w:val="28"/>
                <w:szCs w:val="28"/>
              </w:rPr>
            </w:pPr>
            <w:r>
              <w:rPr/>
              <w:t>7</w:t>
            </w:r>
          </w:p>
        </w:tc>
        <w:tc>
          <w:tcPr>
            <w:tcW w:w="1305" w:type="dxa"/>
            <w:tcBorders>
              <w:left w:val="single" w:sz="2" w:space="0" w:color="000000"/>
              <w:bottom w:val="single" w:sz="2" w:space="0" w:color="000000"/>
            </w:tcBorders>
            <w:shd w:fill="auto" w:val="clear"/>
          </w:tcPr>
          <w:p>
            <w:pPr>
              <w:pStyle w:val="Normal"/>
              <w:widowControl w:val="false"/>
              <w:jc w:val="center"/>
              <w:rPr>
                <w:color w:val="000000"/>
                <w:sz w:val="28"/>
                <w:szCs w:val="28"/>
              </w:rPr>
            </w:pPr>
            <w:r>
              <w:rPr/>
              <w:t>8</w:t>
            </w:r>
          </w:p>
        </w:tc>
        <w:tc>
          <w:tcPr>
            <w:tcW w:w="1424" w:type="dxa"/>
            <w:tcBorders>
              <w:left w:val="single" w:sz="2" w:space="0" w:color="000000"/>
              <w:bottom w:val="single" w:sz="2" w:space="0" w:color="000000"/>
            </w:tcBorders>
            <w:shd w:fill="auto" w:val="clear"/>
          </w:tcPr>
          <w:p>
            <w:pPr>
              <w:pStyle w:val="Normal"/>
              <w:widowControl w:val="false"/>
              <w:jc w:val="center"/>
              <w:rPr>
                <w:color w:val="000000"/>
                <w:sz w:val="28"/>
                <w:szCs w:val="28"/>
              </w:rPr>
            </w:pPr>
            <w:r>
              <w:rPr/>
              <w:t>9</w:t>
            </w:r>
          </w:p>
        </w:tc>
        <w:tc>
          <w:tcPr>
            <w:tcW w:w="1471" w:type="dxa"/>
            <w:tcBorders>
              <w:left w:val="single" w:sz="2" w:space="0" w:color="000000"/>
              <w:bottom w:val="single" w:sz="2" w:space="0" w:color="000000"/>
            </w:tcBorders>
            <w:shd w:fill="auto" w:val="clear"/>
          </w:tcPr>
          <w:p>
            <w:pPr>
              <w:pStyle w:val="Normal"/>
              <w:widowControl w:val="false"/>
              <w:jc w:val="center"/>
              <w:rPr>
                <w:color w:val="000000"/>
                <w:sz w:val="28"/>
                <w:szCs w:val="28"/>
              </w:rPr>
            </w:pPr>
            <w:r>
              <w:rPr/>
              <w:t>10</w:t>
            </w:r>
          </w:p>
        </w:tc>
        <w:tc>
          <w:tcPr>
            <w:tcW w:w="1304" w:type="dxa"/>
            <w:tcBorders>
              <w:left w:val="single" w:sz="2" w:space="0" w:color="000000"/>
              <w:bottom w:val="single" w:sz="2" w:space="0" w:color="000000"/>
            </w:tcBorders>
            <w:shd w:fill="auto" w:val="clear"/>
          </w:tcPr>
          <w:p>
            <w:pPr>
              <w:pStyle w:val="Normal"/>
              <w:widowControl w:val="false"/>
              <w:jc w:val="center"/>
              <w:rPr>
                <w:color w:val="000000"/>
                <w:sz w:val="28"/>
                <w:szCs w:val="28"/>
              </w:rPr>
            </w:pPr>
            <w:r>
              <w:rPr/>
              <w:t>11</w:t>
            </w:r>
          </w:p>
        </w:tc>
        <w:tc>
          <w:tcPr>
            <w:tcW w:w="1348" w:type="dxa"/>
            <w:tcBorders>
              <w:left w:val="single" w:sz="2" w:space="0" w:color="000000"/>
              <w:bottom w:val="single" w:sz="2" w:space="0" w:color="000000"/>
              <w:right w:val="single" w:sz="2" w:space="0" w:color="000000"/>
            </w:tcBorders>
            <w:shd w:fill="auto" w:val="clear"/>
          </w:tcPr>
          <w:p>
            <w:pPr>
              <w:pStyle w:val="Normal"/>
              <w:widowControl w:val="false"/>
              <w:jc w:val="center"/>
              <w:rPr>
                <w:color w:val="000000"/>
                <w:sz w:val="28"/>
                <w:szCs w:val="28"/>
              </w:rPr>
            </w:pPr>
            <w:r>
              <w:rPr/>
              <w:t>12</w:t>
            </w:r>
          </w:p>
        </w:tc>
      </w:tr>
      <w:tr>
        <w:trPr>
          <w:cantSplit w:val="true"/>
        </w:trPr>
        <w:tc>
          <w:tcPr>
            <w:tcW w:w="509" w:type="dxa"/>
            <w:tcBorders>
              <w:left w:val="single" w:sz="2" w:space="0" w:color="000000"/>
              <w:bottom w:val="single" w:sz="2" w:space="0" w:color="000000"/>
            </w:tcBorders>
            <w:shd w:fill="auto" w:val="clear"/>
          </w:tcPr>
          <w:p>
            <w:pPr>
              <w:pStyle w:val="Normal"/>
              <w:widowControl w:val="false"/>
              <w:snapToGrid w:val="false"/>
              <w:jc w:val="center"/>
              <w:rPr>
                <w:lang w:val="ru-RU"/>
              </w:rPr>
            </w:pPr>
            <w:r>
              <w:rPr>
                <w:lang w:val="ru-RU"/>
              </w:rPr>
            </w:r>
          </w:p>
        </w:tc>
        <w:tc>
          <w:tcPr>
            <w:tcW w:w="1530" w:type="dxa"/>
            <w:tcBorders>
              <w:left w:val="single" w:sz="2" w:space="0" w:color="000000"/>
              <w:bottom w:val="single" w:sz="2" w:space="0" w:color="000000"/>
            </w:tcBorders>
            <w:shd w:fill="auto" w:val="clear"/>
          </w:tcPr>
          <w:p>
            <w:pPr>
              <w:pStyle w:val="Normal"/>
              <w:widowControl w:val="false"/>
              <w:snapToGrid w:val="false"/>
              <w:jc w:val="center"/>
              <w:rPr>
                <w:lang w:val="ru-RU"/>
              </w:rPr>
            </w:pPr>
            <w:r>
              <w:rPr>
                <w:lang w:val="ru-RU"/>
              </w:rPr>
            </w:r>
          </w:p>
        </w:tc>
        <w:tc>
          <w:tcPr>
            <w:tcW w:w="1382" w:type="dxa"/>
            <w:tcBorders>
              <w:left w:val="single" w:sz="2" w:space="0" w:color="000000"/>
              <w:bottom w:val="single" w:sz="2" w:space="0" w:color="000000"/>
            </w:tcBorders>
            <w:shd w:fill="auto" w:val="clear"/>
          </w:tcPr>
          <w:p>
            <w:pPr>
              <w:pStyle w:val="Normal"/>
              <w:widowControl w:val="false"/>
              <w:snapToGrid w:val="false"/>
              <w:jc w:val="center"/>
              <w:rPr>
                <w:lang w:val="ru-RU"/>
              </w:rPr>
            </w:pPr>
            <w:r>
              <w:rPr>
                <w:lang w:val="ru-RU"/>
              </w:rPr>
            </w:r>
          </w:p>
        </w:tc>
        <w:tc>
          <w:tcPr>
            <w:tcW w:w="795" w:type="dxa"/>
            <w:tcBorders>
              <w:left w:val="single" w:sz="2" w:space="0" w:color="000000"/>
              <w:bottom w:val="single" w:sz="2" w:space="0" w:color="000000"/>
            </w:tcBorders>
            <w:shd w:fill="auto" w:val="clear"/>
          </w:tcPr>
          <w:p>
            <w:pPr>
              <w:pStyle w:val="Normal"/>
              <w:widowControl w:val="false"/>
              <w:snapToGrid w:val="false"/>
              <w:jc w:val="center"/>
              <w:rPr>
                <w:color w:val="000000"/>
                <w:sz w:val="28"/>
                <w:szCs w:val="28"/>
              </w:rPr>
            </w:pPr>
            <w:r>
              <w:rPr>
                <w:color w:val="000000"/>
                <w:sz w:val="28"/>
                <w:szCs w:val="28"/>
              </w:rPr>
            </w:r>
          </w:p>
        </w:tc>
        <w:tc>
          <w:tcPr>
            <w:tcW w:w="959" w:type="dxa"/>
            <w:tcBorders>
              <w:left w:val="single" w:sz="2" w:space="0" w:color="000000"/>
              <w:bottom w:val="single" w:sz="2" w:space="0" w:color="000000"/>
            </w:tcBorders>
            <w:shd w:fill="auto" w:val="clear"/>
          </w:tcPr>
          <w:p>
            <w:pPr>
              <w:pStyle w:val="Normal"/>
              <w:widowControl w:val="false"/>
              <w:snapToGrid w:val="false"/>
              <w:jc w:val="center"/>
              <w:rPr>
                <w:color w:val="000000"/>
                <w:sz w:val="28"/>
                <w:szCs w:val="28"/>
              </w:rPr>
            </w:pPr>
            <w:r>
              <w:rPr>
                <w:color w:val="000000"/>
                <w:sz w:val="28"/>
                <w:szCs w:val="28"/>
              </w:rPr>
            </w:r>
          </w:p>
        </w:tc>
        <w:tc>
          <w:tcPr>
            <w:tcW w:w="960" w:type="dxa"/>
            <w:tcBorders>
              <w:left w:val="single" w:sz="2" w:space="0" w:color="000000"/>
              <w:bottom w:val="single" w:sz="2" w:space="0" w:color="000000"/>
            </w:tcBorders>
            <w:shd w:fill="auto" w:val="clear"/>
          </w:tcPr>
          <w:p>
            <w:pPr>
              <w:pStyle w:val="Normal"/>
              <w:widowControl w:val="false"/>
              <w:snapToGrid w:val="false"/>
              <w:jc w:val="center"/>
              <w:rPr>
                <w:color w:val="000000"/>
                <w:sz w:val="28"/>
                <w:szCs w:val="28"/>
              </w:rPr>
            </w:pPr>
            <w:r>
              <w:rPr>
                <w:color w:val="000000"/>
                <w:sz w:val="28"/>
                <w:szCs w:val="28"/>
              </w:rPr>
            </w:r>
          </w:p>
        </w:tc>
        <w:tc>
          <w:tcPr>
            <w:tcW w:w="1530" w:type="dxa"/>
            <w:tcBorders>
              <w:left w:val="single" w:sz="2" w:space="0" w:color="000000"/>
              <w:bottom w:val="single" w:sz="2" w:space="0" w:color="000000"/>
            </w:tcBorders>
            <w:shd w:fill="auto" w:val="clear"/>
          </w:tcPr>
          <w:p>
            <w:pPr>
              <w:pStyle w:val="Normal"/>
              <w:widowControl w:val="false"/>
              <w:snapToGrid w:val="false"/>
              <w:jc w:val="center"/>
              <w:rPr>
                <w:color w:val="000000"/>
                <w:sz w:val="28"/>
                <w:szCs w:val="28"/>
              </w:rPr>
            </w:pPr>
            <w:r>
              <w:rPr>
                <w:color w:val="000000"/>
                <w:sz w:val="28"/>
                <w:szCs w:val="28"/>
              </w:rPr>
            </w:r>
          </w:p>
        </w:tc>
        <w:tc>
          <w:tcPr>
            <w:tcW w:w="1305" w:type="dxa"/>
            <w:tcBorders>
              <w:left w:val="single" w:sz="2" w:space="0" w:color="000000"/>
              <w:bottom w:val="single" w:sz="2" w:space="0" w:color="000000"/>
            </w:tcBorders>
            <w:shd w:fill="auto" w:val="clear"/>
          </w:tcPr>
          <w:p>
            <w:pPr>
              <w:pStyle w:val="Normal"/>
              <w:widowControl w:val="false"/>
              <w:snapToGrid w:val="false"/>
              <w:jc w:val="center"/>
              <w:rPr>
                <w:color w:val="000000"/>
                <w:sz w:val="28"/>
                <w:szCs w:val="28"/>
              </w:rPr>
            </w:pPr>
            <w:r>
              <w:rPr>
                <w:color w:val="000000"/>
                <w:sz w:val="28"/>
                <w:szCs w:val="28"/>
              </w:rPr>
            </w:r>
          </w:p>
        </w:tc>
        <w:tc>
          <w:tcPr>
            <w:tcW w:w="1424" w:type="dxa"/>
            <w:tcBorders>
              <w:left w:val="single" w:sz="2" w:space="0" w:color="000000"/>
              <w:bottom w:val="single" w:sz="2" w:space="0" w:color="000000"/>
            </w:tcBorders>
            <w:shd w:fill="auto" w:val="clear"/>
          </w:tcPr>
          <w:p>
            <w:pPr>
              <w:pStyle w:val="Normal"/>
              <w:widowControl w:val="false"/>
              <w:snapToGrid w:val="false"/>
              <w:jc w:val="center"/>
              <w:rPr>
                <w:color w:val="000000"/>
                <w:sz w:val="28"/>
                <w:szCs w:val="28"/>
              </w:rPr>
            </w:pPr>
            <w:r>
              <w:rPr>
                <w:color w:val="000000"/>
                <w:sz w:val="28"/>
                <w:szCs w:val="28"/>
              </w:rPr>
            </w:r>
          </w:p>
        </w:tc>
        <w:tc>
          <w:tcPr>
            <w:tcW w:w="1471" w:type="dxa"/>
            <w:tcBorders>
              <w:left w:val="single" w:sz="2" w:space="0" w:color="000000"/>
              <w:bottom w:val="single" w:sz="2" w:space="0" w:color="000000"/>
            </w:tcBorders>
            <w:shd w:fill="auto" w:val="clear"/>
          </w:tcPr>
          <w:p>
            <w:pPr>
              <w:pStyle w:val="Normal"/>
              <w:widowControl w:val="false"/>
              <w:snapToGrid w:val="false"/>
              <w:jc w:val="center"/>
              <w:rPr>
                <w:color w:val="000000"/>
                <w:sz w:val="28"/>
                <w:szCs w:val="28"/>
              </w:rPr>
            </w:pPr>
            <w:r>
              <w:rPr>
                <w:color w:val="000000"/>
                <w:sz w:val="28"/>
                <w:szCs w:val="28"/>
              </w:rPr>
            </w:r>
          </w:p>
        </w:tc>
        <w:tc>
          <w:tcPr>
            <w:tcW w:w="1304" w:type="dxa"/>
            <w:tcBorders>
              <w:left w:val="single" w:sz="2" w:space="0" w:color="000000"/>
              <w:bottom w:val="single" w:sz="2" w:space="0" w:color="000000"/>
            </w:tcBorders>
            <w:shd w:fill="auto" w:val="clear"/>
          </w:tcPr>
          <w:p>
            <w:pPr>
              <w:pStyle w:val="Normal"/>
              <w:widowControl w:val="false"/>
              <w:snapToGrid w:val="false"/>
              <w:jc w:val="center"/>
              <w:rPr>
                <w:color w:val="000000"/>
                <w:sz w:val="28"/>
                <w:szCs w:val="28"/>
              </w:rPr>
            </w:pPr>
            <w:r>
              <w:rPr>
                <w:color w:val="000000"/>
                <w:sz w:val="28"/>
                <w:szCs w:val="28"/>
              </w:rPr>
            </w:r>
          </w:p>
        </w:tc>
        <w:tc>
          <w:tcPr>
            <w:tcW w:w="1348" w:type="dxa"/>
            <w:tcBorders>
              <w:left w:val="single" w:sz="2" w:space="0" w:color="000000"/>
              <w:bottom w:val="single" w:sz="2" w:space="0" w:color="000000"/>
              <w:right w:val="single" w:sz="2" w:space="0" w:color="000000"/>
            </w:tcBorders>
            <w:shd w:fill="auto" w:val="clear"/>
          </w:tcPr>
          <w:p>
            <w:pPr>
              <w:pStyle w:val="Normal"/>
              <w:widowControl w:val="false"/>
              <w:snapToGrid w:val="false"/>
              <w:jc w:val="center"/>
              <w:rPr>
                <w:color w:val="000000"/>
                <w:sz w:val="28"/>
                <w:szCs w:val="28"/>
              </w:rPr>
            </w:pPr>
            <w:r>
              <w:rPr>
                <w:color w:val="000000"/>
                <w:sz w:val="28"/>
                <w:szCs w:val="28"/>
              </w:rPr>
            </w:r>
          </w:p>
        </w:tc>
      </w:tr>
    </w:tbl>
    <w:p>
      <w:pPr>
        <w:pStyle w:val="Normal"/>
        <w:widowControl w:val="false"/>
        <w:spacing w:before="100" w:after="100"/>
        <w:jc w:val="both"/>
        <w:rPr>
          <w:color w:val="000000"/>
          <w:sz w:val="28"/>
          <w:szCs w:val="28"/>
        </w:rPr>
      </w:pPr>
      <w:r>
        <w:rPr/>
        <w:t xml:space="preserve">                                                     </w:t>
      </w:r>
      <w:r>
        <w:rPr/>
        <w:t>Усього:</w:t>
      </w:r>
    </w:p>
    <w:p>
      <w:pPr>
        <w:pStyle w:val="Normal"/>
        <w:widowControl w:val="false"/>
        <w:spacing w:before="100" w:after="100"/>
        <w:rPr>
          <w:color w:val="000000"/>
          <w:sz w:val="28"/>
          <w:szCs w:val="28"/>
        </w:rPr>
      </w:pPr>
      <w:r>
        <w:rPr/>
        <w:t>Дані про дорогоцінні метали ________________________________________________________________</w:t>
        <w:br/>
        <w:t xml:space="preserve">                                                                                   (подаються у разі їх наявності за кожним об'єктом)</w:t>
      </w:r>
    </w:p>
    <w:p>
      <w:pPr>
        <w:pStyle w:val="Normal"/>
        <w:widowControl w:val="false"/>
        <w:spacing w:before="100" w:after="100"/>
        <w:jc w:val="both"/>
        <w:rPr>
          <w:color w:val="000000"/>
          <w:sz w:val="28"/>
          <w:szCs w:val="28"/>
        </w:rPr>
      </w:pPr>
      <w:r>
        <w:rPr/>
        <w:t xml:space="preserve">_________________________________________________________________________________________ </w:t>
      </w:r>
    </w:p>
    <w:tbl>
      <w:tblPr>
        <w:tblW w:w="9803" w:type="dxa"/>
        <w:jc w:val="left"/>
        <w:tblInd w:w="0" w:type="dxa"/>
        <w:tblLayout w:type="fixed"/>
        <w:tblCellMar>
          <w:top w:w="0" w:type="dxa"/>
          <w:left w:w="22" w:type="dxa"/>
          <w:bottom w:w="0" w:type="dxa"/>
          <w:right w:w="22" w:type="dxa"/>
        </w:tblCellMar>
        <w:tblLook w:firstRow="1" w:noVBand="0" w:lastRow="0" w:firstColumn="1" w:lastColumn="0" w:noHBand="0" w:val="00a0"/>
      </w:tblPr>
      <w:tblGrid>
        <w:gridCol w:w="2289"/>
        <w:gridCol w:w="3120"/>
        <w:gridCol w:w="4394"/>
      </w:tblGrid>
      <w:tr>
        <w:trPr/>
        <w:tc>
          <w:tcPr>
            <w:tcW w:w="2289" w:type="dxa"/>
            <w:tcBorders/>
            <w:shd w:fill="auto" w:val="clear"/>
            <w:vAlign w:val="center"/>
          </w:tcPr>
          <w:p>
            <w:pPr>
              <w:pStyle w:val="Normal"/>
              <w:widowControl w:val="false"/>
              <w:spacing w:before="100" w:after="100"/>
              <w:jc w:val="both"/>
              <w:rPr>
                <w:color w:val="000000"/>
                <w:sz w:val="28"/>
                <w:szCs w:val="28"/>
              </w:rPr>
            </w:pPr>
            <w:r>
              <w:rPr/>
              <w:t>Головний бухгалтер</w:t>
            </w:r>
          </w:p>
        </w:tc>
        <w:tc>
          <w:tcPr>
            <w:tcW w:w="3120" w:type="dxa"/>
            <w:tcBorders/>
            <w:shd w:fill="auto" w:val="clear"/>
            <w:vAlign w:val="center"/>
          </w:tcPr>
          <w:p>
            <w:pPr>
              <w:pStyle w:val="Normal"/>
              <w:widowControl w:val="false"/>
              <w:spacing w:before="100" w:after="100"/>
              <w:jc w:val="center"/>
              <w:rPr>
                <w:color w:val="000000"/>
                <w:sz w:val="28"/>
                <w:szCs w:val="28"/>
              </w:rPr>
            </w:pPr>
            <w:r>
              <w:rPr/>
              <w:t>______________________</w:t>
              <w:br/>
              <w:t>(підпис)</w:t>
            </w:r>
          </w:p>
        </w:tc>
        <w:tc>
          <w:tcPr>
            <w:tcW w:w="4394" w:type="dxa"/>
            <w:tcBorders/>
            <w:shd w:fill="auto" w:val="clear"/>
            <w:vAlign w:val="center"/>
          </w:tcPr>
          <w:p>
            <w:pPr>
              <w:pStyle w:val="Normal"/>
              <w:widowControl w:val="false"/>
              <w:spacing w:before="100" w:after="100"/>
              <w:jc w:val="center"/>
              <w:rPr>
                <w:color w:val="000000"/>
                <w:sz w:val="28"/>
                <w:szCs w:val="28"/>
              </w:rPr>
            </w:pPr>
            <w:r>
              <w:rPr/>
              <w:t>___________________________</w:t>
              <w:br/>
              <w:t>(ініціали та прізвище)</w:t>
            </w:r>
          </w:p>
        </w:tc>
      </w:tr>
    </w:tbl>
    <w:p>
      <w:pPr>
        <w:sectPr>
          <w:headerReference w:type="default" r:id="rId3"/>
          <w:type w:val="nextPage"/>
          <w:pgSz w:orient="landscape" w:w="16838" w:h="11906"/>
          <w:pgMar w:left="1134" w:right="1134" w:header="0" w:top="1701" w:footer="0" w:bottom="567" w:gutter="0"/>
          <w:pgNumType w:fmt="decimal"/>
          <w:formProt w:val="false"/>
          <w:textDirection w:val="lrTb"/>
          <w:docGrid w:type="default" w:linePitch="360" w:charSpace="0"/>
        </w:sectPr>
      </w:pPr>
    </w:p>
    <w:p>
      <w:pPr>
        <w:pStyle w:val="Normal"/>
        <w:widowControl w:val="false"/>
        <w:ind w:left="7030" w:hanging="0"/>
        <w:rPr>
          <w:color w:val="000000"/>
          <w:sz w:val="26"/>
          <w:szCs w:val="26"/>
        </w:rPr>
      </w:pPr>
      <w:r>
        <w:rPr>
          <w:color w:val="000000"/>
          <w:sz w:val="26"/>
          <w:szCs w:val="26"/>
        </w:rPr>
        <w:t>Додаток 2 до</w:t>
      </w:r>
    </w:p>
    <w:p>
      <w:pPr>
        <w:pStyle w:val="Normal"/>
        <w:widowControl w:val="false"/>
        <w:ind w:left="7030" w:hanging="0"/>
        <w:rPr>
          <w:sz w:val="26"/>
          <w:szCs w:val="26"/>
        </w:rPr>
      </w:pPr>
      <w:r>
        <w:rPr>
          <w:sz w:val="26"/>
          <w:szCs w:val="26"/>
        </w:rPr>
        <w:t>Положення про списання майна</w:t>
      </w:r>
    </w:p>
    <w:p>
      <w:pPr>
        <w:pStyle w:val="Normal"/>
        <w:widowControl w:val="false"/>
        <w:ind w:left="7030" w:hanging="0"/>
        <w:rPr>
          <w:sz w:val="26"/>
          <w:szCs w:val="26"/>
        </w:rPr>
      </w:pPr>
      <w:r>
        <w:rPr>
          <w:sz w:val="26"/>
          <w:szCs w:val="26"/>
        </w:rPr>
        <w:t xml:space="preserve">комунальної власності </w:t>
      </w:r>
      <w:r>
        <w:rPr>
          <w:color w:val="000000"/>
          <w:sz w:val="26"/>
          <w:szCs w:val="26"/>
        </w:rPr>
        <w:t>Луцької</w:t>
      </w:r>
    </w:p>
    <w:p>
      <w:pPr>
        <w:pStyle w:val="Normal"/>
        <w:widowControl w:val="false"/>
        <w:ind w:left="7030" w:hanging="0"/>
        <w:rPr>
          <w:sz w:val="26"/>
          <w:szCs w:val="26"/>
        </w:rPr>
      </w:pPr>
      <w:r>
        <w:rPr>
          <w:color w:val="000000"/>
          <w:sz w:val="26"/>
          <w:szCs w:val="26"/>
        </w:rPr>
        <w:t>міської територіальної громади</w:t>
      </w:r>
    </w:p>
    <w:p>
      <w:pPr>
        <w:pStyle w:val="Normal"/>
        <w:rPr>
          <w:sz w:val="18"/>
          <w:szCs w:val="18"/>
        </w:rPr>
      </w:pPr>
      <w:r>
        <w:rPr>
          <w:sz w:val="18"/>
          <w:szCs w:val="18"/>
        </w:rPr>
      </w:r>
    </w:p>
    <w:p>
      <w:pPr>
        <w:pStyle w:val="Normal"/>
        <w:widowControl w:val="false"/>
        <w:ind w:left="6463" w:hanging="0"/>
        <w:rPr>
          <w:sz w:val="26"/>
          <w:szCs w:val="26"/>
        </w:rPr>
      </w:pPr>
      <w:r>
        <w:rPr>
          <w:color w:val="000000"/>
          <w:sz w:val="26"/>
          <w:szCs w:val="26"/>
        </w:rPr>
        <w:t xml:space="preserve">                 </w:t>
      </w:r>
      <w:r>
        <w:rPr>
          <w:color w:val="000000"/>
          <w:sz w:val="26"/>
          <w:szCs w:val="26"/>
        </w:rPr>
        <w:t>ЗАТВЕРДЖУЮ</w:t>
        <w:br/>
        <w:t>________________________________</w:t>
        <w:br/>
        <w:t xml:space="preserve">              </w:t>
      </w:r>
      <w:r>
        <w:rPr>
          <w:color w:val="000000"/>
          <w:sz w:val="22"/>
          <w:szCs w:val="22"/>
        </w:rPr>
        <w:t>(керівник  підприємства)</w:t>
      </w:r>
      <w:r>
        <w:rPr>
          <w:color w:val="000000"/>
          <w:sz w:val="20"/>
          <w:szCs w:val="26"/>
        </w:rPr>
        <w:br/>
      </w:r>
      <w:r>
        <w:rPr>
          <w:color w:val="000000"/>
          <w:sz w:val="26"/>
          <w:szCs w:val="26"/>
        </w:rPr>
        <w:t>___________   ___________________</w:t>
        <w:br/>
        <w:t xml:space="preserve"> </w:t>
      </w:r>
      <w:r>
        <w:rPr>
          <w:color w:val="000000"/>
          <w:sz w:val="20"/>
          <w:szCs w:val="26"/>
        </w:rPr>
        <w:t xml:space="preserve">     </w:t>
      </w:r>
      <w:r>
        <w:rPr>
          <w:color w:val="000000"/>
          <w:sz w:val="22"/>
          <w:szCs w:val="22"/>
        </w:rPr>
        <w:t xml:space="preserve"> (підпис)             (ініціали та прізвище)</w:t>
      </w:r>
      <w:r>
        <w:rPr>
          <w:color w:val="000000"/>
          <w:sz w:val="20"/>
          <w:szCs w:val="26"/>
        </w:rPr>
        <w:br/>
      </w:r>
      <w:r>
        <w:rPr>
          <w:color w:val="000000"/>
          <w:sz w:val="26"/>
          <w:szCs w:val="26"/>
        </w:rPr>
        <w:t>_______   _________________20__ р.</w:t>
        <w:br/>
        <w:t>М. П.</w:t>
      </w:r>
    </w:p>
    <w:p>
      <w:pPr>
        <w:pStyle w:val="Normal"/>
        <w:rPr>
          <w:sz w:val="18"/>
          <w:szCs w:val="18"/>
        </w:rPr>
      </w:pPr>
      <w:r>
        <w:rPr>
          <w:sz w:val="18"/>
          <w:szCs w:val="18"/>
        </w:rPr>
      </w:r>
    </w:p>
    <w:p>
      <w:pPr>
        <w:pStyle w:val="Normal"/>
        <w:jc w:val="center"/>
        <w:rPr>
          <w:color w:val="000000"/>
          <w:sz w:val="28"/>
          <w:szCs w:val="28"/>
        </w:rPr>
      </w:pPr>
      <w:r>
        <w:rPr>
          <w:b/>
          <w:sz w:val="28"/>
          <w:szCs w:val="28"/>
        </w:rPr>
        <w:t>АКТ</w:t>
        <w:br/>
        <w:t>інвентаризації майна, що пропонується до списання</w:t>
      </w:r>
    </w:p>
    <w:p>
      <w:pPr>
        <w:pStyle w:val="NormalWeb"/>
        <w:rPr>
          <w:color w:val="000000"/>
        </w:rPr>
      </w:pPr>
      <w:bookmarkStart w:id="1" w:name="132"/>
      <w:bookmarkEnd w:id="1"/>
      <w:r>
        <w:rPr>
          <w:color w:val="000000"/>
        </w:rPr>
        <w:t>_________________________________________________________________________________________</w:t>
        <w:br/>
        <w:t xml:space="preserve"> </w:t>
      </w:r>
      <w:r>
        <w:rPr>
          <w:color w:val="000000"/>
          <w:sz w:val="20"/>
        </w:rPr>
        <w:t xml:space="preserve"> (найменування суб'єкта господарювання та його місцезнаходження (цеху, дільниці тощо), де проводилась інвентаризація)</w:t>
      </w:r>
    </w:p>
    <w:p>
      <w:pPr>
        <w:pStyle w:val="NormalWeb"/>
        <w:ind w:firstLine="708"/>
        <w:rPr>
          <w:color w:val="000000"/>
          <w:sz w:val="28"/>
          <w:szCs w:val="28"/>
        </w:rPr>
      </w:pPr>
      <w:bookmarkStart w:id="2" w:name="133"/>
      <w:bookmarkEnd w:id="2"/>
      <w:r>
        <w:rPr>
          <w:color w:val="000000"/>
        </w:rPr>
        <w:t>На підставі наказу (розпорядження) від ___ ___________ 20__ р. № ___</w:t>
        <w:br/>
        <w:t>комісією у складі __________________________________________________________________________</w:t>
        <w:br/>
      </w:r>
      <w:r>
        <w:rPr>
          <w:color w:val="000000"/>
          <w:sz w:val="20"/>
        </w:rPr>
        <w:t xml:space="preserve">                                                                                   (посада, прізвище та ініціали членів комісії)</w:t>
        <w:br/>
      </w:r>
      <w:r>
        <w:rPr>
          <w:color w:val="000000"/>
        </w:rPr>
        <w:t>_________________________________________________________________________________________</w:t>
        <w:br/>
        <w:t>проведено інвентаризацію майна комунальної власності, що пропонується до списання і відображається на субрахунку № ___ станом на ___ ___________ 20__ р.</w:t>
      </w:r>
    </w:p>
    <w:p>
      <w:pPr>
        <w:pStyle w:val="NormalWeb"/>
        <w:spacing w:before="80" w:after="80"/>
        <w:ind w:firstLine="709"/>
        <w:rPr>
          <w:color w:val="000000"/>
        </w:rPr>
      </w:pPr>
      <w:bookmarkStart w:id="3" w:name="134"/>
      <w:bookmarkEnd w:id="3"/>
      <w:r>
        <w:rPr>
          <w:color w:val="000000"/>
        </w:rPr>
        <w:t>Інвентаризацію розпочато ___ ___________ 20__ р.</w:t>
      </w:r>
    </w:p>
    <w:p>
      <w:pPr>
        <w:pStyle w:val="NormalWeb"/>
        <w:spacing w:before="80" w:after="80"/>
        <w:ind w:firstLine="709"/>
        <w:rPr>
          <w:color w:val="000000"/>
        </w:rPr>
      </w:pPr>
      <w:bookmarkStart w:id="4" w:name="135"/>
      <w:bookmarkEnd w:id="4"/>
      <w:r>
        <w:rPr>
          <w:color w:val="000000"/>
        </w:rPr>
        <w:t>Інвентаризацію закінчено ___ ___________ 20__ р.</w:t>
      </w:r>
    </w:p>
    <w:p>
      <w:pPr>
        <w:pStyle w:val="NormalWeb"/>
        <w:spacing w:before="80" w:after="80"/>
        <w:ind w:firstLine="709"/>
        <w:rPr>
          <w:color w:val="000000"/>
        </w:rPr>
      </w:pPr>
      <w:bookmarkStart w:id="5" w:name="136"/>
      <w:bookmarkEnd w:id="5"/>
      <w:r>
        <w:rPr>
          <w:color w:val="000000"/>
        </w:rPr>
        <w:t xml:space="preserve">Під час проведення інвентаризації встановлено таке: </w:t>
      </w:r>
    </w:p>
    <w:p>
      <w:pPr>
        <w:pStyle w:val="Normal"/>
        <w:rPr>
          <w:color w:val="000000"/>
          <w:sz w:val="12"/>
          <w:szCs w:val="12"/>
        </w:rPr>
      </w:pPr>
      <w:r>
        <w:rPr>
          <w:color w:val="000000"/>
          <w:sz w:val="12"/>
          <w:szCs w:val="12"/>
        </w:rPr>
      </w:r>
    </w:p>
    <w:tbl>
      <w:tblPr>
        <w:tblW w:w="10755" w:type="dxa"/>
        <w:jc w:val="left"/>
        <w:tblInd w:w="125" w:type="dxa"/>
        <w:tblLayout w:type="fixed"/>
        <w:tblCellMar>
          <w:top w:w="55" w:type="dxa"/>
          <w:left w:w="107" w:type="dxa"/>
          <w:bottom w:w="55" w:type="dxa"/>
          <w:right w:w="107" w:type="dxa"/>
        </w:tblCellMar>
        <w:tblLook w:firstRow="1" w:noVBand="0" w:lastRow="0" w:firstColumn="1" w:lastColumn="0" w:noHBand="0" w:val="00a0"/>
      </w:tblPr>
      <w:tblGrid>
        <w:gridCol w:w="506"/>
        <w:gridCol w:w="1428"/>
        <w:gridCol w:w="1473"/>
        <w:gridCol w:w="1304"/>
        <w:gridCol w:w="1009"/>
        <w:gridCol w:w="971"/>
        <w:gridCol w:w="557"/>
        <w:gridCol w:w="1106"/>
        <w:gridCol w:w="556"/>
        <w:gridCol w:w="1021"/>
        <w:gridCol w:w="822"/>
      </w:tblGrid>
      <w:tr>
        <w:trPr>
          <w:cantSplit w:val="true"/>
        </w:trPr>
        <w:tc>
          <w:tcPr>
            <w:tcW w:w="506" w:type="dxa"/>
            <w:vMerge w:val="restart"/>
            <w:tcBorders>
              <w:top w:val="single" w:sz="4" w:space="0" w:color="000000"/>
              <w:left w:val="single" w:sz="4" w:space="0" w:color="000000"/>
              <w:bottom w:val="single" w:sz="4" w:space="0" w:color="000000"/>
            </w:tcBorders>
            <w:shd w:fill="auto" w:val="clear"/>
            <w:vAlign w:val="center"/>
          </w:tcPr>
          <w:p>
            <w:pPr>
              <w:pStyle w:val="Normal"/>
              <w:widowControl w:val="false"/>
              <w:jc w:val="center"/>
              <w:textAlignment w:val="center"/>
              <w:rPr>
                <w:color w:val="000000"/>
                <w:sz w:val="21"/>
                <w:szCs w:val="21"/>
              </w:rPr>
            </w:pPr>
            <w:r>
              <w:rPr>
                <w:color w:val="000000"/>
                <w:sz w:val="21"/>
                <w:szCs w:val="21"/>
              </w:rPr>
              <w:t>№</w:t>
            </w:r>
          </w:p>
          <w:p>
            <w:pPr>
              <w:pStyle w:val="Normal"/>
              <w:widowControl w:val="false"/>
              <w:jc w:val="center"/>
              <w:textAlignment w:val="center"/>
              <w:rPr>
                <w:sz w:val="21"/>
                <w:szCs w:val="21"/>
              </w:rPr>
            </w:pPr>
            <w:r>
              <w:rPr>
                <w:color w:val="000000"/>
                <w:sz w:val="21"/>
                <w:szCs w:val="21"/>
              </w:rPr>
              <w:t>з/п</w:t>
            </w:r>
          </w:p>
        </w:tc>
        <w:tc>
          <w:tcPr>
            <w:tcW w:w="1428" w:type="dxa"/>
            <w:vMerge w:val="restart"/>
            <w:tcBorders>
              <w:top w:val="single" w:sz="4" w:space="0" w:color="000000"/>
              <w:left w:val="single" w:sz="4" w:space="0" w:color="000000"/>
              <w:bottom w:val="single" w:sz="4" w:space="0" w:color="000000"/>
            </w:tcBorders>
            <w:shd w:fill="auto" w:val="clear"/>
            <w:vAlign w:val="center"/>
          </w:tcPr>
          <w:p>
            <w:pPr>
              <w:pStyle w:val="NormalWeb"/>
              <w:widowControl w:val="false"/>
              <w:spacing w:before="0" w:after="0"/>
              <w:jc w:val="center"/>
              <w:rPr>
                <w:color w:val="000000"/>
                <w:sz w:val="21"/>
                <w:szCs w:val="21"/>
              </w:rPr>
            </w:pPr>
            <w:bookmarkStart w:id="6" w:name="138"/>
            <w:bookmarkEnd w:id="6"/>
            <w:r>
              <w:rPr>
                <w:color w:val="000000"/>
                <w:sz w:val="21"/>
                <w:szCs w:val="21"/>
              </w:rPr>
              <w:t>Наймену-вання об'єкта</w:t>
            </w:r>
          </w:p>
        </w:tc>
        <w:tc>
          <w:tcPr>
            <w:tcW w:w="1473" w:type="dxa"/>
            <w:vMerge w:val="restart"/>
            <w:tcBorders>
              <w:top w:val="single" w:sz="4" w:space="0" w:color="000000"/>
              <w:left w:val="single" w:sz="4" w:space="0" w:color="000000"/>
              <w:bottom w:val="single" w:sz="4" w:space="0" w:color="000000"/>
            </w:tcBorders>
            <w:shd w:fill="auto" w:val="clear"/>
            <w:vAlign w:val="center"/>
          </w:tcPr>
          <w:p>
            <w:pPr>
              <w:pStyle w:val="NormalWeb"/>
              <w:widowControl w:val="false"/>
              <w:spacing w:before="0" w:after="0"/>
              <w:jc w:val="center"/>
              <w:rPr>
                <w:color w:val="000000"/>
                <w:sz w:val="21"/>
                <w:szCs w:val="21"/>
              </w:rPr>
            </w:pPr>
            <w:bookmarkStart w:id="7" w:name="139"/>
            <w:bookmarkEnd w:id="7"/>
            <w:r>
              <w:rPr>
                <w:color w:val="000000"/>
                <w:sz w:val="21"/>
                <w:szCs w:val="21"/>
              </w:rPr>
              <w:t>Рік випуску / дата</w:t>
            </w:r>
          </w:p>
          <w:p>
            <w:pPr>
              <w:pStyle w:val="NormalWeb"/>
              <w:widowControl w:val="false"/>
              <w:spacing w:before="0" w:after="0"/>
              <w:jc w:val="center"/>
              <w:rPr>
                <w:color w:val="000000"/>
                <w:sz w:val="21"/>
                <w:szCs w:val="21"/>
              </w:rPr>
            </w:pPr>
            <w:r>
              <w:rPr>
                <w:color w:val="000000"/>
                <w:sz w:val="21"/>
                <w:szCs w:val="21"/>
              </w:rPr>
              <w:t>введення в експлуатацію</w:t>
            </w:r>
          </w:p>
        </w:tc>
        <w:tc>
          <w:tcPr>
            <w:tcW w:w="3284" w:type="dxa"/>
            <w:gridSpan w:val="3"/>
            <w:tcBorders>
              <w:top w:val="single" w:sz="4" w:space="0" w:color="000000"/>
              <w:left w:val="single" w:sz="4" w:space="0" w:color="000000"/>
              <w:bottom w:val="single" w:sz="4" w:space="0" w:color="000000"/>
            </w:tcBorders>
            <w:shd w:fill="auto" w:val="clear"/>
            <w:vAlign w:val="center"/>
          </w:tcPr>
          <w:p>
            <w:pPr>
              <w:pStyle w:val="NormalWeb"/>
              <w:widowControl w:val="false"/>
              <w:spacing w:before="0" w:after="0"/>
              <w:jc w:val="center"/>
              <w:rPr>
                <w:color w:val="000000"/>
                <w:sz w:val="21"/>
                <w:szCs w:val="21"/>
              </w:rPr>
            </w:pPr>
            <w:bookmarkStart w:id="8" w:name="140"/>
            <w:bookmarkEnd w:id="8"/>
            <w:r>
              <w:rPr>
                <w:color w:val="000000"/>
                <w:sz w:val="21"/>
                <w:szCs w:val="21"/>
              </w:rPr>
              <w:t>Номер об'єкта</w:t>
            </w:r>
          </w:p>
        </w:tc>
        <w:tc>
          <w:tcPr>
            <w:tcW w:w="3240" w:type="dxa"/>
            <w:gridSpan w:val="4"/>
            <w:tcBorders>
              <w:top w:val="single" w:sz="4" w:space="0" w:color="000000"/>
              <w:left w:val="single" w:sz="4" w:space="0" w:color="000000"/>
              <w:bottom w:val="single" w:sz="4" w:space="0" w:color="000000"/>
            </w:tcBorders>
            <w:shd w:fill="auto" w:val="clear"/>
            <w:vAlign w:val="center"/>
          </w:tcPr>
          <w:p>
            <w:pPr>
              <w:pStyle w:val="NormalWeb"/>
              <w:widowControl w:val="false"/>
              <w:spacing w:before="0" w:after="0"/>
              <w:jc w:val="center"/>
              <w:rPr>
                <w:color w:val="000000"/>
                <w:sz w:val="21"/>
                <w:szCs w:val="21"/>
              </w:rPr>
            </w:pPr>
            <w:bookmarkStart w:id="9" w:name="141"/>
            <w:bookmarkEnd w:id="9"/>
            <w:r>
              <w:rPr>
                <w:color w:val="000000"/>
                <w:sz w:val="21"/>
                <w:szCs w:val="21"/>
              </w:rPr>
              <w:t>Станом на ___ _________ 20__ р.</w:t>
            </w:r>
          </w:p>
        </w:tc>
        <w:tc>
          <w:tcPr>
            <w:tcW w:w="822" w:type="dxa"/>
            <w:vMerge w:val="restart"/>
            <w:tcBorders>
              <w:top w:val="single" w:sz="4" w:space="0" w:color="000000"/>
              <w:left w:val="single" w:sz="4" w:space="0" w:color="000000"/>
              <w:bottom w:val="single" w:sz="4" w:space="0" w:color="000000"/>
              <w:right w:val="single" w:sz="4" w:space="0" w:color="000000"/>
            </w:tcBorders>
            <w:shd w:fill="auto" w:val="clear"/>
            <w:vAlign w:val="center"/>
          </w:tcPr>
          <w:p>
            <w:pPr>
              <w:pStyle w:val="NormalWeb"/>
              <w:widowControl w:val="false"/>
              <w:spacing w:before="0" w:after="0"/>
              <w:jc w:val="center"/>
              <w:rPr>
                <w:color w:val="000000"/>
                <w:sz w:val="21"/>
                <w:szCs w:val="21"/>
              </w:rPr>
            </w:pPr>
            <w:bookmarkStart w:id="10" w:name="142"/>
            <w:bookmarkEnd w:id="10"/>
            <w:r>
              <w:rPr>
                <w:color w:val="000000"/>
                <w:sz w:val="21"/>
                <w:szCs w:val="21"/>
              </w:rPr>
              <w:t>При-</w:t>
              <w:br/>
              <w:t>мітка</w:t>
            </w:r>
          </w:p>
        </w:tc>
      </w:tr>
      <w:tr>
        <w:trPr>
          <w:cantSplit w:val="true"/>
        </w:trPr>
        <w:tc>
          <w:tcPr>
            <w:tcW w:w="506" w:type="dxa"/>
            <w:vMerge w:val="continue"/>
            <w:tcBorders>
              <w:left w:val="single" w:sz="4" w:space="0" w:color="000000"/>
              <w:bottom w:val="single" w:sz="4" w:space="0" w:color="000000"/>
            </w:tcBorders>
            <w:shd w:fill="auto" w:val="clear"/>
            <w:vAlign w:val="center"/>
          </w:tcPr>
          <w:p>
            <w:pPr>
              <w:pStyle w:val="Normal"/>
              <w:widowControl w:val="false"/>
              <w:snapToGrid w:val="false"/>
              <w:rPr>
                <w:color w:val="000000"/>
                <w:sz w:val="21"/>
                <w:szCs w:val="21"/>
              </w:rPr>
            </w:pPr>
            <w:r>
              <w:rPr>
                <w:color w:val="000000"/>
                <w:sz w:val="21"/>
                <w:szCs w:val="21"/>
              </w:rPr>
            </w:r>
          </w:p>
        </w:tc>
        <w:tc>
          <w:tcPr>
            <w:tcW w:w="1428" w:type="dxa"/>
            <w:vMerge w:val="continue"/>
            <w:tcBorders>
              <w:left w:val="single" w:sz="4" w:space="0" w:color="000000"/>
              <w:bottom w:val="single" w:sz="4" w:space="0" w:color="000000"/>
            </w:tcBorders>
            <w:shd w:fill="auto" w:val="clear"/>
            <w:vAlign w:val="center"/>
          </w:tcPr>
          <w:p>
            <w:pPr>
              <w:pStyle w:val="Normal"/>
              <w:widowControl w:val="false"/>
              <w:snapToGrid w:val="false"/>
              <w:jc w:val="center"/>
              <w:rPr>
                <w:color w:val="000000"/>
                <w:sz w:val="21"/>
                <w:szCs w:val="21"/>
              </w:rPr>
            </w:pPr>
            <w:r>
              <w:rPr>
                <w:color w:val="000000"/>
                <w:sz w:val="21"/>
                <w:szCs w:val="21"/>
              </w:rPr>
            </w:r>
          </w:p>
        </w:tc>
        <w:tc>
          <w:tcPr>
            <w:tcW w:w="1473" w:type="dxa"/>
            <w:vMerge w:val="continue"/>
            <w:tcBorders>
              <w:left w:val="single" w:sz="4" w:space="0" w:color="000000"/>
              <w:bottom w:val="single" w:sz="4" w:space="0" w:color="000000"/>
            </w:tcBorders>
            <w:shd w:fill="auto" w:val="clear"/>
            <w:vAlign w:val="center"/>
          </w:tcPr>
          <w:p>
            <w:pPr>
              <w:pStyle w:val="Normal"/>
              <w:widowControl w:val="false"/>
              <w:snapToGrid w:val="false"/>
              <w:jc w:val="center"/>
              <w:rPr>
                <w:color w:val="000000"/>
                <w:sz w:val="21"/>
                <w:szCs w:val="21"/>
              </w:rPr>
            </w:pPr>
            <w:r>
              <w:rPr>
                <w:color w:val="000000"/>
                <w:sz w:val="21"/>
                <w:szCs w:val="21"/>
              </w:rPr>
            </w:r>
          </w:p>
        </w:tc>
        <w:tc>
          <w:tcPr>
            <w:tcW w:w="1304" w:type="dxa"/>
            <w:tcBorders>
              <w:left w:val="single" w:sz="4" w:space="0" w:color="000000"/>
              <w:bottom w:val="single" w:sz="4" w:space="0" w:color="000000"/>
            </w:tcBorders>
            <w:shd w:fill="auto" w:val="clear"/>
            <w:vAlign w:val="center"/>
          </w:tcPr>
          <w:p>
            <w:pPr>
              <w:pStyle w:val="NormalWeb"/>
              <w:widowControl w:val="false"/>
              <w:spacing w:before="0" w:after="0"/>
              <w:jc w:val="center"/>
              <w:rPr>
                <w:sz w:val="21"/>
                <w:szCs w:val="21"/>
              </w:rPr>
            </w:pPr>
            <w:bookmarkStart w:id="11" w:name="143"/>
            <w:bookmarkEnd w:id="11"/>
            <w:r>
              <w:rPr>
                <w:color w:val="000000"/>
                <w:sz w:val="21"/>
                <w:szCs w:val="21"/>
              </w:rPr>
              <w:t>інвен-</w:t>
              <w:br/>
              <w:t xml:space="preserve">тарний </w:t>
            </w:r>
            <w:r>
              <w:rPr>
                <w:color w:val="222222"/>
                <w:sz w:val="21"/>
                <w:szCs w:val="21"/>
              </w:rPr>
              <w:t>(номенкла-турний)</w:t>
            </w:r>
          </w:p>
        </w:tc>
        <w:tc>
          <w:tcPr>
            <w:tcW w:w="1009" w:type="dxa"/>
            <w:tcBorders>
              <w:left w:val="single" w:sz="4" w:space="0" w:color="000000"/>
              <w:bottom w:val="single" w:sz="4" w:space="0" w:color="000000"/>
            </w:tcBorders>
            <w:shd w:fill="auto" w:val="clear"/>
            <w:vAlign w:val="center"/>
          </w:tcPr>
          <w:p>
            <w:pPr>
              <w:pStyle w:val="NormalWeb"/>
              <w:widowControl w:val="false"/>
              <w:spacing w:before="0" w:after="0"/>
              <w:jc w:val="center"/>
              <w:rPr>
                <w:color w:val="000000"/>
                <w:sz w:val="21"/>
                <w:szCs w:val="21"/>
              </w:rPr>
            </w:pPr>
            <w:bookmarkStart w:id="12" w:name="144"/>
            <w:bookmarkEnd w:id="12"/>
            <w:r>
              <w:rPr>
                <w:color w:val="000000"/>
                <w:sz w:val="21"/>
                <w:szCs w:val="21"/>
              </w:rPr>
              <w:t>заводсь-кий</w:t>
            </w:r>
          </w:p>
        </w:tc>
        <w:tc>
          <w:tcPr>
            <w:tcW w:w="971" w:type="dxa"/>
            <w:tcBorders>
              <w:left w:val="single" w:sz="4" w:space="0" w:color="000000"/>
              <w:bottom w:val="single" w:sz="4" w:space="0" w:color="000000"/>
            </w:tcBorders>
            <w:shd w:fill="auto" w:val="clear"/>
            <w:vAlign w:val="center"/>
          </w:tcPr>
          <w:p>
            <w:pPr>
              <w:pStyle w:val="NormalWeb"/>
              <w:widowControl w:val="false"/>
              <w:spacing w:before="0" w:after="0"/>
              <w:jc w:val="center"/>
              <w:rPr>
                <w:color w:val="000000"/>
                <w:sz w:val="21"/>
                <w:szCs w:val="21"/>
              </w:rPr>
            </w:pPr>
            <w:bookmarkStart w:id="13" w:name="145"/>
            <w:bookmarkEnd w:id="13"/>
            <w:r>
              <w:rPr>
                <w:color w:val="000000"/>
                <w:sz w:val="21"/>
                <w:szCs w:val="21"/>
              </w:rPr>
              <w:t>пас-</w:t>
              <w:br/>
              <w:t>портний</w:t>
            </w:r>
          </w:p>
        </w:tc>
        <w:tc>
          <w:tcPr>
            <w:tcW w:w="1663" w:type="dxa"/>
            <w:gridSpan w:val="2"/>
            <w:tcBorders>
              <w:left w:val="single" w:sz="4" w:space="0" w:color="000000"/>
              <w:bottom w:val="single" w:sz="4" w:space="0" w:color="000000"/>
            </w:tcBorders>
            <w:shd w:fill="auto" w:val="clear"/>
            <w:vAlign w:val="center"/>
          </w:tcPr>
          <w:p>
            <w:pPr>
              <w:pStyle w:val="NormalWeb"/>
              <w:widowControl w:val="false"/>
              <w:spacing w:before="0" w:after="0"/>
              <w:jc w:val="center"/>
              <w:rPr>
                <w:color w:val="000000"/>
                <w:sz w:val="21"/>
                <w:szCs w:val="21"/>
              </w:rPr>
            </w:pPr>
            <w:bookmarkStart w:id="14" w:name="146"/>
            <w:bookmarkEnd w:id="14"/>
            <w:r>
              <w:rPr>
                <w:color w:val="000000"/>
                <w:sz w:val="21"/>
                <w:szCs w:val="21"/>
              </w:rPr>
              <w:t>фактично виявлено</w:t>
            </w:r>
          </w:p>
        </w:tc>
        <w:tc>
          <w:tcPr>
            <w:tcW w:w="1577" w:type="dxa"/>
            <w:gridSpan w:val="2"/>
            <w:tcBorders>
              <w:left w:val="single" w:sz="4" w:space="0" w:color="000000"/>
              <w:bottom w:val="single" w:sz="4" w:space="0" w:color="000000"/>
            </w:tcBorders>
            <w:shd w:fill="auto" w:val="clear"/>
            <w:vAlign w:val="center"/>
          </w:tcPr>
          <w:p>
            <w:pPr>
              <w:pStyle w:val="NormalWeb"/>
              <w:widowControl w:val="false"/>
              <w:spacing w:before="0" w:after="0"/>
              <w:jc w:val="center"/>
              <w:rPr>
                <w:color w:val="000000"/>
                <w:sz w:val="21"/>
                <w:szCs w:val="21"/>
              </w:rPr>
            </w:pPr>
            <w:bookmarkStart w:id="15" w:name="147"/>
            <w:bookmarkEnd w:id="15"/>
            <w:r>
              <w:rPr>
                <w:color w:val="000000"/>
                <w:sz w:val="21"/>
                <w:szCs w:val="21"/>
              </w:rPr>
              <w:t>за даними бухгалтерського обліку</w:t>
            </w:r>
          </w:p>
        </w:tc>
        <w:tc>
          <w:tcPr>
            <w:tcW w:w="822" w:type="dxa"/>
            <w:vMerge w:val="continue"/>
            <w:tcBorders>
              <w:top w:val="single" w:sz="4" w:space="0" w:color="000000"/>
              <w:left w:val="single" w:sz="4" w:space="0" w:color="000000"/>
              <w:bottom w:val="single" w:sz="4" w:space="0" w:color="000000"/>
              <w:right w:val="single" w:sz="4" w:space="0" w:color="000000"/>
            </w:tcBorders>
            <w:shd w:fill="auto" w:val="clear"/>
          </w:tcPr>
          <w:p>
            <w:pPr>
              <w:pStyle w:val="NormalWeb"/>
              <w:widowControl w:val="false"/>
              <w:snapToGrid w:val="false"/>
              <w:spacing w:before="0" w:after="0"/>
              <w:jc w:val="center"/>
              <w:rPr>
                <w:color w:val="000000"/>
                <w:sz w:val="21"/>
                <w:szCs w:val="21"/>
              </w:rPr>
            </w:pPr>
            <w:r>
              <w:rPr>
                <w:color w:val="000000"/>
                <w:sz w:val="21"/>
                <w:szCs w:val="21"/>
              </w:rPr>
            </w:r>
            <w:bookmarkStart w:id="16" w:name="208"/>
            <w:bookmarkStart w:id="17" w:name="208"/>
            <w:bookmarkEnd w:id="17"/>
          </w:p>
        </w:tc>
      </w:tr>
      <w:tr>
        <w:trPr>
          <w:trHeight w:val="1135" w:hRule="atLeast"/>
          <w:cantSplit w:val="true"/>
        </w:trPr>
        <w:tc>
          <w:tcPr>
            <w:tcW w:w="506" w:type="dxa"/>
            <w:tcBorders>
              <w:left w:val="single" w:sz="4" w:space="0" w:color="000000"/>
              <w:bottom w:val="single" w:sz="4" w:space="0" w:color="000000"/>
            </w:tcBorders>
            <w:shd w:fill="auto" w:val="clear"/>
          </w:tcPr>
          <w:p>
            <w:pPr>
              <w:pStyle w:val="NormalWeb"/>
              <w:widowControl w:val="false"/>
              <w:snapToGrid w:val="false"/>
              <w:spacing w:before="0" w:after="0"/>
              <w:jc w:val="center"/>
              <w:rPr>
                <w:color w:val="000000"/>
                <w:sz w:val="21"/>
                <w:szCs w:val="21"/>
              </w:rPr>
            </w:pPr>
            <w:r>
              <w:rPr>
                <w:color w:val="000000"/>
                <w:sz w:val="21"/>
                <w:szCs w:val="21"/>
              </w:rPr>
            </w:r>
            <w:bookmarkStart w:id="18" w:name="209"/>
            <w:bookmarkStart w:id="19" w:name="209"/>
            <w:bookmarkEnd w:id="19"/>
          </w:p>
        </w:tc>
        <w:tc>
          <w:tcPr>
            <w:tcW w:w="1428" w:type="dxa"/>
            <w:tcBorders>
              <w:left w:val="single" w:sz="4" w:space="0" w:color="000000"/>
              <w:bottom w:val="single" w:sz="4" w:space="0" w:color="000000"/>
            </w:tcBorders>
            <w:shd w:fill="auto" w:val="clear"/>
          </w:tcPr>
          <w:p>
            <w:pPr>
              <w:pStyle w:val="NormalWeb"/>
              <w:widowControl w:val="false"/>
              <w:snapToGrid w:val="false"/>
              <w:spacing w:before="0" w:after="0"/>
              <w:jc w:val="center"/>
              <w:rPr>
                <w:color w:val="000000"/>
                <w:sz w:val="21"/>
                <w:szCs w:val="21"/>
              </w:rPr>
            </w:pPr>
            <w:r>
              <w:rPr>
                <w:color w:val="000000"/>
                <w:sz w:val="21"/>
                <w:szCs w:val="21"/>
              </w:rPr>
            </w:r>
            <w:bookmarkStart w:id="20" w:name="210"/>
            <w:bookmarkStart w:id="21" w:name="210"/>
            <w:bookmarkEnd w:id="21"/>
          </w:p>
        </w:tc>
        <w:tc>
          <w:tcPr>
            <w:tcW w:w="1473" w:type="dxa"/>
            <w:tcBorders>
              <w:left w:val="single" w:sz="4" w:space="0" w:color="000000"/>
              <w:bottom w:val="single" w:sz="4" w:space="0" w:color="000000"/>
            </w:tcBorders>
            <w:shd w:fill="auto" w:val="clear"/>
          </w:tcPr>
          <w:p>
            <w:pPr>
              <w:pStyle w:val="NormalWeb"/>
              <w:widowControl w:val="false"/>
              <w:snapToGrid w:val="false"/>
              <w:spacing w:before="0" w:after="0"/>
              <w:jc w:val="center"/>
              <w:rPr>
                <w:color w:val="000000"/>
                <w:sz w:val="21"/>
                <w:szCs w:val="21"/>
              </w:rPr>
            </w:pPr>
            <w:r>
              <w:rPr>
                <w:color w:val="000000"/>
                <w:sz w:val="21"/>
                <w:szCs w:val="21"/>
              </w:rPr>
            </w:r>
            <w:bookmarkStart w:id="22" w:name="211"/>
            <w:bookmarkStart w:id="23" w:name="211"/>
            <w:bookmarkEnd w:id="23"/>
          </w:p>
        </w:tc>
        <w:tc>
          <w:tcPr>
            <w:tcW w:w="1304" w:type="dxa"/>
            <w:tcBorders>
              <w:left w:val="single" w:sz="4" w:space="0" w:color="000000"/>
              <w:bottom w:val="single" w:sz="4" w:space="0" w:color="000000"/>
            </w:tcBorders>
            <w:shd w:fill="auto" w:val="clear"/>
          </w:tcPr>
          <w:p>
            <w:pPr>
              <w:pStyle w:val="NormalWeb"/>
              <w:widowControl w:val="false"/>
              <w:snapToGrid w:val="false"/>
              <w:spacing w:before="0" w:after="0"/>
              <w:jc w:val="center"/>
              <w:rPr>
                <w:color w:val="000000"/>
                <w:sz w:val="21"/>
                <w:szCs w:val="21"/>
              </w:rPr>
            </w:pPr>
            <w:r>
              <w:rPr>
                <w:color w:val="000000"/>
                <w:sz w:val="21"/>
                <w:szCs w:val="21"/>
              </w:rPr>
            </w:r>
            <w:bookmarkStart w:id="24" w:name="212"/>
            <w:bookmarkStart w:id="25" w:name="212"/>
            <w:bookmarkEnd w:id="25"/>
          </w:p>
        </w:tc>
        <w:tc>
          <w:tcPr>
            <w:tcW w:w="1009" w:type="dxa"/>
            <w:tcBorders>
              <w:left w:val="single" w:sz="4" w:space="0" w:color="000000"/>
              <w:bottom w:val="single" w:sz="4" w:space="0" w:color="000000"/>
            </w:tcBorders>
            <w:shd w:fill="auto" w:val="clear"/>
          </w:tcPr>
          <w:p>
            <w:pPr>
              <w:pStyle w:val="NormalWeb"/>
              <w:widowControl w:val="false"/>
              <w:snapToGrid w:val="false"/>
              <w:spacing w:before="0" w:after="0"/>
              <w:jc w:val="center"/>
              <w:rPr>
                <w:color w:val="000000"/>
                <w:sz w:val="21"/>
                <w:szCs w:val="21"/>
              </w:rPr>
            </w:pPr>
            <w:r>
              <w:rPr>
                <w:color w:val="000000"/>
                <w:sz w:val="21"/>
                <w:szCs w:val="21"/>
              </w:rPr>
            </w:r>
            <w:bookmarkStart w:id="26" w:name="213"/>
            <w:bookmarkStart w:id="27" w:name="213"/>
            <w:bookmarkEnd w:id="27"/>
          </w:p>
        </w:tc>
        <w:tc>
          <w:tcPr>
            <w:tcW w:w="971" w:type="dxa"/>
            <w:tcBorders>
              <w:left w:val="single" w:sz="4" w:space="0" w:color="000000"/>
              <w:bottom w:val="single" w:sz="4" w:space="0" w:color="000000"/>
            </w:tcBorders>
            <w:shd w:fill="auto" w:val="clear"/>
          </w:tcPr>
          <w:p>
            <w:pPr>
              <w:pStyle w:val="NormalWeb"/>
              <w:widowControl w:val="false"/>
              <w:snapToGrid w:val="false"/>
              <w:spacing w:before="0" w:after="0"/>
              <w:jc w:val="center"/>
              <w:rPr>
                <w:color w:val="000000"/>
                <w:sz w:val="21"/>
                <w:szCs w:val="21"/>
              </w:rPr>
            </w:pPr>
            <w:r>
              <w:rPr>
                <w:color w:val="000000"/>
                <w:sz w:val="21"/>
                <w:szCs w:val="21"/>
              </w:rPr>
            </w:r>
            <w:bookmarkStart w:id="28" w:name="214"/>
            <w:bookmarkStart w:id="29" w:name="214"/>
            <w:bookmarkEnd w:id="29"/>
          </w:p>
        </w:tc>
        <w:tc>
          <w:tcPr>
            <w:tcW w:w="557" w:type="dxa"/>
            <w:tcBorders>
              <w:left w:val="single" w:sz="4" w:space="0" w:color="000000"/>
              <w:bottom w:val="single" w:sz="4" w:space="0" w:color="000000"/>
            </w:tcBorders>
            <w:shd w:fill="auto" w:val="clear"/>
            <w:textDirection w:val="btLr"/>
            <w:vAlign w:val="center"/>
          </w:tcPr>
          <w:p>
            <w:pPr>
              <w:pStyle w:val="NormalWeb"/>
              <w:widowControl w:val="false"/>
              <w:spacing w:before="0" w:after="0"/>
              <w:jc w:val="center"/>
              <w:rPr>
                <w:color w:val="000000"/>
                <w:sz w:val="21"/>
                <w:szCs w:val="21"/>
              </w:rPr>
            </w:pPr>
            <w:bookmarkStart w:id="30" w:name="148"/>
            <w:bookmarkEnd w:id="30"/>
            <w:r>
              <w:rPr>
                <w:color w:val="000000"/>
                <w:sz w:val="21"/>
                <w:szCs w:val="21"/>
              </w:rPr>
              <w:t>кількість</w:t>
            </w:r>
          </w:p>
        </w:tc>
        <w:tc>
          <w:tcPr>
            <w:tcW w:w="1106" w:type="dxa"/>
            <w:tcBorders>
              <w:left w:val="single" w:sz="4" w:space="0" w:color="000000"/>
              <w:bottom w:val="single" w:sz="4" w:space="0" w:color="000000"/>
            </w:tcBorders>
            <w:shd w:fill="auto" w:val="clear"/>
            <w:vAlign w:val="center"/>
          </w:tcPr>
          <w:p>
            <w:pPr>
              <w:pStyle w:val="NormalWeb"/>
              <w:widowControl w:val="false"/>
              <w:spacing w:before="0" w:after="0"/>
              <w:jc w:val="center"/>
              <w:rPr>
                <w:color w:val="000000"/>
                <w:sz w:val="21"/>
                <w:szCs w:val="21"/>
              </w:rPr>
            </w:pPr>
            <w:bookmarkStart w:id="31" w:name="149"/>
            <w:bookmarkEnd w:id="31"/>
            <w:r>
              <w:rPr>
                <w:color w:val="000000"/>
                <w:sz w:val="21"/>
                <w:szCs w:val="21"/>
              </w:rPr>
              <w:t>первісна (перео-</w:t>
              <w:br/>
              <w:t>цінена) вартість, грн</w:t>
            </w:r>
          </w:p>
        </w:tc>
        <w:tc>
          <w:tcPr>
            <w:tcW w:w="556" w:type="dxa"/>
            <w:tcBorders>
              <w:left w:val="single" w:sz="4" w:space="0" w:color="000000"/>
              <w:bottom w:val="single" w:sz="4" w:space="0" w:color="000000"/>
            </w:tcBorders>
            <w:shd w:fill="auto" w:val="clear"/>
            <w:textDirection w:val="btLr"/>
            <w:vAlign w:val="center"/>
          </w:tcPr>
          <w:p>
            <w:pPr>
              <w:pStyle w:val="NormalWeb"/>
              <w:widowControl w:val="false"/>
              <w:spacing w:before="0" w:after="0"/>
              <w:jc w:val="center"/>
              <w:rPr>
                <w:color w:val="000000"/>
                <w:sz w:val="21"/>
                <w:szCs w:val="21"/>
              </w:rPr>
            </w:pPr>
            <w:bookmarkStart w:id="32" w:name="150"/>
            <w:bookmarkEnd w:id="32"/>
            <w:r>
              <w:rPr>
                <w:color w:val="000000"/>
                <w:sz w:val="21"/>
                <w:szCs w:val="21"/>
              </w:rPr>
              <w:t>кількість</w:t>
            </w:r>
          </w:p>
        </w:tc>
        <w:tc>
          <w:tcPr>
            <w:tcW w:w="1021" w:type="dxa"/>
            <w:tcBorders>
              <w:left w:val="single" w:sz="4" w:space="0" w:color="000000"/>
              <w:bottom w:val="single" w:sz="4" w:space="0" w:color="000000"/>
            </w:tcBorders>
            <w:shd w:fill="auto" w:val="clear"/>
            <w:vAlign w:val="center"/>
          </w:tcPr>
          <w:p>
            <w:pPr>
              <w:pStyle w:val="NormalWeb"/>
              <w:widowControl w:val="false"/>
              <w:spacing w:before="0" w:after="0"/>
              <w:jc w:val="center"/>
              <w:rPr>
                <w:color w:val="000000"/>
                <w:sz w:val="21"/>
                <w:szCs w:val="21"/>
              </w:rPr>
            </w:pPr>
            <w:bookmarkStart w:id="33" w:name="151"/>
            <w:bookmarkEnd w:id="33"/>
            <w:r>
              <w:rPr>
                <w:color w:val="000000"/>
                <w:sz w:val="21"/>
                <w:szCs w:val="21"/>
              </w:rPr>
              <w:t>первісна (перео-</w:t>
              <w:br/>
              <w:t>цінена) вартість, грн</w:t>
            </w:r>
          </w:p>
        </w:tc>
        <w:tc>
          <w:tcPr>
            <w:tcW w:w="822" w:type="dxa"/>
            <w:tcBorders>
              <w:left w:val="single" w:sz="4" w:space="0" w:color="000000"/>
              <w:bottom w:val="single" w:sz="4" w:space="0" w:color="000000"/>
              <w:right w:val="single" w:sz="4" w:space="0" w:color="000000"/>
            </w:tcBorders>
            <w:shd w:fill="auto" w:val="clear"/>
          </w:tcPr>
          <w:p>
            <w:pPr>
              <w:pStyle w:val="NormalWeb"/>
              <w:widowControl w:val="false"/>
              <w:snapToGrid w:val="false"/>
              <w:spacing w:before="0" w:after="0"/>
              <w:jc w:val="center"/>
              <w:rPr>
                <w:color w:val="000000"/>
                <w:sz w:val="21"/>
                <w:szCs w:val="21"/>
              </w:rPr>
            </w:pPr>
            <w:r>
              <w:rPr>
                <w:color w:val="000000"/>
                <w:sz w:val="21"/>
                <w:szCs w:val="21"/>
              </w:rPr>
            </w:r>
            <w:bookmarkStart w:id="34" w:name="215"/>
            <w:bookmarkStart w:id="35" w:name="215"/>
            <w:bookmarkEnd w:id="35"/>
          </w:p>
        </w:tc>
      </w:tr>
    </w:tbl>
    <w:p>
      <w:pPr>
        <w:pStyle w:val="NormalWeb"/>
        <w:spacing w:before="0" w:after="0"/>
        <w:ind w:firstLine="709"/>
        <w:rPr>
          <w:color w:val="000000"/>
          <w:sz w:val="12"/>
        </w:rPr>
      </w:pPr>
      <w:r>
        <w:rPr>
          <w:color w:val="000000"/>
          <w:sz w:val="12"/>
        </w:rPr>
      </w:r>
      <w:bookmarkStart w:id="36" w:name="153"/>
      <w:bookmarkStart w:id="37" w:name="153"/>
      <w:bookmarkEnd w:id="37"/>
    </w:p>
    <w:p>
      <w:pPr>
        <w:pStyle w:val="NormalWeb"/>
        <w:spacing w:before="0" w:after="0"/>
        <w:ind w:firstLine="709"/>
        <w:rPr>
          <w:color w:val="000000"/>
        </w:rPr>
      </w:pPr>
      <w:r>
        <w:rPr>
          <w:color w:val="000000"/>
        </w:rPr>
        <w:t>Усього</w:t>
      </w:r>
    </w:p>
    <w:p>
      <w:pPr>
        <w:pStyle w:val="NormalWeb"/>
        <w:spacing w:before="0" w:after="0"/>
        <w:rPr>
          <w:color w:val="000000"/>
        </w:rPr>
      </w:pPr>
      <w:r>
        <w:rPr>
          <w:color w:val="000000"/>
        </w:rPr>
        <w:t>Усього за актом: __________________________________________________________________________</w:t>
      </w:r>
    </w:p>
    <w:p>
      <w:pPr>
        <w:pStyle w:val="NormalWeb"/>
        <w:spacing w:before="0" w:after="0"/>
        <w:ind w:firstLine="709"/>
        <w:rPr>
          <w:color w:val="000000"/>
          <w:sz w:val="28"/>
          <w:szCs w:val="28"/>
        </w:rPr>
      </w:pPr>
      <w:r>
        <w:rPr>
          <w:color w:val="000000"/>
          <w:sz w:val="20"/>
        </w:rPr>
        <w:t xml:space="preserve">                                                                                            </w:t>
      </w:r>
      <w:r>
        <w:rPr>
          <w:color w:val="000000"/>
          <w:sz w:val="20"/>
        </w:rPr>
        <w:t>(цифрами і словами)</w:t>
        <w:br/>
      </w:r>
      <w:r>
        <w:rPr>
          <w:color w:val="000000"/>
        </w:rPr>
        <w:t>1) загальна кількість об'єктів (фактично) ______________________________________________________</w:t>
      </w:r>
    </w:p>
    <w:p>
      <w:pPr>
        <w:pStyle w:val="NormalWeb"/>
        <w:spacing w:before="0" w:after="0"/>
        <w:ind w:firstLine="709"/>
        <w:rPr>
          <w:color w:val="000000"/>
          <w:sz w:val="28"/>
          <w:szCs w:val="28"/>
        </w:rPr>
      </w:pPr>
      <w:r>
        <w:rPr>
          <w:color w:val="000000"/>
          <w:sz w:val="20"/>
        </w:rPr>
        <w:t xml:space="preserve">                                                                                                                     </w:t>
      </w:r>
      <w:r>
        <w:rPr>
          <w:color w:val="000000"/>
          <w:sz w:val="20"/>
        </w:rPr>
        <w:t>(цифрами і словами)</w:t>
        <w:br/>
      </w:r>
      <w:r>
        <w:rPr>
          <w:color w:val="000000"/>
        </w:rPr>
        <w:t>2) на суму, гривень (фактично) ______________________________________________________________</w:t>
      </w:r>
    </w:p>
    <w:p>
      <w:pPr>
        <w:pStyle w:val="NormalWeb"/>
        <w:spacing w:before="0" w:after="0"/>
        <w:ind w:firstLine="709"/>
        <w:rPr>
          <w:color w:val="000000"/>
        </w:rPr>
      </w:pPr>
      <w:r>
        <w:rPr>
          <w:color w:val="000000"/>
          <w:sz w:val="20"/>
        </w:rPr>
        <w:t xml:space="preserve">                                                                                                                     </w:t>
      </w:r>
      <w:r>
        <w:rPr>
          <w:color w:val="000000"/>
          <w:sz w:val="20"/>
        </w:rPr>
        <w:t>(цифрами і словами)</w:t>
      </w:r>
    </w:p>
    <w:p>
      <w:pPr>
        <w:pStyle w:val="NormalWeb"/>
        <w:spacing w:before="0" w:after="0"/>
        <w:ind w:firstLine="709"/>
        <w:rPr>
          <w:sz w:val="16"/>
          <w:szCs w:val="16"/>
        </w:rPr>
      </w:pPr>
      <w:r>
        <w:rPr>
          <w:sz w:val="16"/>
          <w:szCs w:val="16"/>
        </w:rPr>
      </w:r>
    </w:p>
    <w:tbl>
      <w:tblPr>
        <w:tblW w:w="10710" w:type="dxa"/>
        <w:jc w:val="left"/>
        <w:tblInd w:w="125" w:type="dxa"/>
        <w:tblLayout w:type="fixed"/>
        <w:tblCellMar>
          <w:top w:w="0" w:type="dxa"/>
          <w:left w:w="107" w:type="dxa"/>
          <w:bottom w:w="0" w:type="dxa"/>
          <w:right w:w="107" w:type="dxa"/>
        </w:tblCellMar>
        <w:tblLook w:firstRow="1" w:noVBand="0" w:lastRow="0" w:firstColumn="1" w:lastColumn="0" w:noHBand="0" w:val="00a0"/>
      </w:tblPr>
      <w:tblGrid>
        <w:gridCol w:w="2521"/>
        <w:gridCol w:w="2610"/>
        <w:gridCol w:w="2612"/>
        <w:gridCol w:w="2966"/>
      </w:tblGrid>
      <w:tr>
        <w:trPr>
          <w:cantSplit w:val="true"/>
        </w:trPr>
        <w:tc>
          <w:tcPr>
            <w:tcW w:w="2521" w:type="dxa"/>
            <w:tcBorders/>
            <w:shd w:fill="auto" w:val="clear"/>
          </w:tcPr>
          <w:p>
            <w:pPr>
              <w:pStyle w:val="NormalWeb"/>
              <w:widowControl w:val="false"/>
              <w:spacing w:before="0" w:after="0"/>
              <w:rPr>
                <w:color w:val="000000"/>
              </w:rPr>
            </w:pPr>
            <w:bookmarkStart w:id="38" w:name="154"/>
            <w:bookmarkEnd w:id="38"/>
            <w:r>
              <w:rPr>
                <w:color w:val="000000"/>
              </w:rPr>
              <w:t>Голова комісії:</w:t>
            </w:r>
          </w:p>
        </w:tc>
        <w:tc>
          <w:tcPr>
            <w:tcW w:w="2610" w:type="dxa"/>
            <w:tcBorders/>
            <w:shd w:fill="auto" w:val="clear"/>
          </w:tcPr>
          <w:p>
            <w:pPr>
              <w:pStyle w:val="NormalWeb"/>
              <w:widowControl w:val="false"/>
              <w:spacing w:before="0" w:after="0"/>
              <w:jc w:val="center"/>
              <w:rPr>
                <w:color w:val="000000"/>
              </w:rPr>
            </w:pPr>
            <w:bookmarkStart w:id="39" w:name="155"/>
            <w:bookmarkEnd w:id="39"/>
            <w:r>
              <w:rPr>
                <w:color w:val="000000"/>
              </w:rPr>
              <w:t>____________</w:t>
              <w:br/>
            </w:r>
            <w:r>
              <w:rPr>
                <w:color w:val="000000"/>
                <w:sz w:val="20"/>
              </w:rPr>
              <w:t>(посада)</w:t>
            </w:r>
          </w:p>
        </w:tc>
        <w:tc>
          <w:tcPr>
            <w:tcW w:w="2612" w:type="dxa"/>
            <w:tcBorders/>
            <w:shd w:fill="auto" w:val="clear"/>
          </w:tcPr>
          <w:p>
            <w:pPr>
              <w:pStyle w:val="NormalWeb"/>
              <w:widowControl w:val="false"/>
              <w:spacing w:before="0" w:after="0"/>
              <w:jc w:val="center"/>
              <w:rPr>
                <w:color w:val="000000"/>
              </w:rPr>
            </w:pPr>
            <w:bookmarkStart w:id="40" w:name="156"/>
            <w:bookmarkEnd w:id="40"/>
            <w:r>
              <w:rPr>
                <w:color w:val="000000"/>
              </w:rPr>
              <w:t>____________</w:t>
              <w:br/>
            </w:r>
            <w:r>
              <w:rPr>
                <w:color w:val="000000"/>
                <w:sz w:val="20"/>
              </w:rPr>
              <w:t>(підпис)</w:t>
            </w:r>
          </w:p>
        </w:tc>
        <w:tc>
          <w:tcPr>
            <w:tcW w:w="2966" w:type="dxa"/>
            <w:tcBorders/>
            <w:shd w:fill="auto" w:val="clear"/>
          </w:tcPr>
          <w:p>
            <w:pPr>
              <w:pStyle w:val="NormalWeb"/>
              <w:widowControl w:val="false"/>
              <w:spacing w:before="0" w:after="0"/>
              <w:jc w:val="center"/>
              <w:rPr>
                <w:color w:val="000000"/>
              </w:rPr>
            </w:pPr>
            <w:bookmarkStart w:id="41" w:name="157"/>
            <w:bookmarkEnd w:id="41"/>
            <w:r>
              <w:rPr>
                <w:color w:val="000000"/>
              </w:rPr>
              <w:t>________________</w:t>
              <w:br/>
            </w:r>
            <w:r>
              <w:rPr>
                <w:color w:val="000000"/>
                <w:sz w:val="20"/>
              </w:rPr>
              <w:t>(ініціали та прізвище)</w:t>
            </w:r>
          </w:p>
        </w:tc>
      </w:tr>
      <w:tr>
        <w:trPr>
          <w:cantSplit w:val="true"/>
        </w:trPr>
        <w:tc>
          <w:tcPr>
            <w:tcW w:w="2521" w:type="dxa"/>
            <w:tcBorders/>
            <w:shd w:fill="auto" w:val="clear"/>
          </w:tcPr>
          <w:p>
            <w:pPr>
              <w:pStyle w:val="NormalWeb"/>
              <w:widowControl w:val="false"/>
              <w:spacing w:before="0" w:after="0"/>
              <w:rPr>
                <w:color w:val="000000"/>
              </w:rPr>
            </w:pPr>
            <w:bookmarkStart w:id="42" w:name="158"/>
            <w:bookmarkEnd w:id="42"/>
            <w:r>
              <w:rPr>
                <w:color w:val="000000"/>
              </w:rPr>
              <w:t>Члени комісії:</w:t>
            </w:r>
          </w:p>
        </w:tc>
        <w:tc>
          <w:tcPr>
            <w:tcW w:w="2610" w:type="dxa"/>
            <w:tcBorders/>
            <w:shd w:fill="auto" w:val="clear"/>
          </w:tcPr>
          <w:p>
            <w:pPr>
              <w:pStyle w:val="NormalWeb"/>
              <w:widowControl w:val="false"/>
              <w:spacing w:before="0" w:after="0"/>
              <w:jc w:val="center"/>
              <w:rPr>
                <w:color w:val="000000"/>
              </w:rPr>
            </w:pPr>
            <w:bookmarkStart w:id="43" w:name="159"/>
            <w:bookmarkEnd w:id="43"/>
            <w:r>
              <w:rPr>
                <w:color w:val="000000"/>
              </w:rPr>
              <w:t>____________</w:t>
            </w:r>
          </w:p>
        </w:tc>
        <w:tc>
          <w:tcPr>
            <w:tcW w:w="2612" w:type="dxa"/>
            <w:tcBorders/>
            <w:shd w:fill="auto" w:val="clear"/>
          </w:tcPr>
          <w:p>
            <w:pPr>
              <w:pStyle w:val="NormalWeb"/>
              <w:widowControl w:val="false"/>
              <w:spacing w:before="0" w:after="0"/>
              <w:jc w:val="center"/>
              <w:rPr>
                <w:color w:val="000000"/>
              </w:rPr>
            </w:pPr>
            <w:bookmarkStart w:id="44" w:name="160"/>
            <w:bookmarkEnd w:id="44"/>
            <w:r>
              <w:rPr>
                <w:color w:val="000000"/>
              </w:rPr>
              <w:t>____________</w:t>
            </w:r>
          </w:p>
        </w:tc>
        <w:tc>
          <w:tcPr>
            <w:tcW w:w="2966" w:type="dxa"/>
            <w:tcBorders/>
            <w:shd w:fill="auto" w:val="clear"/>
          </w:tcPr>
          <w:p>
            <w:pPr>
              <w:pStyle w:val="NormalWeb"/>
              <w:widowControl w:val="false"/>
              <w:spacing w:before="0" w:after="0"/>
              <w:jc w:val="center"/>
              <w:rPr>
                <w:color w:val="000000"/>
              </w:rPr>
            </w:pPr>
            <w:bookmarkStart w:id="45" w:name="161"/>
            <w:bookmarkEnd w:id="45"/>
            <w:r>
              <w:rPr>
                <w:color w:val="000000"/>
              </w:rPr>
              <w:t>________________</w:t>
            </w:r>
          </w:p>
        </w:tc>
      </w:tr>
      <w:tr>
        <w:trPr>
          <w:cantSplit w:val="true"/>
        </w:trPr>
        <w:tc>
          <w:tcPr>
            <w:tcW w:w="2521" w:type="dxa"/>
            <w:tcBorders/>
            <w:shd w:fill="auto" w:val="clear"/>
          </w:tcPr>
          <w:p>
            <w:pPr>
              <w:pStyle w:val="NormalWeb"/>
              <w:widowControl w:val="false"/>
              <w:snapToGrid w:val="false"/>
              <w:spacing w:before="0" w:after="0"/>
              <w:rPr>
                <w:color w:val="000000"/>
                <w:sz w:val="20"/>
              </w:rPr>
            </w:pPr>
            <w:r>
              <w:rPr>
                <w:color w:val="000000"/>
                <w:sz w:val="20"/>
              </w:rPr>
            </w:r>
            <w:bookmarkStart w:id="46" w:name="216"/>
            <w:bookmarkStart w:id="47" w:name="216"/>
            <w:bookmarkEnd w:id="47"/>
          </w:p>
        </w:tc>
        <w:tc>
          <w:tcPr>
            <w:tcW w:w="2610" w:type="dxa"/>
            <w:tcBorders/>
            <w:shd w:fill="auto" w:val="clear"/>
          </w:tcPr>
          <w:p>
            <w:pPr>
              <w:pStyle w:val="NormalWeb"/>
              <w:widowControl w:val="false"/>
              <w:spacing w:before="0" w:after="0"/>
              <w:jc w:val="center"/>
              <w:rPr>
                <w:color w:val="000000"/>
              </w:rPr>
            </w:pPr>
            <w:bookmarkStart w:id="48" w:name="162"/>
            <w:bookmarkEnd w:id="48"/>
            <w:r>
              <w:rPr>
                <w:color w:val="000000"/>
              </w:rPr>
              <w:t>____________</w:t>
            </w:r>
          </w:p>
        </w:tc>
        <w:tc>
          <w:tcPr>
            <w:tcW w:w="2612" w:type="dxa"/>
            <w:tcBorders/>
            <w:shd w:fill="auto" w:val="clear"/>
          </w:tcPr>
          <w:p>
            <w:pPr>
              <w:pStyle w:val="NormalWeb"/>
              <w:widowControl w:val="false"/>
              <w:spacing w:before="0" w:after="0"/>
              <w:jc w:val="center"/>
              <w:rPr>
                <w:color w:val="000000"/>
              </w:rPr>
            </w:pPr>
            <w:bookmarkStart w:id="49" w:name="163"/>
            <w:bookmarkEnd w:id="49"/>
            <w:r>
              <w:rPr>
                <w:color w:val="000000"/>
              </w:rPr>
              <w:t>____________</w:t>
            </w:r>
          </w:p>
        </w:tc>
        <w:tc>
          <w:tcPr>
            <w:tcW w:w="2966" w:type="dxa"/>
            <w:tcBorders/>
            <w:shd w:fill="auto" w:val="clear"/>
          </w:tcPr>
          <w:p>
            <w:pPr>
              <w:pStyle w:val="NormalWeb"/>
              <w:widowControl w:val="false"/>
              <w:spacing w:before="0" w:after="0"/>
              <w:jc w:val="center"/>
              <w:rPr>
                <w:color w:val="000000"/>
              </w:rPr>
            </w:pPr>
            <w:bookmarkStart w:id="50" w:name="164"/>
            <w:bookmarkEnd w:id="50"/>
            <w:r>
              <w:rPr>
                <w:color w:val="000000"/>
              </w:rPr>
              <w:t>________________</w:t>
            </w:r>
          </w:p>
        </w:tc>
      </w:tr>
      <w:tr>
        <w:trPr>
          <w:cantSplit w:val="true"/>
        </w:trPr>
        <w:tc>
          <w:tcPr>
            <w:tcW w:w="2521" w:type="dxa"/>
            <w:tcBorders/>
            <w:shd w:fill="auto" w:val="clear"/>
          </w:tcPr>
          <w:p>
            <w:pPr>
              <w:pStyle w:val="NormalWeb"/>
              <w:widowControl w:val="false"/>
              <w:snapToGrid w:val="false"/>
              <w:spacing w:before="0" w:after="0"/>
              <w:rPr>
                <w:color w:val="000000"/>
                <w:sz w:val="20"/>
              </w:rPr>
            </w:pPr>
            <w:r>
              <w:rPr>
                <w:color w:val="000000"/>
                <w:sz w:val="20"/>
              </w:rPr>
            </w:r>
            <w:bookmarkStart w:id="51" w:name="217"/>
            <w:bookmarkStart w:id="52" w:name="217"/>
            <w:bookmarkEnd w:id="52"/>
          </w:p>
        </w:tc>
        <w:tc>
          <w:tcPr>
            <w:tcW w:w="2610" w:type="dxa"/>
            <w:tcBorders/>
            <w:shd w:fill="auto" w:val="clear"/>
          </w:tcPr>
          <w:p>
            <w:pPr>
              <w:pStyle w:val="NormalWeb"/>
              <w:widowControl w:val="false"/>
              <w:spacing w:before="0" w:after="0"/>
              <w:jc w:val="center"/>
              <w:rPr>
                <w:color w:val="000000"/>
              </w:rPr>
            </w:pPr>
            <w:bookmarkStart w:id="53" w:name="165"/>
            <w:bookmarkEnd w:id="53"/>
            <w:r>
              <w:rPr>
                <w:color w:val="000000"/>
              </w:rPr>
              <w:t>____________</w:t>
            </w:r>
          </w:p>
        </w:tc>
        <w:tc>
          <w:tcPr>
            <w:tcW w:w="2612" w:type="dxa"/>
            <w:tcBorders/>
            <w:shd w:fill="auto" w:val="clear"/>
          </w:tcPr>
          <w:p>
            <w:pPr>
              <w:pStyle w:val="NormalWeb"/>
              <w:widowControl w:val="false"/>
              <w:spacing w:before="0" w:after="0"/>
              <w:jc w:val="center"/>
              <w:rPr>
                <w:color w:val="000000"/>
              </w:rPr>
            </w:pPr>
            <w:bookmarkStart w:id="54" w:name="166"/>
            <w:bookmarkEnd w:id="54"/>
            <w:r>
              <w:rPr>
                <w:color w:val="000000"/>
              </w:rPr>
              <w:t>____________</w:t>
            </w:r>
          </w:p>
        </w:tc>
        <w:tc>
          <w:tcPr>
            <w:tcW w:w="2966" w:type="dxa"/>
            <w:tcBorders/>
            <w:shd w:fill="auto" w:val="clear"/>
          </w:tcPr>
          <w:p>
            <w:pPr>
              <w:pStyle w:val="NormalWeb"/>
              <w:widowControl w:val="false"/>
              <w:spacing w:before="0" w:after="0"/>
              <w:jc w:val="center"/>
              <w:rPr>
                <w:color w:val="000000"/>
              </w:rPr>
            </w:pPr>
            <w:bookmarkStart w:id="55" w:name="167"/>
            <w:bookmarkEnd w:id="55"/>
            <w:r>
              <w:rPr>
                <w:color w:val="000000"/>
              </w:rPr>
              <w:t>________________</w:t>
            </w:r>
          </w:p>
        </w:tc>
      </w:tr>
    </w:tbl>
    <w:p>
      <w:pPr>
        <w:sectPr>
          <w:headerReference w:type="default" r:id="rId4"/>
          <w:type w:val="nextPage"/>
          <w:pgSz w:w="11906" w:h="16838"/>
          <w:pgMar w:left="567" w:right="567" w:header="0" w:top="1134" w:footer="0" w:bottom="567" w:gutter="0"/>
          <w:pgNumType w:fmt="decimal"/>
          <w:formProt w:val="false"/>
          <w:textDirection w:val="lrTb"/>
          <w:docGrid w:type="default" w:linePitch="360" w:charSpace="0"/>
        </w:sectPr>
      </w:pPr>
    </w:p>
    <w:p>
      <w:pPr>
        <w:pStyle w:val="Normal"/>
        <w:ind w:left="8787" w:hanging="0"/>
        <w:rPr>
          <w:sz w:val="26"/>
          <w:szCs w:val="26"/>
        </w:rPr>
      </w:pPr>
      <w:r>
        <w:rPr>
          <w:color w:val="000000"/>
          <w:sz w:val="26"/>
          <w:szCs w:val="26"/>
        </w:rPr>
        <w:t>Додаток 3 до</w:t>
      </w:r>
    </w:p>
    <w:p>
      <w:pPr>
        <w:pStyle w:val="Normal"/>
        <w:ind w:left="8787" w:hanging="0"/>
        <w:rPr>
          <w:sz w:val="26"/>
          <w:szCs w:val="26"/>
        </w:rPr>
      </w:pPr>
      <w:r>
        <w:rPr>
          <w:sz w:val="26"/>
          <w:szCs w:val="26"/>
        </w:rPr>
        <w:t>Положення про списання майна комунальної</w:t>
      </w:r>
    </w:p>
    <w:p>
      <w:pPr>
        <w:pStyle w:val="Normal"/>
        <w:ind w:left="8787" w:hanging="0"/>
        <w:rPr>
          <w:sz w:val="26"/>
          <w:szCs w:val="26"/>
        </w:rPr>
      </w:pPr>
      <w:r>
        <w:rPr>
          <w:sz w:val="26"/>
          <w:szCs w:val="26"/>
        </w:rPr>
        <w:t xml:space="preserve">власності </w:t>
      </w:r>
      <w:r>
        <w:rPr>
          <w:color w:val="000000"/>
          <w:sz w:val="26"/>
          <w:szCs w:val="26"/>
        </w:rPr>
        <w:t>Луцької міської територіальної громади</w:t>
      </w:r>
    </w:p>
    <w:p>
      <w:pPr>
        <w:pStyle w:val="Normal"/>
        <w:jc w:val="both"/>
        <w:rPr>
          <w:sz w:val="26"/>
          <w:szCs w:val="26"/>
        </w:rPr>
      </w:pPr>
      <w:r>
        <w:rPr>
          <w:sz w:val="26"/>
          <w:szCs w:val="26"/>
        </w:rPr>
      </w:r>
    </w:p>
    <w:p>
      <w:pPr>
        <w:pStyle w:val="Style30"/>
        <w:tabs>
          <w:tab w:val="clear" w:pos="720"/>
          <w:tab w:val="left" w:pos="5387" w:leader="none"/>
        </w:tabs>
        <w:jc w:val="center"/>
        <w:rPr>
          <w:b/>
          <w:b/>
          <w:sz w:val="20"/>
        </w:rPr>
      </w:pPr>
      <w:r>
        <w:rPr>
          <w:b/>
          <w:sz w:val="20"/>
        </w:rPr>
      </w:r>
    </w:p>
    <w:p>
      <w:pPr>
        <w:pStyle w:val="Normal"/>
        <w:tabs>
          <w:tab w:val="clear" w:pos="720"/>
          <w:tab w:val="left" w:pos="5387" w:leader="none"/>
        </w:tabs>
        <w:jc w:val="center"/>
        <w:rPr>
          <w:sz w:val="26"/>
          <w:szCs w:val="26"/>
        </w:rPr>
      </w:pPr>
      <w:r>
        <w:rPr>
          <w:b/>
          <w:sz w:val="28"/>
          <w:szCs w:val="28"/>
        </w:rPr>
        <w:t>ЗВІТ</w:t>
      </w:r>
    </w:p>
    <w:p>
      <w:pPr>
        <w:pStyle w:val="Normal"/>
        <w:jc w:val="center"/>
        <w:rPr>
          <w:sz w:val="26"/>
          <w:szCs w:val="26"/>
        </w:rPr>
      </w:pPr>
      <w:r>
        <w:rPr>
          <w:b/>
          <w:sz w:val="28"/>
          <w:szCs w:val="28"/>
        </w:rPr>
        <w:t>за результатами відчуження та використання коштів,</w:t>
      </w:r>
    </w:p>
    <w:p>
      <w:pPr>
        <w:pStyle w:val="Normal"/>
        <w:jc w:val="center"/>
        <w:rPr>
          <w:sz w:val="26"/>
          <w:szCs w:val="26"/>
        </w:rPr>
      </w:pPr>
      <w:r>
        <w:rPr>
          <w:b/>
          <w:sz w:val="28"/>
          <w:szCs w:val="28"/>
        </w:rPr>
        <w:t>отриманих від продажу основних засобів (рухомого майна)</w:t>
      </w:r>
    </w:p>
    <w:p>
      <w:pPr>
        <w:pStyle w:val="Normal"/>
        <w:jc w:val="center"/>
        <w:rPr>
          <w:b/>
          <w:b/>
          <w:sz w:val="28"/>
          <w:szCs w:val="28"/>
        </w:rPr>
      </w:pPr>
      <w:r>
        <w:rPr>
          <w:b/>
          <w:sz w:val="28"/>
          <w:szCs w:val="28"/>
        </w:rPr>
      </w:r>
    </w:p>
    <w:tbl>
      <w:tblPr>
        <w:tblW w:w="14460" w:type="dxa"/>
        <w:jc w:val="left"/>
        <w:tblInd w:w="55" w:type="dxa"/>
        <w:tblLayout w:type="fixed"/>
        <w:tblCellMar>
          <w:top w:w="55" w:type="dxa"/>
          <w:left w:w="55" w:type="dxa"/>
          <w:bottom w:w="55" w:type="dxa"/>
          <w:right w:w="55" w:type="dxa"/>
        </w:tblCellMar>
        <w:tblLook w:firstRow="1" w:noVBand="0" w:lastRow="0" w:firstColumn="1" w:lastColumn="0" w:noHBand="0" w:val="00a0"/>
      </w:tblPr>
      <w:tblGrid>
        <w:gridCol w:w="396"/>
        <w:gridCol w:w="1534"/>
        <w:gridCol w:w="1069"/>
        <w:gridCol w:w="1200"/>
        <w:gridCol w:w="1132"/>
        <w:gridCol w:w="1015"/>
        <w:gridCol w:w="1018"/>
        <w:gridCol w:w="1200"/>
        <w:gridCol w:w="1352"/>
        <w:gridCol w:w="823"/>
        <w:gridCol w:w="827"/>
        <w:gridCol w:w="733"/>
        <w:gridCol w:w="736"/>
        <w:gridCol w:w="1424"/>
      </w:tblGrid>
      <w:tr>
        <w:trPr>
          <w:trHeight w:val="276" w:hRule="atLeast"/>
          <w:cantSplit w:val="true"/>
        </w:trPr>
        <w:tc>
          <w:tcPr>
            <w:tcW w:w="396" w:type="dxa"/>
            <w:vMerge w:val="restart"/>
            <w:tcBorders>
              <w:top w:val="single" w:sz="4" w:space="0" w:color="000000"/>
              <w:left w:val="single" w:sz="4" w:space="0" w:color="000000"/>
              <w:bottom w:val="single" w:sz="4" w:space="0" w:color="000000"/>
            </w:tcBorders>
            <w:shd w:fill="auto" w:val="clear"/>
            <w:vAlign w:val="center"/>
          </w:tcPr>
          <w:p>
            <w:pPr>
              <w:pStyle w:val="Normal"/>
              <w:widowControl w:val="false"/>
              <w:jc w:val="center"/>
              <w:textAlignment w:val="center"/>
              <w:rPr>
                <w:color w:val="000000"/>
              </w:rPr>
            </w:pPr>
            <w:r>
              <w:rPr>
                <w:color w:val="000000"/>
                <w:sz w:val="22"/>
                <w:szCs w:val="22"/>
              </w:rPr>
              <w:t>№</w:t>
            </w:r>
          </w:p>
          <w:p>
            <w:pPr>
              <w:pStyle w:val="Normal"/>
              <w:widowControl w:val="false"/>
              <w:jc w:val="center"/>
              <w:textAlignment w:val="center"/>
              <w:rPr>
                <w:color w:val="000000"/>
                <w:sz w:val="28"/>
                <w:szCs w:val="28"/>
              </w:rPr>
            </w:pPr>
            <w:r>
              <w:rPr>
                <w:color w:val="000000"/>
                <w:sz w:val="22"/>
                <w:szCs w:val="22"/>
              </w:rPr>
              <w:t>з/п</w:t>
            </w:r>
          </w:p>
        </w:tc>
        <w:tc>
          <w:tcPr>
            <w:tcW w:w="1534" w:type="dxa"/>
            <w:vMerge w:val="restart"/>
            <w:tcBorders>
              <w:top w:val="single" w:sz="4" w:space="0" w:color="000000"/>
              <w:left w:val="single" w:sz="4" w:space="0" w:color="000000"/>
              <w:bottom w:val="single" w:sz="4" w:space="0" w:color="000000"/>
            </w:tcBorders>
            <w:shd w:fill="auto" w:val="clear"/>
            <w:vAlign w:val="center"/>
          </w:tcPr>
          <w:p>
            <w:pPr>
              <w:pStyle w:val="Normal"/>
              <w:widowControl w:val="false"/>
              <w:spacing w:before="20" w:after="0"/>
              <w:jc w:val="center"/>
              <w:rPr>
                <w:color w:val="000000"/>
              </w:rPr>
            </w:pPr>
            <w:r>
              <w:rPr>
                <w:color w:val="000000"/>
                <w:sz w:val="22"/>
                <w:szCs w:val="22"/>
              </w:rPr>
              <w:t>Назва, адреса підприємства</w:t>
            </w:r>
          </w:p>
        </w:tc>
        <w:tc>
          <w:tcPr>
            <w:tcW w:w="1069" w:type="dxa"/>
            <w:vMerge w:val="restart"/>
            <w:tcBorders>
              <w:top w:val="single" w:sz="4" w:space="0" w:color="000000"/>
              <w:left w:val="single" w:sz="4" w:space="0" w:color="000000"/>
              <w:bottom w:val="single" w:sz="4" w:space="0" w:color="000000"/>
            </w:tcBorders>
            <w:shd w:fill="auto" w:val="clear"/>
            <w:vAlign w:val="center"/>
          </w:tcPr>
          <w:p>
            <w:pPr>
              <w:pStyle w:val="Normal"/>
              <w:widowControl w:val="false"/>
              <w:spacing w:before="20" w:after="0"/>
              <w:jc w:val="center"/>
              <w:rPr>
                <w:color w:val="000000"/>
              </w:rPr>
            </w:pPr>
            <w:r>
              <w:rPr>
                <w:color w:val="000000"/>
                <w:sz w:val="22"/>
                <w:szCs w:val="22"/>
              </w:rPr>
              <w:t>Назва органу, який надав дозвіл на відчу</w:t>
              <w:softHyphen/>
              <w:t>ження</w:t>
            </w:r>
          </w:p>
        </w:tc>
        <w:tc>
          <w:tcPr>
            <w:tcW w:w="1200" w:type="dxa"/>
            <w:vMerge w:val="restart"/>
            <w:tcBorders>
              <w:top w:val="single" w:sz="4" w:space="0" w:color="000000"/>
              <w:left w:val="single" w:sz="4" w:space="0" w:color="000000"/>
              <w:bottom w:val="single" w:sz="4" w:space="0" w:color="000000"/>
            </w:tcBorders>
            <w:shd w:fill="auto" w:val="clear"/>
            <w:vAlign w:val="center"/>
          </w:tcPr>
          <w:p>
            <w:pPr>
              <w:pStyle w:val="Normal"/>
              <w:widowControl w:val="false"/>
              <w:spacing w:before="20" w:after="0"/>
              <w:jc w:val="center"/>
              <w:rPr>
                <w:color w:val="000000"/>
              </w:rPr>
            </w:pPr>
            <w:r>
              <w:rPr>
                <w:color w:val="000000"/>
                <w:sz w:val="22"/>
                <w:szCs w:val="22"/>
              </w:rPr>
              <w:t>Номер та дата документа, яким був наданий дозвіл</w:t>
            </w:r>
          </w:p>
        </w:tc>
        <w:tc>
          <w:tcPr>
            <w:tcW w:w="1132" w:type="dxa"/>
            <w:vMerge w:val="restart"/>
            <w:tcBorders>
              <w:top w:val="single" w:sz="4" w:space="0" w:color="000000"/>
              <w:left w:val="single" w:sz="4" w:space="0" w:color="000000"/>
              <w:bottom w:val="single" w:sz="4" w:space="0" w:color="000000"/>
            </w:tcBorders>
            <w:shd w:fill="auto" w:val="clear"/>
            <w:vAlign w:val="center"/>
          </w:tcPr>
          <w:p>
            <w:pPr>
              <w:pStyle w:val="Normal"/>
              <w:widowControl w:val="false"/>
              <w:spacing w:before="20" w:after="0"/>
              <w:jc w:val="center"/>
              <w:rPr>
                <w:color w:val="000000"/>
                <w:sz w:val="28"/>
                <w:szCs w:val="28"/>
              </w:rPr>
            </w:pPr>
            <w:r>
              <w:rPr>
                <w:color w:val="000000"/>
                <w:sz w:val="22"/>
                <w:szCs w:val="22"/>
              </w:rPr>
              <w:t>Назва, інвен</w:t>
              <w:softHyphen/>
              <w:t xml:space="preserve">тарний </w:t>
            </w:r>
            <w:r>
              <w:rPr>
                <w:color w:val="222222"/>
                <w:sz w:val="22"/>
                <w:szCs w:val="22"/>
              </w:rPr>
              <w:t>(номенклатурний)</w:t>
            </w:r>
            <w:r>
              <w:rPr>
                <w:sz w:val="22"/>
                <w:szCs w:val="22"/>
              </w:rPr>
              <w:t xml:space="preserve">  </w:t>
            </w:r>
            <w:r>
              <w:rPr>
                <w:color w:val="000000"/>
                <w:sz w:val="22"/>
                <w:szCs w:val="22"/>
              </w:rPr>
              <w:t>номер об'єкта продажу</w:t>
            </w:r>
          </w:p>
        </w:tc>
        <w:tc>
          <w:tcPr>
            <w:tcW w:w="1015" w:type="dxa"/>
            <w:vMerge w:val="restart"/>
            <w:tcBorders>
              <w:top w:val="single" w:sz="4" w:space="0" w:color="000000"/>
              <w:left w:val="single" w:sz="4" w:space="0" w:color="000000"/>
              <w:bottom w:val="single" w:sz="4" w:space="0" w:color="000000"/>
            </w:tcBorders>
            <w:shd w:fill="auto" w:val="clear"/>
            <w:vAlign w:val="center"/>
          </w:tcPr>
          <w:p>
            <w:pPr>
              <w:pStyle w:val="Normal"/>
              <w:widowControl w:val="false"/>
              <w:spacing w:before="20" w:after="0"/>
              <w:jc w:val="center"/>
              <w:rPr>
                <w:color w:val="000000"/>
              </w:rPr>
            </w:pPr>
            <w:r>
              <w:rPr>
                <w:color w:val="000000"/>
                <w:sz w:val="22"/>
                <w:szCs w:val="22"/>
              </w:rPr>
              <w:t>Назва, адреса посеред</w:t>
              <w:softHyphen/>
              <w:t>ника з продажу</w:t>
            </w:r>
          </w:p>
        </w:tc>
        <w:tc>
          <w:tcPr>
            <w:tcW w:w="1018" w:type="dxa"/>
            <w:vMerge w:val="restart"/>
            <w:tcBorders>
              <w:top w:val="single" w:sz="4" w:space="0" w:color="000000"/>
              <w:left w:val="single" w:sz="4" w:space="0" w:color="000000"/>
              <w:bottom w:val="single" w:sz="4" w:space="0" w:color="000000"/>
            </w:tcBorders>
            <w:shd w:fill="auto" w:val="clear"/>
            <w:vAlign w:val="center"/>
          </w:tcPr>
          <w:p>
            <w:pPr>
              <w:pStyle w:val="Normal"/>
              <w:widowControl w:val="false"/>
              <w:spacing w:before="20" w:after="0"/>
              <w:jc w:val="center"/>
              <w:rPr>
                <w:color w:val="000000"/>
              </w:rPr>
            </w:pPr>
            <w:r>
              <w:rPr>
                <w:color w:val="000000"/>
                <w:sz w:val="22"/>
                <w:szCs w:val="22"/>
              </w:rPr>
              <w:t>Назва, адреса  покупця</w:t>
            </w:r>
          </w:p>
        </w:tc>
        <w:tc>
          <w:tcPr>
            <w:tcW w:w="1200" w:type="dxa"/>
            <w:vMerge w:val="restart"/>
            <w:tcBorders>
              <w:top w:val="single" w:sz="4" w:space="0" w:color="000000"/>
              <w:left w:val="single" w:sz="4" w:space="0" w:color="000000"/>
              <w:bottom w:val="single" w:sz="4" w:space="0" w:color="000000"/>
            </w:tcBorders>
            <w:shd w:fill="auto" w:val="clear"/>
            <w:vAlign w:val="center"/>
          </w:tcPr>
          <w:p>
            <w:pPr>
              <w:pStyle w:val="Normal"/>
              <w:widowControl w:val="false"/>
              <w:spacing w:before="20" w:after="0"/>
              <w:jc w:val="center"/>
              <w:rPr>
                <w:color w:val="000000"/>
              </w:rPr>
            </w:pPr>
            <w:r>
              <w:rPr>
                <w:color w:val="000000"/>
                <w:sz w:val="22"/>
                <w:szCs w:val="22"/>
              </w:rPr>
              <w:t>Номер, дата реєстрації контракту (договору купівлі-продажу)</w:t>
            </w:r>
          </w:p>
        </w:tc>
        <w:tc>
          <w:tcPr>
            <w:tcW w:w="1352" w:type="dxa"/>
            <w:vMerge w:val="restart"/>
            <w:tcBorders>
              <w:top w:val="single" w:sz="4" w:space="0" w:color="000000"/>
              <w:left w:val="single" w:sz="4" w:space="0" w:color="000000"/>
              <w:bottom w:val="single" w:sz="4" w:space="0" w:color="000000"/>
            </w:tcBorders>
            <w:shd w:fill="auto" w:val="clear"/>
            <w:vAlign w:val="center"/>
          </w:tcPr>
          <w:p>
            <w:pPr>
              <w:pStyle w:val="Normal"/>
              <w:widowControl w:val="false"/>
              <w:spacing w:before="20" w:after="0"/>
              <w:jc w:val="center"/>
              <w:rPr>
                <w:color w:val="000000"/>
              </w:rPr>
            </w:pPr>
            <w:r>
              <w:rPr>
                <w:color w:val="000000"/>
                <w:sz w:val="22"/>
                <w:szCs w:val="22"/>
              </w:rPr>
              <w:t>Сума коштів, отриманих від продажу, номер рахунка</w:t>
            </w:r>
          </w:p>
        </w:tc>
        <w:tc>
          <w:tcPr>
            <w:tcW w:w="1650" w:type="dxa"/>
            <w:gridSpan w:val="2"/>
            <w:vMerge w:val="restart"/>
            <w:tcBorders>
              <w:top w:val="single" w:sz="4" w:space="0" w:color="000000"/>
              <w:left w:val="single" w:sz="4" w:space="0" w:color="000000"/>
              <w:bottom w:val="single" w:sz="4" w:space="0" w:color="000000"/>
            </w:tcBorders>
            <w:shd w:fill="auto" w:val="clear"/>
            <w:vAlign w:val="center"/>
          </w:tcPr>
          <w:p>
            <w:pPr>
              <w:pStyle w:val="Normal"/>
              <w:widowControl w:val="false"/>
              <w:spacing w:before="20" w:after="0"/>
              <w:jc w:val="center"/>
              <w:rPr>
                <w:color w:val="000000"/>
              </w:rPr>
            </w:pPr>
            <w:r>
              <w:rPr>
                <w:color w:val="000000"/>
                <w:sz w:val="22"/>
                <w:szCs w:val="22"/>
              </w:rPr>
              <w:t>Використання коштів згідно з  техніко-економічним  обґрунтуванням</w:t>
            </w:r>
          </w:p>
        </w:tc>
        <w:tc>
          <w:tcPr>
            <w:tcW w:w="1469" w:type="dxa"/>
            <w:gridSpan w:val="2"/>
            <w:vMerge w:val="restart"/>
            <w:tcBorders>
              <w:top w:val="single" w:sz="4" w:space="0" w:color="000000"/>
              <w:left w:val="single" w:sz="4" w:space="0" w:color="000000"/>
              <w:bottom w:val="single" w:sz="4" w:space="0" w:color="000000"/>
            </w:tcBorders>
            <w:shd w:fill="auto" w:val="clear"/>
            <w:vAlign w:val="center"/>
          </w:tcPr>
          <w:p>
            <w:pPr>
              <w:pStyle w:val="Normal"/>
              <w:widowControl w:val="false"/>
              <w:spacing w:before="20" w:after="0"/>
              <w:jc w:val="center"/>
              <w:rPr>
                <w:color w:val="000000"/>
              </w:rPr>
            </w:pPr>
            <w:r>
              <w:rPr>
                <w:color w:val="000000"/>
                <w:sz w:val="22"/>
                <w:szCs w:val="22"/>
              </w:rPr>
              <w:t>Фактичне використання коштів</w:t>
            </w:r>
          </w:p>
        </w:tc>
        <w:tc>
          <w:tcPr>
            <w:tcW w:w="1424" w:type="dxa"/>
            <w:vMerge w:val="restart"/>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jc w:val="center"/>
              <w:rPr>
                <w:color w:val="000000"/>
              </w:rPr>
            </w:pPr>
            <w:r>
              <w:rPr>
                <w:color w:val="000000"/>
                <w:sz w:val="22"/>
                <w:szCs w:val="22"/>
              </w:rPr>
              <w:t>Примітки</w:t>
            </w:r>
          </w:p>
        </w:tc>
      </w:tr>
      <w:tr>
        <w:trPr>
          <w:trHeight w:val="160" w:hRule="exact"/>
          <w:cantSplit w:val="true"/>
        </w:trPr>
        <w:tc>
          <w:tcPr>
            <w:tcW w:w="396" w:type="dxa"/>
            <w:vMerge w:val="continue"/>
            <w:tcBorders>
              <w:left w:val="single" w:sz="4" w:space="0" w:color="000000"/>
              <w:bottom w:val="single" w:sz="4" w:space="0" w:color="000000"/>
            </w:tcBorders>
            <w:shd w:fill="auto" w:val="clear"/>
          </w:tcPr>
          <w:p>
            <w:pPr>
              <w:pStyle w:val="Normal"/>
              <w:widowControl w:val="false"/>
              <w:snapToGrid w:val="false"/>
              <w:spacing w:before="20" w:after="0"/>
              <w:rPr>
                <w:color w:val="000000"/>
              </w:rPr>
            </w:pPr>
            <w:r>
              <w:rPr>
                <w:color w:val="000000"/>
              </w:rPr>
            </w:r>
          </w:p>
        </w:tc>
        <w:tc>
          <w:tcPr>
            <w:tcW w:w="1534" w:type="dxa"/>
            <w:vMerge w:val="continue"/>
            <w:tcBorders>
              <w:left w:val="single" w:sz="4" w:space="0" w:color="000000"/>
              <w:bottom w:val="single" w:sz="4" w:space="0" w:color="000000"/>
            </w:tcBorders>
            <w:shd w:fill="auto" w:val="clear"/>
          </w:tcPr>
          <w:p>
            <w:pPr>
              <w:pStyle w:val="Normal"/>
              <w:widowControl w:val="false"/>
              <w:snapToGrid w:val="false"/>
              <w:spacing w:before="20" w:after="0"/>
              <w:rPr>
                <w:color w:val="000000"/>
              </w:rPr>
            </w:pPr>
            <w:r>
              <w:rPr>
                <w:color w:val="000000"/>
              </w:rPr>
            </w:r>
          </w:p>
        </w:tc>
        <w:tc>
          <w:tcPr>
            <w:tcW w:w="1069" w:type="dxa"/>
            <w:vMerge w:val="continue"/>
            <w:tcBorders>
              <w:left w:val="single" w:sz="4" w:space="0" w:color="000000"/>
              <w:bottom w:val="single" w:sz="4" w:space="0" w:color="000000"/>
            </w:tcBorders>
            <w:shd w:fill="auto" w:val="clear"/>
          </w:tcPr>
          <w:p>
            <w:pPr>
              <w:pStyle w:val="Normal"/>
              <w:widowControl w:val="false"/>
              <w:snapToGrid w:val="false"/>
              <w:spacing w:before="20" w:after="0"/>
              <w:rPr>
                <w:color w:val="000000"/>
              </w:rPr>
            </w:pPr>
            <w:r>
              <w:rPr>
                <w:color w:val="000000"/>
              </w:rPr>
            </w:r>
          </w:p>
        </w:tc>
        <w:tc>
          <w:tcPr>
            <w:tcW w:w="1200" w:type="dxa"/>
            <w:vMerge w:val="continue"/>
            <w:tcBorders>
              <w:left w:val="single" w:sz="4" w:space="0" w:color="000000"/>
              <w:bottom w:val="single" w:sz="4" w:space="0" w:color="000000"/>
            </w:tcBorders>
            <w:shd w:fill="auto" w:val="clear"/>
          </w:tcPr>
          <w:p>
            <w:pPr>
              <w:pStyle w:val="Normal"/>
              <w:widowControl w:val="false"/>
              <w:snapToGrid w:val="false"/>
              <w:spacing w:before="20" w:after="0"/>
              <w:rPr>
                <w:color w:val="000000"/>
              </w:rPr>
            </w:pPr>
            <w:r>
              <w:rPr>
                <w:color w:val="000000"/>
              </w:rPr>
            </w:r>
          </w:p>
        </w:tc>
        <w:tc>
          <w:tcPr>
            <w:tcW w:w="1132" w:type="dxa"/>
            <w:vMerge w:val="continue"/>
            <w:tcBorders>
              <w:left w:val="single" w:sz="4" w:space="0" w:color="000000"/>
              <w:bottom w:val="single" w:sz="4" w:space="0" w:color="000000"/>
            </w:tcBorders>
            <w:shd w:fill="auto" w:val="clear"/>
          </w:tcPr>
          <w:p>
            <w:pPr>
              <w:pStyle w:val="Normal"/>
              <w:widowControl w:val="false"/>
              <w:snapToGrid w:val="false"/>
              <w:spacing w:before="20" w:after="0"/>
              <w:rPr>
                <w:color w:val="000000"/>
              </w:rPr>
            </w:pPr>
            <w:r>
              <w:rPr>
                <w:color w:val="000000"/>
              </w:rPr>
            </w:r>
          </w:p>
        </w:tc>
        <w:tc>
          <w:tcPr>
            <w:tcW w:w="1015" w:type="dxa"/>
            <w:vMerge w:val="continue"/>
            <w:tcBorders>
              <w:left w:val="single" w:sz="4" w:space="0" w:color="000000"/>
              <w:bottom w:val="single" w:sz="4" w:space="0" w:color="000000"/>
            </w:tcBorders>
            <w:shd w:fill="auto" w:val="clear"/>
          </w:tcPr>
          <w:p>
            <w:pPr>
              <w:pStyle w:val="Normal"/>
              <w:widowControl w:val="false"/>
              <w:snapToGrid w:val="false"/>
              <w:spacing w:before="20" w:after="0"/>
              <w:rPr>
                <w:color w:val="000000"/>
              </w:rPr>
            </w:pPr>
            <w:r>
              <w:rPr>
                <w:color w:val="000000"/>
              </w:rPr>
            </w:r>
          </w:p>
        </w:tc>
        <w:tc>
          <w:tcPr>
            <w:tcW w:w="1018" w:type="dxa"/>
            <w:vMerge w:val="continue"/>
            <w:tcBorders>
              <w:left w:val="single" w:sz="4" w:space="0" w:color="000000"/>
              <w:bottom w:val="single" w:sz="4" w:space="0" w:color="000000"/>
            </w:tcBorders>
            <w:shd w:fill="auto" w:val="clear"/>
          </w:tcPr>
          <w:p>
            <w:pPr>
              <w:pStyle w:val="Normal"/>
              <w:widowControl w:val="false"/>
              <w:snapToGrid w:val="false"/>
              <w:spacing w:before="20" w:after="0"/>
              <w:rPr>
                <w:color w:val="000000"/>
              </w:rPr>
            </w:pPr>
            <w:r>
              <w:rPr>
                <w:color w:val="000000"/>
              </w:rPr>
            </w:r>
          </w:p>
        </w:tc>
        <w:tc>
          <w:tcPr>
            <w:tcW w:w="1200" w:type="dxa"/>
            <w:vMerge w:val="continue"/>
            <w:tcBorders>
              <w:left w:val="single" w:sz="4" w:space="0" w:color="000000"/>
              <w:bottom w:val="single" w:sz="4" w:space="0" w:color="000000"/>
            </w:tcBorders>
            <w:shd w:fill="auto" w:val="clear"/>
          </w:tcPr>
          <w:p>
            <w:pPr>
              <w:pStyle w:val="Normal"/>
              <w:widowControl w:val="false"/>
              <w:snapToGrid w:val="false"/>
              <w:spacing w:before="20" w:after="0"/>
              <w:rPr>
                <w:color w:val="000000"/>
              </w:rPr>
            </w:pPr>
            <w:r>
              <w:rPr>
                <w:color w:val="000000"/>
              </w:rPr>
            </w:r>
          </w:p>
        </w:tc>
        <w:tc>
          <w:tcPr>
            <w:tcW w:w="1352" w:type="dxa"/>
            <w:vMerge w:val="continue"/>
            <w:tcBorders>
              <w:left w:val="single" w:sz="4" w:space="0" w:color="000000"/>
              <w:bottom w:val="single" w:sz="4" w:space="0" w:color="000000"/>
            </w:tcBorders>
            <w:shd w:fill="auto" w:val="clear"/>
          </w:tcPr>
          <w:p>
            <w:pPr>
              <w:pStyle w:val="Normal"/>
              <w:widowControl w:val="false"/>
              <w:snapToGrid w:val="false"/>
              <w:spacing w:before="20" w:after="0"/>
              <w:rPr>
                <w:color w:val="000000"/>
              </w:rPr>
            </w:pPr>
            <w:r>
              <w:rPr>
                <w:color w:val="000000"/>
              </w:rPr>
            </w:r>
          </w:p>
        </w:tc>
        <w:tc>
          <w:tcPr>
            <w:tcW w:w="1650" w:type="dxa"/>
            <w:gridSpan w:val="2"/>
            <w:vMerge w:val="continue"/>
            <w:tcBorders>
              <w:left w:val="single" w:sz="4" w:space="0" w:color="000000"/>
              <w:bottom w:val="single" w:sz="4" w:space="0" w:color="000000"/>
            </w:tcBorders>
            <w:shd w:fill="auto" w:val="clear"/>
          </w:tcPr>
          <w:p>
            <w:pPr>
              <w:pStyle w:val="Normal"/>
              <w:widowControl w:val="false"/>
              <w:snapToGrid w:val="false"/>
              <w:rPr>
                <w:color w:val="000000"/>
              </w:rPr>
            </w:pPr>
            <w:r>
              <w:rPr>
                <w:color w:val="000000"/>
              </w:rPr>
            </w:r>
          </w:p>
        </w:tc>
        <w:tc>
          <w:tcPr>
            <w:tcW w:w="1469" w:type="dxa"/>
            <w:gridSpan w:val="2"/>
            <w:vMerge w:val="continue"/>
            <w:tcBorders>
              <w:left w:val="single" w:sz="4" w:space="0" w:color="000000"/>
              <w:bottom w:val="single" w:sz="4" w:space="0" w:color="000000"/>
            </w:tcBorders>
            <w:shd w:fill="auto" w:val="clear"/>
          </w:tcPr>
          <w:p>
            <w:pPr>
              <w:pStyle w:val="Normal"/>
              <w:widowControl w:val="false"/>
              <w:snapToGrid w:val="false"/>
              <w:rPr>
                <w:color w:val="000000"/>
              </w:rPr>
            </w:pPr>
            <w:r>
              <w:rPr>
                <w:color w:val="000000"/>
              </w:rPr>
            </w:r>
          </w:p>
        </w:tc>
        <w:tc>
          <w:tcPr>
            <w:tcW w:w="1424" w:type="dxa"/>
            <w:vMerge w:val="continue"/>
            <w:tcBorders>
              <w:left w:val="single" w:sz="4" w:space="0" w:color="000000"/>
              <w:bottom w:val="single" w:sz="4" w:space="0" w:color="000000"/>
              <w:right w:val="single" w:sz="4" w:space="0" w:color="000000"/>
            </w:tcBorders>
            <w:shd w:fill="auto" w:val="clear"/>
          </w:tcPr>
          <w:p>
            <w:pPr>
              <w:pStyle w:val="Normal"/>
              <w:widowControl w:val="false"/>
              <w:snapToGrid w:val="false"/>
              <w:spacing w:before="20" w:after="0"/>
              <w:rPr>
                <w:color w:val="000000"/>
              </w:rPr>
            </w:pPr>
            <w:r>
              <w:rPr>
                <w:color w:val="000000"/>
              </w:rPr>
            </w:r>
          </w:p>
        </w:tc>
      </w:tr>
      <w:tr>
        <w:trPr>
          <w:trHeight w:val="180" w:hRule="exact"/>
          <w:cantSplit w:val="true"/>
        </w:trPr>
        <w:tc>
          <w:tcPr>
            <w:tcW w:w="396" w:type="dxa"/>
            <w:vMerge w:val="continue"/>
            <w:tcBorders>
              <w:left w:val="single" w:sz="4" w:space="0" w:color="000000"/>
              <w:bottom w:val="single" w:sz="4" w:space="0" w:color="000000"/>
            </w:tcBorders>
            <w:shd w:fill="auto" w:val="clear"/>
          </w:tcPr>
          <w:p>
            <w:pPr>
              <w:pStyle w:val="Normal"/>
              <w:widowControl w:val="false"/>
              <w:snapToGrid w:val="false"/>
              <w:spacing w:before="20" w:after="0"/>
              <w:rPr>
                <w:color w:val="000000"/>
              </w:rPr>
            </w:pPr>
            <w:r>
              <w:rPr>
                <w:color w:val="000000"/>
              </w:rPr>
            </w:r>
          </w:p>
        </w:tc>
        <w:tc>
          <w:tcPr>
            <w:tcW w:w="1534" w:type="dxa"/>
            <w:vMerge w:val="continue"/>
            <w:tcBorders>
              <w:left w:val="single" w:sz="4" w:space="0" w:color="000000"/>
              <w:bottom w:val="single" w:sz="4" w:space="0" w:color="000000"/>
            </w:tcBorders>
            <w:shd w:fill="auto" w:val="clear"/>
          </w:tcPr>
          <w:p>
            <w:pPr>
              <w:pStyle w:val="Normal"/>
              <w:widowControl w:val="false"/>
              <w:snapToGrid w:val="false"/>
              <w:spacing w:before="20" w:after="0"/>
              <w:rPr>
                <w:color w:val="000000"/>
              </w:rPr>
            </w:pPr>
            <w:r>
              <w:rPr>
                <w:color w:val="000000"/>
              </w:rPr>
            </w:r>
          </w:p>
        </w:tc>
        <w:tc>
          <w:tcPr>
            <w:tcW w:w="1069" w:type="dxa"/>
            <w:vMerge w:val="continue"/>
            <w:tcBorders>
              <w:left w:val="single" w:sz="4" w:space="0" w:color="000000"/>
              <w:bottom w:val="single" w:sz="4" w:space="0" w:color="000000"/>
            </w:tcBorders>
            <w:shd w:fill="auto" w:val="clear"/>
          </w:tcPr>
          <w:p>
            <w:pPr>
              <w:pStyle w:val="Normal"/>
              <w:widowControl w:val="false"/>
              <w:snapToGrid w:val="false"/>
              <w:spacing w:before="20" w:after="0"/>
              <w:rPr>
                <w:color w:val="000000"/>
              </w:rPr>
            </w:pPr>
            <w:r>
              <w:rPr>
                <w:color w:val="000000"/>
              </w:rPr>
            </w:r>
          </w:p>
        </w:tc>
        <w:tc>
          <w:tcPr>
            <w:tcW w:w="1200" w:type="dxa"/>
            <w:vMerge w:val="continue"/>
            <w:tcBorders>
              <w:left w:val="single" w:sz="4" w:space="0" w:color="000000"/>
              <w:bottom w:val="single" w:sz="4" w:space="0" w:color="000000"/>
            </w:tcBorders>
            <w:shd w:fill="auto" w:val="clear"/>
          </w:tcPr>
          <w:p>
            <w:pPr>
              <w:pStyle w:val="Normal"/>
              <w:widowControl w:val="false"/>
              <w:snapToGrid w:val="false"/>
              <w:spacing w:before="20" w:after="0"/>
              <w:rPr>
                <w:color w:val="000000"/>
              </w:rPr>
            </w:pPr>
            <w:r>
              <w:rPr>
                <w:color w:val="000000"/>
              </w:rPr>
            </w:r>
          </w:p>
        </w:tc>
        <w:tc>
          <w:tcPr>
            <w:tcW w:w="1132" w:type="dxa"/>
            <w:vMerge w:val="continue"/>
            <w:tcBorders>
              <w:left w:val="single" w:sz="4" w:space="0" w:color="000000"/>
              <w:bottom w:val="single" w:sz="4" w:space="0" w:color="000000"/>
            </w:tcBorders>
            <w:shd w:fill="auto" w:val="clear"/>
          </w:tcPr>
          <w:p>
            <w:pPr>
              <w:pStyle w:val="Normal"/>
              <w:widowControl w:val="false"/>
              <w:snapToGrid w:val="false"/>
              <w:spacing w:before="20" w:after="0"/>
              <w:rPr>
                <w:color w:val="000000"/>
              </w:rPr>
            </w:pPr>
            <w:r>
              <w:rPr>
                <w:color w:val="000000"/>
              </w:rPr>
            </w:r>
          </w:p>
        </w:tc>
        <w:tc>
          <w:tcPr>
            <w:tcW w:w="1015" w:type="dxa"/>
            <w:vMerge w:val="continue"/>
            <w:tcBorders>
              <w:left w:val="single" w:sz="4" w:space="0" w:color="000000"/>
              <w:bottom w:val="single" w:sz="4" w:space="0" w:color="000000"/>
            </w:tcBorders>
            <w:shd w:fill="auto" w:val="clear"/>
          </w:tcPr>
          <w:p>
            <w:pPr>
              <w:pStyle w:val="Normal"/>
              <w:widowControl w:val="false"/>
              <w:snapToGrid w:val="false"/>
              <w:spacing w:before="20" w:after="0"/>
              <w:rPr>
                <w:color w:val="000000"/>
              </w:rPr>
            </w:pPr>
            <w:r>
              <w:rPr>
                <w:color w:val="000000"/>
              </w:rPr>
            </w:r>
          </w:p>
        </w:tc>
        <w:tc>
          <w:tcPr>
            <w:tcW w:w="1018" w:type="dxa"/>
            <w:vMerge w:val="continue"/>
            <w:tcBorders>
              <w:left w:val="single" w:sz="4" w:space="0" w:color="000000"/>
              <w:bottom w:val="single" w:sz="4" w:space="0" w:color="000000"/>
            </w:tcBorders>
            <w:shd w:fill="auto" w:val="clear"/>
          </w:tcPr>
          <w:p>
            <w:pPr>
              <w:pStyle w:val="Normal"/>
              <w:widowControl w:val="false"/>
              <w:snapToGrid w:val="false"/>
              <w:spacing w:before="20" w:after="0"/>
              <w:rPr>
                <w:color w:val="000000"/>
              </w:rPr>
            </w:pPr>
            <w:r>
              <w:rPr>
                <w:color w:val="000000"/>
              </w:rPr>
            </w:r>
          </w:p>
        </w:tc>
        <w:tc>
          <w:tcPr>
            <w:tcW w:w="1200" w:type="dxa"/>
            <w:vMerge w:val="continue"/>
            <w:tcBorders>
              <w:left w:val="single" w:sz="4" w:space="0" w:color="000000"/>
              <w:bottom w:val="single" w:sz="4" w:space="0" w:color="000000"/>
            </w:tcBorders>
            <w:shd w:fill="auto" w:val="clear"/>
          </w:tcPr>
          <w:p>
            <w:pPr>
              <w:pStyle w:val="Normal"/>
              <w:widowControl w:val="false"/>
              <w:snapToGrid w:val="false"/>
              <w:spacing w:before="20" w:after="0"/>
              <w:rPr>
                <w:color w:val="000000"/>
              </w:rPr>
            </w:pPr>
            <w:r>
              <w:rPr>
                <w:color w:val="000000"/>
              </w:rPr>
            </w:r>
          </w:p>
        </w:tc>
        <w:tc>
          <w:tcPr>
            <w:tcW w:w="1352" w:type="dxa"/>
            <w:vMerge w:val="continue"/>
            <w:tcBorders>
              <w:left w:val="single" w:sz="4" w:space="0" w:color="000000"/>
              <w:bottom w:val="single" w:sz="4" w:space="0" w:color="000000"/>
            </w:tcBorders>
            <w:shd w:fill="auto" w:val="clear"/>
          </w:tcPr>
          <w:p>
            <w:pPr>
              <w:pStyle w:val="Normal"/>
              <w:widowControl w:val="false"/>
              <w:snapToGrid w:val="false"/>
              <w:spacing w:before="20" w:after="0"/>
              <w:rPr>
                <w:color w:val="000000"/>
              </w:rPr>
            </w:pPr>
            <w:r>
              <w:rPr>
                <w:color w:val="000000"/>
              </w:rPr>
            </w:r>
          </w:p>
        </w:tc>
        <w:tc>
          <w:tcPr>
            <w:tcW w:w="1650" w:type="dxa"/>
            <w:gridSpan w:val="2"/>
            <w:vMerge w:val="continue"/>
            <w:tcBorders>
              <w:left w:val="single" w:sz="4" w:space="0" w:color="000000"/>
              <w:bottom w:val="single" w:sz="4" w:space="0" w:color="000000"/>
            </w:tcBorders>
            <w:shd w:fill="auto" w:val="clear"/>
          </w:tcPr>
          <w:p>
            <w:pPr>
              <w:pStyle w:val="Normal"/>
              <w:widowControl w:val="false"/>
              <w:snapToGrid w:val="false"/>
              <w:rPr>
                <w:color w:val="000000"/>
              </w:rPr>
            </w:pPr>
            <w:r>
              <w:rPr>
                <w:color w:val="000000"/>
              </w:rPr>
            </w:r>
          </w:p>
        </w:tc>
        <w:tc>
          <w:tcPr>
            <w:tcW w:w="1469" w:type="dxa"/>
            <w:gridSpan w:val="2"/>
            <w:vMerge w:val="continue"/>
            <w:tcBorders>
              <w:left w:val="single" w:sz="4" w:space="0" w:color="000000"/>
              <w:bottom w:val="single" w:sz="4" w:space="0" w:color="000000"/>
            </w:tcBorders>
            <w:shd w:fill="auto" w:val="clear"/>
          </w:tcPr>
          <w:p>
            <w:pPr>
              <w:pStyle w:val="Normal"/>
              <w:widowControl w:val="false"/>
              <w:snapToGrid w:val="false"/>
              <w:rPr>
                <w:color w:val="000000"/>
              </w:rPr>
            </w:pPr>
            <w:r>
              <w:rPr>
                <w:color w:val="000000"/>
              </w:rPr>
            </w:r>
          </w:p>
        </w:tc>
        <w:tc>
          <w:tcPr>
            <w:tcW w:w="1424" w:type="dxa"/>
            <w:vMerge w:val="continue"/>
            <w:tcBorders>
              <w:left w:val="single" w:sz="4" w:space="0" w:color="000000"/>
              <w:bottom w:val="single" w:sz="4" w:space="0" w:color="000000"/>
              <w:right w:val="single" w:sz="4" w:space="0" w:color="000000"/>
            </w:tcBorders>
            <w:shd w:fill="auto" w:val="clear"/>
          </w:tcPr>
          <w:p>
            <w:pPr>
              <w:pStyle w:val="Normal"/>
              <w:widowControl w:val="false"/>
              <w:snapToGrid w:val="false"/>
              <w:spacing w:before="20" w:after="0"/>
              <w:rPr>
                <w:color w:val="000000"/>
              </w:rPr>
            </w:pPr>
            <w:r>
              <w:rPr>
                <w:color w:val="000000"/>
              </w:rPr>
            </w:r>
          </w:p>
        </w:tc>
      </w:tr>
      <w:tr>
        <w:trPr>
          <w:trHeight w:val="160" w:hRule="exact"/>
          <w:cantSplit w:val="true"/>
        </w:trPr>
        <w:tc>
          <w:tcPr>
            <w:tcW w:w="396" w:type="dxa"/>
            <w:vMerge w:val="continue"/>
            <w:tcBorders>
              <w:left w:val="single" w:sz="4" w:space="0" w:color="000000"/>
              <w:bottom w:val="single" w:sz="4" w:space="0" w:color="000000"/>
            </w:tcBorders>
            <w:shd w:fill="auto" w:val="clear"/>
          </w:tcPr>
          <w:p>
            <w:pPr>
              <w:pStyle w:val="Normal"/>
              <w:widowControl w:val="false"/>
              <w:snapToGrid w:val="false"/>
              <w:spacing w:before="20" w:after="0"/>
              <w:rPr>
                <w:color w:val="000000"/>
              </w:rPr>
            </w:pPr>
            <w:r>
              <w:rPr>
                <w:color w:val="000000"/>
              </w:rPr>
            </w:r>
          </w:p>
        </w:tc>
        <w:tc>
          <w:tcPr>
            <w:tcW w:w="1534" w:type="dxa"/>
            <w:vMerge w:val="continue"/>
            <w:tcBorders>
              <w:left w:val="single" w:sz="4" w:space="0" w:color="000000"/>
              <w:bottom w:val="single" w:sz="4" w:space="0" w:color="000000"/>
            </w:tcBorders>
            <w:shd w:fill="auto" w:val="clear"/>
          </w:tcPr>
          <w:p>
            <w:pPr>
              <w:pStyle w:val="Normal"/>
              <w:widowControl w:val="false"/>
              <w:snapToGrid w:val="false"/>
              <w:spacing w:before="20" w:after="0"/>
              <w:rPr>
                <w:color w:val="000000"/>
              </w:rPr>
            </w:pPr>
            <w:r>
              <w:rPr>
                <w:color w:val="000000"/>
              </w:rPr>
            </w:r>
          </w:p>
        </w:tc>
        <w:tc>
          <w:tcPr>
            <w:tcW w:w="1069" w:type="dxa"/>
            <w:vMerge w:val="continue"/>
            <w:tcBorders>
              <w:left w:val="single" w:sz="4" w:space="0" w:color="000000"/>
              <w:bottom w:val="single" w:sz="4" w:space="0" w:color="000000"/>
            </w:tcBorders>
            <w:shd w:fill="auto" w:val="clear"/>
          </w:tcPr>
          <w:p>
            <w:pPr>
              <w:pStyle w:val="Normal"/>
              <w:widowControl w:val="false"/>
              <w:snapToGrid w:val="false"/>
              <w:spacing w:before="20" w:after="0"/>
              <w:rPr>
                <w:color w:val="000000"/>
              </w:rPr>
            </w:pPr>
            <w:r>
              <w:rPr>
                <w:color w:val="000000"/>
              </w:rPr>
            </w:r>
          </w:p>
        </w:tc>
        <w:tc>
          <w:tcPr>
            <w:tcW w:w="1200" w:type="dxa"/>
            <w:vMerge w:val="continue"/>
            <w:tcBorders>
              <w:left w:val="single" w:sz="4" w:space="0" w:color="000000"/>
              <w:bottom w:val="single" w:sz="4" w:space="0" w:color="000000"/>
            </w:tcBorders>
            <w:shd w:fill="auto" w:val="clear"/>
          </w:tcPr>
          <w:p>
            <w:pPr>
              <w:pStyle w:val="Normal"/>
              <w:widowControl w:val="false"/>
              <w:snapToGrid w:val="false"/>
              <w:spacing w:before="20" w:after="0"/>
              <w:rPr>
                <w:color w:val="000000"/>
              </w:rPr>
            </w:pPr>
            <w:r>
              <w:rPr>
                <w:color w:val="000000"/>
              </w:rPr>
            </w:r>
          </w:p>
        </w:tc>
        <w:tc>
          <w:tcPr>
            <w:tcW w:w="1132" w:type="dxa"/>
            <w:vMerge w:val="continue"/>
            <w:tcBorders>
              <w:left w:val="single" w:sz="4" w:space="0" w:color="000000"/>
              <w:bottom w:val="single" w:sz="4" w:space="0" w:color="000000"/>
            </w:tcBorders>
            <w:shd w:fill="auto" w:val="clear"/>
          </w:tcPr>
          <w:p>
            <w:pPr>
              <w:pStyle w:val="Normal"/>
              <w:widowControl w:val="false"/>
              <w:snapToGrid w:val="false"/>
              <w:spacing w:before="20" w:after="0"/>
              <w:rPr>
                <w:color w:val="000000"/>
              </w:rPr>
            </w:pPr>
            <w:r>
              <w:rPr>
                <w:color w:val="000000"/>
              </w:rPr>
            </w:r>
          </w:p>
        </w:tc>
        <w:tc>
          <w:tcPr>
            <w:tcW w:w="1015" w:type="dxa"/>
            <w:vMerge w:val="continue"/>
            <w:tcBorders>
              <w:left w:val="single" w:sz="4" w:space="0" w:color="000000"/>
              <w:bottom w:val="single" w:sz="4" w:space="0" w:color="000000"/>
            </w:tcBorders>
            <w:shd w:fill="auto" w:val="clear"/>
          </w:tcPr>
          <w:p>
            <w:pPr>
              <w:pStyle w:val="Normal"/>
              <w:widowControl w:val="false"/>
              <w:snapToGrid w:val="false"/>
              <w:spacing w:before="20" w:after="0"/>
              <w:rPr>
                <w:color w:val="000000"/>
              </w:rPr>
            </w:pPr>
            <w:r>
              <w:rPr>
                <w:color w:val="000000"/>
              </w:rPr>
            </w:r>
          </w:p>
        </w:tc>
        <w:tc>
          <w:tcPr>
            <w:tcW w:w="1018" w:type="dxa"/>
            <w:vMerge w:val="continue"/>
            <w:tcBorders>
              <w:left w:val="single" w:sz="4" w:space="0" w:color="000000"/>
              <w:bottom w:val="single" w:sz="4" w:space="0" w:color="000000"/>
            </w:tcBorders>
            <w:shd w:fill="auto" w:val="clear"/>
          </w:tcPr>
          <w:p>
            <w:pPr>
              <w:pStyle w:val="Normal"/>
              <w:widowControl w:val="false"/>
              <w:snapToGrid w:val="false"/>
              <w:spacing w:before="20" w:after="0"/>
              <w:rPr>
                <w:color w:val="000000"/>
              </w:rPr>
            </w:pPr>
            <w:r>
              <w:rPr>
                <w:color w:val="000000"/>
              </w:rPr>
            </w:r>
          </w:p>
        </w:tc>
        <w:tc>
          <w:tcPr>
            <w:tcW w:w="1200" w:type="dxa"/>
            <w:vMerge w:val="continue"/>
            <w:tcBorders>
              <w:left w:val="single" w:sz="4" w:space="0" w:color="000000"/>
              <w:bottom w:val="single" w:sz="4" w:space="0" w:color="000000"/>
            </w:tcBorders>
            <w:shd w:fill="auto" w:val="clear"/>
          </w:tcPr>
          <w:p>
            <w:pPr>
              <w:pStyle w:val="Normal"/>
              <w:widowControl w:val="false"/>
              <w:snapToGrid w:val="false"/>
              <w:spacing w:before="20" w:after="0"/>
              <w:rPr>
                <w:color w:val="000000"/>
              </w:rPr>
            </w:pPr>
            <w:r>
              <w:rPr>
                <w:color w:val="000000"/>
              </w:rPr>
            </w:r>
          </w:p>
        </w:tc>
        <w:tc>
          <w:tcPr>
            <w:tcW w:w="1352" w:type="dxa"/>
            <w:vMerge w:val="continue"/>
            <w:tcBorders>
              <w:left w:val="single" w:sz="4" w:space="0" w:color="000000"/>
              <w:bottom w:val="single" w:sz="4" w:space="0" w:color="000000"/>
            </w:tcBorders>
            <w:shd w:fill="auto" w:val="clear"/>
          </w:tcPr>
          <w:p>
            <w:pPr>
              <w:pStyle w:val="Normal"/>
              <w:widowControl w:val="false"/>
              <w:snapToGrid w:val="false"/>
              <w:spacing w:before="20" w:after="0"/>
              <w:rPr>
                <w:color w:val="000000"/>
              </w:rPr>
            </w:pPr>
            <w:r>
              <w:rPr>
                <w:color w:val="000000"/>
              </w:rPr>
            </w:r>
          </w:p>
        </w:tc>
        <w:tc>
          <w:tcPr>
            <w:tcW w:w="1650" w:type="dxa"/>
            <w:gridSpan w:val="2"/>
            <w:vMerge w:val="continue"/>
            <w:tcBorders>
              <w:left w:val="single" w:sz="4" w:space="0" w:color="000000"/>
              <w:bottom w:val="single" w:sz="4" w:space="0" w:color="000000"/>
            </w:tcBorders>
            <w:shd w:fill="auto" w:val="clear"/>
          </w:tcPr>
          <w:p>
            <w:pPr>
              <w:pStyle w:val="Normal"/>
              <w:widowControl w:val="false"/>
              <w:snapToGrid w:val="false"/>
              <w:rPr>
                <w:color w:val="000000"/>
              </w:rPr>
            </w:pPr>
            <w:r>
              <w:rPr>
                <w:color w:val="000000"/>
              </w:rPr>
            </w:r>
          </w:p>
        </w:tc>
        <w:tc>
          <w:tcPr>
            <w:tcW w:w="1469" w:type="dxa"/>
            <w:gridSpan w:val="2"/>
            <w:vMerge w:val="continue"/>
            <w:tcBorders>
              <w:left w:val="single" w:sz="4" w:space="0" w:color="000000"/>
              <w:bottom w:val="single" w:sz="4" w:space="0" w:color="000000"/>
            </w:tcBorders>
            <w:shd w:fill="auto" w:val="clear"/>
          </w:tcPr>
          <w:p>
            <w:pPr>
              <w:pStyle w:val="Normal"/>
              <w:widowControl w:val="false"/>
              <w:snapToGrid w:val="false"/>
              <w:rPr>
                <w:color w:val="000000"/>
              </w:rPr>
            </w:pPr>
            <w:r>
              <w:rPr>
                <w:color w:val="000000"/>
              </w:rPr>
            </w:r>
          </w:p>
        </w:tc>
        <w:tc>
          <w:tcPr>
            <w:tcW w:w="1424" w:type="dxa"/>
            <w:vMerge w:val="continue"/>
            <w:tcBorders>
              <w:left w:val="single" w:sz="4" w:space="0" w:color="000000"/>
              <w:bottom w:val="single" w:sz="4" w:space="0" w:color="000000"/>
              <w:right w:val="single" w:sz="4" w:space="0" w:color="000000"/>
            </w:tcBorders>
            <w:shd w:fill="auto" w:val="clear"/>
          </w:tcPr>
          <w:p>
            <w:pPr>
              <w:pStyle w:val="Normal"/>
              <w:widowControl w:val="false"/>
              <w:snapToGrid w:val="false"/>
              <w:spacing w:before="20" w:after="0"/>
              <w:rPr>
                <w:color w:val="000000"/>
              </w:rPr>
            </w:pPr>
            <w:r>
              <w:rPr>
                <w:color w:val="000000"/>
              </w:rPr>
            </w:r>
          </w:p>
        </w:tc>
      </w:tr>
      <w:tr>
        <w:trPr>
          <w:trHeight w:val="160" w:hRule="exact"/>
          <w:cantSplit w:val="true"/>
        </w:trPr>
        <w:tc>
          <w:tcPr>
            <w:tcW w:w="396" w:type="dxa"/>
            <w:vMerge w:val="continue"/>
            <w:tcBorders>
              <w:left w:val="single" w:sz="4" w:space="0" w:color="000000"/>
              <w:bottom w:val="single" w:sz="4" w:space="0" w:color="000000"/>
            </w:tcBorders>
            <w:shd w:fill="auto" w:val="clear"/>
          </w:tcPr>
          <w:p>
            <w:pPr>
              <w:pStyle w:val="Normal"/>
              <w:widowControl w:val="false"/>
              <w:snapToGrid w:val="false"/>
              <w:spacing w:before="20" w:after="0"/>
              <w:rPr>
                <w:color w:val="000000"/>
              </w:rPr>
            </w:pPr>
            <w:r>
              <w:rPr>
                <w:color w:val="000000"/>
              </w:rPr>
            </w:r>
          </w:p>
        </w:tc>
        <w:tc>
          <w:tcPr>
            <w:tcW w:w="1534" w:type="dxa"/>
            <w:vMerge w:val="continue"/>
            <w:tcBorders>
              <w:left w:val="single" w:sz="4" w:space="0" w:color="000000"/>
              <w:bottom w:val="single" w:sz="4" w:space="0" w:color="000000"/>
            </w:tcBorders>
            <w:shd w:fill="auto" w:val="clear"/>
          </w:tcPr>
          <w:p>
            <w:pPr>
              <w:pStyle w:val="Normal"/>
              <w:widowControl w:val="false"/>
              <w:snapToGrid w:val="false"/>
              <w:spacing w:before="20" w:after="0"/>
              <w:rPr>
                <w:color w:val="000000"/>
              </w:rPr>
            </w:pPr>
            <w:r>
              <w:rPr>
                <w:color w:val="000000"/>
              </w:rPr>
            </w:r>
          </w:p>
        </w:tc>
        <w:tc>
          <w:tcPr>
            <w:tcW w:w="1069" w:type="dxa"/>
            <w:vMerge w:val="continue"/>
            <w:tcBorders>
              <w:left w:val="single" w:sz="4" w:space="0" w:color="000000"/>
              <w:bottom w:val="single" w:sz="4" w:space="0" w:color="000000"/>
            </w:tcBorders>
            <w:shd w:fill="auto" w:val="clear"/>
          </w:tcPr>
          <w:p>
            <w:pPr>
              <w:pStyle w:val="Normal"/>
              <w:widowControl w:val="false"/>
              <w:snapToGrid w:val="false"/>
              <w:spacing w:before="20" w:after="0"/>
              <w:rPr>
                <w:color w:val="000000"/>
              </w:rPr>
            </w:pPr>
            <w:r>
              <w:rPr>
                <w:color w:val="000000"/>
              </w:rPr>
            </w:r>
          </w:p>
        </w:tc>
        <w:tc>
          <w:tcPr>
            <w:tcW w:w="1200" w:type="dxa"/>
            <w:vMerge w:val="continue"/>
            <w:tcBorders>
              <w:left w:val="single" w:sz="4" w:space="0" w:color="000000"/>
              <w:bottom w:val="single" w:sz="4" w:space="0" w:color="000000"/>
            </w:tcBorders>
            <w:shd w:fill="auto" w:val="clear"/>
          </w:tcPr>
          <w:p>
            <w:pPr>
              <w:pStyle w:val="Normal"/>
              <w:widowControl w:val="false"/>
              <w:snapToGrid w:val="false"/>
              <w:spacing w:before="20" w:after="0"/>
              <w:rPr>
                <w:color w:val="000000"/>
              </w:rPr>
            </w:pPr>
            <w:r>
              <w:rPr>
                <w:color w:val="000000"/>
              </w:rPr>
            </w:r>
          </w:p>
        </w:tc>
        <w:tc>
          <w:tcPr>
            <w:tcW w:w="1132" w:type="dxa"/>
            <w:vMerge w:val="continue"/>
            <w:tcBorders>
              <w:left w:val="single" w:sz="4" w:space="0" w:color="000000"/>
              <w:bottom w:val="single" w:sz="4" w:space="0" w:color="000000"/>
            </w:tcBorders>
            <w:shd w:fill="auto" w:val="clear"/>
          </w:tcPr>
          <w:p>
            <w:pPr>
              <w:pStyle w:val="Normal"/>
              <w:widowControl w:val="false"/>
              <w:snapToGrid w:val="false"/>
              <w:spacing w:before="20" w:after="0"/>
              <w:rPr>
                <w:color w:val="000000"/>
              </w:rPr>
            </w:pPr>
            <w:r>
              <w:rPr>
                <w:color w:val="000000"/>
              </w:rPr>
            </w:r>
          </w:p>
        </w:tc>
        <w:tc>
          <w:tcPr>
            <w:tcW w:w="1015" w:type="dxa"/>
            <w:vMerge w:val="continue"/>
            <w:tcBorders>
              <w:left w:val="single" w:sz="4" w:space="0" w:color="000000"/>
              <w:bottom w:val="single" w:sz="4" w:space="0" w:color="000000"/>
            </w:tcBorders>
            <w:shd w:fill="auto" w:val="clear"/>
          </w:tcPr>
          <w:p>
            <w:pPr>
              <w:pStyle w:val="Normal"/>
              <w:widowControl w:val="false"/>
              <w:snapToGrid w:val="false"/>
              <w:spacing w:before="20" w:after="0"/>
              <w:rPr>
                <w:color w:val="000000"/>
              </w:rPr>
            </w:pPr>
            <w:r>
              <w:rPr>
                <w:color w:val="000000"/>
              </w:rPr>
            </w:r>
          </w:p>
        </w:tc>
        <w:tc>
          <w:tcPr>
            <w:tcW w:w="1018" w:type="dxa"/>
            <w:vMerge w:val="continue"/>
            <w:tcBorders>
              <w:left w:val="single" w:sz="4" w:space="0" w:color="000000"/>
              <w:bottom w:val="single" w:sz="4" w:space="0" w:color="000000"/>
            </w:tcBorders>
            <w:shd w:fill="auto" w:val="clear"/>
          </w:tcPr>
          <w:p>
            <w:pPr>
              <w:pStyle w:val="Normal"/>
              <w:widowControl w:val="false"/>
              <w:snapToGrid w:val="false"/>
              <w:spacing w:before="20" w:after="0"/>
              <w:rPr>
                <w:color w:val="000000"/>
              </w:rPr>
            </w:pPr>
            <w:r>
              <w:rPr>
                <w:color w:val="000000"/>
              </w:rPr>
            </w:r>
          </w:p>
        </w:tc>
        <w:tc>
          <w:tcPr>
            <w:tcW w:w="1200" w:type="dxa"/>
            <w:vMerge w:val="continue"/>
            <w:tcBorders>
              <w:left w:val="single" w:sz="4" w:space="0" w:color="000000"/>
              <w:bottom w:val="single" w:sz="4" w:space="0" w:color="000000"/>
            </w:tcBorders>
            <w:shd w:fill="auto" w:val="clear"/>
          </w:tcPr>
          <w:p>
            <w:pPr>
              <w:pStyle w:val="Normal"/>
              <w:widowControl w:val="false"/>
              <w:snapToGrid w:val="false"/>
              <w:spacing w:before="20" w:after="0"/>
              <w:rPr>
                <w:color w:val="000000"/>
              </w:rPr>
            </w:pPr>
            <w:r>
              <w:rPr>
                <w:color w:val="000000"/>
              </w:rPr>
            </w:r>
          </w:p>
        </w:tc>
        <w:tc>
          <w:tcPr>
            <w:tcW w:w="1352" w:type="dxa"/>
            <w:vMerge w:val="continue"/>
            <w:tcBorders>
              <w:left w:val="single" w:sz="4" w:space="0" w:color="000000"/>
              <w:bottom w:val="single" w:sz="4" w:space="0" w:color="000000"/>
            </w:tcBorders>
            <w:shd w:fill="auto" w:val="clear"/>
          </w:tcPr>
          <w:p>
            <w:pPr>
              <w:pStyle w:val="Normal"/>
              <w:widowControl w:val="false"/>
              <w:snapToGrid w:val="false"/>
              <w:spacing w:before="20" w:after="0"/>
              <w:rPr>
                <w:color w:val="000000"/>
              </w:rPr>
            </w:pPr>
            <w:r>
              <w:rPr>
                <w:color w:val="000000"/>
              </w:rPr>
            </w:r>
          </w:p>
        </w:tc>
        <w:tc>
          <w:tcPr>
            <w:tcW w:w="1650" w:type="dxa"/>
            <w:gridSpan w:val="2"/>
            <w:vMerge w:val="continue"/>
            <w:tcBorders>
              <w:left w:val="single" w:sz="4" w:space="0" w:color="000000"/>
              <w:bottom w:val="single" w:sz="4" w:space="0" w:color="000000"/>
            </w:tcBorders>
            <w:shd w:fill="auto" w:val="clear"/>
          </w:tcPr>
          <w:p>
            <w:pPr>
              <w:pStyle w:val="Normal"/>
              <w:widowControl w:val="false"/>
              <w:snapToGrid w:val="false"/>
              <w:rPr>
                <w:color w:val="000000"/>
              </w:rPr>
            </w:pPr>
            <w:r>
              <w:rPr>
                <w:color w:val="000000"/>
              </w:rPr>
            </w:r>
          </w:p>
        </w:tc>
        <w:tc>
          <w:tcPr>
            <w:tcW w:w="1469" w:type="dxa"/>
            <w:gridSpan w:val="2"/>
            <w:vMerge w:val="continue"/>
            <w:tcBorders>
              <w:left w:val="single" w:sz="4" w:space="0" w:color="000000"/>
              <w:bottom w:val="single" w:sz="4" w:space="0" w:color="000000"/>
            </w:tcBorders>
            <w:shd w:fill="auto" w:val="clear"/>
          </w:tcPr>
          <w:p>
            <w:pPr>
              <w:pStyle w:val="Normal"/>
              <w:widowControl w:val="false"/>
              <w:snapToGrid w:val="false"/>
              <w:rPr>
                <w:color w:val="000000"/>
              </w:rPr>
            </w:pPr>
            <w:r>
              <w:rPr>
                <w:color w:val="000000"/>
              </w:rPr>
            </w:r>
          </w:p>
        </w:tc>
        <w:tc>
          <w:tcPr>
            <w:tcW w:w="1424" w:type="dxa"/>
            <w:vMerge w:val="continue"/>
            <w:tcBorders>
              <w:left w:val="single" w:sz="4" w:space="0" w:color="000000"/>
              <w:bottom w:val="single" w:sz="4" w:space="0" w:color="000000"/>
              <w:right w:val="single" w:sz="4" w:space="0" w:color="000000"/>
            </w:tcBorders>
            <w:shd w:fill="auto" w:val="clear"/>
          </w:tcPr>
          <w:p>
            <w:pPr>
              <w:pStyle w:val="Normal"/>
              <w:widowControl w:val="false"/>
              <w:snapToGrid w:val="false"/>
              <w:spacing w:before="20" w:after="0"/>
              <w:rPr>
                <w:color w:val="000000"/>
              </w:rPr>
            </w:pPr>
            <w:r>
              <w:rPr>
                <w:color w:val="000000"/>
              </w:rPr>
            </w:r>
          </w:p>
        </w:tc>
      </w:tr>
      <w:tr>
        <w:trPr>
          <w:trHeight w:val="80" w:hRule="exact"/>
          <w:cantSplit w:val="true"/>
        </w:trPr>
        <w:tc>
          <w:tcPr>
            <w:tcW w:w="396" w:type="dxa"/>
            <w:vMerge w:val="continue"/>
            <w:tcBorders>
              <w:left w:val="single" w:sz="4" w:space="0" w:color="000000"/>
              <w:bottom w:val="single" w:sz="4" w:space="0" w:color="000000"/>
            </w:tcBorders>
            <w:shd w:fill="auto" w:val="clear"/>
          </w:tcPr>
          <w:p>
            <w:pPr>
              <w:pStyle w:val="Normal"/>
              <w:widowControl w:val="false"/>
              <w:snapToGrid w:val="false"/>
              <w:spacing w:before="20" w:after="0"/>
              <w:rPr>
                <w:color w:val="000000"/>
              </w:rPr>
            </w:pPr>
            <w:r>
              <w:rPr>
                <w:color w:val="000000"/>
              </w:rPr>
            </w:r>
          </w:p>
        </w:tc>
        <w:tc>
          <w:tcPr>
            <w:tcW w:w="1534" w:type="dxa"/>
            <w:vMerge w:val="continue"/>
            <w:tcBorders>
              <w:left w:val="single" w:sz="4" w:space="0" w:color="000000"/>
              <w:bottom w:val="single" w:sz="4" w:space="0" w:color="000000"/>
            </w:tcBorders>
            <w:shd w:fill="auto" w:val="clear"/>
          </w:tcPr>
          <w:p>
            <w:pPr>
              <w:pStyle w:val="Normal"/>
              <w:widowControl w:val="false"/>
              <w:snapToGrid w:val="false"/>
              <w:spacing w:before="20" w:after="0"/>
              <w:rPr>
                <w:color w:val="000000"/>
              </w:rPr>
            </w:pPr>
            <w:r>
              <w:rPr>
                <w:color w:val="000000"/>
              </w:rPr>
            </w:r>
          </w:p>
        </w:tc>
        <w:tc>
          <w:tcPr>
            <w:tcW w:w="1069" w:type="dxa"/>
            <w:vMerge w:val="continue"/>
            <w:tcBorders>
              <w:left w:val="single" w:sz="4" w:space="0" w:color="000000"/>
              <w:bottom w:val="single" w:sz="4" w:space="0" w:color="000000"/>
            </w:tcBorders>
            <w:shd w:fill="auto" w:val="clear"/>
          </w:tcPr>
          <w:p>
            <w:pPr>
              <w:pStyle w:val="Normal"/>
              <w:widowControl w:val="false"/>
              <w:snapToGrid w:val="false"/>
              <w:spacing w:before="20" w:after="0"/>
              <w:rPr>
                <w:color w:val="000000"/>
              </w:rPr>
            </w:pPr>
            <w:r>
              <w:rPr>
                <w:color w:val="000000"/>
              </w:rPr>
            </w:r>
          </w:p>
        </w:tc>
        <w:tc>
          <w:tcPr>
            <w:tcW w:w="1200" w:type="dxa"/>
            <w:vMerge w:val="continue"/>
            <w:tcBorders>
              <w:left w:val="single" w:sz="4" w:space="0" w:color="000000"/>
              <w:bottom w:val="single" w:sz="4" w:space="0" w:color="000000"/>
            </w:tcBorders>
            <w:shd w:fill="auto" w:val="clear"/>
          </w:tcPr>
          <w:p>
            <w:pPr>
              <w:pStyle w:val="Normal"/>
              <w:widowControl w:val="false"/>
              <w:snapToGrid w:val="false"/>
              <w:spacing w:before="20" w:after="0"/>
              <w:rPr>
                <w:color w:val="000000"/>
              </w:rPr>
            </w:pPr>
            <w:r>
              <w:rPr>
                <w:color w:val="000000"/>
              </w:rPr>
            </w:r>
          </w:p>
        </w:tc>
        <w:tc>
          <w:tcPr>
            <w:tcW w:w="1132" w:type="dxa"/>
            <w:vMerge w:val="continue"/>
            <w:tcBorders>
              <w:left w:val="single" w:sz="4" w:space="0" w:color="000000"/>
              <w:bottom w:val="single" w:sz="4" w:space="0" w:color="000000"/>
            </w:tcBorders>
            <w:shd w:fill="auto" w:val="clear"/>
          </w:tcPr>
          <w:p>
            <w:pPr>
              <w:pStyle w:val="Normal"/>
              <w:widowControl w:val="false"/>
              <w:snapToGrid w:val="false"/>
              <w:spacing w:before="20" w:after="0"/>
              <w:rPr>
                <w:color w:val="000000"/>
              </w:rPr>
            </w:pPr>
            <w:r>
              <w:rPr>
                <w:color w:val="000000"/>
              </w:rPr>
            </w:r>
          </w:p>
        </w:tc>
        <w:tc>
          <w:tcPr>
            <w:tcW w:w="1015" w:type="dxa"/>
            <w:vMerge w:val="continue"/>
            <w:tcBorders>
              <w:left w:val="single" w:sz="4" w:space="0" w:color="000000"/>
              <w:bottom w:val="single" w:sz="4" w:space="0" w:color="000000"/>
            </w:tcBorders>
            <w:shd w:fill="auto" w:val="clear"/>
          </w:tcPr>
          <w:p>
            <w:pPr>
              <w:pStyle w:val="Normal"/>
              <w:widowControl w:val="false"/>
              <w:snapToGrid w:val="false"/>
              <w:spacing w:before="20" w:after="0"/>
              <w:rPr>
                <w:color w:val="000000"/>
              </w:rPr>
            </w:pPr>
            <w:r>
              <w:rPr>
                <w:color w:val="000000"/>
              </w:rPr>
            </w:r>
          </w:p>
        </w:tc>
        <w:tc>
          <w:tcPr>
            <w:tcW w:w="1018" w:type="dxa"/>
            <w:vMerge w:val="continue"/>
            <w:tcBorders>
              <w:left w:val="single" w:sz="4" w:space="0" w:color="000000"/>
              <w:bottom w:val="single" w:sz="4" w:space="0" w:color="000000"/>
            </w:tcBorders>
            <w:shd w:fill="auto" w:val="clear"/>
          </w:tcPr>
          <w:p>
            <w:pPr>
              <w:pStyle w:val="Normal"/>
              <w:widowControl w:val="false"/>
              <w:snapToGrid w:val="false"/>
              <w:spacing w:before="20" w:after="0"/>
              <w:rPr>
                <w:color w:val="000000"/>
              </w:rPr>
            </w:pPr>
            <w:r>
              <w:rPr>
                <w:color w:val="000000"/>
              </w:rPr>
            </w:r>
          </w:p>
        </w:tc>
        <w:tc>
          <w:tcPr>
            <w:tcW w:w="1200" w:type="dxa"/>
            <w:vMerge w:val="continue"/>
            <w:tcBorders>
              <w:left w:val="single" w:sz="4" w:space="0" w:color="000000"/>
              <w:bottom w:val="single" w:sz="4" w:space="0" w:color="000000"/>
            </w:tcBorders>
            <w:shd w:fill="auto" w:val="clear"/>
          </w:tcPr>
          <w:p>
            <w:pPr>
              <w:pStyle w:val="Normal"/>
              <w:widowControl w:val="false"/>
              <w:snapToGrid w:val="false"/>
              <w:spacing w:before="20" w:after="0"/>
              <w:rPr>
                <w:color w:val="000000"/>
              </w:rPr>
            </w:pPr>
            <w:r>
              <w:rPr>
                <w:color w:val="000000"/>
              </w:rPr>
            </w:r>
          </w:p>
        </w:tc>
        <w:tc>
          <w:tcPr>
            <w:tcW w:w="1352" w:type="dxa"/>
            <w:vMerge w:val="continue"/>
            <w:tcBorders>
              <w:left w:val="single" w:sz="4" w:space="0" w:color="000000"/>
              <w:bottom w:val="single" w:sz="4" w:space="0" w:color="000000"/>
            </w:tcBorders>
            <w:shd w:fill="auto" w:val="clear"/>
          </w:tcPr>
          <w:p>
            <w:pPr>
              <w:pStyle w:val="Normal"/>
              <w:widowControl w:val="false"/>
              <w:snapToGrid w:val="false"/>
              <w:spacing w:before="20" w:after="0"/>
              <w:rPr>
                <w:color w:val="000000"/>
              </w:rPr>
            </w:pPr>
            <w:r>
              <w:rPr>
                <w:color w:val="000000"/>
              </w:rPr>
            </w:r>
          </w:p>
        </w:tc>
        <w:tc>
          <w:tcPr>
            <w:tcW w:w="1650" w:type="dxa"/>
            <w:gridSpan w:val="2"/>
            <w:vMerge w:val="continue"/>
            <w:tcBorders>
              <w:left w:val="single" w:sz="4" w:space="0" w:color="000000"/>
              <w:bottom w:val="single" w:sz="4" w:space="0" w:color="000000"/>
            </w:tcBorders>
            <w:shd w:fill="auto" w:val="clear"/>
          </w:tcPr>
          <w:p>
            <w:pPr>
              <w:pStyle w:val="Normal"/>
              <w:widowControl w:val="false"/>
              <w:snapToGrid w:val="false"/>
              <w:rPr>
                <w:color w:val="000000"/>
              </w:rPr>
            </w:pPr>
            <w:r>
              <w:rPr>
                <w:color w:val="000000"/>
              </w:rPr>
            </w:r>
          </w:p>
        </w:tc>
        <w:tc>
          <w:tcPr>
            <w:tcW w:w="1469" w:type="dxa"/>
            <w:gridSpan w:val="2"/>
            <w:vMerge w:val="continue"/>
            <w:tcBorders>
              <w:left w:val="single" w:sz="4" w:space="0" w:color="000000"/>
              <w:bottom w:val="single" w:sz="4" w:space="0" w:color="000000"/>
            </w:tcBorders>
            <w:shd w:fill="auto" w:val="clear"/>
          </w:tcPr>
          <w:p>
            <w:pPr>
              <w:pStyle w:val="Normal"/>
              <w:widowControl w:val="false"/>
              <w:snapToGrid w:val="false"/>
              <w:rPr>
                <w:color w:val="000000"/>
              </w:rPr>
            </w:pPr>
            <w:r>
              <w:rPr>
                <w:color w:val="000000"/>
              </w:rPr>
            </w:r>
          </w:p>
        </w:tc>
        <w:tc>
          <w:tcPr>
            <w:tcW w:w="1424" w:type="dxa"/>
            <w:vMerge w:val="continue"/>
            <w:tcBorders>
              <w:left w:val="single" w:sz="4" w:space="0" w:color="000000"/>
              <w:bottom w:val="single" w:sz="4" w:space="0" w:color="000000"/>
              <w:right w:val="single" w:sz="4" w:space="0" w:color="000000"/>
            </w:tcBorders>
            <w:shd w:fill="auto" w:val="clear"/>
          </w:tcPr>
          <w:p>
            <w:pPr>
              <w:pStyle w:val="Normal"/>
              <w:widowControl w:val="false"/>
              <w:snapToGrid w:val="false"/>
              <w:spacing w:before="20" w:after="0"/>
              <w:rPr>
                <w:color w:val="000000"/>
              </w:rPr>
            </w:pPr>
            <w:r>
              <w:rPr>
                <w:color w:val="000000"/>
              </w:rPr>
            </w:r>
          </w:p>
        </w:tc>
      </w:tr>
      <w:tr>
        <w:trPr>
          <w:trHeight w:val="735" w:hRule="exact"/>
          <w:cantSplit w:val="true"/>
        </w:trPr>
        <w:tc>
          <w:tcPr>
            <w:tcW w:w="396" w:type="dxa"/>
            <w:vMerge w:val="continue"/>
            <w:tcBorders>
              <w:left w:val="single" w:sz="4" w:space="0" w:color="000000"/>
              <w:bottom w:val="single" w:sz="4" w:space="0" w:color="000000"/>
            </w:tcBorders>
            <w:shd w:fill="auto" w:val="clear"/>
          </w:tcPr>
          <w:p>
            <w:pPr>
              <w:pStyle w:val="Normal"/>
              <w:widowControl w:val="false"/>
              <w:snapToGrid w:val="false"/>
              <w:spacing w:before="20" w:after="0"/>
              <w:rPr>
                <w:color w:val="000000"/>
              </w:rPr>
            </w:pPr>
            <w:r>
              <w:rPr>
                <w:color w:val="000000"/>
              </w:rPr>
            </w:r>
          </w:p>
        </w:tc>
        <w:tc>
          <w:tcPr>
            <w:tcW w:w="1534" w:type="dxa"/>
            <w:vMerge w:val="continue"/>
            <w:tcBorders>
              <w:left w:val="single" w:sz="4" w:space="0" w:color="000000"/>
              <w:bottom w:val="single" w:sz="4" w:space="0" w:color="000000"/>
            </w:tcBorders>
            <w:shd w:fill="auto" w:val="clear"/>
          </w:tcPr>
          <w:p>
            <w:pPr>
              <w:pStyle w:val="Normal"/>
              <w:widowControl w:val="false"/>
              <w:snapToGrid w:val="false"/>
              <w:spacing w:before="20" w:after="0"/>
              <w:rPr>
                <w:color w:val="000000"/>
                <w:sz w:val="28"/>
                <w:szCs w:val="28"/>
              </w:rPr>
            </w:pPr>
            <w:r>
              <w:rPr>
                <w:color w:val="000000"/>
                <w:sz w:val="28"/>
                <w:szCs w:val="28"/>
              </w:rPr>
            </w:r>
          </w:p>
        </w:tc>
        <w:tc>
          <w:tcPr>
            <w:tcW w:w="1069" w:type="dxa"/>
            <w:vMerge w:val="continue"/>
            <w:tcBorders>
              <w:left w:val="single" w:sz="4" w:space="0" w:color="000000"/>
              <w:bottom w:val="single" w:sz="4" w:space="0" w:color="000000"/>
            </w:tcBorders>
            <w:shd w:fill="auto" w:val="clear"/>
          </w:tcPr>
          <w:p>
            <w:pPr>
              <w:pStyle w:val="Normal"/>
              <w:widowControl w:val="false"/>
              <w:snapToGrid w:val="false"/>
              <w:spacing w:before="20" w:after="0"/>
              <w:rPr>
                <w:color w:val="000000"/>
                <w:sz w:val="28"/>
                <w:szCs w:val="28"/>
              </w:rPr>
            </w:pPr>
            <w:r>
              <w:rPr>
                <w:color w:val="000000"/>
                <w:sz w:val="28"/>
                <w:szCs w:val="28"/>
              </w:rPr>
            </w:r>
          </w:p>
        </w:tc>
        <w:tc>
          <w:tcPr>
            <w:tcW w:w="1200" w:type="dxa"/>
            <w:vMerge w:val="continue"/>
            <w:tcBorders>
              <w:left w:val="single" w:sz="4" w:space="0" w:color="000000"/>
              <w:bottom w:val="single" w:sz="4" w:space="0" w:color="000000"/>
            </w:tcBorders>
            <w:shd w:fill="auto" w:val="clear"/>
          </w:tcPr>
          <w:p>
            <w:pPr>
              <w:pStyle w:val="Normal"/>
              <w:widowControl w:val="false"/>
              <w:snapToGrid w:val="false"/>
              <w:spacing w:before="20" w:after="0"/>
              <w:rPr>
                <w:color w:val="000000"/>
                <w:sz w:val="28"/>
                <w:szCs w:val="28"/>
              </w:rPr>
            </w:pPr>
            <w:r>
              <w:rPr>
                <w:color w:val="000000"/>
                <w:sz w:val="28"/>
                <w:szCs w:val="28"/>
              </w:rPr>
            </w:r>
          </w:p>
        </w:tc>
        <w:tc>
          <w:tcPr>
            <w:tcW w:w="1132" w:type="dxa"/>
            <w:vMerge w:val="continue"/>
            <w:tcBorders>
              <w:left w:val="single" w:sz="4" w:space="0" w:color="000000"/>
              <w:bottom w:val="single" w:sz="4" w:space="0" w:color="000000"/>
            </w:tcBorders>
            <w:shd w:fill="auto" w:val="clear"/>
          </w:tcPr>
          <w:p>
            <w:pPr>
              <w:pStyle w:val="Normal"/>
              <w:widowControl w:val="false"/>
              <w:snapToGrid w:val="false"/>
              <w:spacing w:before="20" w:after="0"/>
              <w:rPr>
                <w:color w:val="000000"/>
                <w:sz w:val="28"/>
                <w:szCs w:val="28"/>
              </w:rPr>
            </w:pPr>
            <w:r>
              <w:rPr>
                <w:color w:val="000000"/>
                <w:sz w:val="28"/>
                <w:szCs w:val="28"/>
              </w:rPr>
            </w:r>
          </w:p>
        </w:tc>
        <w:tc>
          <w:tcPr>
            <w:tcW w:w="1015" w:type="dxa"/>
            <w:vMerge w:val="continue"/>
            <w:tcBorders>
              <w:left w:val="single" w:sz="4" w:space="0" w:color="000000"/>
              <w:bottom w:val="single" w:sz="4" w:space="0" w:color="000000"/>
            </w:tcBorders>
            <w:shd w:fill="auto" w:val="clear"/>
          </w:tcPr>
          <w:p>
            <w:pPr>
              <w:pStyle w:val="Normal"/>
              <w:widowControl w:val="false"/>
              <w:snapToGrid w:val="false"/>
              <w:spacing w:before="20" w:after="0"/>
              <w:rPr>
                <w:color w:val="000000"/>
                <w:sz w:val="28"/>
                <w:szCs w:val="28"/>
              </w:rPr>
            </w:pPr>
            <w:r>
              <w:rPr>
                <w:color w:val="000000"/>
                <w:sz w:val="28"/>
                <w:szCs w:val="28"/>
              </w:rPr>
            </w:r>
          </w:p>
        </w:tc>
        <w:tc>
          <w:tcPr>
            <w:tcW w:w="1018" w:type="dxa"/>
            <w:vMerge w:val="continue"/>
            <w:tcBorders>
              <w:left w:val="single" w:sz="4" w:space="0" w:color="000000"/>
              <w:bottom w:val="single" w:sz="4" w:space="0" w:color="000000"/>
            </w:tcBorders>
            <w:shd w:fill="auto" w:val="clear"/>
          </w:tcPr>
          <w:p>
            <w:pPr>
              <w:pStyle w:val="Normal"/>
              <w:widowControl w:val="false"/>
              <w:snapToGrid w:val="false"/>
              <w:spacing w:before="20" w:after="0"/>
              <w:rPr>
                <w:color w:val="000000"/>
                <w:sz w:val="28"/>
                <w:szCs w:val="28"/>
              </w:rPr>
            </w:pPr>
            <w:r>
              <w:rPr>
                <w:color w:val="000000"/>
                <w:sz w:val="28"/>
                <w:szCs w:val="28"/>
              </w:rPr>
            </w:r>
          </w:p>
        </w:tc>
        <w:tc>
          <w:tcPr>
            <w:tcW w:w="1200" w:type="dxa"/>
            <w:vMerge w:val="continue"/>
            <w:tcBorders>
              <w:left w:val="single" w:sz="4" w:space="0" w:color="000000"/>
              <w:bottom w:val="single" w:sz="4" w:space="0" w:color="000000"/>
            </w:tcBorders>
            <w:shd w:fill="auto" w:val="clear"/>
          </w:tcPr>
          <w:p>
            <w:pPr>
              <w:pStyle w:val="Normal"/>
              <w:widowControl w:val="false"/>
              <w:snapToGrid w:val="false"/>
              <w:spacing w:before="20" w:after="0"/>
              <w:rPr>
                <w:color w:val="000000"/>
                <w:sz w:val="28"/>
                <w:szCs w:val="28"/>
              </w:rPr>
            </w:pPr>
            <w:r>
              <w:rPr>
                <w:color w:val="000000"/>
                <w:sz w:val="28"/>
                <w:szCs w:val="28"/>
              </w:rPr>
            </w:r>
          </w:p>
        </w:tc>
        <w:tc>
          <w:tcPr>
            <w:tcW w:w="1352" w:type="dxa"/>
            <w:vMerge w:val="continue"/>
            <w:tcBorders>
              <w:left w:val="single" w:sz="4" w:space="0" w:color="000000"/>
              <w:bottom w:val="single" w:sz="4" w:space="0" w:color="000000"/>
            </w:tcBorders>
            <w:shd w:fill="auto" w:val="clear"/>
          </w:tcPr>
          <w:p>
            <w:pPr>
              <w:pStyle w:val="Normal"/>
              <w:widowControl w:val="false"/>
              <w:snapToGrid w:val="false"/>
              <w:spacing w:before="20" w:after="0"/>
              <w:rPr>
                <w:color w:val="000000"/>
                <w:sz w:val="28"/>
                <w:szCs w:val="28"/>
              </w:rPr>
            </w:pPr>
            <w:r>
              <w:rPr>
                <w:color w:val="000000"/>
                <w:sz w:val="28"/>
                <w:szCs w:val="28"/>
              </w:rPr>
            </w:r>
          </w:p>
        </w:tc>
        <w:tc>
          <w:tcPr>
            <w:tcW w:w="1650" w:type="dxa"/>
            <w:gridSpan w:val="2"/>
            <w:vMerge w:val="continue"/>
            <w:tcBorders>
              <w:left w:val="single" w:sz="4" w:space="0" w:color="000000"/>
              <w:bottom w:val="single" w:sz="4" w:space="0" w:color="000000"/>
            </w:tcBorders>
            <w:shd w:fill="auto" w:val="clear"/>
          </w:tcPr>
          <w:p>
            <w:pPr>
              <w:pStyle w:val="Normal"/>
              <w:widowControl w:val="false"/>
              <w:snapToGrid w:val="false"/>
              <w:rPr>
                <w:color w:val="000000"/>
              </w:rPr>
            </w:pPr>
            <w:r>
              <w:rPr>
                <w:color w:val="000000"/>
              </w:rPr>
            </w:r>
          </w:p>
        </w:tc>
        <w:tc>
          <w:tcPr>
            <w:tcW w:w="1469" w:type="dxa"/>
            <w:gridSpan w:val="2"/>
            <w:vMerge w:val="continue"/>
            <w:tcBorders>
              <w:left w:val="single" w:sz="4" w:space="0" w:color="000000"/>
              <w:bottom w:val="single" w:sz="4" w:space="0" w:color="000000"/>
            </w:tcBorders>
            <w:shd w:fill="auto" w:val="clear"/>
          </w:tcPr>
          <w:p>
            <w:pPr>
              <w:pStyle w:val="Normal"/>
              <w:widowControl w:val="false"/>
              <w:snapToGrid w:val="false"/>
              <w:rPr>
                <w:color w:val="000000"/>
              </w:rPr>
            </w:pPr>
            <w:r>
              <w:rPr>
                <w:color w:val="000000"/>
              </w:rPr>
            </w:r>
          </w:p>
        </w:tc>
        <w:tc>
          <w:tcPr>
            <w:tcW w:w="1424" w:type="dxa"/>
            <w:vMerge w:val="continue"/>
            <w:tcBorders>
              <w:left w:val="single" w:sz="4" w:space="0" w:color="000000"/>
              <w:bottom w:val="single" w:sz="4" w:space="0" w:color="000000"/>
              <w:right w:val="single" w:sz="4" w:space="0" w:color="000000"/>
            </w:tcBorders>
            <w:shd w:fill="auto" w:val="clear"/>
          </w:tcPr>
          <w:p>
            <w:pPr>
              <w:pStyle w:val="Normal"/>
              <w:widowControl w:val="false"/>
              <w:snapToGrid w:val="false"/>
              <w:spacing w:before="20" w:after="0"/>
              <w:rPr>
                <w:color w:val="000000"/>
              </w:rPr>
            </w:pPr>
            <w:r>
              <w:rPr>
                <w:color w:val="000000"/>
              </w:rPr>
            </w:r>
          </w:p>
        </w:tc>
      </w:tr>
      <w:tr>
        <w:trPr>
          <w:trHeight w:val="180" w:hRule="exact"/>
          <w:cantSplit w:val="true"/>
        </w:trPr>
        <w:tc>
          <w:tcPr>
            <w:tcW w:w="396" w:type="dxa"/>
            <w:vMerge w:val="continue"/>
            <w:tcBorders>
              <w:left w:val="single" w:sz="4" w:space="0" w:color="000000"/>
              <w:bottom w:val="single" w:sz="4" w:space="0" w:color="000000"/>
            </w:tcBorders>
            <w:shd w:fill="auto" w:val="clear"/>
          </w:tcPr>
          <w:p>
            <w:pPr>
              <w:pStyle w:val="Normal"/>
              <w:widowControl w:val="false"/>
              <w:snapToGrid w:val="false"/>
              <w:spacing w:before="20" w:after="0"/>
              <w:rPr>
                <w:color w:val="000000"/>
              </w:rPr>
            </w:pPr>
            <w:r>
              <w:rPr>
                <w:color w:val="000000"/>
              </w:rPr>
            </w:r>
          </w:p>
        </w:tc>
        <w:tc>
          <w:tcPr>
            <w:tcW w:w="1534" w:type="dxa"/>
            <w:vMerge w:val="continue"/>
            <w:tcBorders>
              <w:left w:val="single" w:sz="4" w:space="0" w:color="000000"/>
              <w:bottom w:val="single" w:sz="4" w:space="0" w:color="000000"/>
            </w:tcBorders>
            <w:shd w:fill="auto" w:val="clear"/>
          </w:tcPr>
          <w:p>
            <w:pPr>
              <w:pStyle w:val="Normal"/>
              <w:widowControl w:val="false"/>
              <w:snapToGrid w:val="false"/>
              <w:spacing w:before="20" w:after="0"/>
              <w:rPr>
                <w:color w:val="000000"/>
              </w:rPr>
            </w:pPr>
            <w:r>
              <w:rPr>
                <w:color w:val="000000"/>
              </w:rPr>
            </w:r>
          </w:p>
        </w:tc>
        <w:tc>
          <w:tcPr>
            <w:tcW w:w="1069" w:type="dxa"/>
            <w:vMerge w:val="continue"/>
            <w:tcBorders>
              <w:left w:val="single" w:sz="4" w:space="0" w:color="000000"/>
              <w:bottom w:val="single" w:sz="4" w:space="0" w:color="000000"/>
            </w:tcBorders>
            <w:shd w:fill="auto" w:val="clear"/>
          </w:tcPr>
          <w:p>
            <w:pPr>
              <w:pStyle w:val="Normal"/>
              <w:widowControl w:val="false"/>
              <w:snapToGrid w:val="false"/>
              <w:spacing w:before="20" w:after="0"/>
              <w:rPr>
                <w:color w:val="000000"/>
              </w:rPr>
            </w:pPr>
            <w:r>
              <w:rPr>
                <w:color w:val="000000"/>
              </w:rPr>
            </w:r>
          </w:p>
        </w:tc>
        <w:tc>
          <w:tcPr>
            <w:tcW w:w="1200" w:type="dxa"/>
            <w:vMerge w:val="continue"/>
            <w:tcBorders>
              <w:left w:val="single" w:sz="4" w:space="0" w:color="000000"/>
              <w:bottom w:val="single" w:sz="4" w:space="0" w:color="000000"/>
            </w:tcBorders>
            <w:shd w:fill="auto" w:val="clear"/>
          </w:tcPr>
          <w:p>
            <w:pPr>
              <w:pStyle w:val="Normal"/>
              <w:widowControl w:val="false"/>
              <w:snapToGrid w:val="false"/>
              <w:spacing w:before="20" w:after="0"/>
              <w:rPr>
                <w:color w:val="000000"/>
              </w:rPr>
            </w:pPr>
            <w:r>
              <w:rPr>
                <w:color w:val="000000"/>
              </w:rPr>
            </w:r>
          </w:p>
        </w:tc>
        <w:tc>
          <w:tcPr>
            <w:tcW w:w="1132" w:type="dxa"/>
            <w:vMerge w:val="continue"/>
            <w:tcBorders>
              <w:left w:val="single" w:sz="4" w:space="0" w:color="000000"/>
              <w:bottom w:val="single" w:sz="4" w:space="0" w:color="000000"/>
            </w:tcBorders>
            <w:shd w:fill="auto" w:val="clear"/>
          </w:tcPr>
          <w:p>
            <w:pPr>
              <w:pStyle w:val="Normal"/>
              <w:widowControl w:val="false"/>
              <w:snapToGrid w:val="false"/>
              <w:spacing w:before="20" w:after="0"/>
              <w:rPr>
                <w:color w:val="000000"/>
              </w:rPr>
            </w:pPr>
            <w:r>
              <w:rPr>
                <w:color w:val="000000"/>
              </w:rPr>
            </w:r>
          </w:p>
        </w:tc>
        <w:tc>
          <w:tcPr>
            <w:tcW w:w="1015" w:type="dxa"/>
            <w:vMerge w:val="continue"/>
            <w:tcBorders>
              <w:left w:val="single" w:sz="4" w:space="0" w:color="000000"/>
              <w:bottom w:val="single" w:sz="4" w:space="0" w:color="000000"/>
            </w:tcBorders>
            <w:shd w:fill="auto" w:val="clear"/>
          </w:tcPr>
          <w:p>
            <w:pPr>
              <w:pStyle w:val="Normal"/>
              <w:widowControl w:val="false"/>
              <w:snapToGrid w:val="false"/>
              <w:spacing w:before="20" w:after="0"/>
              <w:rPr>
                <w:color w:val="000000"/>
              </w:rPr>
            </w:pPr>
            <w:r>
              <w:rPr>
                <w:color w:val="000000"/>
              </w:rPr>
            </w:r>
          </w:p>
        </w:tc>
        <w:tc>
          <w:tcPr>
            <w:tcW w:w="1018" w:type="dxa"/>
            <w:vMerge w:val="continue"/>
            <w:tcBorders>
              <w:left w:val="single" w:sz="4" w:space="0" w:color="000000"/>
              <w:bottom w:val="single" w:sz="4" w:space="0" w:color="000000"/>
            </w:tcBorders>
            <w:shd w:fill="auto" w:val="clear"/>
          </w:tcPr>
          <w:p>
            <w:pPr>
              <w:pStyle w:val="Normal"/>
              <w:widowControl w:val="false"/>
              <w:snapToGrid w:val="false"/>
              <w:spacing w:before="20" w:after="0"/>
              <w:rPr>
                <w:color w:val="000000"/>
              </w:rPr>
            </w:pPr>
            <w:r>
              <w:rPr>
                <w:color w:val="000000"/>
              </w:rPr>
            </w:r>
          </w:p>
        </w:tc>
        <w:tc>
          <w:tcPr>
            <w:tcW w:w="1200" w:type="dxa"/>
            <w:vMerge w:val="continue"/>
            <w:tcBorders>
              <w:left w:val="single" w:sz="4" w:space="0" w:color="000000"/>
              <w:bottom w:val="single" w:sz="4" w:space="0" w:color="000000"/>
            </w:tcBorders>
            <w:shd w:fill="auto" w:val="clear"/>
          </w:tcPr>
          <w:p>
            <w:pPr>
              <w:pStyle w:val="Normal"/>
              <w:widowControl w:val="false"/>
              <w:snapToGrid w:val="false"/>
              <w:spacing w:before="20" w:after="0"/>
              <w:rPr>
                <w:color w:val="000000"/>
              </w:rPr>
            </w:pPr>
            <w:r>
              <w:rPr>
                <w:color w:val="000000"/>
              </w:rPr>
            </w:r>
          </w:p>
        </w:tc>
        <w:tc>
          <w:tcPr>
            <w:tcW w:w="1352" w:type="dxa"/>
            <w:vMerge w:val="continue"/>
            <w:tcBorders>
              <w:left w:val="single" w:sz="4" w:space="0" w:color="000000"/>
              <w:bottom w:val="single" w:sz="4" w:space="0" w:color="000000"/>
            </w:tcBorders>
            <w:shd w:fill="auto" w:val="clear"/>
          </w:tcPr>
          <w:p>
            <w:pPr>
              <w:pStyle w:val="Normal"/>
              <w:widowControl w:val="false"/>
              <w:snapToGrid w:val="false"/>
              <w:spacing w:before="20" w:after="0"/>
              <w:rPr>
                <w:color w:val="000000"/>
              </w:rPr>
            </w:pPr>
            <w:r>
              <w:rPr>
                <w:color w:val="000000"/>
              </w:rPr>
            </w:r>
          </w:p>
        </w:tc>
        <w:tc>
          <w:tcPr>
            <w:tcW w:w="823" w:type="dxa"/>
            <w:vMerge w:val="restart"/>
            <w:tcBorders>
              <w:left w:val="single" w:sz="4" w:space="0" w:color="000000"/>
              <w:bottom w:val="single" w:sz="4" w:space="0" w:color="000000"/>
            </w:tcBorders>
            <w:shd w:fill="auto" w:val="clear"/>
            <w:textDirection w:val="btLr"/>
            <w:vAlign w:val="center"/>
          </w:tcPr>
          <w:p>
            <w:pPr>
              <w:pStyle w:val="Normal"/>
              <w:widowControl w:val="false"/>
              <w:ind w:left="113" w:right="113" w:hanging="0"/>
              <w:jc w:val="center"/>
              <w:rPr>
                <w:color w:val="000000"/>
              </w:rPr>
            </w:pPr>
            <w:r>
              <w:rPr>
                <w:color w:val="000000"/>
                <w:sz w:val="22"/>
                <w:szCs w:val="22"/>
              </w:rPr>
              <w:t>Призначення</w:t>
            </w:r>
          </w:p>
        </w:tc>
        <w:tc>
          <w:tcPr>
            <w:tcW w:w="827" w:type="dxa"/>
            <w:vMerge w:val="restart"/>
            <w:tcBorders>
              <w:left w:val="single" w:sz="4" w:space="0" w:color="000000"/>
              <w:bottom w:val="single" w:sz="4" w:space="0" w:color="000000"/>
            </w:tcBorders>
            <w:shd w:fill="auto" w:val="clear"/>
            <w:textDirection w:val="btLr"/>
            <w:vAlign w:val="center"/>
          </w:tcPr>
          <w:p>
            <w:pPr>
              <w:pStyle w:val="Normal"/>
              <w:widowControl w:val="false"/>
              <w:ind w:left="113" w:right="113" w:hanging="0"/>
              <w:jc w:val="center"/>
              <w:rPr>
                <w:color w:val="000000"/>
              </w:rPr>
            </w:pPr>
            <w:r>
              <w:rPr>
                <w:color w:val="000000"/>
                <w:sz w:val="22"/>
                <w:szCs w:val="22"/>
              </w:rPr>
              <w:t>Обсяг</w:t>
            </w:r>
          </w:p>
        </w:tc>
        <w:tc>
          <w:tcPr>
            <w:tcW w:w="733" w:type="dxa"/>
            <w:vMerge w:val="restart"/>
            <w:tcBorders>
              <w:left w:val="single" w:sz="4" w:space="0" w:color="000000"/>
              <w:bottom w:val="single" w:sz="4" w:space="0" w:color="000000"/>
            </w:tcBorders>
            <w:shd w:fill="auto" w:val="clear"/>
            <w:textDirection w:val="btLr"/>
            <w:vAlign w:val="center"/>
          </w:tcPr>
          <w:p>
            <w:pPr>
              <w:pStyle w:val="Normal"/>
              <w:widowControl w:val="false"/>
              <w:ind w:left="113" w:right="113" w:hanging="0"/>
              <w:jc w:val="center"/>
              <w:rPr>
                <w:color w:val="000000"/>
              </w:rPr>
            </w:pPr>
            <w:r>
              <w:rPr>
                <w:color w:val="000000"/>
                <w:sz w:val="22"/>
                <w:szCs w:val="22"/>
              </w:rPr>
              <w:t>Призначення</w:t>
            </w:r>
          </w:p>
        </w:tc>
        <w:tc>
          <w:tcPr>
            <w:tcW w:w="736" w:type="dxa"/>
            <w:vMerge w:val="restart"/>
            <w:tcBorders>
              <w:left w:val="single" w:sz="4" w:space="0" w:color="000000"/>
              <w:bottom w:val="single" w:sz="4" w:space="0" w:color="000000"/>
            </w:tcBorders>
            <w:shd w:fill="auto" w:val="clear"/>
            <w:textDirection w:val="btLr"/>
            <w:vAlign w:val="center"/>
          </w:tcPr>
          <w:p>
            <w:pPr>
              <w:pStyle w:val="Normal"/>
              <w:widowControl w:val="false"/>
              <w:ind w:left="113" w:right="113" w:hanging="0"/>
              <w:jc w:val="center"/>
              <w:rPr>
                <w:color w:val="000000"/>
              </w:rPr>
            </w:pPr>
            <w:r>
              <w:rPr>
                <w:color w:val="000000"/>
                <w:sz w:val="22"/>
                <w:szCs w:val="22"/>
              </w:rPr>
              <w:t>Обсяг</w:t>
            </w:r>
          </w:p>
        </w:tc>
        <w:tc>
          <w:tcPr>
            <w:tcW w:w="1424" w:type="dxa"/>
            <w:vMerge w:val="continue"/>
            <w:tcBorders>
              <w:left w:val="single" w:sz="4" w:space="0" w:color="000000"/>
              <w:bottom w:val="single" w:sz="4" w:space="0" w:color="000000"/>
              <w:right w:val="single" w:sz="4" w:space="0" w:color="000000"/>
            </w:tcBorders>
            <w:shd w:fill="auto" w:val="clear"/>
          </w:tcPr>
          <w:p>
            <w:pPr>
              <w:pStyle w:val="Normal"/>
              <w:widowControl w:val="false"/>
              <w:snapToGrid w:val="false"/>
              <w:spacing w:before="20" w:after="0"/>
              <w:rPr>
                <w:color w:val="000000"/>
              </w:rPr>
            </w:pPr>
            <w:r>
              <w:rPr>
                <w:color w:val="000000"/>
              </w:rPr>
            </w:r>
          </w:p>
        </w:tc>
      </w:tr>
      <w:tr>
        <w:trPr>
          <w:trHeight w:val="1465" w:hRule="exact"/>
          <w:cantSplit w:val="true"/>
        </w:trPr>
        <w:tc>
          <w:tcPr>
            <w:tcW w:w="396" w:type="dxa"/>
            <w:vMerge w:val="continue"/>
            <w:tcBorders>
              <w:left w:val="single" w:sz="4" w:space="0" w:color="000000"/>
              <w:bottom w:val="single" w:sz="4" w:space="0" w:color="000000"/>
            </w:tcBorders>
            <w:shd w:fill="auto" w:val="clear"/>
          </w:tcPr>
          <w:p>
            <w:pPr>
              <w:pStyle w:val="Normal"/>
              <w:widowControl w:val="false"/>
              <w:snapToGrid w:val="false"/>
              <w:spacing w:before="20" w:after="0"/>
              <w:rPr>
                <w:color w:val="000000"/>
              </w:rPr>
            </w:pPr>
            <w:r>
              <w:rPr>
                <w:color w:val="000000"/>
              </w:rPr>
            </w:r>
          </w:p>
        </w:tc>
        <w:tc>
          <w:tcPr>
            <w:tcW w:w="1534" w:type="dxa"/>
            <w:vMerge w:val="continue"/>
            <w:tcBorders>
              <w:left w:val="single" w:sz="4" w:space="0" w:color="000000"/>
              <w:bottom w:val="single" w:sz="4" w:space="0" w:color="000000"/>
            </w:tcBorders>
            <w:shd w:fill="auto" w:val="clear"/>
          </w:tcPr>
          <w:p>
            <w:pPr>
              <w:pStyle w:val="Normal"/>
              <w:widowControl w:val="false"/>
              <w:snapToGrid w:val="false"/>
              <w:spacing w:before="20" w:after="0"/>
              <w:rPr>
                <w:color w:val="000000"/>
              </w:rPr>
            </w:pPr>
            <w:r>
              <w:rPr>
                <w:color w:val="000000"/>
              </w:rPr>
            </w:r>
          </w:p>
        </w:tc>
        <w:tc>
          <w:tcPr>
            <w:tcW w:w="1069" w:type="dxa"/>
            <w:vMerge w:val="continue"/>
            <w:tcBorders>
              <w:left w:val="single" w:sz="4" w:space="0" w:color="000000"/>
              <w:bottom w:val="single" w:sz="4" w:space="0" w:color="000000"/>
            </w:tcBorders>
            <w:shd w:fill="auto" w:val="clear"/>
          </w:tcPr>
          <w:p>
            <w:pPr>
              <w:pStyle w:val="Normal"/>
              <w:widowControl w:val="false"/>
              <w:snapToGrid w:val="false"/>
              <w:spacing w:before="20" w:after="0"/>
              <w:rPr>
                <w:color w:val="000000"/>
              </w:rPr>
            </w:pPr>
            <w:r>
              <w:rPr>
                <w:color w:val="000000"/>
              </w:rPr>
            </w:r>
          </w:p>
        </w:tc>
        <w:tc>
          <w:tcPr>
            <w:tcW w:w="1200" w:type="dxa"/>
            <w:vMerge w:val="continue"/>
            <w:tcBorders>
              <w:left w:val="single" w:sz="4" w:space="0" w:color="000000"/>
              <w:bottom w:val="single" w:sz="4" w:space="0" w:color="000000"/>
            </w:tcBorders>
            <w:shd w:fill="auto" w:val="clear"/>
          </w:tcPr>
          <w:p>
            <w:pPr>
              <w:pStyle w:val="Normal"/>
              <w:widowControl w:val="false"/>
              <w:snapToGrid w:val="false"/>
              <w:spacing w:before="20" w:after="0"/>
              <w:rPr>
                <w:color w:val="000000"/>
              </w:rPr>
            </w:pPr>
            <w:r>
              <w:rPr>
                <w:color w:val="000000"/>
              </w:rPr>
            </w:r>
          </w:p>
        </w:tc>
        <w:tc>
          <w:tcPr>
            <w:tcW w:w="1132" w:type="dxa"/>
            <w:vMerge w:val="continue"/>
            <w:tcBorders>
              <w:left w:val="single" w:sz="4" w:space="0" w:color="000000"/>
              <w:bottom w:val="single" w:sz="4" w:space="0" w:color="000000"/>
            </w:tcBorders>
            <w:shd w:fill="auto" w:val="clear"/>
          </w:tcPr>
          <w:p>
            <w:pPr>
              <w:pStyle w:val="Normal"/>
              <w:widowControl w:val="false"/>
              <w:snapToGrid w:val="false"/>
              <w:spacing w:before="20" w:after="0"/>
              <w:rPr>
                <w:color w:val="000000"/>
              </w:rPr>
            </w:pPr>
            <w:r>
              <w:rPr>
                <w:color w:val="000000"/>
              </w:rPr>
            </w:r>
          </w:p>
        </w:tc>
        <w:tc>
          <w:tcPr>
            <w:tcW w:w="1015" w:type="dxa"/>
            <w:vMerge w:val="continue"/>
            <w:tcBorders>
              <w:left w:val="single" w:sz="4" w:space="0" w:color="000000"/>
              <w:bottom w:val="single" w:sz="4" w:space="0" w:color="000000"/>
            </w:tcBorders>
            <w:shd w:fill="auto" w:val="clear"/>
          </w:tcPr>
          <w:p>
            <w:pPr>
              <w:pStyle w:val="Normal"/>
              <w:widowControl w:val="false"/>
              <w:snapToGrid w:val="false"/>
              <w:spacing w:before="20" w:after="0"/>
              <w:rPr>
                <w:color w:val="000000"/>
              </w:rPr>
            </w:pPr>
            <w:r>
              <w:rPr>
                <w:color w:val="000000"/>
              </w:rPr>
            </w:r>
          </w:p>
        </w:tc>
        <w:tc>
          <w:tcPr>
            <w:tcW w:w="1018" w:type="dxa"/>
            <w:vMerge w:val="continue"/>
            <w:tcBorders>
              <w:left w:val="single" w:sz="4" w:space="0" w:color="000000"/>
              <w:bottom w:val="single" w:sz="4" w:space="0" w:color="000000"/>
            </w:tcBorders>
            <w:shd w:fill="auto" w:val="clear"/>
          </w:tcPr>
          <w:p>
            <w:pPr>
              <w:pStyle w:val="Normal"/>
              <w:widowControl w:val="false"/>
              <w:snapToGrid w:val="false"/>
              <w:spacing w:before="20" w:after="0"/>
              <w:rPr>
                <w:color w:val="000000"/>
              </w:rPr>
            </w:pPr>
            <w:r>
              <w:rPr>
                <w:color w:val="000000"/>
              </w:rPr>
            </w:r>
          </w:p>
        </w:tc>
        <w:tc>
          <w:tcPr>
            <w:tcW w:w="1200" w:type="dxa"/>
            <w:vMerge w:val="continue"/>
            <w:tcBorders>
              <w:left w:val="single" w:sz="4" w:space="0" w:color="000000"/>
              <w:bottom w:val="single" w:sz="4" w:space="0" w:color="000000"/>
            </w:tcBorders>
            <w:shd w:fill="auto" w:val="clear"/>
          </w:tcPr>
          <w:p>
            <w:pPr>
              <w:pStyle w:val="Normal"/>
              <w:widowControl w:val="false"/>
              <w:snapToGrid w:val="false"/>
              <w:spacing w:before="20" w:after="0"/>
              <w:rPr>
                <w:color w:val="000000"/>
              </w:rPr>
            </w:pPr>
            <w:r>
              <w:rPr>
                <w:color w:val="000000"/>
              </w:rPr>
            </w:r>
          </w:p>
        </w:tc>
        <w:tc>
          <w:tcPr>
            <w:tcW w:w="1352" w:type="dxa"/>
            <w:vMerge w:val="continue"/>
            <w:tcBorders>
              <w:left w:val="single" w:sz="4" w:space="0" w:color="000000"/>
              <w:bottom w:val="single" w:sz="4" w:space="0" w:color="000000"/>
            </w:tcBorders>
            <w:shd w:fill="auto" w:val="clear"/>
          </w:tcPr>
          <w:p>
            <w:pPr>
              <w:pStyle w:val="Normal"/>
              <w:widowControl w:val="false"/>
              <w:snapToGrid w:val="false"/>
              <w:spacing w:before="20" w:after="0"/>
              <w:rPr>
                <w:color w:val="000000"/>
              </w:rPr>
            </w:pPr>
            <w:r>
              <w:rPr>
                <w:color w:val="000000"/>
              </w:rPr>
            </w:r>
          </w:p>
        </w:tc>
        <w:tc>
          <w:tcPr>
            <w:tcW w:w="823" w:type="dxa"/>
            <w:vMerge w:val="continue"/>
            <w:tcBorders>
              <w:left w:val="single" w:sz="4" w:space="0" w:color="000000"/>
              <w:bottom w:val="single" w:sz="4" w:space="0" w:color="000000"/>
            </w:tcBorders>
            <w:shd w:fill="auto" w:val="clear"/>
            <w:textDirection w:val="btLr"/>
            <w:vAlign w:val="center"/>
          </w:tcPr>
          <w:p>
            <w:pPr>
              <w:pStyle w:val="Normal"/>
              <w:widowControl w:val="false"/>
              <w:snapToGrid w:val="false"/>
              <w:spacing w:before="20" w:after="0"/>
              <w:rPr>
                <w:color w:val="000000"/>
              </w:rPr>
            </w:pPr>
            <w:r>
              <w:rPr>
                <w:color w:val="000000"/>
              </w:rPr>
            </w:r>
          </w:p>
        </w:tc>
        <w:tc>
          <w:tcPr>
            <w:tcW w:w="827" w:type="dxa"/>
            <w:vMerge w:val="continue"/>
            <w:tcBorders>
              <w:left w:val="single" w:sz="4" w:space="0" w:color="000000"/>
              <w:bottom w:val="single" w:sz="4" w:space="0" w:color="000000"/>
            </w:tcBorders>
            <w:shd w:fill="auto" w:val="clear"/>
            <w:textDirection w:val="btLr"/>
            <w:vAlign w:val="center"/>
          </w:tcPr>
          <w:p>
            <w:pPr>
              <w:pStyle w:val="Normal"/>
              <w:widowControl w:val="false"/>
              <w:snapToGrid w:val="false"/>
              <w:spacing w:before="20" w:after="0"/>
              <w:rPr>
                <w:color w:val="000000"/>
              </w:rPr>
            </w:pPr>
            <w:r>
              <w:rPr>
                <w:color w:val="000000"/>
              </w:rPr>
            </w:r>
          </w:p>
        </w:tc>
        <w:tc>
          <w:tcPr>
            <w:tcW w:w="733" w:type="dxa"/>
            <w:vMerge w:val="continue"/>
            <w:tcBorders>
              <w:left w:val="single" w:sz="4" w:space="0" w:color="000000"/>
              <w:bottom w:val="single" w:sz="4" w:space="0" w:color="000000"/>
            </w:tcBorders>
            <w:shd w:fill="auto" w:val="clear"/>
            <w:textDirection w:val="btLr"/>
            <w:vAlign w:val="center"/>
          </w:tcPr>
          <w:p>
            <w:pPr>
              <w:pStyle w:val="Normal"/>
              <w:widowControl w:val="false"/>
              <w:snapToGrid w:val="false"/>
              <w:spacing w:before="20" w:after="0"/>
              <w:rPr>
                <w:color w:val="000000"/>
              </w:rPr>
            </w:pPr>
            <w:r>
              <w:rPr>
                <w:color w:val="000000"/>
              </w:rPr>
            </w:r>
          </w:p>
        </w:tc>
        <w:tc>
          <w:tcPr>
            <w:tcW w:w="736" w:type="dxa"/>
            <w:vMerge w:val="continue"/>
            <w:tcBorders>
              <w:left w:val="single" w:sz="4" w:space="0" w:color="000000"/>
              <w:bottom w:val="single" w:sz="4" w:space="0" w:color="000000"/>
            </w:tcBorders>
            <w:shd w:fill="auto" w:val="clear"/>
            <w:textDirection w:val="btLr"/>
            <w:vAlign w:val="center"/>
          </w:tcPr>
          <w:p>
            <w:pPr>
              <w:pStyle w:val="Normal"/>
              <w:widowControl w:val="false"/>
              <w:snapToGrid w:val="false"/>
              <w:spacing w:before="20" w:after="0"/>
              <w:rPr>
                <w:color w:val="000000"/>
              </w:rPr>
            </w:pPr>
            <w:r>
              <w:rPr>
                <w:color w:val="000000"/>
              </w:rPr>
            </w:r>
          </w:p>
        </w:tc>
        <w:tc>
          <w:tcPr>
            <w:tcW w:w="1424" w:type="dxa"/>
            <w:vMerge w:val="continue"/>
            <w:tcBorders>
              <w:left w:val="single" w:sz="4" w:space="0" w:color="000000"/>
              <w:bottom w:val="single" w:sz="4" w:space="0" w:color="000000"/>
              <w:right w:val="single" w:sz="4" w:space="0" w:color="000000"/>
            </w:tcBorders>
            <w:shd w:fill="auto" w:val="clear"/>
          </w:tcPr>
          <w:p>
            <w:pPr>
              <w:pStyle w:val="Normal"/>
              <w:widowControl w:val="false"/>
              <w:snapToGrid w:val="false"/>
              <w:spacing w:before="20" w:after="0"/>
              <w:rPr>
                <w:color w:val="000000"/>
              </w:rPr>
            </w:pPr>
            <w:r>
              <w:rPr>
                <w:color w:val="000000"/>
              </w:rPr>
            </w:r>
          </w:p>
        </w:tc>
      </w:tr>
      <w:tr>
        <w:trPr/>
        <w:tc>
          <w:tcPr>
            <w:tcW w:w="396" w:type="dxa"/>
            <w:tcBorders>
              <w:left w:val="single" w:sz="4" w:space="0" w:color="000000"/>
              <w:bottom w:val="single" w:sz="4" w:space="0" w:color="000000"/>
            </w:tcBorders>
            <w:shd w:fill="auto" w:val="clear"/>
            <w:vAlign w:val="center"/>
          </w:tcPr>
          <w:p>
            <w:pPr>
              <w:pStyle w:val="Normal"/>
              <w:widowControl w:val="false"/>
              <w:spacing w:before="20" w:after="0"/>
              <w:jc w:val="center"/>
              <w:rPr>
                <w:color w:val="000000"/>
              </w:rPr>
            </w:pPr>
            <w:r>
              <w:rPr>
                <w:color w:val="000000"/>
                <w:sz w:val="22"/>
                <w:szCs w:val="22"/>
              </w:rPr>
              <w:t>1</w:t>
            </w:r>
          </w:p>
        </w:tc>
        <w:tc>
          <w:tcPr>
            <w:tcW w:w="1534" w:type="dxa"/>
            <w:tcBorders>
              <w:left w:val="single" w:sz="4" w:space="0" w:color="000000"/>
              <w:bottom w:val="single" w:sz="4" w:space="0" w:color="000000"/>
            </w:tcBorders>
            <w:shd w:fill="auto" w:val="clear"/>
            <w:vAlign w:val="center"/>
          </w:tcPr>
          <w:p>
            <w:pPr>
              <w:pStyle w:val="Normal"/>
              <w:widowControl w:val="false"/>
              <w:spacing w:before="20" w:after="0"/>
              <w:jc w:val="center"/>
              <w:rPr>
                <w:color w:val="000000"/>
              </w:rPr>
            </w:pPr>
            <w:r>
              <w:rPr>
                <w:color w:val="000000"/>
                <w:sz w:val="22"/>
                <w:szCs w:val="22"/>
              </w:rPr>
              <w:t>2</w:t>
            </w:r>
          </w:p>
        </w:tc>
        <w:tc>
          <w:tcPr>
            <w:tcW w:w="1069" w:type="dxa"/>
            <w:tcBorders>
              <w:left w:val="single" w:sz="4" w:space="0" w:color="000000"/>
              <w:bottom w:val="single" w:sz="4" w:space="0" w:color="000000"/>
            </w:tcBorders>
            <w:shd w:fill="auto" w:val="clear"/>
            <w:vAlign w:val="center"/>
          </w:tcPr>
          <w:p>
            <w:pPr>
              <w:pStyle w:val="Normal"/>
              <w:widowControl w:val="false"/>
              <w:spacing w:before="20" w:after="0"/>
              <w:jc w:val="center"/>
              <w:rPr>
                <w:color w:val="000000"/>
              </w:rPr>
            </w:pPr>
            <w:r>
              <w:rPr>
                <w:color w:val="000000"/>
                <w:sz w:val="22"/>
                <w:szCs w:val="22"/>
              </w:rPr>
              <w:t>3</w:t>
            </w:r>
          </w:p>
        </w:tc>
        <w:tc>
          <w:tcPr>
            <w:tcW w:w="1200" w:type="dxa"/>
            <w:tcBorders>
              <w:left w:val="single" w:sz="4" w:space="0" w:color="000000"/>
              <w:bottom w:val="single" w:sz="4" w:space="0" w:color="000000"/>
            </w:tcBorders>
            <w:shd w:fill="auto" w:val="clear"/>
            <w:vAlign w:val="center"/>
          </w:tcPr>
          <w:p>
            <w:pPr>
              <w:pStyle w:val="Normal"/>
              <w:widowControl w:val="false"/>
              <w:spacing w:before="20" w:after="0"/>
              <w:jc w:val="center"/>
              <w:rPr>
                <w:color w:val="000000"/>
              </w:rPr>
            </w:pPr>
            <w:r>
              <w:rPr>
                <w:color w:val="000000"/>
                <w:sz w:val="22"/>
                <w:szCs w:val="22"/>
              </w:rPr>
              <w:t>4</w:t>
            </w:r>
          </w:p>
        </w:tc>
        <w:tc>
          <w:tcPr>
            <w:tcW w:w="1132" w:type="dxa"/>
            <w:tcBorders>
              <w:left w:val="single" w:sz="4" w:space="0" w:color="000000"/>
              <w:bottom w:val="single" w:sz="4" w:space="0" w:color="000000"/>
            </w:tcBorders>
            <w:shd w:fill="auto" w:val="clear"/>
            <w:vAlign w:val="center"/>
          </w:tcPr>
          <w:p>
            <w:pPr>
              <w:pStyle w:val="Normal"/>
              <w:widowControl w:val="false"/>
              <w:spacing w:before="20" w:after="0"/>
              <w:jc w:val="center"/>
              <w:rPr>
                <w:color w:val="000000"/>
              </w:rPr>
            </w:pPr>
            <w:r>
              <w:rPr>
                <w:color w:val="000000"/>
                <w:sz w:val="22"/>
                <w:szCs w:val="22"/>
              </w:rPr>
              <w:t>5</w:t>
            </w:r>
          </w:p>
        </w:tc>
        <w:tc>
          <w:tcPr>
            <w:tcW w:w="1015" w:type="dxa"/>
            <w:tcBorders>
              <w:left w:val="single" w:sz="4" w:space="0" w:color="000000"/>
              <w:bottom w:val="single" w:sz="4" w:space="0" w:color="000000"/>
            </w:tcBorders>
            <w:shd w:fill="auto" w:val="clear"/>
            <w:vAlign w:val="center"/>
          </w:tcPr>
          <w:p>
            <w:pPr>
              <w:pStyle w:val="Normal"/>
              <w:widowControl w:val="false"/>
              <w:spacing w:before="20" w:after="0"/>
              <w:jc w:val="center"/>
              <w:rPr>
                <w:color w:val="000000"/>
              </w:rPr>
            </w:pPr>
            <w:r>
              <w:rPr>
                <w:color w:val="000000"/>
                <w:sz w:val="22"/>
                <w:szCs w:val="22"/>
              </w:rPr>
              <w:t>6</w:t>
            </w:r>
          </w:p>
        </w:tc>
        <w:tc>
          <w:tcPr>
            <w:tcW w:w="1018" w:type="dxa"/>
            <w:tcBorders>
              <w:left w:val="single" w:sz="4" w:space="0" w:color="000000"/>
              <w:bottom w:val="single" w:sz="4" w:space="0" w:color="000000"/>
            </w:tcBorders>
            <w:shd w:fill="auto" w:val="clear"/>
            <w:vAlign w:val="center"/>
          </w:tcPr>
          <w:p>
            <w:pPr>
              <w:pStyle w:val="Normal"/>
              <w:widowControl w:val="false"/>
              <w:spacing w:before="20" w:after="0"/>
              <w:jc w:val="center"/>
              <w:rPr>
                <w:color w:val="000000"/>
              </w:rPr>
            </w:pPr>
            <w:r>
              <w:rPr>
                <w:color w:val="000000"/>
                <w:sz w:val="22"/>
                <w:szCs w:val="22"/>
              </w:rPr>
              <w:t>7</w:t>
            </w:r>
          </w:p>
        </w:tc>
        <w:tc>
          <w:tcPr>
            <w:tcW w:w="1200" w:type="dxa"/>
            <w:tcBorders>
              <w:left w:val="single" w:sz="4" w:space="0" w:color="000000"/>
              <w:bottom w:val="single" w:sz="4" w:space="0" w:color="000000"/>
            </w:tcBorders>
            <w:shd w:fill="auto" w:val="clear"/>
            <w:vAlign w:val="center"/>
          </w:tcPr>
          <w:p>
            <w:pPr>
              <w:pStyle w:val="Normal"/>
              <w:widowControl w:val="false"/>
              <w:spacing w:before="20" w:after="0"/>
              <w:jc w:val="center"/>
              <w:rPr>
                <w:color w:val="000000"/>
              </w:rPr>
            </w:pPr>
            <w:r>
              <w:rPr>
                <w:color w:val="000000"/>
                <w:sz w:val="22"/>
                <w:szCs w:val="22"/>
              </w:rPr>
              <w:t>8</w:t>
            </w:r>
          </w:p>
        </w:tc>
        <w:tc>
          <w:tcPr>
            <w:tcW w:w="1352" w:type="dxa"/>
            <w:tcBorders>
              <w:left w:val="single" w:sz="4" w:space="0" w:color="000000"/>
              <w:bottom w:val="single" w:sz="4" w:space="0" w:color="000000"/>
            </w:tcBorders>
            <w:shd w:fill="auto" w:val="clear"/>
            <w:vAlign w:val="center"/>
          </w:tcPr>
          <w:p>
            <w:pPr>
              <w:pStyle w:val="Normal"/>
              <w:widowControl w:val="false"/>
              <w:spacing w:before="20" w:after="0"/>
              <w:jc w:val="center"/>
              <w:rPr>
                <w:color w:val="000000"/>
              </w:rPr>
            </w:pPr>
            <w:r>
              <w:rPr>
                <w:color w:val="000000"/>
                <w:sz w:val="22"/>
                <w:szCs w:val="22"/>
              </w:rPr>
              <w:t>9</w:t>
            </w:r>
          </w:p>
        </w:tc>
        <w:tc>
          <w:tcPr>
            <w:tcW w:w="823" w:type="dxa"/>
            <w:tcBorders>
              <w:left w:val="single" w:sz="4" w:space="0" w:color="000000"/>
              <w:bottom w:val="single" w:sz="4" w:space="0" w:color="000000"/>
            </w:tcBorders>
            <w:shd w:fill="auto" w:val="clear"/>
            <w:vAlign w:val="center"/>
          </w:tcPr>
          <w:p>
            <w:pPr>
              <w:pStyle w:val="Normal"/>
              <w:widowControl w:val="false"/>
              <w:spacing w:before="20" w:after="0"/>
              <w:jc w:val="center"/>
              <w:rPr>
                <w:color w:val="000000"/>
              </w:rPr>
            </w:pPr>
            <w:r>
              <w:rPr>
                <w:color w:val="000000"/>
                <w:sz w:val="22"/>
                <w:szCs w:val="22"/>
              </w:rPr>
              <w:t>10</w:t>
            </w:r>
          </w:p>
        </w:tc>
        <w:tc>
          <w:tcPr>
            <w:tcW w:w="827" w:type="dxa"/>
            <w:tcBorders>
              <w:left w:val="single" w:sz="4" w:space="0" w:color="000000"/>
              <w:bottom w:val="single" w:sz="4" w:space="0" w:color="000000"/>
            </w:tcBorders>
            <w:shd w:fill="auto" w:val="clear"/>
            <w:vAlign w:val="center"/>
          </w:tcPr>
          <w:p>
            <w:pPr>
              <w:pStyle w:val="Normal"/>
              <w:widowControl w:val="false"/>
              <w:spacing w:before="20" w:after="0"/>
              <w:jc w:val="center"/>
              <w:rPr>
                <w:color w:val="000000"/>
              </w:rPr>
            </w:pPr>
            <w:r>
              <w:rPr>
                <w:color w:val="000000"/>
                <w:sz w:val="22"/>
                <w:szCs w:val="22"/>
              </w:rPr>
              <w:t>11</w:t>
            </w:r>
          </w:p>
        </w:tc>
        <w:tc>
          <w:tcPr>
            <w:tcW w:w="733" w:type="dxa"/>
            <w:tcBorders>
              <w:left w:val="single" w:sz="4" w:space="0" w:color="000000"/>
              <w:bottom w:val="single" w:sz="4" w:space="0" w:color="000000"/>
            </w:tcBorders>
            <w:shd w:fill="auto" w:val="clear"/>
            <w:vAlign w:val="center"/>
          </w:tcPr>
          <w:p>
            <w:pPr>
              <w:pStyle w:val="Normal"/>
              <w:widowControl w:val="false"/>
              <w:spacing w:before="20" w:after="0"/>
              <w:jc w:val="center"/>
              <w:rPr>
                <w:color w:val="000000"/>
              </w:rPr>
            </w:pPr>
            <w:r>
              <w:rPr>
                <w:color w:val="000000"/>
                <w:sz w:val="22"/>
                <w:szCs w:val="22"/>
              </w:rPr>
              <w:t>12</w:t>
            </w:r>
          </w:p>
        </w:tc>
        <w:tc>
          <w:tcPr>
            <w:tcW w:w="736" w:type="dxa"/>
            <w:tcBorders>
              <w:left w:val="single" w:sz="4" w:space="0" w:color="000000"/>
              <w:bottom w:val="single" w:sz="4" w:space="0" w:color="000000"/>
            </w:tcBorders>
            <w:shd w:fill="auto" w:val="clear"/>
            <w:vAlign w:val="center"/>
          </w:tcPr>
          <w:p>
            <w:pPr>
              <w:pStyle w:val="Normal"/>
              <w:widowControl w:val="false"/>
              <w:spacing w:before="20" w:after="0"/>
              <w:jc w:val="center"/>
              <w:rPr>
                <w:color w:val="000000"/>
              </w:rPr>
            </w:pPr>
            <w:r>
              <w:rPr>
                <w:color w:val="000000"/>
                <w:sz w:val="22"/>
                <w:szCs w:val="22"/>
              </w:rPr>
              <w:t>13</w:t>
            </w:r>
          </w:p>
        </w:tc>
        <w:tc>
          <w:tcPr>
            <w:tcW w:w="1424" w:type="dxa"/>
            <w:tcBorders>
              <w:left w:val="single" w:sz="4" w:space="0" w:color="000000"/>
              <w:bottom w:val="single" w:sz="4" w:space="0" w:color="000000"/>
              <w:right w:val="single" w:sz="4" w:space="0" w:color="000000"/>
            </w:tcBorders>
            <w:shd w:fill="auto" w:val="clear"/>
            <w:vAlign w:val="center"/>
          </w:tcPr>
          <w:p>
            <w:pPr>
              <w:pStyle w:val="Normal"/>
              <w:widowControl w:val="false"/>
              <w:spacing w:before="20" w:after="0"/>
              <w:jc w:val="center"/>
              <w:rPr>
                <w:color w:val="000000"/>
              </w:rPr>
            </w:pPr>
            <w:r>
              <w:rPr>
                <w:color w:val="000000"/>
                <w:sz w:val="22"/>
                <w:szCs w:val="22"/>
              </w:rPr>
              <w:t>14</w:t>
            </w:r>
          </w:p>
        </w:tc>
      </w:tr>
      <w:tr>
        <w:trPr/>
        <w:tc>
          <w:tcPr>
            <w:tcW w:w="396" w:type="dxa"/>
            <w:tcBorders>
              <w:left w:val="single" w:sz="4" w:space="0" w:color="000000"/>
              <w:bottom w:val="single" w:sz="4" w:space="0" w:color="000000"/>
            </w:tcBorders>
            <w:shd w:fill="auto" w:val="clear"/>
            <w:vAlign w:val="center"/>
          </w:tcPr>
          <w:p>
            <w:pPr>
              <w:pStyle w:val="Normal"/>
              <w:widowControl w:val="false"/>
              <w:snapToGrid w:val="false"/>
              <w:spacing w:before="20" w:after="0"/>
              <w:rPr>
                <w:color w:val="000000"/>
              </w:rPr>
            </w:pPr>
            <w:r>
              <w:rPr>
                <w:color w:val="000000"/>
              </w:rPr>
            </w:r>
          </w:p>
        </w:tc>
        <w:tc>
          <w:tcPr>
            <w:tcW w:w="1534" w:type="dxa"/>
            <w:tcBorders>
              <w:left w:val="single" w:sz="4" w:space="0" w:color="000000"/>
              <w:bottom w:val="single" w:sz="4" w:space="0" w:color="000000"/>
            </w:tcBorders>
            <w:shd w:fill="auto" w:val="clear"/>
            <w:vAlign w:val="center"/>
          </w:tcPr>
          <w:p>
            <w:pPr>
              <w:pStyle w:val="Normal"/>
              <w:widowControl w:val="false"/>
              <w:snapToGrid w:val="false"/>
              <w:spacing w:before="20" w:after="0"/>
              <w:rPr>
                <w:color w:val="000000"/>
              </w:rPr>
            </w:pPr>
            <w:r>
              <w:rPr>
                <w:color w:val="000000"/>
              </w:rPr>
            </w:r>
          </w:p>
        </w:tc>
        <w:tc>
          <w:tcPr>
            <w:tcW w:w="1069" w:type="dxa"/>
            <w:tcBorders>
              <w:left w:val="single" w:sz="4" w:space="0" w:color="000000"/>
              <w:bottom w:val="single" w:sz="4" w:space="0" w:color="000000"/>
            </w:tcBorders>
            <w:shd w:fill="auto" w:val="clear"/>
            <w:vAlign w:val="center"/>
          </w:tcPr>
          <w:p>
            <w:pPr>
              <w:pStyle w:val="Normal"/>
              <w:widowControl w:val="false"/>
              <w:snapToGrid w:val="false"/>
              <w:spacing w:before="20" w:after="0"/>
              <w:rPr>
                <w:color w:val="000000"/>
              </w:rPr>
            </w:pPr>
            <w:r>
              <w:rPr>
                <w:color w:val="000000"/>
              </w:rPr>
            </w:r>
          </w:p>
        </w:tc>
        <w:tc>
          <w:tcPr>
            <w:tcW w:w="1200" w:type="dxa"/>
            <w:tcBorders>
              <w:left w:val="single" w:sz="4" w:space="0" w:color="000000"/>
              <w:bottom w:val="single" w:sz="4" w:space="0" w:color="000000"/>
            </w:tcBorders>
            <w:shd w:fill="auto" w:val="clear"/>
            <w:vAlign w:val="center"/>
          </w:tcPr>
          <w:p>
            <w:pPr>
              <w:pStyle w:val="Normal"/>
              <w:widowControl w:val="false"/>
              <w:snapToGrid w:val="false"/>
              <w:spacing w:before="20" w:after="0"/>
              <w:rPr>
                <w:color w:val="000000"/>
              </w:rPr>
            </w:pPr>
            <w:r>
              <w:rPr>
                <w:color w:val="000000"/>
              </w:rPr>
            </w:r>
          </w:p>
        </w:tc>
        <w:tc>
          <w:tcPr>
            <w:tcW w:w="1132" w:type="dxa"/>
            <w:tcBorders>
              <w:left w:val="single" w:sz="4" w:space="0" w:color="000000"/>
              <w:bottom w:val="single" w:sz="4" w:space="0" w:color="000000"/>
            </w:tcBorders>
            <w:shd w:fill="auto" w:val="clear"/>
            <w:vAlign w:val="center"/>
          </w:tcPr>
          <w:p>
            <w:pPr>
              <w:pStyle w:val="Normal"/>
              <w:widowControl w:val="false"/>
              <w:snapToGrid w:val="false"/>
              <w:spacing w:before="20" w:after="0"/>
              <w:rPr>
                <w:color w:val="000000"/>
              </w:rPr>
            </w:pPr>
            <w:r>
              <w:rPr>
                <w:color w:val="000000"/>
              </w:rPr>
            </w:r>
          </w:p>
        </w:tc>
        <w:tc>
          <w:tcPr>
            <w:tcW w:w="1015" w:type="dxa"/>
            <w:tcBorders>
              <w:left w:val="single" w:sz="4" w:space="0" w:color="000000"/>
              <w:bottom w:val="single" w:sz="4" w:space="0" w:color="000000"/>
            </w:tcBorders>
            <w:shd w:fill="auto" w:val="clear"/>
            <w:vAlign w:val="center"/>
          </w:tcPr>
          <w:p>
            <w:pPr>
              <w:pStyle w:val="Normal"/>
              <w:widowControl w:val="false"/>
              <w:snapToGrid w:val="false"/>
              <w:spacing w:before="20" w:after="0"/>
              <w:rPr>
                <w:color w:val="000000"/>
              </w:rPr>
            </w:pPr>
            <w:r>
              <w:rPr>
                <w:color w:val="000000"/>
              </w:rPr>
            </w:r>
          </w:p>
        </w:tc>
        <w:tc>
          <w:tcPr>
            <w:tcW w:w="1018" w:type="dxa"/>
            <w:tcBorders>
              <w:left w:val="single" w:sz="4" w:space="0" w:color="000000"/>
              <w:bottom w:val="single" w:sz="4" w:space="0" w:color="000000"/>
            </w:tcBorders>
            <w:shd w:fill="auto" w:val="clear"/>
            <w:vAlign w:val="center"/>
          </w:tcPr>
          <w:p>
            <w:pPr>
              <w:pStyle w:val="Normal"/>
              <w:widowControl w:val="false"/>
              <w:snapToGrid w:val="false"/>
              <w:spacing w:before="20" w:after="0"/>
              <w:rPr>
                <w:color w:val="000000"/>
              </w:rPr>
            </w:pPr>
            <w:r>
              <w:rPr>
                <w:color w:val="000000"/>
              </w:rPr>
            </w:r>
          </w:p>
        </w:tc>
        <w:tc>
          <w:tcPr>
            <w:tcW w:w="1200" w:type="dxa"/>
            <w:tcBorders>
              <w:left w:val="single" w:sz="4" w:space="0" w:color="000000"/>
              <w:bottom w:val="single" w:sz="4" w:space="0" w:color="000000"/>
            </w:tcBorders>
            <w:shd w:fill="auto" w:val="clear"/>
            <w:vAlign w:val="center"/>
          </w:tcPr>
          <w:p>
            <w:pPr>
              <w:pStyle w:val="Normal"/>
              <w:widowControl w:val="false"/>
              <w:snapToGrid w:val="false"/>
              <w:spacing w:before="20" w:after="0"/>
              <w:rPr>
                <w:color w:val="000000"/>
              </w:rPr>
            </w:pPr>
            <w:r>
              <w:rPr>
                <w:color w:val="000000"/>
              </w:rPr>
            </w:r>
          </w:p>
        </w:tc>
        <w:tc>
          <w:tcPr>
            <w:tcW w:w="1352" w:type="dxa"/>
            <w:tcBorders>
              <w:left w:val="single" w:sz="4" w:space="0" w:color="000000"/>
              <w:bottom w:val="single" w:sz="4" w:space="0" w:color="000000"/>
            </w:tcBorders>
            <w:shd w:fill="auto" w:val="clear"/>
            <w:vAlign w:val="center"/>
          </w:tcPr>
          <w:p>
            <w:pPr>
              <w:pStyle w:val="Normal"/>
              <w:widowControl w:val="false"/>
              <w:snapToGrid w:val="false"/>
              <w:spacing w:before="20" w:after="0"/>
              <w:rPr>
                <w:color w:val="000000"/>
              </w:rPr>
            </w:pPr>
            <w:r>
              <w:rPr>
                <w:color w:val="000000"/>
              </w:rPr>
            </w:r>
          </w:p>
        </w:tc>
        <w:tc>
          <w:tcPr>
            <w:tcW w:w="823" w:type="dxa"/>
            <w:tcBorders>
              <w:left w:val="single" w:sz="4" w:space="0" w:color="000000"/>
              <w:bottom w:val="single" w:sz="4" w:space="0" w:color="000000"/>
            </w:tcBorders>
            <w:shd w:fill="auto" w:val="clear"/>
            <w:vAlign w:val="center"/>
          </w:tcPr>
          <w:p>
            <w:pPr>
              <w:pStyle w:val="Normal"/>
              <w:widowControl w:val="false"/>
              <w:snapToGrid w:val="false"/>
              <w:spacing w:before="20" w:after="0"/>
              <w:rPr>
                <w:color w:val="000000"/>
              </w:rPr>
            </w:pPr>
            <w:r>
              <w:rPr>
                <w:color w:val="000000"/>
              </w:rPr>
            </w:r>
          </w:p>
        </w:tc>
        <w:tc>
          <w:tcPr>
            <w:tcW w:w="827" w:type="dxa"/>
            <w:tcBorders>
              <w:left w:val="single" w:sz="4" w:space="0" w:color="000000"/>
              <w:bottom w:val="single" w:sz="4" w:space="0" w:color="000000"/>
            </w:tcBorders>
            <w:shd w:fill="auto" w:val="clear"/>
            <w:vAlign w:val="center"/>
          </w:tcPr>
          <w:p>
            <w:pPr>
              <w:pStyle w:val="Normal"/>
              <w:widowControl w:val="false"/>
              <w:snapToGrid w:val="false"/>
              <w:spacing w:before="20" w:after="0"/>
              <w:rPr>
                <w:color w:val="000000"/>
              </w:rPr>
            </w:pPr>
            <w:r>
              <w:rPr>
                <w:color w:val="000000"/>
              </w:rPr>
            </w:r>
          </w:p>
        </w:tc>
        <w:tc>
          <w:tcPr>
            <w:tcW w:w="733" w:type="dxa"/>
            <w:tcBorders>
              <w:left w:val="single" w:sz="4" w:space="0" w:color="000000"/>
              <w:bottom w:val="single" w:sz="4" w:space="0" w:color="000000"/>
            </w:tcBorders>
            <w:shd w:fill="auto" w:val="clear"/>
            <w:vAlign w:val="center"/>
          </w:tcPr>
          <w:p>
            <w:pPr>
              <w:pStyle w:val="Normal"/>
              <w:widowControl w:val="false"/>
              <w:snapToGrid w:val="false"/>
              <w:spacing w:before="20" w:after="0"/>
              <w:rPr>
                <w:color w:val="000000"/>
              </w:rPr>
            </w:pPr>
            <w:r>
              <w:rPr>
                <w:color w:val="000000"/>
              </w:rPr>
            </w:r>
          </w:p>
        </w:tc>
        <w:tc>
          <w:tcPr>
            <w:tcW w:w="736" w:type="dxa"/>
            <w:tcBorders>
              <w:left w:val="single" w:sz="4" w:space="0" w:color="000000"/>
              <w:bottom w:val="single" w:sz="4" w:space="0" w:color="000000"/>
            </w:tcBorders>
            <w:shd w:fill="auto" w:val="clear"/>
            <w:vAlign w:val="center"/>
          </w:tcPr>
          <w:p>
            <w:pPr>
              <w:pStyle w:val="Normal"/>
              <w:widowControl w:val="false"/>
              <w:snapToGrid w:val="false"/>
              <w:spacing w:before="20" w:after="0"/>
              <w:rPr>
                <w:color w:val="000000"/>
              </w:rPr>
            </w:pPr>
            <w:r>
              <w:rPr>
                <w:color w:val="000000"/>
              </w:rPr>
            </w:r>
          </w:p>
        </w:tc>
        <w:tc>
          <w:tcPr>
            <w:tcW w:w="1424" w:type="dxa"/>
            <w:tcBorders>
              <w:left w:val="single" w:sz="4" w:space="0" w:color="000000"/>
              <w:bottom w:val="single" w:sz="4" w:space="0" w:color="000000"/>
              <w:right w:val="single" w:sz="4" w:space="0" w:color="000000"/>
            </w:tcBorders>
            <w:shd w:fill="auto" w:val="clear"/>
            <w:vAlign w:val="center"/>
          </w:tcPr>
          <w:p>
            <w:pPr>
              <w:pStyle w:val="Normal"/>
              <w:widowControl w:val="false"/>
              <w:snapToGrid w:val="false"/>
              <w:spacing w:before="20" w:after="0"/>
              <w:rPr>
                <w:color w:val="000000"/>
              </w:rPr>
            </w:pPr>
            <w:r>
              <w:rPr>
                <w:color w:val="000000"/>
              </w:rPr>
            </w:r>
          </w:p>
        </w:tc>
      </w:tr>
      <w:tr>
        <w:trPr/>
        <w:tc>
          <w:tcPr>
            <w:tcW w:w="396" w:type="dxa"/>
            <w:tcBorders>
              <w:left w:val="single" w:sz="4" w:space="0" w:color="000000"/>
              <w:bottom w:val="single" w:sz="4" w:space="0" w:color="000000"/>
            </w:tcBorders>
            <w:shd w:fill="auto" w:val="clear"/>
            <w:vAlign w:val="center"/>
          </w:tcPr>
          <w:p>
            <w:pPr>
              <w:pStyle w:val="Normal"/>
              <w:widowControl w:val="false"/>
              <w:snapToGrid w:val="false"/>
              <w:spacing w:before="20" w:after="0"/>
              <w:rPr>
                <w:color w:val="000000"/>
              </w:rPr>
            </w:pPr>
            <w:r>
              <w:rPr>
                <w:color w:val="000000"/>
              </w:rPr>
            </w:r>
          </w:p>
        </w:tc>
        <w:tc>
          <w:tcPr>
            <w:tcW w:w="1534" w:type="dxa"/>
            <w:tcBorders>
              <w:left w:val="single" w:sz="4" w:space="0" w:color="000000"/>
              <w:bottom w:val="single" w:sz="4" w:space="0" w:color="000000"/>
            </w:tcBorders>
            <w:shd w:fill="auto" w:val="clear"/>
            <w:vAlign w:val="center"/>
          </w:tcPr>
          <w:p>
            <w:pPr>
              <w:pStyle w:val="Normal"/>
              <w:widowControl w:val="false"/>
              <w:snapToGrid w:val="false"/>
              <w:spacing w:before="20" w:after="0"/>
              <w:rPr>
                <w:color w:val="000000"/>
              </w:rPr>
            </w:pPr>
            <w:r>
              <w:rPr>
                <w:color w:val="000000"/>
              </w:rPr>
            </w:r>
          </w:p>
        </w:tc>
        <w:tc>
          <w:tcPr>
            <w:tcW w:w="1069" w:type="dxa"/>
            <w:tcBorders>
              <w:left w:val="single" w:sz="4" w:space="0" w:color="000000"/>
              <w:bottom w:val="single" w:sz="4" w:space="0" w:color="000000"/>
            </w:tcBorders>
            <w:shd w:fill="auto" w:val="clear"/>
            <w:vAlign w:val="center"/>
          </w:tcPr>
          <w:p>
            <w:pPr>
              <w:pStyle w:val="Normal"/>
              <w:widowControl w:val="false"/>
              <w:snapToGrid w:val="false"/>
              <w:spacing w:before="20" w:after="0"/>
              <w:rPr>
                <w:color w:val="000000"/>
              </w:rPr>
            </w:pPr>
            <w:r>
              <w:rPr>
                <w:color w:val="000000"/>
              </w:rPr>
            </w:r>
          </w:p>
        </w:tc>
        <w:tc>
          <w:tcPr>
            <w:tcW w:w="1200" w:type="dxa"/>
            <w:tcBorders>
              <w:left w:val="single" w:sz="4" w:space="0" w:color="000000"/>
              <w:bottom w:val="single" w:sz="4" w:space="0" w:color="000000"/>
            </w:tcBorders>
            <w:shd w:fill="auto" w:val="clear"/>
            <w:vAlign w:val="center"/>
          </w:tcPr>
          <w:p>
            <w:pPr>
              <w:pStyle w:val="Normal"/>
              <w:widowControl w:val="false"/>
              <w:snapToGrid w:val="false"/>
              <w:spacing w:before="20" w:after="0"/>
              <w:rPr>
                <w:color w:val="000000"/>
              </w:rPr>
            </w:pPr>
            <w:r>
              <w:rPr>
                <w:color w:val="000000"/>
              </w:rPr>
            </w:r>
          </w:p>
        </w:tc>
        <w:tc>
          <w:tcPr>
            <w:tcW w:w="1132" w:type="dxa"/>
            <w:tcBorders>
              <w:left w:val="single" w:sz="4" w:space="0" w:color="000000"/>
              <w:bottom w:val="single" w:sz="4" w:space="0" w:color="000000"/>
            </w:tcBorders>
            <w:shd w:fill="auto" w:val="clear"/>
            <w:vAlign w:val="center"/>
          </w:tcPr>
          <w:p>
            <w:pPr>
              <w:pStyle w:val="Normal"/>
              <w:widowControl w:val="false"/>
              <w:snapToGrid w:val="false"/>
              <w:spacing w:before="20" w:after="0"/>
              <w:rPr>
                <w:color w:val="000000"/>
              </w:rPr>
            </w:pPr>
            <w:r>
              <w:rPr>
                <w:color w:val="000000"/>
              </w:rPr>
            </w:r>
          </w:p>
        </w:tc>
        <w:tc>
          <w:tcPr>
            <w:tcW w:w="1015" w:type="dxa"/>
            <w:tcBorders>
              <w:left w:val="single" w:sz="4" w:space="0" w:color="000000"/>
              <w:bottom w:val="single" w:sz="4" w:space="0" w:color="000000"/>
            </w:tcBorders>
            <w:shd w:fill="auto" w:val="clear"/>
            <w:vAlign w:val="center"/>
          </w:tcPr>
          <w:p>
            <w:pPr>
              <w:pStyle w:val="Normal"/>
              <w:widowControl w:val="false"/>
              <w:snapToGrid w:val="false"/>
              <w:spacing w:before="20" w:after="0"/>
              <w:rPr>
                <w:color w:val="000000"/>
              </w:rPr>
            </w:pPr>
            <w:r>
              <w:rPr>
                <w:color w:val="000000"/>
              </w:rPr>
            </w:r>
          </w:p>
        </w:tc>
        <w:tc>
          <w:tcPr>
            <w:tcW w:w="1018" w:type="dxa"/>
            <w:tcBorders>
              <w:left w:val="single" w:sz="4" w:space="0" w:color="000000"/>
              <w:bottom w:val="single" w:sz="4" w:space="0" w:color="000000"/>
            </w:tcBorders>
            <w:shd w:fill="auto" w:val="clear"/>
            <w:vAlign w:val="center"/>
          </w:tcPr>
          <w:p>
            <w:pPr>
              <w:pStyle w:val="Normal"/>
              <w:widowControl w:val="false"/>
              <w:snapToGrid w:val="false"/>
              <w:spacing w:before="20" w:after="0"/>
              <w:rPr>
                <w:color w:val="000000"/>
              </w:rPr>
            </w:pPr>
            <w:r>
              <w:rPr>
                <w:color w:val="000000"/>
              </w:rPr>
            </w:r>
          </w:p>
        </w:tc>
        <w:tc>
          <w:tcPr>
            <w:tcW w:w="1200" w:type="dxa"/>
            <w:tcBorders>
              <w:left w:val="single" w:sz="4" w:space="0" w:color="000000"/>
              <w:bottom w:val="single" w:sz="4" w:space="0" w:color="000000"/>
            </w:tcBorders>
            <w:shd w:fill="auto" w:val="clear"/>
            <w:vAlign w:val="center"/>
          </w:tcPr>
          <w:p>
            <w:pPr>
              <w:pStyle w:val="Normal"/>
              <w:widowControl w:val="false"/>
              <w:snapToGrid w:val="false"/>
              <w:spacing w:before="20" w:after="0"/>
              <w:rPr>
                <w:color w:val="000000"/>
              </w:rPr>
            </w:pPr>
            <w:r>
              <w:rPr>
                <w:color w:val="000000"/>
              </w:rPr>
            </w:r>
          </w:p>
        </w:tc>
        <w:tc>
          <w:tcPr>
            <w:tcW w:w="1352" w:type="dxa"/>
            <w:tcBorders>
              <w:left w:val="single" w:sz="4" w:space="0" w:color="000000"/>
              <w:bottom w:val="single" w:sz="4" w:space="0" w:color="000000"/>
            </w:tcBorders>
            <w:shd w:fill="auto" w:val="clear"/>
            <w:vAlign w:val="center"/>
          </w:tcPr>
          <w:p>
            <w:pPr>
              <w:pStyle w:val="Normal"/>
              <w:widowControl w:val="false"/>
              <w:snapToGrid w:val="false"/>
              <w:spacing w:before="20" w:after="0"/>
              <w:rPr>
                <w:color w:val="000000"/>
              </w:rPr>
            </w:pPr>
            <w:r>
              <w:rPr>
                <w:color w:val="000000"/>
              </w:rPr>
            </w:r>
          </w:p>
        </w:tc>
        <w:tc>
          <w:tcPr>
            <w:tcW w:w="823" w:type="dxa"/>
            <w:tcBorders>
              <w:left w:val="single" w:sz="4" w:space="0" w:color="000000"/>
              <w:bottom w:val="single" w:sz="4" w:space="0" w:color="000000"/>
            </w:tcBorders>
            <w:shd w:fill="auto" w:val="clear"/>
            <w:vAlign w:val="center"/>
          </w:tcPr>
          <w:p>
            <w:pPr>
              <w:pStyle w:val="Normal"/>
              <w:widowControl w:val="false"/>
              <w:snapToGrid w:val="false"/>
              <w:spacing w:before="20" w:after="0"/>
              <w:rPr>
                <w:color w:val="000000"/>
              </w:rPr>
            </w:pPr>
            <w:r>
              <w:rPr>
                <w:color w:val="000000"/>
              </w:rPr>
            </w:r>
          </w:p>
        </w:tc>
        <w:tc>
          <w:tcPr>
            <w:tcW w:w="827" w:type="dxa"/>
            <w:tcBorders>
              <w:left w:val="single" w:sz="4" w:space="0" w:color="000000"/>
              <w:bottom w:val="single" w:sz="4" w:space="0" w:color="000000"/>
            </w:tcBorders>
            <w:shd w:fill="auto" w:val="clear"/>
            <w:vAlign w:val="center"/>
          </w:tcPr>
          <w:p>
            <w:pPr>
              <w:pStyle w:val="Normal"/>
              <w:widowControl w:val="false"/>
              <w:snapToGrid w:val="false"/>
              <w:spacing w:before="20" w:after="0"/>
              <w:rPr>
                <w:color w:val="000000"/>
              </w:rPr>
            </w:pPr>
            <w:r>
              <w:rPr>
                <w:color w:val="000000"/>
              </w:rPr>
            </w:r>
          </w:p>
        </w:tc>
        <w:tc>
          <w:tcPr>
            <w:tcW w:w="733" w:type="dxa"/>
            <w:tcBorders>
              <w:left w:val="single" w:sz="4" w:space="0" w:color="000000"/>
              <w:bottom w:val="single" w:sz="4" w:space="0" w:color="000000"/>
            </w:tcBorders>
            <w:shd w:fill="auto" w:val="clear"/>
            <w:vAlign w:val="center"/>
          </w:tcPr>
          <w:p>
            <w:pPr>
              <w:pStyle w:val="Normal"/>
              <w:widowControl w:val="false"/>
              <w:snapToGrid w:val="false"/>
              <w:spacing w:before="20" w:after="0"/>
              <w:rPr>
                <w:color w:val="000000"/>
              </w:rPr>
            </w:pPr>
            <w:r>
              <w:rPr>
                <w:color w:val="000000"/>
              </w:rPr>
            </w:r>
          </w:p>
        </w:tc>
        <w:tc>
          <w:tcPr>
            <w:tcW w:w="736" w:type="dxa"/>
            <w:tcBorders>
              <w:left w:val="single" w:sz="4" w:space="0" w:color="000000"/>
              <w:bottom w:val="single" w:sz="4" w:space="0" w:color="000000"/>
            </w:tcBorders>
            <w:shd w:fill="auto" w:val="clear"/>
            <w:vAlign w:val="center"/>
          </w:tcPr>
          <w:p>
            <w:pPr>
              <w:pStyle w:val="Normal"/>
              <w:widowControl w:val="false"/>
              <w:snapToGrid w:val="false"/>
              <w:spacing w:before="20" w:after="0"/>
              <w:rPr>
                <w:color w:val="000000"/>
              </w:rPr>
            </w:pPr>
            <w:r>
              <w:rPr>
                <w:color w:val="000000"/>
              </w:rPr>
            </w:r>
          </w:p>
        </w:tc>
        <w:tc>
          <w:tcPr>
            <w:tcW w:w="1424" w:type="dxa"/>
            <w:tcBorders>
              <w:left w:val="single" w:sz="4" w:space="0" w:color="000000"/>
              <w:bottom w:val="single" w:sz="4" w:space="0" w:color="000000"/>
              <w:right w:val="single" w:sz="4" w:space="0" w:color="000000"/>
            </w:tcBorders>
            <w:shd w:fill="auto" w:val="clear"/>
            <w:vAlign w:val="center"/>
          </w:tcPr>
          <w:p>
            <w:pPr>
              <w:pStyle w:val="Normal"/>
              <w:widowControl w:val="false"/>
              <w:snapToGrid w:val="false"/>
              <w:spacing w:before="20" w:after="0"/>
              <w:rPr>
                <w:color w:val="000000"/>
              </w:rPr>
            </w:pPr>
            <w:r>
              <w:rPr>
                <w:color w:val="000000"/>
              </w:rPr>
            </w:r>
          </w:p>
        </w:tc>
      </w:tr>
      <w:tr>
        <w:trPr/>
        <w:tc>
          <w:tcPr>
            <w:tcW w:w="396" w:type="dxa"/>
            <w:tcBorders>
              <w:left w:val="single" w:sz="4" w:space="0" w:color="000000"/>
              <w:bottom w:val="single" w:sz="4" w:space="0" w:color="000000"/>
            </w:tcBorders>
            <w:shd w:fill="auto" w:val="clear"/>
            <w:vAlign w:val="center"/>
          </w:tcPr>
          <w:p>
            <w:pPr>
              <w:pStyle w:val="Normal"/>
              <w:widowControl w:val="false"/>
              <w:snapToGrid w:val="false"/>
              <w:spacing w:before="20" w:after="0"/>
              <w:rPr>
                <w:color w:val="000000"/>
              </w:rPr>
            </w:pPr>
            <w:r>
              <w:rPr>
                <w:color w:val="000000"/>
              </w:rPr>
            </w:r>
          </w:p>
        </w:tc>
        <w:tc>
          <w:tcPr>
            <w:tcW w:w="1534" w:type="dxa"/>
            <w:tcBorders>
              <w:left w:val="single" w:sz="4" w:space="0" w:color="000000"/>
              <w:bottom w:val="single" w:sz="4" w:space="0" w:color="000000"/>
            </w:tcBorders>
            <w:shd w:fill="auto" w:val="clear"/>
            <w:vAlign w:val="center"/>
          </w:tcPr>
          <w:p>
            <w:pPr>
              <w:pStyle w:val="Normal"/>
              <w:widowControl w:val="false"/>
              <w:snapToGrid w:val="false"/>
              <w:spacing w:before="20" w:after="0"/>
              <w:rPr>
                <w:color w:val="000000"/>
              </w:rPr>
            </w:pPr>
            <w:r>
              <w:rPr>
                <w:color w:val="000000"/>
              </w:rPr>
            </w:r>
          </w:p>
        </w:tc>
        <w:tc>
          <w:tcPr>
            <w:tcW w:w="1069" w:type="dxa"/>
            <w:tcBorders>
              <w:left w:val="single" w:sz="4" w:space="0" w:color="000000"/>
              <w:bottom w:val="single" w:sz="4" w:space="0" w:color="000000"/>
            </w:tcBorders>
            <w:shd w:fill="auto" w:val="clear"/>
            <w:vAlign w:val="center"/>
          </w:tcPr>
          <w:p>
            <w:pPr>
              <w:pStyle w:val="Normal"/>
              <w:widowControl w:val="false"/>
              <w:snapToGrid w:val="false"/>
              <w:spacing w:before="20" w:after="0"/>
              <w:rPr>
                <w:color w:val="000000"/>
              </w:rPr>
            </w:pPr>
            <w:r>
              <w:rPr>
                <w:color w:val="000000"/>
              </w:rPr>
            </w:r>
          </w:p>
        </w:tc>
        <w:tc>
          <w:tcPr>
            <w:tcW w:w="1200" w:type="dxa"/>
            <w:tcBorders>
              <w:left w:val="single" w:sz="4" w:space="0" w:color="000000"/>
              <w:bottom w:val="single" w:sz="4" w:space="0" w:color="000000"/>
            </w:tcBorders>
            <w:shd w:fill="auto" w:val="clear"/>
            <w:vAlign w:val="center"/>
          </w:tcPr>
          <w:p>
            <w:pPr>
              <w:pStyle w:val="Normal"/>
              <w:widowControl w:val="false"/>
              <w:snapToGrid w:val="false"/>
              <w:spacing w:before="20" w:after="0"/>
              <w:rPr>
                <w:color w:val="000000"/>
              </w:rPr>
            </w:pPr>
            <w:r>
              <w:rPr>
                <w:color w:val="000000"/>
              </w:rPr>
            </w:r>
          </w:p>
        </w:tc>
        <w:tc>
          <w:tcPr>
            <w:tcW w:w="1132" w:type="dxa"/>
            <w:tcBorders>
              <w:left w:val="single" w:sz="4" w:space="0" w:color="000000"/>
              <w:bottom w:val="single" w:sz="4" w:space="0" w:color="000000"/>
            </w:tcBorders>
            <w:shd w:fill="auto" w:val="clear"/>
            <w:vAlign w:val="center"/>
          </w:tcPr>
          <w:p>
            <w:pPr>
              <w:pStyle w:val="Normal"/>
              <w:widowControl w:val="false"/>
              <w:snapToGrid w:val="false"/>
              <w:spacing w:before="20" w:after="0"/>
              <w:rPr>
                <w:color w:val="000000"/>
              </w:rPr>
            </w:pPr>
            <w:r>
              <w:rPr>
                <w:color w:val="000000"/>
              </w:rPr>
            </w:r>
          </w:p>
        </w:tc>
        <w:tc>
          <w:tcPr>
            <w:tcW w:w="1015" w:type="dxa"/>
            <w:tcBorders>
              <w:left w:val="single" w:sz="4" w:space="0" w:color="000000"/>
              <w:bottom w:val="single" w:sz="4" w:space="0" w:color="000000"/>
            </w:tcBorders>
            <w:shd w:fill="auto" w:val="clear"/>
            <w:vAlign w:val="center"/>
          </w:tcPr>
          <w:p>
            <w:pPr>
              <w:pStyle w:val="Normal"/>
              <w:widowControl w:val="false"/>
              <w:snapToGrid w:val="false"/>
              <w:spacing w:before="20" w:after="0"/>
              <w:rPr>
                <w:color w:val="000000"/>
              </w:rPr>
            </w:pPr>
            <w:r>
              <w:rPr>
                <w:color w:val="000000"/>
              </w:rPr>
            </w:r>
          </w:p>
        </w:tc>
        <w:tc>
          <w:tcPr>
            <w:tcW w:w="1018" w:type="dxa"/>
            <w:tcBorders>
              <w:left w:val="single" w:sz="4" w:space="0" w:color="000000"/>
              <w:bottom w:val="single" w:sz="4" w:space="0" w:color="000000"/>
            </w:tcBorders>
            <w:shd w:fill="auto" w:val="clear"/>
            <w:vAlign w:val="center"/>
          </w:tcPr>
          <w:p>
            <w:pPr>
              <w:pStyle w:val="Normal"/>
              <w:widowControl w:val="false"/>
              <w:snapToGrid w:val="false"/>
              <w:spacing w:before="20" w:after="0"/>
              <w:rPr>
                <w:color w:val="000000"/>
              </w:rPr>
            </w:pPr>
            <w:r>
              <w:rPr>
                <w:color w:val="000000"/>
              </w:rPr>
            </w:r>
          </w:p>
        </w:tc>
        <w:tc>
          <w:tcPr>
            <w:tcW w:w="1200" w:type="dxa"/>
            <w:tcBorders>
              <w:left w:val="single" w:sz="4" w:space="0" w:color="000000"/>
              <w:bottom w:val="single" w:sz="4" w:space="0" w:color="000000"/>
            </w:tcBorders>
            <w:shd w:fill="auto" w:val="clear"/>
            <w:vAlign w:val="center"/>
          </w:tcPr>
          <w:p>
            <w:pPr>
              <w:pStyle w:val="Normal"/>
              <w:widowControl w:val="false"/>
              <w:snapToGrid w:val="false"/>
              <w:spacing w:before="20" w:after="0"/>
              <w:rPr>
                <w:color w:val="000000"/>
              </w:rPr>
            </w:pPr>
            <w:r>
              <w:rPr>
                <w:color w:val="000000"/>
              </w:rPr>
            </w:r>
          </w:p>
        </w:tc>
        <w:tc>
          <w:tcPr>
            <w:tcW w:w="1352" w:type="dxa"/>
            <w:tcBorders>
              <w:left w:val="single" w:sz="4" w:space="0" w:color="000000"/>
              <w:bottom w:val="single" w:sz="4" w:space="0" w:color="000000"/>
            </w:tcBorders>
            <w:shd w:fill="auto" w:val="clear"/>
            <w:vAlign w:val="center"/>
          </w:tcPr>
          <w:p>
            <w:pPr>
              <w:pStyle w:val="Normal"/>
              <w:widowControl w:val="false"/>
              <w:snapToGrid w:val="false"/>
              <w:spacing w:before="20" w:after="0"/>
              <w:rPr>
                <w:color w:val="000000"/>
              </w:rPr>
            </w:pPr>
            <w:r>
              <w:rPr>
                <w:color w:val="000000"/>
              </w:rPr>
            </w:r>
          </w:p>
        </w:tc>
        <w:tc>
          <w:tcPr>
            <w:tcW w:w="823" w:type="dxa"/>
            <w:tcBorders>
              <w:left w:val="single" w:sz="4" w:space="0" w:color="000000"/>
              <w:bottom w:val="single" w:sz="4" w:space="0" w:color="000000"/>
            </w:tcBorders>
            <w:shd w:fill="auto" w:val="clear"/>
            <w:vAlign w:val="center"/>
          </w:tcPr>
          <w:p>
            <w:pPr>
              <w:pStyle w:val="Normal"/>
              <w:widowControl w:val="false"/>
              <w:snapToGrid w:val="false"/>
              <w:spacing w:before="20" w:after="0"/>
              <w:rPr>
                <w:color w:val="000000"/>
              </w:rPr>
            </w:pPr>
            <w:r>
              <w:rPr>
                <w:color w:val="000000"/>
              </w:rPr>
            </w:r>
          </w:p>
        </w:tc>
        <w:tc>
          <w:tcPr>
            <w:tcW w:w="827" w:type="dxa"/>
            <w:tcBorders>
              <w:left w:val="single" w:sz="4" w:space="0" w:color="000000"/>
              <w:bottom w:val="single" w:sz="4" w:space="0" w:color="000000"/>
            </w:tcBorders>
            <w:shd w:fill="auto" w:val="clear"/>
            <w:vAlign w:val="center"/>
          </w:tcPr>
          <w:p>
            <w:pPr>
              <w:pStyle w:val="Normal"/>
              <w:widowControl w:val="false"/>
              <w:snapToGrid w:val="false"/>
              <w:spacing w:before="20" w:after="0"/>
              <w:rPr>
                <w:color w:val="000000"/>
              </w:rPr>
            </w:pPr>
            <w:r>
              <w:rPr>
                <w:color w:val="000000"/>
              </w:rPr>
            </w:r>
          </w:p>
        </w:tc>
        <w:tc>
          <w:tcPr>
            <w:tcW w:w="733" w:type="dxa"/>
            <w:tcBorders>
              <w:left w:val="single" w:sz="4" w:space="0" w:color="000000"/>
              <w:bottom w:val="single" w:sz="4" w:space="0" w:color="000000"/>
            </w:tcBorders>
            <w:shd w:fill="auto" w:val="clear"/>
            <w:vAlign w:val="center"/>
          </w:tcPr>
          <w:p>
            <w:pPr>
              <w:pStyle w:val="Normal"/>
              <w:widowControl w:val="false"/>
              <w:snapToGrid w:val="false"/>
              <w:spacing w:before="20" w:after="0"/>
              <w:rPr>
                <w:color w:val="000000"/>
              </w:rPr>
            </w:pPr>
            <w:r>
              <w:rPr>
                <w:color w:val="000000"/>
              </w:rPr>
            </w:r>
          </w:p>
        </w:tc>
        <w:tc>
          <w:tcPr>
            <w:tcW w:w="736" w:type="dxa"/>
            <w:tcBorders>
              <w:left w:val="single" w:sz="4" w:space="0" w:color="000000"/>
              <w:bottom w:val="single" w:sz="4" w:space="0" w:color="000000"/>
            </w:tcBorders>
            <w:shd w:fill="auto" w:val="clear"/>
            <w:vAlign w:val="center"/>
          </w:tcPr>
          <w:p>
            <w:pPr>
              <w:pStyle w:val="Normal"/>
              <w:widowControl w:val="false"/>
              <w:snapToGrid w:val="false"/>
              <w:spacing w:before="20" w:after="0"/>
              <w:rPr>
                <w:color w:val="000000"/>
              </w:rPr>
            </w:pPr>
            <w:r>
              <w:rPr>
                <w:color w:val="000000"/>
              </w:rPr>
            </w:r>
          </w:p>
        </w:tc>
        <w:tc>
          <w:tcPr>
            <w:tcW w:w="1424" w:type="dxa"/>
            <w:tcBorders>
              <w:left w:val="single" w:sz="4" w:space="0" w:color="000000"/>
              <w:bottom w:val="single" w:sz="4" w:space="0" w:color="000000"/>
              <w:right w:val="single" w:sz="4" w:space="0" w:color="000000"/>
            </w:tcBorders>
            <w:shd w:fill="auto" w:val="clear"/>
            <w:vAlign w:val="center"/>
          </w:tcPr>
          <w:p>
            <w:pPr>
              <w:pStyle w:val="Normal"/>
              <w:widowControl w:val="false"/>
              <w:snapToGrid w:val="false"/>
              <w:spacing w:before="20" w:after="0"/>
              <w:rPr>
                <w:color w:val="000000"/>
              </w:rPr>
            </w:pPr>
            <w:r>
              <w:rPr>
                <w:color w:val="000000"/>
              </w:rPr>
            </w:r>
          </w:p>
        </w:tc>
      </w:tr>
    </w:tbl>
    <w:p>
      <w:pPr>
        <w:pStyle w:val="Normal"/>
        <w:rPr>
          <w:sz w:val="26"/>
          <w:szCs w:val="26"/>
        </w:rPr>
      </w:pPr>
      <w:r>
        <w:rPr>
          <w:sz w:val="26"/>
          <w:szCs w:val="26"/>
        </w:rPr>
      </w:r>
    </w:p>
    <w:p>
      <w:pPr>
        <w:pStyle w:val="LONormal"/>
        <w:spacing w:before="220" w:after="0"/>
        <w:ind w:left="720" w:hanging="0"/>
        <w:rPr>
          <w:sz w:val="26"/>
          <w:szCs w:val="26"/>
        </w:rPr>
      </w:pPr>
      <w:r>
        <w:rPr>
          <w:sz w:val="24"/>
          <w:szCs w:val="24"/>
          <w:lang w:val="uk-UA"/>
        </w:rPr>
        <w:t>Керівник підприємства   _</w:t>
      </w:r>
      <w:r>
        <w:rPr>
          <w:lang w:val="uk-UA"/>
        </w:rPr>
        <w:t>_____________________         _________________________________</w:t>
      </w:r>
    </w:p>
    <w:p>
      <w:pPr>
        <w:pStyle w:val="LONormal"/>
        <w:rPr>
          <w:sz w:val="18"/>
          <w:lang w:val="uk-UA"/>
        </w:rPr>
      </w:pPr>
      <w:r>
        <w:rPr>
          <w:lang w:val="uk-UA"/>
        </w:rPr>
        <w:t xml:space="preserve">                                                                              </w:t>
      </w:r>
      <w:r>
        <w:rPr>
          <w:sz w:val="22"/>
          <w:szCs w:val="22"/>
          <w:lang w:val="uk-UA"/>
        </w:rPr>
        <w:t>(підпис)                                    (прізвище та ініціали)</w:t>
      </w:r>
    </w:p>
    <w:p>
      <w:pPr>
        <w:pStyle w:val="Normal"/>
        <w:rPr>
          <w:sz w:val="26"/>
          <w:szCs w:val="26"/>
        </w:rPr>
      </w:pPr>
      <w:r>
        <w:rPr>
          <w:sz w:val="18"/>
        </w:rPr>
        <w:t xml:space="preserve"> </w:t>
      </w:r>
      <w:r>
        <w:rPr>
          <w:sz w:val="18"/>
        </w:rPr>
        <w:tab/>
      </w:r>
      <w:r>
        <w:rPr/>
        <w:t>Головний бухгалтер   ______________________         ___________________________________</w:t>
      </w:r>
    </w:p>
    <w:p>
      <w:pPr>
        <w:pStyle w:val="LONormal"/>
        <w:spacing w:before="100" w:after="100"/>
        <w:jc w:val="both"/>
        <w:rPr>
          <w:sz w:val="18"/>
          <w:lang w:val="uk-UA"/>
        </w:rPr>
      </w:pPr>
      <w:r>
        <w:rPr>
          <w:i/>
          <w:color w:val="000000"/>
          <w:sz w:val="28"/>
          <w:szCs w:val="28"/>
          <w:lang w:val="uk-UA"/>
        </w:rPr>
        <w:t xml:space="preserve">   </w:t>
      </w:r>
      <w:r>
        <w:rPr>
          <w:color w:val="000000"/>
          <w:sz w:val="28"/>
          <w:szCs w:val="28"/>
          <w:lang w:val="uk-UA"/>
        </w:rPr>
        <w:t xml:space="preserve">                  </w:t>
      </w:r>
      <w:r>
        <w:rPr>
          <w:color w:val="000000"/>
          <w:sz w:val="24"/>
          <w:szCs w:val="24"/>
          <w:lang w:val="uk-UA"/>
        </w:rPr>
        <w:t xml:space="preserve">М.П. </w:t>
      </w:r>
      <w:r>
        <w:rPr>
          <w:color w:val="000000"/>
          <w:sz w:val="28"/>
          <w:szCs w:val="28"/>
          <w:lang w:val="uk-UA"/>
        </w:rPr>
        <w:t xml:space="preserve">                         </w:t>
      </w:r>
      <w:r>
        <w:rPr>
          <w:color w:val="000000"/>
          <w:sz w:val="22"/>
          <w:szCs w:val="22"/>
          <w:lang w:val="uk-UA"/>
        </w:rPr>
        <w:t xml:space="preserve">  (підпис)                                                (прізвище та ініціали)</w:t>
      </w:r>
    </w:p>
    <w:p>
      <w:pPr>
        <w:pStyle w:val="Normal"/>
        <w:ind w:left="8787" w:hanging="0"/>
        <w:jc w:val="both"/>
        <w:rPr>
          <w:sz w:val="26"/>
          <w:szCs w:val="26"/>
        </w:rPr>
      </w:pPr>
      <w:r>
        <w:rPr>
          <w:sz w:val="26"/>
          <w:szCs w:val="26"/>
        </w:rPr>
      </w:r>
    </w:p>
    <w:p>
      <w:pPr>
        <w:pStyle w:val="Normal"/>
        <w:ind w:left="8787" w:hanging="0"/>
        <w:jc w:val="both"/>
        <w:rPr>
          <w:sz w:val="26"/>
          <w:szCs w:val="26"/>
        </w:rPr>
      </w:pPr>
      <w:r>
        <w:rPr>
          <w:color w:val="000000"/>
          <w:sz w:val="26"/>
          <w:szCs w:val="26"/>
        </w:rPr>
        <w:t>Додаток 4 до</w:t>
      </w:r>
    </w:p>
    <w:p>
      <w:pPr>
        <w:pStyle w:val="Normal"/>
        <w:ind w:left="8787" w:hanging="0"/>
        <w:rPr>
          <w:sz w:val="26"/>
          <w:szCs w:val="26"/>
        </w:rPr>
      </w:pPr>
      <w:r>
        <w:rPr>
          <w:sz w:val="26"/>
          <w:szCs w:val="26"/>
        </w:rPr>
        <w:t>Положення про списання майна комунальної</w:t>
      </w:r>
    </w:p>
    <w:p>
      <w:pPr>
        <w:pStyle w:val="Normal"/>
        <w:ind w:left="8787" w:hanging="0"/>
        <w:rPr>
          <w:sz w:val="26"/>
          <w:szCs w:val="26"/>
        </w:rPr>
      </w:pPr>
      <w:r>
        <w:rPr>
          <w:sz w:val="26"/>
          <w:szCs w:val="26"/>
        </w:rPr>
        <w:t xml:space="preserve">власності </w:t>
      </w:r>
      <w:r>
        <w:rPr>
          <w:color w:val="000000"/>
          <w:sz w:val="26"/>
          <w:szCs w:val="26"/>
        </w:rPr>
        <w:t>Луцької міської територіальної громади</w:t>
      </w:r>
    </w:p>
    <w:p>
      <w:pPr>
        <w:pStyle w:val="Normal"/>
        <w:ind w:left="8787" w:hanging="0"/>
        <w:rPr>
          <w:sz w:val="26"/>
          <w:szCs w:val="26"/>
        </w:rPr>
      </w:pPr>
      <w:r>
        <w:rPr>
          <w:sz w:val="26"/>
          <w:szCs w:val="26"/>
        </w:rPr>
      </w:r>
    </w:p>
    <w:p>
      <w:pPr>
        <w:pStyle w:val="Normal"/>
        <w:ind w:left="-1141" w:firstLine="1393"/>
        <w:jc w:val="right"/>
        <w:rPr>
          <w:b/>
          <w:b/>
          <w:sz w:val="28"/>
          <w:szCs w:val="28"/>
        </w:rPr>
      </w:pPr>
      <w:r>
        <w:rPr>
          <w:b/>
          <w:sz w:val="28"/>
          <w:szCs w:val="28"/>
        </w:rPr>
      </w:r>
    </w:p>
    <w:p>
      <w:pPr>
        <w:pStyle w:val="Normal"/>
        <w:jc w:val="both"/>
        <w:rPr>
          <w:sz w:val="28"/>
          <w:szCs w:val="28"/>
        </w:rPr>
      </w:pPr>
      <w:r>
        <w:rPr>
          <w:sz w:val="28"/>
          <w:szCs w:val="28"/>
        </w:rPr>
        <w:t xml:space="preserve">                                                                                                                                                        </w:t>
      </w:r>
      <w:r>
        <w:rPr>
          <w:sz w:val="28"/>
          <w:szCs w:val="28"/>
        </w:rPr>
        <w:t>ЗАТВЕРДЖУЮ</w:t>
      </w:r>
    </w:p>
    <w:p>
      <w:pPr>
        <w:pStyle w:val="Normal"/>
        <w:rPr>
          <w:sz w:val="26"/>
          <w:szCs w:val="26"/>
        </w:rPr>
      </w:pPr>
      <w:r>
        <w:rPr>
          <w:sz w:val="26"/>
          <w:szCs w:val="26"/>
        </w:rPr>
      </w:r>
    </w:p>
    <w:p>
      <w:pPr>
        <w:pStyle w:val="Normal"/>
        <w:rPr>
          <w:sz w:val="26"/>
          <w:szCs w:val="26"/>
        </w:rPr>
      </w:pPr>
      <w:r>
        <w:rPr/>
        <w:t>_______________________________________</w:t>
        <w:tab/>
        <w:tab/>
        <w:tab/>
        <w:tab/>
        <w:tab/>
        <w:tab/>
        <w:tab/>
        <w:t>______________________________________</w:t>
      </w:r>
    </w:p>
    <w:p>
      <w:pPr>
        <w:pStyle w:val="Normal"/>
        <w:rPr>
          <w:sz w:val="26"/>
          <w:szCs w:val="26"/>
        </w:rPr>
      </w:pPr>
      <w:r>
        <w:rPr/>
        <w:t xml:space="preserve">  </w:t>
      </w:r>
      <w:r>
        <w:rPr/>
        <w:t>(найменування суб'єкта господарювання)</w:t>
        <w:tab/>
        <w:tab/>
        <w:tab/>
        <w:tab/>
        <w:tab/>
        <w:tab/>
        <w:t xml:space="preserve">            (посада керівника суб'єкта господарювання)</w:t>
      </w:r>
    </w:p>
    <w:p>
      <w:pPr>
        <w:pStyle w:val="Normal"/>
        <w:rPr>
          <w:sz w:val="26"/>
          <w:szCs w:val="26"/>
        </w:rPr>
      </w:pPr>
      <w:r>
        <w:rPr/>
        <w:t>_________________________________________</w:t>
      </w:r>
    </w:p>
    <w:p>
      <w:pPr>
        <w:pStyle w:val="Normal"/>
        <w:rPr>
          <w:sz w:val="26"/>
          <w:szCs w:val="26"/>
        </w:rPr>
      </w:pPr>
      <w:r>
        <w:rPr/>
        <w:t>_________________________________________</w:t>
      </w:r>
    </w:p>
    <w:p>
      <w:pPr>
        <w:pStyle w:val="Normal"/>
        <w:rPr>
          <w:sz w:val="26"/>
          <w:szCs w:val="26"/>
        </w:rPr>
      </w:pPr>
      <w:r>
        <w:rPr/>
        <w:t>_________________________________________</w:t>
      </w:r>
    </w:p>
    <w:p>
      <w:pPr>
        <w:pStyle w:val="Normal"/>
        <w:rPr>
          <w:sz w:val="26"/>
          <w:szCs w:val="26"/>
        </w:rPr>
      </w:pPr>
      <w:r>
        <w:rPr/>
        <w:t xml:space="preserve">  </w:t>
      </w:r>
      <w:r>
        <w:rPr/>
        <w:t xml:space="preserve">(місцезнаходження суб'єкта господарювання) </w:t>
      </w:r>
    </w:p>
    <w:p>
      <w:pPr>
        <w:pStyle w:val="Normal"/>
        <w:rPr>
          <w:sz w:val="26"/>
          <w:szCs w:val="26"/>
        </w:rPr>
      </w:pPr>
      <w:r>
        <w:rPr/>
        <w:tab/>
        <w:tab/>
        <w:tab/>
        <w:tab/>
        <w:tab/>
        <w:tab/>
        <w:tab/>
        <w:tab/>
        <w:tab/>
        <w:tab/>
        <w:tab/>
        <w:tab/>
        <w:t xml:space="preserve">      _______________    _________________________</w:t>
      </w:r>
    </w:p>
    <w:p>
      <w:pPr>
        <w:pStyle w:val="Normal"/>
        <w:rPr>
          <w:sz w:val="26"/>
          <w:szCs w:val="26"/>
        </w:rPr>
      </w:pPr>
      <w:r>
        <w:rPr/>
        <w:t>_________________________________________</w:t>
        <w:tab/>
        <w:tab/>
        <w:tab/>
        <w:tab/>
        <w:tab/>
        <w:tab/>
        <w:t xml:space="preserve">              (підпис)                   (ініціали та прізвище)</w:t>
      </w:r>
    </w:p>
    <w:p>
      <w:pPr>
        <w:pStyle w:val="Normal"/>
        <w:rPr>
          <w:sz w:val="26"/>
          <w:szCs w:val="26"/>
        </w:rPr>
      </w:pPr>
      <w:r>
        <w:rPr/>
        <w:t xml:space="preserve">      </w:t>
      </w:r>
      <w:r>
        <w:rPr/>
        <w:t>(ідентифікаційний код згідно з ЄДРПОУ)</w:t>
      </w:r>
    </w:p>
    <w:p>
      <w:pPr>
        <w:pStyle w:val="Normal"/>
        <w:rPr>
          <w:sz w:val="26"/>
          <w:szCs w:val="26"/>
        </w:rPr>
      </w:pPr>
      <w:r>
        <w:rPr/>
        <w:tab/>
        <w:tab/>
        <w:tab/>
        <w:tab/>
        <w:tab/>
        <w:tab/>
        <w:tab/>
        <w:tab/>
        <w:tab/>
        <w:tab/>
        <w:tab/>
        <w:tab/>
        <w:t xml:space="preserve">       _____________    _____________________20__ р.</w:t>
      </w:r>
    </w:p>
    <w:p>
      <w:pPr>
        <w:pStyle w:val="Normal"/>
        <w:jc w:val="center"/>
        <w:rPr>
          <w:sz w:val="26"/>
          <w:szCs w:val="26"/>
        </w:rPr>
      </w:pPr>
      <w:r>
        <w:rPr/>
        <w:tab/>
        <w:tab/>
        <w:tab/>
        <w:tab/>
        <w:tab/>
        <w:tab/>
        <w:tab/>
        <w:t>М.П.</w:t>
      </w:r>
    </w:p>
    <w:p>
      <w:pPr>
        <w:pStyle w:val="Normal"/>
        <w:jc w:val="center"/>
        <w:rPr>
          <w:b/>
          <w:b/>
          <w:bCs/>
          <w:color w:val="000000"/>
          <w:sz w:val="28"/>
          <w:szCs w:val="28"/>
        </w:rPr>
      </w:pPr>
      <w:r>
        <w:rPr>
          <w:b/>
          <w:bCs/>
          <w:color w:val="000000"/>
          <w:sz w:val="28"/>
          <w:szCs w:val="28"/>
        </w:rPr>
      </w:r>
    </w:p>
    <w:p>
      <w:pPr>
        <w:pStyle w:val="Normal"/>
        <w:jc w:val="center"/>
        <w:rPr>
          <w:b/>
          <w:b/>
          <w:bCs/>
          <w:color w:val="000000"/>
          <w:sz w:val="28"/>
          <w:szCs w:val="28"/>
        </w:rPr>
      </w:pPr>
      <w:r>
        <w:rPr>
          <w:b/>
          <w:bCs/>
          <w:color w:val="000000"/>
          <w:sz w:val="28"/>
          <w:szCs w:val="28"/>
        </w:rPr>
        <w:t>ЗВІТ</w:t>
      </w:r>
    </w:p>
    <w:p>
      <w:pPr>
        <w:pStyle w:val="Normal"/>
        <w:jc w:val="center"/>
        <w:rPr>
          <w:b/>
          <w:b/>
          <w:bCs/>
          <w:color w:val="000000"/>
          <w:sz w:val="28"/>
          <w:szCs w:val="28"/>
        </w:rPr>
      </w:pPr>
      <w:r>
        <w:rPr>
          <w:b/>
          <w:bCs/>
          <w:color w:val="000000"/>
          <w:sz w:val="28"/>
          <w:szCs w:val="28"/>
        </w:rPr>
        <w:t>про списання майна комунальної власності</w:t>
      </w:r>
    </w:p>
    <w:p>
      <w:pPr>
        <w:pStyle w:val="Normal"/>
        <w:jc w:val="center"/>
        <w:rPr>
          <w:rFonts w:ascii="Arial" w:hAnsi="Arial" w:cs="Arial"/>
          <w:b/>
          <w:b/>
          <w:bCs/>
          <w:color w:val="000000"/>
          <w:sz w:val="28"/>
          <w:szCs w:val="28"/>
        </w:rPr>
      </w:pPr>
      <w:r>
        <w:rPr>
          <w:rFonts w:cs="Arial" w:ascii="Arial" w:hAnsi="Arial"/>
          <w:b/>
          <w:bCs/>
          <w:color w:val="000000"/>
          <w:sz w:val="28"/>
          <w:szCs w:val="28"/>
        </w:rPr>
      </w:r>
    </w:p>
    <w:tbl>
      <w:tblPr>
        <w:tblW w:w="14558" w:type="dxa"/>
        <w:jc w:val="left"/>
        <w:tblInd w:w="114" w:type="dxa"/>
        <w:tblLayout w:type="fixed"/>
        <w:tblCellMar>
          <w:top w:w="55" w:type="dxa"/>
          <w:left w:w="108" w:type="dxa"/>
          <w:bottom w:w="55" w:type="dxa"/>
          <w:right w:w="108" w:type="dxa"/>
        </w:tblCellMar>
        <w:tblLook w:firstRow="1" w:noVBand="0" w:lastRow="0" w:firstColumn="1" w:lastColumn="0" w:noHBand="0" w:val="00a0"/>
      </w:tblPr>
      <w:tblGrid>
        <w:gridCol w:w="509"/>
        <w:gridCol w:w="1023"/>
        <w:gridCol w:w="1308"/>
        <w:gridCol w:w="917"/>
        <w:gridCol w:w="448"/>
        <w:gridCol w:w="1131"/>
        <w:gridCol w:w="578"/>
        <w:gridCol w:w="637"/>
        <w:gridCol w:w="594"/>
        <w:gridCol w:w="591"/>
        <w:gridCol w:w="541"/>
        <w:gridCol w:w="548"/>
        <w:gridCol w:w="543"/>
        <w:gridCol w:w="545"/>
        <w:gridCol w:w="1020"/>
        <w:gridCol w:w="1186"/>
        <w:gridCol w:w="1246"/>
        <w:gridCol w:w="1189"/>
      </w:tblGrid>
      <w:tr>
        <w:trPr>
          <w:trHeight w:val="345" w:hRule="atLeast"/>
          <w:cantSplit w:val="true"/>
        </w:trPr>
        <w:tc>
          <w:tcPr>
            <w:tcW w:w="509" w:type="dxa"/>
            <w:vMerge w:val="restart"/>
            <w:tcBorders>
              <w:top w:val="single" w:sz="4" w:space="0" w:color="000000"/>
              <w:left w:val="single" w:sz="4" w:space="0" w:color="000000"/>
              <w:bottom w:val="single" w:sz="4" w:space="0" w:color="000000"/>
            </w:tcBorders>
            <w:shd w:fill="auto" w:val="clear"/>
            <w:vAlign w:val="center"/>
          </w:tcPr>
          <w:p>
            <w:pPr>
              <w:pStyle w:val="Normal"/>
              <w:widowControl w:val="false"/>
              <w:jc w:val="center"/>
              <w:textAlignment w:val="center"/>
              <w:rPr>
                <w:color w:val="000000"/>
              </w:rPr>
            </w:pPr>
            <w:r>
              <w:rPr>
                <w:color w:val="000000"/>
                <w:sz w:val="22"/>
                <w:szCs w:val="22"/>
              </w:rPr>
              <w:t>№</w:t>
            </w:r>
          </w:p>
          <w:p>
            <w:pPr>
              <w:pStyle w:val="Normal"/>
              <w:widowControl w:val="false"/>
              <w:jc w:val="center"/>
              <w:textAlignment w:val="center"/>
              <w:rPr>
                <w:color w:val="000000"/>
                <w:sz w:val="28"/>
                <w:szCs w:val="28"/>
              </w:rPr>
            </w:pPr>
            <w:r>
              <w:rPr>
                <w:bCs/>
                <w:color w:val="000000"/>
                <w:sz w:val="22"/>
                <w:szCs w:val="22"/>
              </w:rPr>
              <w:t>з/п</w:t>
            </w:r>
          </w:p>
        </w:tc>
        <w:tc>
          <w:tcPr>
            <w:tcW w:w="1023" w:type="dxa"/>
            <w:vMerge w:val="restart"/>
            <w:tcBorders>
              <w:top w:val="single" w:sz="4" w:space="0" w:color="000000"/>
              <w:left w:val="single" w:sz="4" w:space="0" w:color="000000"/>
              <w:bottom w:val="single" w:sz="4" w:space="0" w:color="000000"/>
            </w:tcBorders>
            <w:shd w:fill="auto" w:val="clear"/>
            <w:vAlign w:val="center"/>
          </w:tcPr>
          <w:p>
            <w:pPr>
              <w:pStyle w:val="Normal"/>
              <w:widowControl w:val="false"/>
              <w:jc w:val="center"/>
              <w:rPr>
                <w:bCs/>
                <w:color w:val="000000"/>
                <w:sz w:val="20"/>
                <w:szCs w:val="20"/>
              </w:rPr>
            </w:pPr>
            <w:r>
              <w:rPr>
                <w:bCs/>
                <w:color w:val="000000"/>
                <w:sz w:val="20"/>
                <w:szCs w:val="20"/>
              </w:rPr>
              <w:t>Наймену-вання об’єкта</w:t>
            </w:r>
          </w:p>
        </w:tc>
        <w:tc>
          <w:tcPr>
            <w:tcW w:w="1308" w:type="dxa"/>
            <w:vMerge w:val="restart"/>
            <w:tcBorders>
              <w:top w:val="single" w:sz="4" w:space="0" w:color="000000"/>
              <w:left w:val="single" w:sz="4" w:space="0" w:color="000000"/>
              <w:bottom w:val="single" w:sz="4" w:space="0" w:color="000000"/>
            </w:tcBorders>
            <w:shd w:fill="auto" w:val="clear"/>
            <w:vAlign w:val="center"/>
          </w:tcPr>
          <w:p>
            <w:pPr>
              <w:pStyle w:val="Normal"/>
              <w:widowControl w:val="false"/>
              <w:jc w:val="center"/>
              <w:rPr>
                <w:bCs/>
                <w:color w:val="000000"/>
                <w:sz w:val="20"/>
                <w:szCs w:val="20"/>
              </w:rPr>
            </w:pPr>
            <w:r>
              <w:rPr>
                <w:bCs/>
                <w:color w:val="000000"/>
                <w:sz w:val="20"/>
                <w:szCs w:val="20"/>
              </w:rPr>
              <w:t>Рік випуску, дата введення в експлуа-тацію</w:t>
            </w:r>
          </w:p>
        </w:tc>
        <w:tc>
          <w:tcPr>
            <w:tcW w:w="917" w:type="dxa"/>
            <w:vMerge w:val="restart"/>
            <w:tcBorders>
              <w:top w:val="single" w:sz="4" w:space="0" w:color="000000"/>
              <w:left w:val="single" w:sz="4" w:space="0" w:color="000000"/>
              <w:bottom w:val="single" w:sz="4" w:space="0" w:color="000000"/>
            </w:tcBorders>
            <w:shd w:fill="auto" w:val="clear"/>
            <w:textDirection w:val="btLr"/>
            <w:vAlign w:val="center"/>
          </w:tcPr>
          <w:p>
            <w:pPr>
              <w:pStyle w:val="Normal"/>
              <w:widowControl w:val="false"/>
              <w:jc w:val="center"/>
              <w:rPr>
                <w:sz w:val="20"/>
                <w:szCs w:val="20"/>
              </w:rPr>
            </w:pPr>
            <w:r>
              <w:rPr>
                <w:bCs/>
                <w:color w:val="000000"/>
                <w:sz w:val="20"/>
                <w:szCs w:val="20"/>
              </w:rPr>
              <w:t xml:space="preserve">Інвентарний </w:t>
            </w:r>
            <w:r>
              <w:rPr>
                <w:color w:val="222222"/>
                <w:sz w:val="20"/>
                <w:szCs w:val="20"/>
              </w:rPr>
              <w:t>(номенклатурний)</w:t>
            </w:r>
            <w:r>
              <w:rPr>
                <w:sz w:val="20"/>
                <w:szCs w:val="20"/>
              </w:rPr>
              <w:t xml:space="preserve">  </w:t>
            </w:r>
            <w:r>
              <w:rPr>
                <w:bCs/>
                <w:color w:val="000000"/>
                <w:sz w:val="20"/>
                <w:szCs w:val="20"/>
              </w:rPr>
              <w:t>номер</w:t>
            </w:r>
          </w:p>
        </w:tc>
        <w:tc>
          <w:tcPr>
            <w:tcW w:w="448" w:type="dxa"/>
            <w:vMerge w:val="restart"/>
            <w:tcBorders>
              <w:top w:val="single" w:sz="4" w:space="0" w:color="000000"/>
              <w:left w:val="single" w:sz="4" w:space="0" w:color="000000"/>
              <w:bottom w:val="single" w:sz="4" w:space="0" w:color="000000"/>
            </w:tcBorders>
            <w:shd w:fill="auto" w:val="clear"/>
            <w:textDirection w:val="btLr"/>
            <w:vAlign w:val="center"/>
          </w:tcPr>
          <w:p>
            <w:pPr>
              <w:pStyle w:val="Normal"/>
              <w:widowControl w:val="false"/>
              <w:jc w:val="center"/>
              <w:rPr>
                <w:bCs/>
                <w:color w:val="000000"/>
                <w:sz w:val="20"/>
                <w:szCs w:val="20"/>
              </w:rPr>
            </w:pPr>
            <w:r>
              <w:rPr>
                <w:bCs/>
                <w:color w:val="000000"/>
                <w:sz w:val="20"/>
                <w:szCs w:val="20"/>
              </w:rPr>
              <w:t>Заводський номер</w:t>
            </w:r>
          </w:p>
        </w:tc>
        <w:tc>
          <w:tcPr>
            <w:tcW w:w="1131" w:type="dxa"/>
            <w:vMerge w:val="restart"/>
            <w:tcBorders>
              <w:top w:val="single" w:sz="4" w:space="0" w:color="000000"/>
              <w:left w:val="single" w:sz="4" w:space="0" w:color="000000"/>
              <w:bottom w:val="single" w:sz="4" w:space="0" w:color="000000"/>
            </w:tcBorders>
            <w:shd w:fill="auto" w:val="clear"/>
            <w:vAlign w:val="center"/>
          </w:tcPr>
          <w:p>
            <w:pPr>
              <w:pStyle w:val="Normal"/>
              <w:widowControl w:val="false"/>
              <w:jc w:val="center"/>
              <w:rPr>
                <w:bCs/>
                <w:color w:val="000000"/>
                <w:sz w:val="20"/>
                <w:szCs w:val="20"/>
              </w:rPr>
            </w:pPr>
            <w:r>
              <w:rPr>
                <w:bCs/>
                <w:color w:val="000000"/>
                <w:sz w:val="20"/>
                <w:szCs w:val="20"/>
              </w:rPr>
              <w:t>Витрати на списан-ня об’єкта</w:t>
            </w:r>
          </w:p>
          <w:p>
            <w:pPr>
              <w:pStyle w:val="Normal"/>
              <w:widowControl w:val="false"/>
              <w:jc w:val="center"/>
              <w:rPr>
                <w:bCs/>
                <w:color w:val="000000"/>
                <w:sz w:val="20"/>
                <w:szCs w:val="20"/>
              </w:rPr>
            </w:pPr>
            <w:r>
              <w:rPr>
                <w:bCs/>
                <w:color w:val="000000"/>
                <w:sz w:val="20"/>
                <w:szCs w:val="20"/>
              </w:rPr>
              <w:t>(грн)</w:t>
            </w:r>
          </w:p>
        </w:tc>
        <w:tc>
          <w:tcPr>
            <w:tcW w:w="5597" w:type="dxa"/>
            <w:gridSpan w:val="9"/>
            <w:tcBorders>
              <w:top w:val="single" w:sz="4" w:space="0" w:color="000000"/>
              <w:left w:val="single" w:sz="4" w:space="0" w:color="000000"/>
              <w:bottom w:val="single" w:sz="4" w:space="0" w:color="000000"/>
            </w:tcBorders>
            <w:shd w:fill="auto" w:val="clear"/>
            <w:vAlign w:val="center"/>
          </w:tcPr>
          <w:p>
            <w:pPr>
              <w:pStyle w:val="Normal"/>
              <w:widowControl w:val="false"/>
              <w:suppressAutoHyphens w:val="false"/>
              <w:jc w:val="center"/>
              <w:rPr>
                <w:bCs/>
                <w:color w:val="000000"/>
                <w:sz w:val="20"/>
                <w:szCs w:val="20"/>
              </w:rPr>
            </w:pPr>
            <w:r>
              <w:rPr>
                <w:bCs/>
                <w:color w:val="000000"/>
                <w:sz w:val="20"/>
                <w:szCs w:val="20"/>
              </w:rPr>
              <w:t>Оприбутковано в результаті списання</w:t>
            </w:r>
          </w:p>
        </w:tc>
        <w:tc>
          <w:tcPr>
            <w:tcW w:w="1186" w:type="dxa"/>
            <w:vMerge w:val="restart"/>
            <w:tcBorders>
              <w:top w:val="single" w:sz="4" w:space="0" w:color="000000"/>
              <w:left w:val="single" w:sz="4" w:space="0" w:color="000000"/>
              <w:bottom w:val="single" w:sz="4" w:space="0" w:color="000000"/>
            </w:tcBorders>
            <w:shd w:fill="auto" w:val="clear"/>
            <w:vAlign w:val="center"/>
          </w:tcPr>
          <w:p>
            <w:pPr>
              <w:pStyle w:val="Normal"/>
              <w:widowControl w:val="false"/>
              <w:jc w:val="center"/>
              <w:rPr>
                <w:bCs/>
                <w:color w:val="000000"/>
                <w:sz w:val="20"/>
                <w:szCs w:val="20"/>
              </w:rPr>
            </w:pPr>
            <w:r>
              <w:rPr>
                <w:bCs/>
                <w:color w:val="000000"/>
                <w:sz w:val="20"/>
                <w:szCs w:val="20"/>
              </w:rPr>
              <w:t>Отримано коштів в результаті реалізації матеріалів, сировини тощо</w:t>
            </w:r>
          </w:p>
          <w:p>
            <w:pPr>
              <w:pStyle w:val="Normal"/>
              <w:widowControl w:val="false"/>
              <w:jc w:val="center"/>
              <w:rPr>
                <w:bCs/>
                <w:color w:val="000000"/>
                <w:sz w:val="20"/>
                <w:szCs w:val="20"/>
              </w:rPr>
            </w:pPr>
            <w:r>
              <w:rPr>
                <w:bCs/>
                <w:color w:val="000000"/>
                <w:sz w:val="20"/>
                <w:szCs w:val="20"/>
              </w:rPr>
              <w:t>(грн)</w:t>
            </w:r>
          </w:p>
        </w:tc>
        <w:tc>
          <w:tcPr>
            <w:tcW w:w="1246" w:type="dxa"/>
            <w:vMerge w:val="restart"/>
            <w:tcBorders>
              <w:top w:val="single" w:sz="4" w:space="0" w:color="000000"/>
              <w:left w:val="single" w:sz="4" w:space="0" w:color="000000"/>
              <w:bottom w:val="single" w:sz="4" w:space="0" w:color="000000"/>
            </w:tcBorders>
            <w:shd w:fill="auto" w:val="clear"/>
            <w:vAlign w:val="center"/>
          </w:tcPr>
          <w:p>
            <w:pPr>
              <w:pStyle w:val="Normal"/>
              <w:widowControl w:val="false"/>
              <w:jc w:val="center"/>
              <w:rPr>
                <w:bCs/>
                <w:color w:val="000000"/>
                <w:sz w:val="20"/>
                <w:szCs w:val="20"/>
              </w:rPr>
            </w:pPr>
            <w:r>
              <w:rPr>
                <w:bCs/>
                <w:color w:val="000000"/>
                <w:sz w:val="20"/>
                <w:szCs w:val="20"/>
              </w:rPr>
              <w:t>Напрями використан-ня коштів</w:t>
            </w:r>
          </w:p>
        </w:tc>
        <w:tc>
          <w:tcPr>
            <w:tcW w:w="1189" w:type="dxa"/>
            <w:vMerge w:val="restart"/>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jc w:val="center"/>
              <w:rPr>
                <w:bCs/>
                <w:color w:val="000000"/>
                <w:sz w:val="20"/>
                <w:szCs w:val="20"/>
              </w:rPr>
            </w:pPr>
            <w:r>
              <w:rPr>
                <w:bCs/>
                <w:color w:val="000000"/>
                <w:sz w:val="20"/>
                <w:szCs w:val="20"/>
              </w:rPr>
              <w:t>Документи, що підтверджу-ють отримання коштів</w:t>
            </w:r>
          </w:p>
        </w:tc>
      </w:tr>
      <w:tr>
        <w:trPr/>
        <w:tc>
          <w:tcPr>
            <w:tcW w:w="509" w:type="dxa"/>
            <w:vMerge w:val="continue"/>
            <w:tcBorders>
              <w:left w:val="single" w:sz="4" w:space="0" w:color="000000"/>
              <w:bottom w:val="single" w:sz="4" w:space="0" w:color="000000"/>
            </w:tcBorders>
            <w:shd w:fill="auto" w:val="clear"/>
          </w:tcPr>
          <w:p>
            <w:pPr>
              <w:pStyle w:val="Normal"/>
              <w:widowControl w:val="false"/>
              <w:snapToGrid w:val="false"/>
              <w:jc w:val="center"/>
              <w:rPr>
                <w:b/>
                <w:b/>
                <w:bCs/>
                <w:color w:val="000000"/>
              </w:rPr>
            </w:pPr>
            <w:r>
              <w:rPr>
                <w:b/>
                <w:bCs/>
                <w:color w:val="000000"/>
              </w:rPr>
            </w:r>
          </w:p>
        </w:tc>
        <w:tc>
          <w:tcPr>
            <w:tcW w:w="1023" w:type="dxa"/>
            <w:vMerge w:val="continue"/>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1308" w:type="dxa"/>
            <w:vMerge w:val="continue"/>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917" w:type="dxa"/>
            <w:vMerge w:val="continue"/>
            <w:tcBorders>
              <w:left w:val="single" w:sz="4" w:space="0" w:color="000000"/>
              <w:bottom w:val="single" w:sz="4" w:space="0" w:color="000000"/>
            </w:tcBorders>
            <w:shd w:fill="auto" w:val="clear"/>
            <w:textDirection w:val="btLr"/>
          </w:tcPr>
          <w:p>
            <w:pPr>
              <w:pStyle w:val="Normal"/>
              <w:widowControl w:val="false"/>
              <w:snapToGrid w:val="false"/>
              <w:jc w:val="center"/>
              <w:rPr>
                <w:bCs/>
                <w:color w:val="000000"/>
              </w:rPr>
            </w:pPr>
            <w:r>
              <w:rPr>
                <w:bCs/>
                <w:color w:val="000000"/>
              </w:rPr>
            </w:r>
          </w:p>
        </w:tc>
        <w:tc>
          <w:tcPr>
            <w:tcW w:w="448" w:type="dxa"/>
            <w:vMerge w:val="continue"/>
            <w:tcBorders>
              <w:left w:val="single" w:sz="4" w:space="0" w:color="000000"/>
              <w:bottom w:val="single" w:sz="4" w:space="0" w:color="000000"/>
            </w:tcBorders>
            <w:shd w:fill="auto" w:val="clear"/>
            <w:textDirection w:val="btLr"/>
          </w:tcPr>
          <w:p>
            <w:pPr>
              <w:pStyle w:val="Normal"/>
              <w:widowControl w:val="false"/>
              <w:snapToGrid w:val="false"/>
              <w:jc w:val="center"/>
              <w:rPr>
                <w:bCs/>
                <w:color w:val="000000"/>
              </w:rPr>
            </w:pPr>
            <w:r>
              <w:rPr>
                <w:bCs/>
                <w:color w:val="000000"/>
              </w:rPr>
            </w:r>
          </w:p>
        </w:tc>
        <w:tc>
          <w:tcPr>
            <w:tcW w:w="1131" w:type="dxa"/>
            <w:vMerge w:val="continue"/>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1215" w:type="dxa"/>
            <w:gridSpan w:val="2"/>
            <w:tcBorders>
              <w:left w:val="single" w:sz="4" w:space="0" w:color="000000"/>
              <w:bottom w:val="single" w:sz="4" w:space="0" w:color="000000"/>
            </w:tcBorders>
            <w:shd w:fill="auto" w:val="clear"/>
            <w:vAlign w:val="center"/>
          </w:tcPr>
          <w:p>
            <w:pPr>
              <w:pStyle w:val="Normal"/>
              <w:widowControl w:val="false"/>
              <w:jc w:val="center"/>
              <w:rPr>
                <w:bCs/>
                <w:color w:val="000000"/>
                <w:sz w:val="20"/>
                <w:szCs w:val="20"/>
              </w:rPr>
            </w:pPr>
            <w:r>
              <w:rPr>
                <w:bCs/>
                <w:color w:val="000000"/>
                <w:sz w:val="20"/>
                <w:szCs w:val="20"/>
              </w:rPr>
              <w:t>Придатних вузлів та агрегатів</w:t>
            </w:r>
          </w:p>
        </w:tc>
        <w:tc>
          <w:tcPr>
            <w:tcW w:w="1185" w:type="dxa"/>
            <w:gridSpan w:val="2"/>
            <w:tcBorders>
              <w:left w:val="single" w:sz="4" w:space="0" w:color="000000"/>
              <w:bottom w:val="single" w:sz="4" w:space="0" w:color="000000"/>
            </w:tcBorders>
            <w:shd w:fill="auto" w:val="clear"/>
            <w:vAlign w:val="center"/>
          </w:tcPr>
          <w:p>
            <w:pPr>
              <w:pStyle w:val="Normal"/>
              <w:widowControl w:val="false"/>
              <w:jc w:val="center"/>
              <w:rPr>
                <w:bCs/>
                <w:color w:val="000000"/>
                <w:sz w:val="20"/>
                <w:szCs w:val="20"/>
              </w:rPr>
            </w:pPr>
            <w:r>
              <w:rPr>
                <w:bCs/>
                <w:color w:val="000000"/>
                <w:sz w:val="20"/>
                <w:szCs w:val="20"/>
              </w:rPr>
              <w:t>Матеріалів</w:t>
            </w:r>
          </w:p>
        </w:tc>
        <w:tc>
          <w:tcPr>
            <w:tcW w:w="1089" w:type="dxa"/>
            <w:gridSpan w:val="2"/>
            <w:tcBorders>
              <w:left w:val="single" w:sz="4" w:space="0" w:color="000000"/>
              <w:bottom w:val="single" w:sz="4" w:space="0" w:color="000000"/>
            </w:tcBorders>
            <w:shd w:fill="auto" w:val="clear"/>
            <w:vAlign w:val="center"/>
          </w:tcPr>
          <w:p>
            <w:pPr>
              <w:pStyle w:val="Normal"/>
              <w:widowControl w:val="false"/>
              <w:jc w:val="center"/>
              <w:rPr>
                <w:bCs/>
                <w:color w:val="000000"/>
                <w:sz w:val="20"/>
                <w:szCs w:val="20"/>
              </w:rPr>
            </w:pPr>
            <w:r>
              <w:rPr>
                <w:bCs/>
                <w:color w:val="000000"/>
                <w:sz w:val="20"/>
                <w:szCs w:val="20"/>
              </w:rPr>
              <w:t>Сировини</w:t>
            </w:r>
          </w:p>
        </w:tc>
        <w:tc>
          <w:tcPr>
            <w:tcW w:w="1088" w:type="dxa"/>
            <w:gridSpan w:val="2"/>
            <w:tcBorders>
              <w:left w:val="single" w:sz="4" w:space="0" w:color="000000"/>
              <w:bottom w:val="single" w:sz="4" w:space="0" w:color="000000"/>
            </w:tcBorders>
            <w:shd w:fill="auto" w:val="clear"/>
            <w:vAlign w:val="center"/>
          </w:tcPr>
          <w:p>
            <w:pPr>
              <w:pStyle w:val="Normal"/>
              <w:widowControl w:val="false"/>
              <w:jc w:val="center"/>
              <w:rPr>
                <w:bCs/>
                <w:color w:val="000000"/>
                <w:sz w:val="20"/>
                <w:szCs w:val="20"/>
              </w:rPr>
            </w:pPr>
            <w:r>
              <w:rPr>
                <w:bCs/>
                <w:color w:val="000000"/>
                <w:sz w:val="20"/>
                <w:szCs w:val="20"/>
              </w:rPr>
              <w:t>Основних засобів</w:t>
            </w:r>
          </w:p>
        </w:tc>
        <w:tc>
          <w:tcPr>
            <w:tcW w:w="1020" w:type="dxa"/>
            <w:vMerge w:val="restart"/>
            <w:tcBorders>
              <w:left w:val="single" w:sz="4" w:space="0" w:color="000000"/>
              <w:bottom w:val="single" w:sz="4" w:space="0" w:color="000000"/>
            </w:tcBorders>
            <w:shd w:fill="auto" w:val="clear"/>
            <w:vAlign w:val="center"/>
          </w:tcPr>
          <w:p>
            <w:pPr>
              <w:pStyle w:val="Normal"/>
              <w:widowControl w:val="false"/>
              <w:jc w:val="center"/>
              <w:rPr>
                <w:bCs/>
                <w:color w:val="000000"/>
                <w:sz w:val="20"/>
                <w:szCs w:val="20"/>
              </w:rPr>
            </w:pPr>
            <w:r>
              <w:rPr>
                <w:bCs/>
                <w:color w:val="000000"/>
                <w:sz w:val="20"/>
                <w:szCs w:val="20"/>
              </w:rPr>
              <w:t>Загальна вартість</w:t>
            </w:r>
          </w:p>
          <w:p>
            <w:pPr>
              <w:pStyle w:val="Normal"/>
              <w:widowControl w:val="false"/>
              <w:jc w:val="center"/>
              <w:rPr>
                <w:bCs/>
                <w:color w:val="000000"/>
                <w:sz w:val="20"/>
                <w:szCs w:val="20"/>
              </w:rPr>
            </w:pPr>
            <w:r>
              <w:rPr>
                <w:bCs/>
                <w:color w:val="000000"/>
                <w:sz w:val="20"/>
                <w:szCs w:val="20"/>
              </w:rPr>
              <w:t>(грн)</w:t>
            </w:r>
          </w:p>
        </w:tc>
        <w:tc>
          <w:tcPr>
            <w:tcW w:w="1186" w:type="dxa"/>
            <w:vMerge w:val="continue"/>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1246" w:type="dxa"/>
            <w:vMerge w:val="continue"/>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1189" w:type="dxa"/>
            <w:vMerge w:val="continue"/>
            <w:tcBorders>
              <w:left w:val="single" w:sz="4" w:space="0" w:color="000000"/>
              <w:bottom w:val="single" w:sz="4" w:space="0" w:color="000000"/>
              <w:right w:val="single" w:sz="4" w:space="0" w:color="000000"/>
            </w:tcBorders>
            <w:shd w:fill="auto" w:val="clear"/>
          </w:tcPr>
          <w:p>
            <w:pPr>
              <w:pStyle w:val="Normal"/>
              <w:widowControl w:val="false"/>
              <w:snapToGrid w:val="false"/>
              <w:jc w:val="center"/>
              <w:rPr>
                <w:bCs/>
                <w:color w:val="000000"/>
              </w:rPr>
            </w:pPr>
            <w:r>
              <w:rPr>
                <w:bCs/>
                <w:color w:val="000000"/>
              </w:rPr>
            </w:r>
          </w:p>
        </w:tc>
      </w:tr>
      <w:tr>
        <w:trPr>
          <w:trHeight w:val="936" w:hRule="atLeast"/>
        </w:trPr>
        <w:tc>
          <w:tcPr>
            <w:tcW w:w="509" w:type="dxa"/>
            <w:vMerge w:val="continue"/>
            <w:tcBorders>
              <w:left w:val="single" w:sz="4" w:space="0" w:color="000000"/>
              <w:bottom w:val="single" w:sz="4" w:space="0" w:color="000000"/>
            </w:tcBorders>
            <w:shd w:fill="auto" w:val="clear"/>
          </w:tcPr>
          <w:p>
            <w:pPr>
              <w:pStyle w:val="Normal"/>
              <w:widowControl w:val="false"/>
              <w:snapToGrid w:val="false"/>
              <w:jc w:val="center"/>
              <w:rPr>
                <w:b/>
                <w:b/>
                <w:bCs/>
                <w:color w:val="000000"/>
              </w:rPr>
            </w:pPr>
            <w:r>
              <w:rPr>
                <w:b/>
                <w:bCs/>
                <w:color w:val="000000"/>
              </w:rPr>
            </w:r>
          </w:p>
        </w:tc>
        <w:tc>
          <w:tcPr>
            <w:tcW w:w="1023" w:type="dxa"/>
            <w:vMerge w:val="continue"/>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1308" w:type="dxa"/>
            <w:vMerge w:val="continue"/>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917" w:type="dxa"/>
            <w:vMerge w:val="continue"/>
            <w:tcBorders>
              <w:left w:val="single" w:sz="4" w:space="0" w:color="000000"/>
              <w:bottom w:val="single" w:sz="4" w:space="0" w:color="000000"/>
            </w:tcBorders>
            <w:shd w:fill="auto" w:val="clear"/>
            <w:textDirection w:val="btLr"/>
          </w:tcPr>
          <w:p>
            <w:pPr>
              <w:pStyle w:val="Normal"/>
              <w:widowControl w:val="false"/>
              <w:snapToGrid w:val="false"/>
              <w:jc w:val="center"/>
              <w:rPr>
                <w:bCs/>
                <w:color w:val="000000"/>
              </w:rPr>
            </w:pPr>
            <w:r>
              <w:rPr>
                <w:bCs/>
                <w:color w:val="000000"/>
              </w:rPr>
            </w:r>
          </w:p>
        </w:tc>
        <w:tc>
          <w:tcPr>
            <w:tcW w:w="448" w:type="dxa"/>
            <w:vMerge w:val="continue"/>
            <w:tcBorders>
              <w:left w:val="single" w:sz="4" w:space="0" w:color="000000"/>
              <w:bottom w:val="single" w:sz="4" w:space="0" w:color="000000"/>
            </w:tcBorders>
            <w:shd w:fill="auto" w:val="clear"/>
            <w:textDirection w:val="btLr"/>
          </w:tcPr>
          <w:p>
            <w:pPr>
              <w:pStyle w:val="Normal"/>
              <w:widowControl w:val="false"/>
              <w:snapToGrid w:val="false"/>
              <w:jc w:val="center"/>
              <w:rPr>
                <w:bCs/>
                <w:color w:val="000000"/>
              </w:rPr>
            </w:pPr>
            <w:r>
              <w:rPr>
                <w:bCs/>
                <w:color w:val="000000"/>
              </w:rPr>
            </w:r>
          </w:p>
        </w:tc>
        <w:tc>
          <w:tcPr>
            <w:tcW w:w="1131" w:type="dxa"/>
            <w:vMerge w:val="continue"/>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578" w:type="dxa"/>
            <w:tcBorders>
              <w:left w:val="single" w:sz="4" w:space="0" w:color="000000"/>
              <w:bottom w:val="single" w:sz="4" w:space="0" w:color="000000"/>
            </w:tcBorders>
            <w:shd w:fill="auto" w:val="clear"/>
            <w:textDirection w:val="btLr"/>
            <w:vAlign w:val="center"/>
          </w:tcPr>
          <w:p>
            <w:pPr>
              <w:pStyle w:val="Normal"/>
              <w:widowControl w:val="false"/>
              <w:jc w:val="center"/>
              <w:rPr>
                <w:bCs/>
                <w:color w:val="000000"/>
                <w:sz w:val="20"/>
                <w:szCs w:val="20"/>
              </w:rPr>
            </w:pPr>
            <w:r>
              <w:rPr>
                <w:bCs/>
                <w:color w:val="000000"/>
                <w:sz w:val="20"/>
                <w:szCs w:val="20"/>
              </w:rPr>
              <w:t>Кількість</w:t>
            </w:r>
          </w:p>
        </w:tc>
        <w:tc>
          <w:tcPr>
            <w:tcW w:w="637" w:type="dxa"/>
            <w:tcBorders>
              <w:left w:val="single" w:sz="4" w:space="0" w:color="000000"/>
              <w:bottom w:val="single" w:sz="4" w:space="0" w:color="000000"/>
            </w:tcBorders>
            <w:shd w:fill="auto" w:val="clear"/>
            <w:textDirection w:val="btLr"/>
            <w:vAlign w:val="center"/>
          </w:tcPr>
          <w:p>
            <w:pPr>
              <w:pStyle w:val="Normal"/>
              <w:widowControl w:val="false"/>
              <w:jc w:val="center"/>
              <w:rPr>
                <w:bCs/>
                <w:color w:val="000000"/>
                <w:sz w:val="20"/>
                <w:szCs w:val="20"/>
              </w:rPr>
            </w:pPr>
            <w:r>
              <w:rPr>
                <w:bCs/>
                <w:color w:val="000000"/>
                <w:sz w:val="20"/>
                <w:szCs w:val="20"/>
              </w:rPr>
              <w:t>Вартість</w:t>
            </w:r>
          </w:p>
        </w:tc>
        <w:tc>
          <w:tcPr>
            <w:tcW w:w="594" w:type="dxa"/>
            <w:tcBorders>
              <w:left w:val="single" w:sz="4" w:space="0" w:color="000000"/>
              <w:bottom w:val="single" w:sz="4" w:space="0" w:color="000000"/>
            </w:tcBorders>
            <w:shd w:fill="auto" w:val="clear"/>
            <w:textDirection w:val="btLr"/>
            <w:vAlign w:val="center"/>
          </w:tcPr>
          <w:p>
            <w:pPr>
              <w:pStyle w:val="Normal"/>
              <w:widowControl w:val="false"/>
              <w:jc w:val="center"/>
              <w:rPr>
                <w:bCs/>
                <w:color w:val="000000"/>
                <w:sz w:val="20"/>
                <w:szCs w:val="20"/>
              </w:rPr>
            </w:pPr>
            <w:r>
              <w:rPr>
                <w:bCs/>
                <w:color w:val="000000"/>
                <w:sz w:val="20"/>
                <w:szCs w:val="20"/>
              </w:rPr>
              <w:t>Кількість</w:t>
            </w:r>
          </w:p>
        </w:tc>
        <w:tc>
          <w:tcPr>
            <w:tcW w:w="591" w:type="dxa"/>
            <w:tcBorders>
              <w:left w:val="single" w:sz="4" w:space="0" w:color="000000"/>
              <w:bottom w:val="single" w:sz="4" w:space="0" w:color="000000"/>
            </w:tcBorders>
            <w:shd w:fill="auto" w:val="clear"/>
            <w:textDirection w:val="btLr"/>
            <w:vAlign w:val="center"/>
          </w:tcPr>
          <w:p>
            <w:pPr>
              <w:pStyle w:val="Normal"/>
              <w:widowControl w:val="false"/>
              <w:jc w:val="center"/>
              <w:rPr>
                <w:bCs/>
                <w:color w:val="000000"/>
                <w:sz w:val="20"/>
                <w:szCs w:val="20"/>
              </w:rPr>
            </w:pPr>
            <w:r>
              <w:rPr>
                <w:bCs/>
                <w:color w:val="000000"/>
                <w:sz w:val="20"/>
                <w:szCs w:val="20"/>
              </w:rPr>
              <w:t>Вартість</w:t>
            </w:r>
          </w:p>
        </w:tc>
        <w:tc>
          <w:tcPr>
            <w:tcW w:w="541" w:type="dxa"/>
            <w:tcBorders>
              <w:left w:val="single" w:sz="4" w:space="0" w:color="000000"/>
              <w:bottom w:val="single" w:sz="4" w:space="0" w:color="000000"/>
            </w:tcBorders>
            <w:shd w:fill="auto" w:val="clear"/>
            <w:textDirection w:val="btLr"/>
            <w:vAlign w:val="center"/>
          </w:tcPr>
          <w:p>
            <w:pPr>
              <w:pStyle w:val="Normal"/>
              <w:widowControl w:val="false"/>
              <w:jc w:val="center"/>
              <w:rPr>
                <w:bCs/>
                <w:color w:val="000000"/>
                <w:sz w:val="20"/>
                <w:szCs w:val="20"/>
              </w:rPr>
            </w:pPr>
            <w:r>
              <w:rPr>
                <w:bCs/>
                <w:color w:val="000000"/>
                <w:sz w:val="20"/>
                <w:szCs w:val="20"/>
              </w:rPr>
              <w:t>Кількість</w:t>
            </w:r>
          </w:p>
        </w:tc>
        <w:tc>
          <w:tcPr>
            <w:tcW w:w="548" w:type="dxa"/>
            <w:tcBorders>
              <w:left w:val="single" w:sz="4" w:space="0" w:color="000000"/>
              <w:bottom w:val="single" w:sz="4" w:space="0" w:color="000000"/>
            </w:tcBorders>
            <w:shd w:fill="auto" w:val="clear"/>
            <w:textDirection w:val="btLr"/>
            <w:vAlign w:val="center"/>
          </w:tcPr>
          <w:p>
            <w:pPr>
              <w:pStyle w:val="Normal"/>
              <w:widowControl w:val="false"/>
              <w:jc w:val="center"/>
              <w:rPr>
                <w:bCs/>
                <w:color w:val="000000"/>
                <w:sz w:val="20"/>
                <w:szCs w:val="20"/>
              </w:rPr>
            </w:pPr>
            <w:r>
              <w:rPr>
                <w:bCs/>
                <w:color w:val="000000"/>
                <w:sz w:val="20"/>
                <w:szCs w:val="20"/>
              </w:rPr>
              <w:t>Вартість</w:t>
            </w:r>
          </w:p>
        </w:tc>
        <w:tc>
          <w:tcPr>
            <w:tcW w:w="543" w:type="dxa"/>
            <w:tcBorders>
              <w:left w:val="single" w:sz="4" w:space="0" w:color="000000"/>
              <w:bottom w:val="single" w:sz="4" w:space="0" w:color="000000"/>
            </w:tcBorders>
            <w:shd w:fill="auto" w:val="clear"/>
            <w:textDirection w:val="btLr"/>
            <w:vAlign w:val="center"/>
          </w:tcPr>
          <w:p>
            <w:pPr>
              <w:pStyle w:val="Normal"/>
              <w:widowControl w:val="false"/>
              <w:jc w:val="center"/>
              <w:rPr>
                <w:bCs/>
                <w:color w:val="000000"/>
                <w:sz w:val="20"/>
                <w:szCs w:val="20"/>
              </w:rPr>
            </w:pPr>
            <w:r>
              <w:rPr>
                <w:bCs/>
                <w:color w:val="000000"/>
                <w:sz w:val="20"/>
                <w:szCs w:val="20"/>
              </w:rPr>
              <w:t>Кількість</w:t>
            </w:r>
          </w:p>
        </w:tc>
        <w:tc>
          <w:tcPr>
            <w:tcW w:w="545" w:type="dxa"/>
            <w:tcBorders>
              <w:left w:val="single" w:sz="4" w:space="0" w:color="000000"/>
              <w:bottom w:val="single" w:sz="4" w:space="0" w:color="000000"/>
            </w:tcBorders>
            <w:shd w:fill="auto" w:val="clear"/>
            <w:textDirection w:val="btLr"/>
            <w:vAlign w:val="center"/>
          </w:tcPr>
          <w:p>
            <w:pPr>
              <w:pStyle w:val="Normal"/>
              <w:widowControl w:val="false"/>
              <w:jc w:val="center"/>
              <w:rPr>
                <w:bCs/>
                <w:color w:val="000000"/>
                <w:sz w:val="20"/>
                <w:szCs w:val="20"/>
              </w:rPr>
            </w:pPr>
            <w:r>
              <w:rPr>
                <w:bCs/>
                <w:color w:val="000000"/>
                <w:sz w:val="20"/>
                <w:szCs w:val="20"/>
              </w:rPr>
              <w:t>Вартість</w:t>
            </w:r>
          </w:p>
        </w:tc>
        <w:tc>
          <w:tcPr>
            <w:tcW w:w="1020" w:type="dxa"/>
            <w:vMerge w:val="continue"/>
            <w:tcBorders>
              <w:left w:val="single" w:sz="4" w:space="0" w:color="000000"/>
              <w:bottom w:val="single" w:sz="4" w:space="0" w:color="000000"/>
            </w:tcBorders>
            <w:shd w:fill="auto" w:val="clear"/>
          </w:tcPr>
          <w:p>
            <w:pPr>
              <w:pStyle w:val="Normal"/>
              <w:widowControl w:val="false"/>
              <w:snapToGrid w:val="false"/>
              <w:jc w:val="center"/>
              <w:rPr>
                <w:bCs/>
                <w:color w:val="000000"/>
                <w:sz w:val="21"/>
                <w:szCs w:val="21"/>
              </w:rPr>
            </w:pPr>
            <w:r>
              <w:rPr>
                <w:bCs/>
                <w:color w:val="000000"/>
                <w:sz w:val="21"/>
                <w:szCs w:val="21"/>
              </w:rPr>
            </w:r>
          </w:p>
        </w:tc>
        <w:tc>
          <w:tcPr>
            <w:tcW w:w="1186" w:type="dxa"/>
            <w:vMerge w:val="continue"/>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1246" w:type="dxa"/>
            <w:vMerge w:val="continue"/>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1189" w:type="dxa"/>
            <w:vMerge w:val="continue"/>
            <w:tcBorders>
              <w:left w:val="single" w:sz="4" w:space="0" w:color="000000"/>
              <w:bottom w:val="single" w:sz="4" w:space="0" w:color="000000"/>
              <w:right w:val="single" w:sz="4" w:space="0" w:color="000000"/>
            </w:tcBorders>
            <w:shd w:fill="auto" w:val="clear"/>
          </w:tcPr>
          <w:p>
            <w:pPr>
              <w:pStyle w:val="Normal"/>
              <w:widowControl w:val="false"/>
              <w:snapToGrid w:val="false"/>
              <w:jc w:val="center"/>
              <w:rPr>
                <w:bCs/>
                <w:color w:val="000000"/>
              </w:rPr>
            </w:pPr>
            <w:r>
              <w:rPr>
                <w:bCs/>
                <w:color w:val="000000"/>
              </w:rPr>
            </w:r>
          </w:p>
        </w:tc>
      </w:tr>
      <w:tr>
        <w:trPr/>
        <w:tc>
          <w:tcPr>
            <w:tcW w:w="509" w:type="dxa"/>
            <w:tcBorders>
              <w:left w:val="single" w:sz="4" w:space="0" w:color="000000"/>
              <w:bottom w:val="single" w:sz="4" w:space="0" w:color="000000"/>
            </w:tcBorders>
            <w:shd w:fill="auto" w:val="clear"/>
          </w:tcPr>
          <w:p>
            <w:pPr>
              <w:pStyle w:val="Normal"/>
              <w:widowControl w:val="false"/>
              <w:snapToGrid w:val="false"/>
              <w:jc w:val="center"/>
              <w:rPr>
                <w:b/>
                <w:b/>
                <w:bCs/>
                <w:color w:val="000000"/>
              </w:rPr>
            </w:pPr>
            <w:r>
              <w:rPr>
                <w:b/>
                <w:bCs/>
                <w:color w:val="000000"/>
              </w:rPr>
            </w:r>
          </w:p>
        </w:tc>
        <w:tc>
          <w:tcPr>
            <w:tcW w:w="1023"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1308"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917"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448"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1131"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578"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637"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594"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591"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541"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548"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543"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545"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1020"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1186"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1246"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1189" w:type="dxa"/>
            <w:tcBorders>
              <w:left w:val="single" w:sz="4" w:space="0" w:color="000000"/>
              <w:bottom w:val="single" w:sz="4" w:space="0" w:color="000000"/>
              <w:right w:val="single" w:sz="4" w:space="0" w:color="000000"/>
            </w:tcBorders>
            <w:shd w:fill="auto" w:val="clear"/>
          </w:tcPr>
          <w:p>
            <w:pPr>
              <w:pStyle w:val="Normal"/>
              <w:widowControl w:val="false"/>
              <w:snapToGrid w:val="false"/>
              <w:jc w:val="center"/>
              <w:rPr>
                <w:bCs/>
                <w:color w:val="000000"/>
              </w:rPr>
            </w:pPr>
            <w:r>
              <w:rPr>
                <w:bCs/>
                <w:color w:val="000000"/>
              </w:rPr>
            </w:r>
          </w:p>
        </w:tc>
      </w:tr>
      <w:tr>
        <w:trPr/>
        <w:tc>
          <w:tcPr>
            <w:tcW w:w="509" w:type="dxa"/>
            <w:tcBorders>
              <w:left w:val="single" w:sz="4" w:space="0" w:color="000000"/>
              <w:bottom w:val="single" w:sz="4" w:space="0" w:color="000000"/>
            </w:tcBorders>
            <w:shd w:fill="auto" w:val="clear"/>
          </w:tcPr>
          <w:p>
            <w:pPr>
              <w:pStyle w:val="Normal"/>
              <w:widowControl w:val="false"/>
              <w:snapToGrid w:val="false"/>
              <w:jc w:val="center"/>
              <w:rPr>
                <w:b/>
                <w:b/>
                <w:bCs/>
                <w:color w:val="000000"/>
              </w:rPr>
            </w:pPr>
            <w:r>
              <w:rPr>
                <w:b/>
                <w:bCs/>
                <w:color w:val="000000"/>
              </w:rPr>
            </w:r>
          </w:p>
        </w:tc>
        <w:tc>
          <w:tcPr>
            <w:tcW w:w="1023"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1308"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917"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448"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1131"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578"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637"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594"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591"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541"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548"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543"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545"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1020"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1186"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1246"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1189" w:type="dxa"/>
            <w:tcBorders>
              <w:left w:val="single" w:sz="4" w:space="0" w:color="000000"/>
              <w:bottom w:val="single" w:sz="4" w:space="0" w:color="000000"/>
              <w:right w:val="single" w:sz="4" w:space="0" w:color="000000"/>
            </w:tcBorders>
            <w:shd w:fill="auto" w:val="clear"/>
          </w:tcPr>
          <w:p>
            <w:pPr>
              <w:pStyle w:val="Normal"/>
              <w:widowControl w:val="false"/>
              <w:snapToGrid w:val="false"/>
              <w:jc w:val="center"/>
              <w:rPr>
                <w:bCs/>
                <w:color w:val="000000"/>
              </w:rPr>
            </w:pPr>
            <w:r>
              <w:rPr>
                <w:bCs/>
                <w:color w:val="000000"/>
              </w:rPr>
            </w:r>
          </w:p>
        </w:tc>
      </w:tr>
      <w:tr>
        <w:trPr/>
        <w:tc>
          <w:tcPr>
            <w:tcW w:w="509" w:type="dxa"/>
            <w:tcBorders>
              <w:left w:val="single" w:sz="4" w:space="0" w:color="000000"/>
              <w:bottom w:val="single" w:sz="4" w:space="0" w:color="000000"/>
            </w:tcBorders>
            <w:shd w:fill="auto" w:val="clear"/>
          </w:tcPr>
          <w:p>
            <w:pPr>
              <w:pStyle w:val="Normal"/>
              <w:widowControl w:val="false"/>
              <w:snapToGrid w:val="false"/>
              <w:jc w:val="center"/>
              <w:rPr>
                <w:b/>
                <w:b/>
                <w:bCs/>
                <w:color w:val="000000"/>
              </w:rPr>
            </w:pPr>
            <w:r>
              <w:rPr>
                <w:b/>
                <w:bCs/>
                <w:color w:val="000000"/>
              </w:rPr>
            </w:r>
          </w:p>
        </w:tc>
        <w:tc>
          <w:tcPr>
            <w:tcW w:w="1023"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1308"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917"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448"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1131"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578"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637"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594"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591"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541"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548"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543"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545"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1020"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1186"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1246"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1189" w:type="dxa"/>
            <w:tcBorders>
              <w:left w:val="single" w:sz="4" w:space="0" w:color="000000"/>
              <w:bottom w:val="single" w:sz="4" w:space="0" w:color="000000"/>
              <w:right w:val="single" w:sz="4" w:space="0" w:color="000000"/>
            </w:tcBorders>
            <w:shd w:fill="auto" w:val="clear"/>
          </w:tcPr>
          <w:p>
            <w:pPr>
              <w:pStyle w:val="Normal"/>
              <w:widowControl w:val="false"/>
              <w:snapToGrid w:val="false"/>
              <w:jc w:val="center"/>
              <w:rPr>
                <w:bCs/>
                <w:color w:val="000000"/>
              </w:rPr>
            </w:pPr>
            <w:r>
              <w:rPr>
                <w:bCs/>
                <w:color w:val="000000"/>
              </w:rPr>
            </w:r>
          </w:p>
        </w:tc>
      </w:tr>
      <w:tr>
        <w:trPr/>
        <w:tc>
          <w:tcPr>
            <w:tcW w:w="509" w:type="dxa"/>
            <w:tcBorders>
              <w:left w:val="single" w:sz="4" w:space="0" w:color="000000"/>
              <w:bottom w:val="single" w:sz="4" w:space="0" w:color="000000"/>
            </w:tcBorders>
            <w:shd w:fill="auto" w:val="clear"/>
          </w:tcPr>
          <w:p>
            <w:pPr>
              <w:pStyle w:val="Normal"/>
              <w:widowControl w:val="false"/>
              <w:snapToGrid w:val="false"/>
              <w:jc w:val="center"/>
              <w:rPr>
                <w:b/>
                <w:b/>
                <w:bCs/>
                <w:color w:val="000000"/>
              </w:rPr>
            </w:pPr>
            <w:r>
              <w:rPr>
                <w:b/>
                <w:bCs/>
                <w:color w:val="000000"/>
              </w:rPr>
            </w:r>
          </w:p>
        </w:tc>
        <w:tc>
          <w:tcPr>
            <w:tcW w:w="1023"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1308"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917"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448"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1131"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578"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637"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594"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591"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541"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548"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543"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545"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1020"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1186"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1246"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1189" w:type="dxa"/>
            <w:tcBorders>
              <w:left w:val="single" w:sz="4" w:space="0" w:color="000000"/>
              <w:bottom w:val="single" w:sz="4" w:space="0" w:color="000000"/>
              <w:right w:val="single" w:sz="4" w:space="0" w:color="000000"/>
            </w:tcBorders>
            <w:shd w:fill="auto" w:val="clear"/>
          </w:tcPr>
          <w:p>
            <w:pPr>
              <w:pStyle w:val="Normal"/>
              <w:widowControl w:val="false"/>
              <w:snapToGrid w:val="false"/>
              <w:jc w:val="center"/>
              <w:rPr>
                <w:bCs/>
                <w:color w:val="000000"/>
              </w:rPr>
            </w:pPr>
            <w:r>
              <w:rPr>
                <w:bCs/>
                <w:color w:val="000000"/>
              </w:rPr>
            </w:r>
          </w:p>
        </w:tc>
      </w:tr>
      <w:tr>
        <w:trPr/>
        <w:tc>
          <w:tcPr>
            <w:tcW w:w="509" w:type="dxa"/>
            <w:tcBorders>
              <w:left w:val="single" w:sz="4" w:space="0" w:color="000000"/>
              <w:bottom w:val="single" w:sz="4" w:space="0" w:color="000000"/>
            </w:tcBorders>
            <w:shd w:fill="auto" w:val="clear"/>
          </w:tcPr>
          <w:p>
            <w:pPr>
              <w:pStyle w:val="Normal"/>
              <w:widowControl w:val="false"/>
              <w:snapToGrid w:val="false"/>
              <w:jc w:val="center"/>
              <w:rPr>
                <w:b/>
                <w:b/>
                <w:bCs/>
                <w:color w:val="000000"/>
              </w:rPr>
            </w:pPr>
            <w:r>
              <w:rPr>
                <w:b/>
                <w:bCs/>
                <w:color w:val="000000"/>
              </w:rPr>
            </w:r>
          </w:p>
        </w:tc>
        <w:tc>
          <w:tcPr>
            <w:tcW w:w="1023"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1308"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917"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448"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1131"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578"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637"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594"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591"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541"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548"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543"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545"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1020"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1186"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1246"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1189" w:type="dxa"/>
            <w:tcBorders>
              <w:left w:val="single" w:sz="4" w:space="0" w:color="000000"/>
              <w:bottom w:val="single" w:sz="4" w:space="0" w:color="000000"/>
              <w:right w:val="single" w:sz="4" w:space="0" w:color="000000"/>
            </w:tcBorders>
            <w:shd w:fill="auto" w:val="clear"/>
          </w:tcPr>
          <w:p>
            <w:pPr>
              <w:pStyle w:val="Normal"/>
              <w:widowControl w:val="false"/>
              <w:snapToGrid w:val="false"/>
              <w:jc w:val="center"/>
              <w:rPr>
                <w:bCs/>
                <w:color w:val="000000"/>
              </w:rPr>
            </w:pPr>
            <w:r>
              <w:rPr>
                <w:bCs/>
                <w:color w:val="000000"/>
              </w:rPr>
            </w:r>
          </w:p>
        </w:tc>
      </w:tr>
      <w:tr>
        <w:trPr/>
        <w:tc>
          <w:tcPr>
            <w:tcW w:w="509" w:type="dxa"/>
            <w:tcBorders>
              <w:left w:val="single" w:sz="4" w:space="0" w:color="000000"/>
              <w:bottom w:val="single" w:sz="4" w:space="0" w:color="000000"/>
            </w:tcBorders>
            <w:shd w:fill="auto" w:val="clear"/>
          </w:tcPr>
          <w:p>
            <w:pPr>
              <w:pStyle w:val="Normal"/>
              <w:widowControl w:val="false"/>
              <w:snapToGrid w:val="false"/>
              <w:jc w:val="center"/>
              <w:rPr>
                <w:b/>
                <w:b/>
                <w:bCs/>
                <w:color w:val="000000"/>
              </w:rPr>
            </w:pPr>
            <w:r>
              <w:rPr>
                <w:b/>
                <w:bCs/>
                <w:color w:val="000000"/>
              </w:rPr>
            </w:r>
          </w:p>
        </w:tc>
        <w:tc>
          <w:tcPr>
            <w:tcW w:w="1023"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1308"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917"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448"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1131"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578"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637"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594"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591"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541"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548"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543"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545"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1020"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1186"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1246"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1189" w:type="dxa"/>
            <w:tcBorders>
              <w:left w:val="single" w:sz="4" w:space="0" w:color="000000"/>
              <w:bottom w:val="single" w:sz="4" w:space="0" w:color="000000"/>
              <w:right w:val="single" w:sz="4" w:space="0" w:color="000000"/>
            </w:tcBorders>
            <w:shd w:fill="auto" w:val="clear"/>
          </w:tcPr>
          <w:p>
            <w:pPr>
              <w:pStyle w:val="Normal"/>
              <w:widowControl w:val="false"/>
              <w:snapToGrid w:val="false"/>
              <w:jc w:val="center"/>
              <w:rPr>
                <w:bCs/>
                <w:color w:val="000000"/>
              </w:rPr>
            </w:pPr>
            <w:r>
              <w:rPr>
                <w:bCs/>
                <w:color w:val="000000"/>
              </w:rPr>
            </w:r>
          </w:p>
        </w:tc>
      </w:tr>
      <w:tr>
        <w:trPr/>
        <w:tc>
          <w:tcPr>
            <w:tcW w:w="509" w:type="dxa"/>
            <w:tcBorders>
              <w:left w:val="single" w:sz="4" w:space="0" w:color="000000"/>
              <w:bottom w:val="single" w:sz="4" w:space="0" w:color="000000"/>
            </w:tcBorders>
            <w:shd w:fill="auto" w:val="clear"/>
          </w:tcPr>
          <w:p>
            <w:pPr>
              <w:pStyle w:val="Normal"/>
              <w:widowControl w:val="false"/>
              <w:snapToGrid w:val="false"/>
              <w:jc w:val="center"/>
              <w:rPr>
                <w:b/>
                <w:b/>
                <w:bCs/>
                <w:color w:val="000000"/>
              </w:rPr>
            </w:pPr>
            <w:r>
              <w:rPr>
                <w:b/>
                <w:bCs/>
                <w:color w:val="000000"/>
              </w:rPr>
            </w:r>
          </w:p>
        </w:tc>
        <w:tc>
          <w:tcPr>
            <w:tcW w:w="1023"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1308"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917"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448"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1131"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578"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637"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594"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591"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541"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548"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543"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545"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1020"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1186"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1246"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1189" w:type="dxa"/>
            <w:tcBorders>
              <w:left w:val="single" w:sz="4" w:space="0" w:color="000000"/>
              <w:bottom w:val="single" w:sz="4" w:space="0" w:color="000000"/>
              <w:right w:val="single" w:sz="4" w:space="0" w:color="000000"/>
            </w:tcBorders>
            <w:shd w:fill="auto" w:val="clear"/>
          </w:tcPr>
          <w:p>
            <w:pPr>
              <w:pStyle w:val="Normal"/>
              <w:widowControl w:val="false"/>
              <w:snapToGrid w:val="false"/>
              <w:jc w:val="center"/>
              <w:rPr>
                <w:bCs/>
                <w:color w:val="000000"/>
              </w:rPr>
            </w:pPr>
            <w:r>
              <w:rPr>
                <w:bCs/>
                <w:color w:val="000000"/>
              </w:rPr>
            </w:r>
          </w:p>
        </w:tc>
      </w:tr>
      <w:tr>
        <w:trPr/>
        <w:tc>
          <w:tcPr>
            <w:tcW w:w="509" w:type="dxa"/>
            <w:tcBorders>
              <w:left w:val="single" w:sz="4" w:space="0" w:color="000000"/>
              <w:bottom w:val="single" w:sz="4" w:space="0" w:color="000000"/>
            </w:tcBorders>
            <w:shd w:fill="auto" w:val="clear"/>
          </w:tcPr>
          <w:p>
            <w:pPr>
              <w:pStyle w:val="Normal"/>
              <w:widowControl w:val="false"/>
              <w:snapToGrid w:val="false"/>
              <w:jc w:val="center"/>
              <w:rPr>
                <w:b/>
                <w:b/>
                <w:bCs/>
                <w:color w:val="000000"/>
              </w:rPr>
            </w:pPr>
            <w:r>
              <w:rPr>
                <w:b/>
                <w:bCs/>
                <w:color w:val="000000"/>
              </w:rPr>
            </w:r>
          </w:p>
        </w:tc>
        <w:tc>
          <w:tcPr>
            <w:tcW w:w="1023"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1308"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917"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448"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1131"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578"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637"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594"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591"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541"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548"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543"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545"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1020"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1186"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1246"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1189" w:type="dxa"/>
            <w:tcBorders>
              <w:left w:val="single" w:sz="4" w:space="0" w:color="000000"/>
              <w:bottom w:val="single" w:sz="4" w:space="0" w:color="000000"/>
              <w:right w:val="single" w:sz="4" w:space="0" w:color="000000"/>
            </w:tcBorders>
            <w:shd w:fill="auto" w:val="clear"/>
          </w:tcPr>
          <w:p>
            <w:pPr>
              <w:pStyle w:val="Normal"/>
              <w:widowControl w:val="false"/>
              <w:snapToGrid w:val="false"/>
              <w:jc w:val="center"/>
              <w:rPr>
                <w:bCs/>
                <w:color w:val="000000"/>
              </w:rPr>
            </w:pPr>
            <w:r>
              <w:rPr>
                <w:bCs/>
                <w:color w:val="000000"/>
              </w:rPr>
            </w:r>
          </w:p>
        </w:tc>
      </w:tr>
      <w:tr>
        <w:trPr/>
        <w:tc>
          <w:tcPr>
            <w:tcW w:w="509" w:type="dxa"/>
            <w:tcBorders>
              <w:left w:val="single" w:sz="4" w:space="0" w:color="000000"/>
              <w:bottom w:val="single" w:sz="4" w:space="0" w:color="000000"/>
            </w:tcBorders>
            <w:shd w:fill="auto" w:val="clear"/>
          </w:tcPr>
          <w:p>
            <w:pPr>
              <w:pStyle w:val="Normal"/>
              <w:widowControl w:val="false"/>
              <w:snapToGrid w:val="false"/>
              <w:jc w:val="center"/>
              <w:rPr>
                <w:b/>
                <w:b/>
                <w:bCs/>
                <w:color w:val="000000"/>
              </w:rPr>
            </w:pPr>
            <w:r>
              <w:rPr>
                <w:b/>
                <w:bCs/>
                <w:color w:val="000000"/>
              </w:rPr>
            </w:r>
          </w:p>
        </w:tc>
        <w:tc>
          <w:tcPr>
            <w:tcW w:w="1023"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1308"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917"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448"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1131"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578"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637"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594"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591"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541"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548"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543"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545"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1020"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1186"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1246"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1189" w:type="dxa"/>
            <w:tcBorders>
              <w:left w:val="single" w:sz="4" w:space="0" w:color="000000"/>
              <w:bottom w:val="single" w:sz="4" w:space="0" w:color="000000"/>
              <w:right w:val="single" w:sz="4" w:space="0" w:color="000000"/>
            </w:tcBorders>
            <w:shd w:fill="auto" w:val="clear"/>
          </w:tcPr>
          <w:p>
            <w:pPr>
              <w:pStyle w:val="Normal"/>
              <w:widowControl w:val="false"/>
              <w:snapToGrid w:val="false"/>
              <w:jc w:val="center"/>
              <w:rPr>
                <w:bCs/>
                <w:color w:val="000000"/>
              </w:rPr>
            </w:pPr>
            <w:r>
              <w:rPr>
                <w:bCs/>
                <w:color w:val="000000"/>
              </w:rPr>
            </w:r>
          </w:p>
        </w:tc>
      </w:tr>
      <w:tr>
        <w:trPr/>
        <w:tc>
          <w:tcPr>
            <w:tcW w:w="509" w:type="dxa"/>
            <w:tcBorders>
              <w:left w:val="single" w:sz="4" w:space="0" w:color="000000"/>
              <w:bottom w:val="single" w:sz="4" w:space="0" w:color="000000"/>
            </w:tcBorders>
            <w:shd w:fill="auto" w:val="clear"/>
          </w:tcPr>
          <w:p>
            <w:pPr>
              <w:pStyle w:val="Normal"/>
              <w:widowControl w:val="false"/>
              <w:snapToGrid w:val="false"/>
              <w:jc w:val="center"/>
              <w:rPr>
                <w:b/>
                <w:b/>
                <w:bCs/>
                <w:color w:val="000000"/>
              </w:rPr>
            </w:pPr>
            <w:r>
              <w:rPr>
                <w:b/>
                <w:bCs/>
                <w:color w:val="000000"/>
              </w:rPr>
            </w:r>
          </w:p>
        </w:tc>
        <w:tc>
          <w:tcPr>
            <w:tcW w:w="1023"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1308"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917"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448"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1131"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578"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637"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594"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591"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541"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548"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543"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545"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1020"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1186"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1246"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1189" w:type="dxa"/>
            <w:tcBorders>
              <w:left w:val="single" w:sz="4" w:space="0" w:color="000000"/>
              <w:bottom w:val="single" w:sz="4" w:space="0" w:color="000000"/>
              <w:right w:val="single" w:sz="4" w:space="0" w:color="000000"/>
            </w:tcBorders>
            <w:shd w:fill="auto" w:val="clear"/>
          </w:tcPr>
          <w:p>
            <w:pPr>
              <w:pStyle w:val="Normal"/>
              <w:widowControl w:val="false"/>
              <w:snapToGrid w:val="false"/>
              <w:jc w:val="center"/>
              <w:rPr>
                <w:bCs/>
                <w:color w:val="000000"/>
              </w:rPr>
            </w:pPr>
            <w:r>
              <w:rPr>
                <w:bCs/>
                <w:color w:val="000000"/>
              </w:rPr>
            </w:r>
          </w:p>
        </w:tc>
      </w:tr>
      <w:tr>
        <w:trPr/>
        <w:tc>
          <w:tcPr>
            <w:tcW w:w="509" w:type="dxa"/>
            <w:tcBorders>
              <w:left w:val="single" w:sz="4" w:space="0" w:color="000000"/>
              <w:bottom w:val="single" w:sz="4" w:space="0" w:color="000000"/>
            </w:tcBorders>
            <w:shd w:fill="auto" w:val="clear"/>
          </w:tcPr>
          <w:p>
            <w:pPr>
              <w:pStyle w:val="Normal"/>
              <w:widowControl w:val="false"/>
              <w:snapToGrid w:val="false"/>
              <w:jc w:val="center"/>
              <w:rPr>
                <w:b/>
                <w:b/>
                <w:bCs/>
                <w:color w:val="000000"/>
              </w:rPr>
            </w:pPr>
            <w:r>
              <w:rPr>
                <w:b/>
                <w:bCs/>
                <w:color w:val="000000"/>
              </w:rPr>
            </w:r>
          </w:p>
        </w:tc>
        <w:tc>
          <w:tcPr>
            <w:tcW w:w="1023"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1308"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917"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448"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1131"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578"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637"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594"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591"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541"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548"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543"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545"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1020"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1186"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1246"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1189" w:type="dxa"/>
            <w:tcBorders>
              <w:left w:val="single" w:sz="4" w:space="0" w:color="000000"/>
              <w:bottom w:val="single" w:sz="4" w:space="0" w:color="000000"/>
              <w:right w:val="single" w:sz="4" w:space="0" w:color="000000"/>
            </w:tcBorders>
            <w:shd w:fill="auto" w:val="clear"/>
          </w:tcPr>
          <w:p>
            <w:pPr>
              <w:pStyle w:val="Normal"/>
              <w:widowControl w:val="false"/>
              <w:snapToGrid w:val="false"/>
              <w:jc w:val="center"/>
              <w:rPr>
                <w:bCs/>
                <w:color w:val="000000"/>
              </w:rPr>
            </w:pPr>
            <w:r>
              <w:rPr>
                <w:bCs/>
                <w:color w:val="000000"/>
              </w:rPr>
            </w:r>
          </w:p>
        </w:tc>
      </w:tr>
      <w:tr>
        <w:trPr/>
        <w:tc>
          <w:tcPr>
            <w:tcW w:w="509" w:type="dxa"/>
            <w:tcBorders>
              <w:left w:val="single" w:sz="4" w:space="0" w:color="000000"/>
              <w:bottom w:val="single" w:sz="4" w:space="0" w:color="000000"/>
            </w:tcBorders>
            <w:shd w:fill="auto" w:val="clear"/>
          </w:tcPr>
          <w:p>
            <w:pPr>
              <w:pStyle w:val="Normal"/>
              <w:widowControl w:val="false"/>
              <w:snapToGrid w:val="false"/>
              <w:jc w:val="center"/>
              <w:rPr>
                <w:b/>
                <w:b/>
                <w:bCs/>
                <w:color w:val="000000"/>
              </w:rPr>
            </w:pPr>
            <w:r>
              <w:rPr>
                <w:b/>
                <w:bCs/>
                <w:color w:val="000000"/>
              </w:rPr>
            </w:r>
          </w:p>
        </w:tc>
        <w:tc>
          <w:tcPr>
            <w:tcW w:w="1023"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1308"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917"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448"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1131"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578"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637"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594"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591"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541"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548"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543"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545"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1020"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1186"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1246"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1189" w:type="dxa"/>
            <w:tcBorders>
              <w:left w:val="single" w:sz="4" w:space="0" w:color="000000"/>
              <w:bottom w:val="single" w:sz="4" w:space="0" w:color="000000"/>
              <w:right w:val="single" w:sz="4" w:space="0" w:color="000000"/>
            </w:tcBorders>
            <w:shd w:fill="auto" w:val="clear"/>
          </w:tcPr>
          <w:p>
            <w:pPr>
              <w:pStyle w:val="Normal"/>
              <w:widowControl w:val="false"/>
              <w:snapToGrid w:val="false"/>
              <w:jc w:val="center"/>
              <w:rPr>
                <w:bCs/>
                <w:color w:val="000000"/>
              </w:rPr>
            </w:pPr>
            <w:r>
              <w:rPr>
                <w:bCs/>
                <w:color w:val="000000"/>
              </w:rPr>
            </w:r>
          </w:p>
        </w:tc>
      </w:tr>
      <w:tr>
        <w:trPr/>
        <w:tc>
          <w:tcPr>
            <w:tcW w:w="509" w:type="dxa"/>
            <w:tcBorders>
              <w:left w:val="single" w:sz="4" w:space="0" w:color="000000"/>
              <w:bottom w:val="single" w:sz="4" w:space="0" w:color="000000"/>
            </w:tcBorders>
            <w:shd w:fill="auto" w:val="clear"/>
          </w:tcPr>
          <w:p>
            <w:pPr>
              <w:pStyle w:val="Normal"/>
              <w:widowControl w:val="false"/>
              <w:snapToGrid w:val="false"/>
              <w:jc w:val="center"/>
              <w:rPr>
                <w:b/>
                <w:b/>
                <w:bCs/>
                <w:color w:val="000000"/>
              </w:rPr>
            </w:pPr>
            <w:r>
              <w:rPr>
                <w:b/>
                <w:bCs/>
                <w:color w:val="000000"/>
              </w:rPr>
            </w:r>
          </w:p>
        </w:tc>
        <w:tc>
          <w:tcPr>
            <w:tcW w:w="1023"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1308"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917"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448"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1131"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578"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637"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594"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591"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541"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548"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543"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545"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1020"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1186"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1246"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1189" w:type="dxa"/>
            <w:tcBorders>
              <w:left w:val="single" w:sz="4" w:space="0" w:color="000000"/>
              <w:bottom w:val="single" w:sz="4" w:space="0" w:color="000000"/>
              <w:right w:val="single" w:sz="4" w:space="0" w:color="000000"/>
            </w:tcBorders>
            <w:shd w:fill="auto" w:val="clear"/>
          </w:tcPr>
          <w:p>
            <w:pPr>
              <w:pStyle w:val="Normal"/>
              <w:widowControl w:val="false"/>
              <w:snapToGrid w:val="false"/>
              <w:jc w:val="center"/>
              <w:rPr>
                <w:bCs/>
                <w:color w:val="000000"/>
              </w:rPr>
            </w:pPr>
            <w:r>
              <w:rPr>
                <w:bCs/>
                <w:color w:val="000000"/>
              </w:rPr>
            </w:r>
          </w:p>
        </w:tc>
      </w:tr>
      <w:tr>
        <w:trPr/>
        <w:tc>
          <w:tcPr>
            <w:tcW w:w="509" w:type="dxa"/>
            <w:tcBorders>
              <w:left w:val="single" w:sz="4" w:space="0" w:color="000000"/>
              <w:bottom w:val="single" w:sz="4" w:space="0" w:color="000000"/>
            </w:tcBorders>
            <w:shd w:fill="auto" w:val="clear"/>
          </w:tcPr>
          <w:p>
            <w:pPr>
              <w:pStyle w:val="Normal"/>
              <w:widowControl w:val="false"/>
              <w:snapToGrid w:val="false"/>
              <w:jc w:val="center"/>
              <w:rPr>
                <w:b/>
                <w:b/>
                <w:bCs/>
                <w:color w:val="000000"/>
              </w:rPr>
            </w:pPr>
            <w:r>
              <w:rPr>
                <w:b/>
                <w:bCs/>
                <w:color w:val="000000"/>
              </w:rPr>
            </w:r>
          </w:p>
        </w:tc>
        <w:tc>
          <w:tcPr>
            <w:tcW w:w="1023"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1308"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917"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448"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1131"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578"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637"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594"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591"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541"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548"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543"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545"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1020"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1186"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1246"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1189" w:type="dxa"/>
            <w:tcBorders>
              <w:left w:val="single" w:sz="4" w:space="0" w:color="000000"/>
              <w:bottom w:val="single" w:sz="4" w:space="0" w:color="000000"/>
              <w:right w:val="single" w:sz="4" w:space="0" w:color="000000"/>
            </w:tcBorders>
            <w:shd w:fill="auto" w:val="clear"/>
          </w:tcPr>
          <w:p>
            <w:pPr>
              <w:pStyle w:val="Normal"/>
              <w:widowControl w:val="false"/>
              <w:snapToGrid w:val="false"/>
              <w:jc w:val="center"/>
              <w:rPr>
                <w:bCs/>
                <w:color w:val="000000"/>
              </w:rPr>
            </w:pPr>
            <w:r>
              <w:rPr>
                <w:bCs/>
                <w:color w:val="000000"/>
              </w:rPr>
            </w:r>
          </w:p>
        </w:tc>
      </w:tr>
      <w:tr>
        <w:trPr/>
        <w:tc>
          <w:tcPr>
            <w:tcW w:w="509" w:type="dxa"/>
            <w:tcBorders>
              <w:left w:val="single" w:sz="4" w:space="0" w:color="000000"/>
              <w:bottom w:val="single" w:sz="4" w:space="0" w:color="000000"/>
            </w:tcBorders>
            <w:shd w:fill="auto" w:val="clear"/>
          </w:tcPr>
          <w:p>
            <w:pPr>
              <w:pStyle w:val="Normal"/>
              <w:widowControl w:val="false"/>
              <w:snapToGrid w:val="false"/>
              <w:jc w:val="center"/>
              <w:rPr>
                <w:b/>
                <w:b/>
                <w:bCs/>
                <w:color w:val="000000"/>
              </w:rPr>
            </w:pPr>
            <w:r>
              <w:rPr>
                <w:b/>
                <w:bCs/>
                <w:color w:val="000000"/>
              </w:rPr>
            </w:r>
          </w:p>
        </w:tc>
        <w:tc>
          <w:tcPr>
            <w:tcW w:w="1023"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1308"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917"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448"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1131"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578"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637"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594"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591"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541"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548"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543"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545"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1020"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1186"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1246"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1189" w:type="dxa"/>
            <w:tcBorders>
              <w:left w:val="single" w:sz="4" w:space="0" w:color="000000"/>
              <w:bottom w:val="single" w:sz="4" w:space="0" w:color="000000"/>
              <w:right w:val="single" w:sz="4" w:space="0" w:color="000000"/>
            </w:tcBorders>
            <w:shd w:fill="auto" w:val="clear"/>
          </w:tcPr>
          <w:p>
            <w:pPr>
              <w:pStyle w:val="Normal"/>
              <w:widowControl w:val="false"/>
              <w:snapToGrid w:val="false"/>
              <w:jc w:val="center"/>
              <w:rPr>
                <w:bCs/>
                <w:color w:val="000000"/>
              </w:rPr>
            </w:pPr>
            <w:r>
              <w:rPr>
                <w:bCs/>
                <w:color w:val="000000"/>
              </w:rPr>
            </w:r>
          </w:p>
        </w:tc>
      </w:tr>
      <w:tr>
        <w:trPr/>
        <w:tc>
          <w:tcPr>
            <w:tcW w:w="509" w:type="dxa"/>
            <w:tcBorders>
              <w:left w:val="single" w:sz="4" w:space="0" w:color="000000"/>
              <w:bottom w:val="single" w:sz="4" w:space="0" w:color="000000"/>
            </w:tcBorders>
            <w:shd w:fill="auto" w:val="clear"/>
          </w:tcPr>
          <w:p>
            <w:pPr>
              <w:pStyle w:val="Normal"/>
              <w:widowControl w:val="false"/>
              <w:snapToGrid w:val="false"/>
              <w:jc w:val="center"/>
              <w:rPr>
                <w:b/>
                <w:b/>
                <w:bCs/>
                <w:color w:val="000000"/>
              </w:rPr>
            </w:pPr>
            <w:r>
              <w:rPr>
                <w:b/>
                <w:bCs/>
                <w:color w:val="000000"/>
              </w:rPr>
            </w:r>
          </w:p>
        </w:tc>
        <w:tc>
          <w:tcPr>
            <w:tcW w:w="1023"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1308"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917"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448"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1131"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578"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637"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594"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591"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541"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548"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543"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545"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1020"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1186"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1246" w:type="dxa"/>
            <w:tcBorders>
              <w:left w:val="single" w:sz="4" w:space="0" w:color="000000"/>
              <w:bottom w:val="single" w:sz="4" w:space="0" w:color="000000"/>
            </w:tcBorders>
            <w:shd w:fill="auto" w:val="clear"/>
          </w:tcPr>
          <w:p>
            <w:pPr>
              <w:pStyle w:val="Normal"/>
              <w:widowControl w:val="false"/>
              <w:snapToGrid w:val="false"/>
              <w:jc w:val="center"/>
              <w:rPr>
                <w:bCs/>
                <w:color w:val="000000"/>
              </w:rPr>
            </w:pPr>
            <w:r>
              <w:rPr>
                <w:bCs/>
                <w:color w:val="000000"/>
              </w:rPr>
            </w:r>
          </w:p>
        </w:tc>
        <w:tc>
          <w:tcPr>
            <w:tcW w:w="1189" w:type="dxa"/>
            <w:tcBorders>
              <w:left w:val="single" w:sz="4" w:space="0" w:color="000000"/>
              <w:bottom w:val="single" w:sz="4" w:space="0" w:color="000000"/>
              <w:right w:val="single" w:sz="4" w:space="0" w:color="000000"/>
            </w:tcBorders>
            <w:shd w:fill="auto" w:val="clear"/>
          </w:tcPr>
          <w:p>
            <w:pPr>
              <w:pStyle w:val="Normal"/>
              <w:widowControl w:val="false"/>
              <w:snapToGrid w:val="false"/>
              <w:jc w:val="center"/>
              <w:rPr>
                <w:bCs/>
                <w:color w:val="000000"/>
              </w:rPr>
            </w:pPr>
            <w:r>
              <w:rPr>
                <w:bCs/>
                <w:color w:val="000000"/>
              </w:rPr>
            </w:r>
          </w:p>
        </w:tc>
      </w:tr>
    </w:tbl>
    <w:p>
      <w:pPr>
        <w:pStyle w:val="Normal"/>
        <w:jc w:val="center"/>
        <w:rPr>
          <w:b/>
          <w:b/>
          <w:bCs/>
          <w:color w:val="000000"/>
        </w:rPr>
      </w:pPr>
      <w:r>
        <w:rPr>
          <w:b/>
          <w:bCs/>
          <w:color w:val="000000"/>
        </w:rPr>
      </w:r>
    </w:p>
    <w:p>
      <w:pPr>
        <w:pStyle w:val="Normal"/>
        <w:rPr>
          <w:sz w:val="26"/>
          <w:szCs w:val="26"/>
        </w:rPr>
      </w:pPr>
      <w:r>
        <w:rPr/>
        <w:t xml:space="preserve">     </w:t>
      </w:r>
      <w:r>
        <w:rPr>
          <w:sz w:val="26"/>
          <w:szCs w:val="26"/>
        </w:rPr>
        <w:t>Усього</w:t>
      </w:r>
    </w:p>
    <w:p>
      <w:pPr>
        <w:pStyle w:val="Normal"/>
        <w:rPr>
          <w:sz w:val="28"/>
          <w:szCs w:val="28"/>
        </w:rPr>
      </w:pPr>
      <w:r>
        <w:rPr>
          <w:sz w:val="28"/>
          <w:szCs w:val="28"/>
        </w:rPr>
      </w:r>
    </w:p>
    <w:p>
      <w:pPr>
        <w:pStyle w:val="Normal"/>
        <w:rPr>
          <w:sz w:val="26"/>
          <w:szCs w:val="26"/>
        </w:rPr>
      </w:pPr>
      <w:r>
        <w:rPr>
          <w:sz w:val="26"/>
          <w:szCs w:val="26"/>
        </w:rPr>
        <w:t>Голова комісії:</w:t>
      </w:r>
      <w:r>
        <w:rPr>
          <w:sz w:val="28"/>
          <w:szCs w:val="28"/>
        </w:rPr>
        <w:t xml:space="preserve">  </w:t>
      </w:r>
      <w:r>
        <w:rPr/>
        <w:t xml:space="preserve">      ____________     ______________________</w:t>
      </w:r>
    </w:p>
    <w:p>
      <w:pPr>
        <w:pStyle w:val="Normal"/>
        <w:rPr>
          <w:sz w:val="26"/>
          <w:szCs w:val="26"/>
        </w:rPr>
      </w:pPr>
      <w:r>
        <w:rPr/>
        <w:t xml:space="preserve">                                         </w:t>
      </w:r>
      <w:r>
        <w:rPr>
          <w:sz w:val="22"/>
          <w:szCs w:val="22"/>
        </w:rPr>
        <w:t xml:space="preserve"> </w:t>
      </w:r>
      <w:r>
        <w:rPr>
          <w:sz w:val="22"/>
          <w:szCs w:val="22"/>
        </w:rPr>
        <w:t>(підпис)                (ініціали та прізвище)</w:t>
      </w:r>
    </w:p>
    <w:p>
      <w:pPr>
        <w:pStyle w:val="Normal"/>
        <w:rPr>
          <w:sz w:val="26"/>
          <w:szCs w:val="26"/>
        </w:rPr>
      </w:pPr>
      <w:r>
        <w:rPr>
          <w:sz w:val="26"/>
          <w:szCs w:val="26"/>
        </w:rPr>
      </w:r>
    </w:p>
    <w:p>
      <w:pPr>
        <w:pStyle w:val="Normal"/>
        <w:rPr>
          <w:sz w:val="26"/>
          <w:szCs w:val="26"/>
        </w:rPr>
      </w:pPr>
      <w:r>
        <w:rPr>
          <w:sz w:val="26"/>
          <w:szCs w:val="26"/>
        </w:rPr>
        <w:t>Члени комісії:</w:t>
      </w:r>
      <w:r>
        <w:rPr/>
        <w:t xml:space="preserve">         ____________     ______________________</w:t>
      </w:r>
    </w:p>
    <w:p>
      <w:pPr>
        <w:pStyle w:val="Normal"/>
        <w:widowControl w:val="false"/>
        <w:spacing w:before="100" w:after="100"/>
        <w:jc w:val="both"/>
        <w:rPr>
          <w:color w:val="000000"/>
          <w:sz w:val="28"/>
          <w:szCs w:val="28"/>
        </w:rPr>
      </w:pPr>
      <w:r>
        <w:rPr/>
        <w:t xml:space="preserve">                                   </w:t>
      </w:r>
      <w:r>
        <w:rPr/>
        <w:t xml:space="preserve">____________     ______________________ </w:t>
      </w:r>
    </w:p>
    <w:sectPr>
      <w:headerReference w:type="default" r:id="rId5"/>
      <w:type w:val="nextPage"/>
      <w:pgSz w:orient="landscape" w:w="16838" w:h="11906"/>
      <w:pgMar w:left="1134" w:right="1134" w:header="0" w:top="1276" w:footer="0" w:bottom="567"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Liberation Serif">
    <w:altName w:val="Times New Roman"/>
    <w:charset w:val="cc"/>
    <w:family w:val="swiss"/>
    <w:pitch w:val="variable"/>
  </w:font>
  <w:font w:name="Cambria">
    <w:charset w:val="cc"/>
    <w:family w:val="roman"/>
    <w:pitch w:val="variable"/>
  </w:font>
  <w:font w:name="Courier New">
    <w:charset w:val="cc"/>
    <w:family w:val="roman"/>
    <w:pitch w:val="variable"/>
  </w:font>
  <w:font w:name="Wingdings">
    <w:charset w:val="cc"/>
    <w:family w:val="roman"/>
    <w:pitch w:val="variable"/>
  </w:font>
  <w:font w:name="Symbol">
    <w:charset w:val="cc"/>
    <w:family w:val="roman"/>
    <w:pitch w:val="variable"/>
  </w:font>
  <w:font w:name="Liberation Sans">
    <w:altName w:val="Arial"/>
    <w:charset w:val="cc"/>
    <w:family w:val="roman"/>
    <w:pitch w:val="variable"/>
  </w:font>
  <w:font w:name="Tahoma">
    <w:charset w:val="cc"/>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4"/>
      <w:jc w:val="center"/>
      <w:rPr/>
    </w:pPr>
    <w:r>
      <w:rPr/>
      <w:fldChar w:fldCharType="begin"/>
    </w:r>
    <w:r>
      <w:rPr/>
      <w:instrText> PAGE </w:instrText>
    </w:r>
    <w:r>
      <w:rPr/>
      <w:fldChar w:fldCharType="separate"/>
    </w:r>
    <w:r>
      <w:rPr/>
      <w:t>12</w:t>
    </w:r>
    <w:r>
      <w:rPr/>
      <w:fldChar w:fldCharType="end"/>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pPr>
    <w:r>
      <w:rPr/>
    </w:r>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0" w:hanging="0"/>
      </w:pPr>
      <w:rPr>
        <w:rFonts w:cs="Times New Roman"/>
      </w:rPr>
    </w:lvl>
    <w:lvl w:ilvl="1">
      <w:start w:val="1"/>
      <w:pStyle w:val="2"/>
      <w:numFmt w:val="none"/>
      <w:suff w:val="nothing"/>
      <w:lvlText w:val=""/>
      <w:lvlJc w:val="left"/>
      <w:pPr>
        <w:tabs>
          <w:tab w:val="num" w:pos="0"/>
        </w:tabs>
        <w:ind w:left="0" w:hanging="0"/>
      </w:pPr>
      <w:rPr>
        <w:rFonts w:cs="Times New Roman"/>
      </w:rPr>
    </w:lvl>
    <w:lvl w:ilvl="2">
      <w:start w:val="1"/>
      <w:pStyle w:val="3"/>
      <w:numFmt w:val="none"/>
      <w:suff w:val="nothing"/>
      <w:lvlText w:val=""/>
      <w:lvlJc w:val="left"/>
      <w:pPr>
        <w:tabs>
          <w:tab w:val="num" w:pos="0"/>
        </w:tabs>
        <w:ind w:left="0" w:hanging="0"/>
      </w:pPr>
      <w:rPr>
        <w:rFonts w:ascii="Times New Roman" w:hAnsi="Times New Roman" w:cs="Times New Roman"/>
      </w:r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rPr>
        <w:rFonts w:cs="Times New Roman"/>
      </w:rPr>
    </w:lvl>
    <w:lvl w:ilvl="1">
      <w:start w:val="1"/>
      <w:numFmt w:val="none"/>
      <w:suff w:val="nothing"/>
      <w:lvlText w:val=""/>
      <w:lvlJc w:val="left"/>
      <w:pPr>
        <w:tabs>
          <w:tab w:val="num" w:pos="0"/>
        </w:tabs>
        <w:ind w:left="0" w:hanging="0"/>
      </w:pPr>
      <w:rPr>
        <w:rFonts w:cs="Times New Roman"/>
      </w:rPr>
    </w:lvl>
    <w:lvl w:ilvl="2">
      <w:start w:val="1"/>
      <w:numFmt w:val="none"/>
      <w:suff w:val="nothing"/>
      <w:lvlText w:val=""/>
      <w:lvlJc w:val="left"/>
      <w:pPr>
        <w:tabs>
          <w:tab w:val="num" w:pos="0"/>
        </w:tabs>
        <w:ind w:left="0" w:hanging="0"/>
      </w:pPr>
      <w:rPr>
        <w:rFonts w:cs="Times New Roman"/>
      </w:rPr>
    </w:lvl>
    <w:lvl w:ilvl="3">
      <w:start w:val="1"/>
      <w:numFmt w:val="none"/>
      <w:suff w:val="nothing"/>
      <w:lvlText w:val=""/>
      <w:lvlJc w:val="left"/>
      <w:pPr>
        <w:tabs>
          <w:tab w:val="num" w:pos="0"/>
        </w:tabs>
        <w:ind w:left="0" w:hanging="0"/>
      </w:pPr>
      <w:rPr>
        <w:rFonts w:cs="Times New Roman"/>
      </w:rPr>
    </w:lvl>
    <w:lvl w:ilvl="4">
      <w:start w:val="1"/>
      <w:numFmt w:val="none"/>
      <w:suff w:val="nothing"/>
      <w:lvlText w:val=""/>
      <w:lvlJc w:val="left"/>
      <w:pPr>
        <w:tabs>
          <w:tab w:val="num" w:pos="0"/>
        </w:tabs>
        <w:ind w:left="0" w:hanging="0"/>
      </w:pPr>
      <w:rPr>
        <w:rFonts w:cs="Times New Roman"/>
      </w:rPr>
    </w:lvl>
    <w:lvl w:ilvl="5">
      <w:start w:val="1"/>
      <w:numFmt w:val="none"/>
      <w:suff w:val="nothing"/>
      <w:lvlText w:val=""/>
      <w:lvlJc w:val="left"/>
      <w:pPr>
        <w:tabs>
          <w:tab w:val="num" w:pos="0"/>
        </w:tabs>
        <w:ind w:left="0" w:hanging="0"/>
      </w:pPr>
      <w:rPr>
        <w:rFonts w:cs="Times New Roman"/>
      </w:rPr>
    </w:lvl>
    <w:lvl w:ilvl="6">
      <w:start w:val="1"/>
      <w:numFmt w:val="none"/>
      <w:suff w:val="nothing"/>
      <w:lvlText w:val=""/>
      <w:lvlJc w:val="left"/>
      <w:pPr>
        <w:tabs>
          <w:tab w:val="num" w:pos="0"/>
        </w:tabs>
        <w:ind w:left="0" w:hanging="0"/>
      </w:pPr>
      <w:rPr>
        <w:rFonts w:cs="Times New Roman"/>
      </w:rPr>
    </w:lvl>
    <w:lvl w:ilvl="7">
      <w:start w:val="1"/>
      <w:numFmt w:val="none"/>
      <w:suff w:val="nothing"/>
      <w:lvlText w:val=""/>
      <w:lvlJc w:val="left"/>
      <w:pPr>
        <w:tabs>
          <w:tab w:val="num" w:pos="0"/>
        </w:tabs>
        <w:ind w:left="0" w:hanging="0"/>
      </w:pPr>
      <w:rPr>
        <w:rFonts w:cs="Times New Roman"/>
      </w:rPr>
    </w:lvl>
    <w:lvl w:ilvl="8">
      <w:start w:val="1"/>
      <w:numFmt w:val="none"/>
      <w:suff w:val="nothing"/>
      <w:lvlText w:val=""/>
      <w:lvlJc w:val="left"/>
      <w:pPr>
        <w:tabs>
          <w:tab w:val="num" w:pos="0"/>
        </w:tabs>
        <w:ind w:left="0" w:hanging="0"/>
      </w:pPr>
      <w:rPr>
        <w:rFonts w:cs="Times New Roman"/>
      </w:rPr>
    </w:lvl>
  </w:abstractNum>
  <w:num w:numId="1">
    <w:abstractNumId w:val="1"/>
  </w:num>
  <w:num w:numId="2">
    <w:abstractNumId w:val="2"/>
  </w:num>
</w:numbering>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1"/>
  </w:compat>
  <w:hyphenationZone w:val="425"/>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Cs w:val="22"/>
        <w:lang w:val="uk-UA" w:eastAsia="uk-UA" w:bidi="ar-SA"/>
      </w:rPr>
    </w:rPrDefault>
    <w:pPrDefault>
      <w:pPr>
        <w:suppressAutoHyphens w:val="true"/>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be2ac5"/>
    <w:pPr>
      <w:widowControl/>
      <w:suppressAutoHyphens w:val="true"/>
      <w:bidi w:val="0"/>
      <w:spacing w:before="0" w:after="0"/>
      <w:jc w:val="left"/>
    </w:pPr>
    <w:rPr>
      <w:rFonts w:ascii="Times New Roman" w:hAnsi="Times New Roman" w:eastAsia="NSimSun" w:cs="Times New Roman"/>
      <w:color w:val="auto"/>
      <w:kern w:val="0"/>
      <w:sz w:val="24"/>
      <w:szCs w:val="24"/>
      <w:lang w:val="uk-UA" w:eastAsia="zh-CN" w:bidi="ar-SA"/>
    </w:rPr>
  </w:style>
  <w:style w:type="paragraph" w:styleId="1">
    <w:name w:val="Heading 1"/>
    <w:basedOn w:val="Normal"/>
    <w:next w:val="Normal"/>
    <w:link w:val="10"/>
    <w:uiPriority w:val="99"/>
    <w:qFormat/>
    <w:rsid w:val="00be2ac5"/>
    <w:pPr>
      <w:keepNext w:val="true"/>
      <w:numPr>
        <w:ilvl w:val="0"/>
        <w:numId w:val="1"/>
      </w:numPr>
      <w:jc w:val="center"/>
      <w:outlineLvl w:val="0"/>
    </w:pPr>
    <w:rPr>
      <w:b/>
      <w:bCs/>
      <w:sz w:val="32"/>
    </w:rPr>
  </w:style>
  <w:style w:type="paragraph" w:styleId="2">
    <w:name w:val="Heading 2"/>
    <w:basedOn w:val="Normal"/>
    <w:next w:val="Normal"/>
    <w:link w:val="20"/>
    <w:uiPriority w:val="99"/>
    <w:qFormat/>
    <w:rsid w:val="00be2ac5"/>
    <w:pPr>
      <w:keepNext w:val="true"/>
      <w:numPr>
        <w:ilvl w:val="1"/>
        <w:numId w:val="1"/>
      </w:numPr>
      <w:spacing w:before="240" w:after="60"/>
      <w:outlineLvl w:val="1"/>
    </w:pPr>
    <w:rPr>
      <w:rFonts w:ascii="Arial" w:hAnsi="Arial" w:cs="Arial"/>
      <w:b/>
      <w:bCs/>
      <w:i/>
      <w:iCs/>
      <w:sz w:val="28"/>
      <w:szCs w:val="28"/>
    </w:rPr>
  </w:style>
  <w:style w:type="paragraph" w:styleId="3">
    <w:name w:val="Heading 3"/>
    <w:basedOn w:val="Style18"/>
    <w:next w:val="Style19"/>
    <w:link w:val="30"/>
    <w:uiPriority w:val="99"/>
    <w:qFormat/>
    <w:rsid w:val="00be2ac5"/>
    <w:pPr>
      <w:numPr>
        <w:ilvl w:val="2"/>
        <w:numId w:val="1"/>
      </w:numPr>
      <w:spacing w:before="140" w:after="120"/>
      <w:outlineLvl w:val="2"/>
    </w:pPr>
    <w:rPr>
      <w:rFonts w:ascii="Liberation Serif;Times New Roma" w:hAnsi="Liberation Serif;Times New Roma" w:eastAsia="SimSun" w:cs="Mangal"/>
      <w:b/>
      <w:bCs/>
    </w:rPr>
  </w:style>
  <w:style w:type="character" w:styleId="DefaultParagraphFont" w:default="1">
    <w:name w:val="Default Paragraph Font"/>
    <w:uiPriority w:val="1"/>
    <w:semiHidden/>
    <w:unhideWhenUsed/>
    <w:qFormat/>
    <w:rPr/>
  </w:style>
  <w:style w:type="character" w:styleId="11" w:customStyle="1">
    <w:name w:val="Заголовок 1 Знак"/>
    <w:basedOn w:val="DefaultParagraphFont"/>
    <w:link w:val="1"/>
    <w:uiPriority w:val="9"/>
    <w:qFormat/>
    <w:rsid w:val="00780c45"/>
    <w:rPr>
      <w:rFonts w:ascii="Cambria" w:hAnsi="Cambria" w:eastAsia="" w:cs="" w:asciiTheme="majorHAnsi" w:cstheme="majorBidi" w:eastAsiaTheme="majorEastAsia" w:hAnsiTheme="majorHAnsi"/>
      <w:b/>
      <w:bCs/>
      <w:kern w:val="2"/>
      <w:sz w:val="32"/>
      <w:szCs w:val="32"/>
      <w:lang w:eastAsia="zh-CN"/>
    </w:rPr>
  </w:style>
  <w:style w:type="character" w:styleId="21" w:customStyle="1">
    <w:name w:val="Заголовок 2 Знак"/>
    <w:basedOn w:val="DefaultParagraphFont"/>
    <w:link w:val="2"/>
    <w:uiPriority w:val="9"/>
    <w:semiHidden/>
    <w:qFormat/>
    <w:rsid w:val="00780c45"/>
    <w:rPr>
      <w:rFonts w:ascii="Cambria" w:hAnsi="Cambria" w:eastAsia="" w:cs="" w:asciiTheme="majorHAnsi" w:cstheme="majorBidi" w:eastAsiaTheme="majorEastAsia" w:hAnsiTheme="majorHAnsi"/>
      <w:b/>
      <w:bCs/>
      <w:i/>
      <w:iCs/>
      <w:sz w:val="28"/>
      <w:szCs w:val="28"/>
      <w:lang w:eastAsia="zh-CN"/>
    </w:rPr>
  </w:style>
  <w:style w:type="character" w:styleId="31" w:customStyle="1">
    <w:name w:val="Заголовок 3 Знак"/>
    <w:basedOn w:val="DefaultParagraphFont"/>
    <w:link w:val="3"/>
    <w:uiPriority w:val="9"/>
    <w:semiHidden/>
    <w:qFormat/>
    <w:rsid w:val="00780c45"/>
    <w:rPr>
      <w:rFonts w:ascii="Cambria" w:hAnsi="Cambria" w:eastAsia="" w:cs="" w:asciiTheme="majorHAnsi" w:cstheme="majorBidi" w:eastAsiaTheme="majorEastAsia" w:hAnsiTheme="majorHAnsi"/>
      <w:b/>
      <w:bCs/>
      <w:sz w:val="26"/>
      <w:szCs w:val="26"/>
      <w:lang w:eastAsia="zh-CN"/>
    </w:rPr>
  </w:style>
  <w:style w:type="character" w:styleId="WW8Num1z0" w:customStyle="1">
    <w:name w:val="WW8Num1z0"/>
    <w:uiPriority w:val="99"/>
    <w:qFormat/>
    <w:rsid w:val="00be2ac5"/>
    <w:rPr>
      <w:sz w:val="28"/>
    </w:rPr>
  </w:style>
  <w:style w:type="character" w:styleId="WW8Num2z0" w:customStyle="1">
    <w:name w:val="WW8Num2z0"/>
    <w:uiPriority w:val="99"/>
    <w:qFormat/>
    <w:rsid w:val="00be2ac5"/>
    <w:rPr>
      <w:b/>
    </w:rPr>
  </w:style>
  <w:style w:type="character" w:styleId="WW8Num2z1" w:customStyle="1">
    <w:name w:val="WW8Num2z1"/>
    <w:uiPriority w:val="99"/>
    <w:qFormat/>
    <w:rsid w:val="00be2ac5"/>
    <w:rPr/>
  </w:style>
  <w:style w:type="character" w:styleId="WW8Num2z2" w:customStyle="1">
    <w:name w:val="WW8Num2z2"/>
    <w:uiPriority w:val="99"/>
    <w:qFormat/>
    <w:rsid w:val="00be2ac5"/>
    <w:rPr/>
  </w:style>
  <w:style w:type="character" w:styleId="WW8Num2z3" w:customStyle="1">
    <w:name w:val="WW8Num2z3"/>
    <w:uiPriority w:val="99"/>
    <w:qFormat/>
    <w:rsid w:val="00be2ac5"/>
    <w:rPr/>
  </w:style>
  <w:style w:type="character" w:styleId="WW8Num2z4" w:customStyle="1">
    <w:name w:val="WW8Num2z4"/>
    <w:uiPriority w:val="99"/>
    <w:qFormat/>
    <w:rsid w:val="00be2ac5"/>
    <w:rPr/>
  </w:style>
  <w:style w:type="character" w:styleId="WW8Num2z5" w:customStyle="1">
    <w:name w:val="WW8Num2z5"/>
    <w:uiPriority w:val="99"/>
    <w:qFormat/>
    <w:rsid w:val="00be2ac5"/>
    <w:rPr/>
  </w:style>
  <w:style w:type="character" w:styleId="WW8Num2z6" w:customStyle="1">
    <w:name w:val="WW8Num2z6"/>
    <w:uiPriority w:val="99"/>
    <w:qFormat/>
    <w:rsid w:val="00be2ac5"/>
    <w:rPr/>
  </w:style>
  <w:style w:type="character" w:styleId="WW8Num2z7" w:customStyle="1">
    <w:name w:val="WW8Num2z7"/>
    <w:uiPriority w:val="99"/>
    <w:qFormat/>
    <w:rsid w:val="00be2ac5"/>
    <w:rPr/>
  </w:style>
  <w:style w:type="character" w:styleId="WW8Num2z8" w:customStyle="1">
    <w:name w:val="WW8Num2z8"/>
    <w:uiPriority w:val="99"/>
    <w:qFormat/>
    <w:rsid w:val="00be2ac5"/>
    <w:rPr/>
  </w:style>
  <w:style w:type="character" w:styleId="WW8Num3z0" w:customStyle="1">
    <w:name w:val="WW8Num3z0"/>
    <w:uiPriority w:val="99"/>
    <w:qFormat/>
    <w:rsid w:val="00be2ac5"/>
    <w:rPr>
      <w:b/>
    </w:rPr>
  </w:style>
  <w:style w:type="character" w:styleId="WW8Num3z1" w:customStyle="1">
    <w:name w:val="WW8Num3z1"/>
    <w:uiPriority w:val="99"/>
    <w:qFormat/>
    <w:rsid w:val="00be2ac5"/>
    <w:rPr/>
  </w:style>
  <w:style w:type="character" w:styleId="WW8Num3z2" w:customStyle="1">
    <w:name w:val="WW8Num3z2"/>
    <w:uiPriority w:val="99"/>
    <w:qFormat/>
    <w:rsid w:val="00be2ac5"/>
    <w:rPr/>
  </w:style>
  <w:style w:type="character" w:styleId="WW8Num3z3" w:customStyle="1">
    <w:name w:val="WW8Num3z3"/>
    <w:uiPriority w:val="99"/>
    <w:qFormat/>
    <w:rsid w:val="00be2ac5"/>
    <w:rPr/>
  </w:style>
  <w:style w:type="character" w:styleId="WW8Num3z4" w:customStyle="1">
    <w:name w:val="WW8Num3z4"/>
    <w:uiPriority w:val="99"/>
    <w:qFormat/>
    <w:rsid w:val="00be2ac5"/>
    <w:rPr/>
  </w:style>
  <w:style w:type="character" w:styleId="WW8Num3z5" w:customStyle="1">
    <w:name w:val="WW8Num3z5"/>
    <w:uiPriority w:val="99"/>
    <w:qFormat/>
    <w:rsid w:val="00be2ac5"/>
    <w:rPr/>
  </w:style>
  <w:style w:type="character" w:styleId="WW8Num3z6" w:customStyle="1">
    <w:name w:val="WW8Num3z6"/>
    <w:uiPriority w:val="99"/>
    <w:qFormat/>
    <w:rsid w:val="00be2ac5"/>
    <w:rPr/>
  </w:style>
  <w:style w:type="character" w:styleId="WW8Num3z7" w:customStyle="1">
    <w:name w:val="WW8Num3z7"/>
    <w:uiPriority w:val="99"/>
    <w:qFormat/>
    <w:rsid w:val="00be2ac5"/>
    <w:rPr/>
  </w:style>
  <w:style w:type="character" w:styleId="WW8Num3z8" w:customStyle="1">
    <w:name w:val="WW8Num3z8"/>
    <w:uiPriority w:val="99"/>
    <w:qFormat/>
    <w:rsid w:val="00be2ac5"/>
    <w:rPr/>
  </w:style>
  <w:style w:type="character" w:styleId="WW8Num4z0" w:customStyle="1">
    <w:name w:val="WW8Num4z0"/>
    <w:uiPriority w:val="99"/>
    <w:qFormat/>
    <w:rsid w:val="00be2ac5"/>
    <w:rPr>
      <w:rFonts w:ascii="Times New Roman" w:hAnsi="Times New Roman"/>
      <w:sz w:val="28"/>
    </w:rPr>
  </w:style>
  <w:style w:type="character" w:styleId="WW8Num4z1" w:customStyle="1">
    <w:name w:val="WW8Num4z1"/>
    <w:uiPriority w:val="99"/>
    <w:qFormat/>
    <w:rsid w:val="00be2ac5"/>
    <w:rPr>
      <w:rFonts w:ascii="Courier New" w:hAnsi="Courier New"/>
    </w:rPr>
  </w:style>
  <w:style w:type="character" w:styleId="WW8Num4z2" w:customStyle="1">
    <w:name w:val="WW8Num4z2"/>
    <w:uiPriority w:val="99"/>
    <w:qFormat/>
    <w:rsid w:val="00be2ac5"/>
    <w:rPr>
      <w:rFonts w:ascii="Wingdings" w:hAnsi="Wingdings"/>
    </w:rPr>
  </w:style>
  <w:style w:type="character" w:styleId="WW8Num4z3" w:customStyle="1">
    <w:name w:val="WW8Num4z3"/>
    <w:uiPriority w:val="99"/>
    <w:qFormat/>
    <w:rsid w:val="00be2ac5"/>
    <w:rPr>
      <w:rFonts w:ascii="Symbol" w:hAnsi="Symbol"/>
    </w:rPr>
  </w:style>
  <w:style w:type="character" w:styleId="WW8Num5z0" w:customStyle="1">
    <w:name w:val="WW8Num5z0"/>
    <w:uiPriority w:val="99"/>
    <w:qFormat/>
    <w:rsid w:val="00be2ac5"/>
    <w:rPr>
      <w:b/>
      <w:sz w:val="28"/>
    </w:rPr>
  </w:style>
  <w:style w:type="character" w:styleId="Style11" w:customStyle="1">
    <w:name w:val="Виділення жирним"/>
    <w:basedOn w:val="DefaultParagraphFont"/>
    <w:uiPriority w:val="99"/>
    <w:qFormat/>
    <w:rsid w:val="00be2ac5"/>
    <w:rPr>
      <w:rFonts w:cs="Times New Roman"/>
      <w:b/>
      <w:bCs/>
    </w:rPr>
  </w:style>
  <w:style w:type="character" w:styleId="Style12">
    <w:name w:val="Гіперпосилання"/>
    <w:basedOn w:val="DefaultParagraphFont"/>
    <w:uiPriority w:val="99"/>
    <w:rsid w:val="00be2ac5"/>
    <w:rPr>
      <w:rFonts w:cs="Times New Roman"/>
      <w:color w:val="0000FF"/>
      <w:u w:val="single"/>
    </w:rPr>
  </w:style>
  <w:style w:type="character" w:styleId="Appleconvertedspace" w:customStyle="1">
    <w:name w:val="apple-converted-space"/>
    <w:basedOn w:val="DefaultParagraphFont"/>
    <w:uiPriority w:val="99"/>
    <w:qFormat/>
    <w:rsid w:val="00be2ac5"/>
    <w:rPr>
      <w:rFonts w:cs="Times New Roman"/>
    </w:rPr>
  </w:style>
  <w:style w:type="character" w:styleId="Pagenumber">
    <w:name w:val="page number"/>
    <w:basedOn w:val="DefaultParagraphFont"/>
    <w:uiPriority w:val="99"/>
    <w:qFormat/>
    <w:rsid w:val="00be2ac5"/>
    <w:rPr>
      <w:rFonts w:cs="Times New Roman"/>
    </w:rPr>
  </w:style>
  <w:style w:type="character" w:styleId="Style13" w:customStyle="1">
    <w:name w:val="Основний текст Знак"/>
    <w:basedOn w:val="DefaultParagraphFont"/>
    <w:link w:val="a1"/>
    <w:uiPriority w:val="99"/>
    <w:semiHidden/>
    <w:qFormat/>
    <w:rsid w:val="00780c45"/>
    <w:rPr>
      <w:rFonts w:ascii="Times New Roman" w:hAnsi="Times New Roman" w:cs="Times New Roman"/>
      <w:sz w:val="24"/>
      <w:szCs w:val="24"/>
      <w:lang w:eastAsia="zh-CN"/>
    </w:rPr>
  </w:style>
  <w:style w:type="character" w:styleId="Style14" w:customStyle="1">
    <w:name w:val="Верхній колонтитул Знак"/>
    <w:basedOn w:val="DefaultParagraphFont"/>
    <w:link w:val="ae"/>
    <w:uiPriority w:val="99"/>
    <w:semiHidden/>
    <w:qFormat/>
    <w:rsid w:val="00780c45"/>
    <w:rPr>
      <w:rFonts w:ascii="Times New Roman" w:hAnsi="Times New Roman" w:cs="Times New Roman"/>
      <w:sz w:val="24"/>
      <w:szCs w:val="24"/>
      <w:lang w:eastAsia="zh-CN"/>
    </w:rPr>
  </w:style>
  <w:style w:type="character" w:styleId="Style15" w:customStyle="1">
    <w:name w:val="Нижній колонтитул Знак"/>
    <w:basedOn w:val="DefaultParagraphFont"/>
    <w:link w:val="af0"/>
    <w:uiPriority w:val="99"/>
    <w:semiHidden/>
    <w:qFormat/>
    <w:rsid w:val="00780c45"/>
    <w:rPr>
      <w:rFonts w:ascii="Times New Roman" w:hAnsi="Times New Roman" w:cs="Times New Roman"/>
      <w:sz w:val="24"/>
      <w:szCs w:val="24"/>
      <w:lang w:eastAsia="zh-CN"/>
    </w:rPr>
  </w:style>
  <w:style w:type="character" w:styleId="Style16" w:customStyle="1">
    <w:name w:val="Текст у виносці Знак"/>
    <w:basedOn w:val="DefaultParagraphFont"/>
    <w:link w:val="af2"/>
    <w:uiPriority w:val="99"/>
    <w:semiHidden/>
    <w:qFormat/>
    <w:rsid w:val="00780c45"/>
    <w:rPr>
      <w:rFonts w:ascii="Times New Roman" w:hAnsi="Times New Roman" w:cs="Times New Roman"/>
      <w:sz w:val="0"/>
      <w:szCs w:val="0"/>
      <w:lang w:eastAsia="zh-CN"/>
    </w:rPr>
  </w:style>
  <w:style w:type="character" w:styleId="Style17" w:customStyle="1">
    <w:name w:val="Основний текст з відступом Знак"/>
    <w:basedOn w:val="DefaultParagraphFont"/>
    <w:link w:val="af8"/>
    <w:uiPriority w:val="99"/>
    <w:semiHidden/>
    <w:qFormat/>
    <w:rsid w:val="00780c45"/>
    <w:rPr>
      <w:rFonts w:ascii="Times New Roman" w:hAnsi="Times New Roman" w:cs="Times New Roman"/>
      <w:sz w:val="24"/>
      <w:szCs w:val="24"/>
      <w:lang w:eastAsia="zh-CN"/>
    </w:rPr>
  </w:style>
  <w:style w:type="paragraph" w:styleId="Style18" w:customStyle="1">
    <w:name w:val="Заголовок"/>
    <w:basedOn w:val="Normal"/>
    <w:next w:val="Style19"/>
    <w:uiPriority w:val="99"/>
    <w:qFormat/>
    <w:rsid w:val="00be2ac5"/>
    <w:pPr>
      <w:keepNext w:val="true"/>
      <w:spacing w:before="240" w:after="120"/>
    </w:pPr>
    <w:rPr>
      <w:rFonts w:ascii="Liberation Sans" w:hAnsi="Liberation Sans" w:eastAsia="Microsoft YaHei" w:cs="Arial"/>
      <w:sz w:val="28"/>
      <w:szCs w:val="28"/>
    </w:rPr>
  </w:style>
  <w:style w:type="paragraph" w:styleId="Style19">
    <w:name w:val="Body Text"/>
    <w:basedOn w:val="Normal"/>
    <w:link w:val="a8"/>
    <w:uiPriority w:val="99"/>
    <w:rsid w:val="00be2ac5"/>
    <w:pPr>
      <w:spacing w:lineRule="auto" w:line="276" w:before="0" w:after="140"/>
    </w:pPr>
    <w:rPr/>
  </w:style>
  <w:style w:type="paragraph" w:styleId="Style20">
    <w:name w:val="List"/>
    <w:basedOn w:val="Style19"/>
    <w:uiPriority w:val="99"/>
    <w:rsid w:val="00be2ac5"/>
    <w:pPr/>
    <w:rPr>
      <w:rFonts w:cs="Arial"/>
    </w:rPr>
  </w:style>
  <w:style w:type="paragraph" w:styleId="Style21">
    <w:name w:val="Caption"/>
    <w:basedOn w:val="Normal"/>
    <w:qFormat/>
    <w:pPr>
      <w:suppressLineNumbers/>
      <w:spacing w:before="120" w:after="120"/>
    </w:pPr>
    <w:rPr>
      <w:rFonts w:cs="Arial"/>
      <w:i/>
      <w:iCs/>
      <w:sz w:val="24"/>
      <w:szCs w:val="24"/>
    </w:rPr>
  </w:style>
  <w:style w:type="paragraph" w:styleId="Style22" w:customStyle="1">
    <w:name w:val="Покажчик"/>
    <w:basedOn w:val="Normal"/>
    <w:uiPriority w:val="99"/>
    <w:qFormat/>
    <w:rsid w:val="00be2ac5"/>
    <w:pPr>
      <w:suppressLineNumbers/>
    </w:pPr>
    <w:rPr>
      <w:rFonts w:cs="Arial"/>
    </w:rPr>
  </w:style>
  <w:style w:type="paragraph" w:styleId="Caption">
    <w:name w:val="caption"/>
    <w:basedOn w:val="Normal"/>
    <w:uiPriority w:val="99"/>
    <w:qFormat/>
    <w:rsid w:val="00be2ac5"/>
    <w:pPr>
      <w:suppressLineNumbers/>
      <w:spacing w:before="120" w:after="120"/>
    </w:pPr>
    <w:rPr>
      <w:rFonts w:cs="Arial"/>
      <w:i/>
      <w:iCs/>
    </w:rPr>
  </w:style>
  <w:style w:type="paragraph" w:styleId="NormalWeb">
    <w:name w:val="Normal (Web)"/>
    <w:basedOn w:val="Normal"/>
    <w:uiPriority w:val="99"/>
    <w:qFormat/>
    <w:rsid w:val="00be2ac5"/>
    <w:pPr>
      <w:spacing w:before="280" w:after="280"/>
    </w:pPr>
    <w:rPr/>
  </w:style>
  <w:style w:type="paragraph" w:styleId="Style23" w:customStyle="1">
    <w:name w:val="Верхній і нижній колонтитули"/>
    <w:basedOn w:val="Normal"/>
    <w:uiPriority w:val="99"/>
    <w:qFormat/>
    <w:rsid w:val="00be2ac5"/>
    <w:pPr>
      <w:suppressLineNumbers/>
      <w:tabs>
        <w:tab w:val="clear" w:pos="720"/>
        <w:tab w:val="center" w:pos="4819" w:leader="none"/>
        <w:tab w:val="right" w:pos="9638" w:leader="none"/>
      </w:tabs>
    </w:pPr>
    <w:rPr/>
  </w:style>
  <w:style w:type="paragraph" w:styleId="Style24">
    <w:name w:val="Header"/>
    <w:basedOn w:val="Normal"/>
    <w:link w:val="af"/>
    <w:uiPriority w:val="99"/>
    <w:rsid w:val="00be2ac5"/>
    <w:pPr>
      <w:tabs>
        <w:tab w:val="clear" w:pos="720"/>
        <w:tab w:val="center" w:pos="4819" w:leader="none"/>
        <w:tab w:val="right" w:pos="9639" w:leader="none"/>
      </w:tabs>
    </w:pPr>
    <w:rPr/>
  </w:style>
  <w:style w:type="paragraph" w:styleId="Style25">
    <w:name w:val="Footer"/>
    <w:basedOn w:val="Normal"/>
    <w:link w:val="af1"/>
    <w:uiPriority w:val="99"/>
    <w:rsid w:val="00be2ac5"/>
    <w:pPr>
      <w:tabs>
        <w:tab w:val="clear" w:pos="720"/>
        <w:tab w:val="center" w:pos="4677" w:leader="none"/>
        <w:tab w:val="right" w:pos="9355" w:leader="none"/>
      </w:tabs>
    </w:pPr>
    <w:rPr/>
  </w:style>
  <w:style w:type="paragraph" w:styleId="BalloonText">
    <w:name w:val="Balloon Text"/>
    <w:basedOn w:val="Normal"/>
    <w:link w:val="af3"/>
    <w:uiPriority w:val="99"/>
    <w:qFormat/>
    <w:rsid w:val="00be2ac5"/>
    <w:pPr/>
    <w:rPr>
      <w:rFonts w:ascii="Tahoma" w:hAnsi="Tahoma" w:cs="Tahoma"/>
      <w:sz w:val="16"/>
      <w:szCs w:val="16"/>
    </w:rPr>
  </w:style>
  <w:style w:type="paragraph" w:styleId="Style26" w:customStyle="1">
    <w:name w:val="Вміст таблиці"/>
    <w:basedOn w:val="Normal"/>
    <w:uiPriority w:val="99"/>
    <w:qFormat/>
    <w:rsid w:val="00be2ac5"/>
    <w:pPr>
      <w:widowControl w:val="false"/>
      <w:suppressLineNumbers/>
    </w:pPr>
    <w:rPr/>
  </w:style>
  <w:style w:type="paragraph" w:styleId="Style27" w:customStyle="1">
    <w:name w:val="Заголовок таблиці"/>
    <w:basedOn w:val="Style26"/>
    <w:uiPriority w:val="99"/>
    <w:qFormat/>
    <w:rsid w:val="00be2ac5"/>
    <w:pPr>
      <w:jc w:val="center"/>
    </w:pPr>
    <w:rPr>
      <w:b/>
      <w:bCs/>
    </w:rPr>
  </w:style>
  <w:style w:type="paragraph" w:styleId="Style28" w:customStyle="1">
    <w:name w:val="Вміст рамки"/>
    <w:basedOn w:val="Normal"/>
    <w:uiPriority w:val="99"/>
    <w:qFormat/>
    <w:rsid w:val="00be2ac5"/>
    <w:pPr/>
    <w:rPr/>
  </w:style>
  <w:style w:type="paragraph" w:styleId="H3" w:customStyle="1">
    <w:name w:val="H3"/>
    <w:basedOn w:val="Normal"/>
    <w:next w:val="Normal"/>
    <w:uiPriority w:val="99"/>
    <w:qFormat/>
    <w:rsid w:val="00be2ac5"/>
    <w:pPr>
      <w:keepNext w:val="true"/>
      <w:spacing w:before="100" w:after="100"/>
      <w:outlineLvl w:val="3"/>
    </w:pPr>
    <w:rPr>
      <w:b/>
      <w:sz w:val="28"/>
    </w:rPr>
  </w:style>
  <w:style w:type="paragraph" w:styleId="Style29" w:customStyle="1">
    <w:name w:val="Содержимое таблицы"/>
    <w:basedOn w:val="Style19"/>
    <w:uiPriority w:val="99"/>
    <w:qFormat/>
    <w:rsid w:val="00be2ac5"/>
    <w:pPr/>
    <w:rPr/>
  </w:style>
  <w:style w:type="paragraph" w:styleId="LONormal" w:customStyle="1">
    <w:name w:val="LO-Normal"/>
    <w:uiPriority w:val="99"/>
    <w:qFormat/>
    <w:rsid w:val="00be2ac5"/>
    <w:pPr>
      <w:widowControl w:val="false"/>
      <w:suppressAutoHyphens w:val="true"/>
      <w:bidi w:val="0"/>
      <w:spacing w:before="0" w:after="0"/>
      <w:jc w:val="left"/>
    </w:pPr>
    <w:rPr>
      <w:rFonts w:ascii="Times New Roman" w:hAnsi="Times New Roman" w:eastAsia="NSimSun" w:cs="Times New Roman"/>
      <w:color w:val="auto"/>
      <w:kern w:val="0"/>
      <w:sz w:val="20"/>
      <w:szCs w:val="20"/>
      <w:lang w:val="ru-RU" w:eastAsia="zh-CN" w:bidi="ar-SA"/>
    </w:rPr>
  </w:style>
  <w:style w:type="paragraph" w:styleId="Style30">
    <w:name w:val="Body Text Indent"/>
    <w:basedOn w:val="Normal"/>
    <w:link w:val="af9"/>
    <w:uiPriority w:val="99"/>
    <w:rsid w:val="00be2ac5"/>
    <w:pPr>
      <w:ind w:left="-142" w:firstLine="862"/>
      <w:jc w:val="both"/>
    </w:pPr>
    <w:rPr>
      <w:sz w:val="28"/>
    </w:rPr>
  </w:style>
  <w:style w:type="numbering" w:styleId="NoList" w:default="1">
    <w:name w:val="No List"/>
    <w:uiPriority w:val="99"/>
    <w:semiHidden/>
    <w:unhideWhenUsed/>
    <w:qFormat/>
  </w:style>
  <w:style w:type="table" w:default="1" w:styleId="a3">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header" Target="header4.xm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Relationship Id="rId10"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92665D-B59D-4A66-8AD8-FB55588117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504</TotalTime>
  <Application>LibreOffice/7.1.3.2$Windows_X86_64 LibreOffice_project/47f78053abe362b9384784d31a6e56f8511eb1c1</Application>
  <AppVersion>15.0000</AppVersion>
  <Pages>18</Pages>
  <Words>4572</Words>
  <Characters>32448</Characters>
  <CharactersWithSpaces>37950</CharactersWithSpaces>
  <Paragraphs>352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2023-09-22T11:42:00Z</dcterms:created>
  <dc:creator>filipova</dc:creator>
  <dc:description/>
  <cp:keywords>  </cp:keywords>
  <dc:language>uk-UA</dc:language>
  <cp:lastModifiedBy/>
  <dcterms:modified xsi:type="dcterms:W3CDTF">2023-10-09T16:14:57Z</dcterms:modified>
  <cp:revision>71</cp:revision>
  <dc:subject/>
  <dc:title>                                   Додаток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