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B2B" w:rsidRDefault="00C04FB3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</w:t>
      </w:r>
    </w:p>
    <w:p w:rsidR="00C01B2B" w:rsidRDefault="00C04FB3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рішення міської ради</w:t>
      </w:r>
    </w:p>
    <w:p w:rsidR="00C01B2B" w:rsidRDefault="00C04FB3">
      <w:pPr>
        <w:ind w:left="6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 ___________ № _____</w:t>
      </w:r>
    </w:p>
    <w:p w:rsidR="00C01B2B" w:rsidRDefault="00C01B2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1B2B" w:rsidRDefault="00C04FB3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Комплексна програма охорони довкілля </w:t>
      </w:r>
    </w:p>
    <w:p w:rsidR="00C01B2B" w:rsidRDefault="00C04FB3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</w:t>
      </w:r>
    </w:p>
    <w:p w:rsidR="00C01B2B" w:rsidRDefault="00C04FB3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громади на 2022</w:t>
      </w:r>
      <w:r w:rsidR="00B96BB8">
        <w:rPr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2025 роки</w:t>
      </w:r>
    </w:p>
    <w:p w:rsidR="00C01B2B" w:rsidRDefault="00C01B2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1B2B" w:rsidRDefault="00C04FB3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Програми</w:t>
      </w:r>
    </w:p>
    <w:p w:rsidR="00C01B2B" w:rsidRDefault="00C01B2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88" w:type="dxa"/>
        <w:tblInd w:w="-238" w:type="dxa"/>
        <w:tblLook w:val="04A0" w:firstRow="1" w:lastRow="0" w:firstColumn="1" w:lastColumn="0" w:noHBand="0" w:noVBand="1"/>
      </w:tblPr>
      <w:tblGrid>
        <w:gridCol w:w="719"/>
        <w:gridCol w:w="3815"/>
        <w:gridCol w:w="4954"/>
      </w:tblGrid>
      <w:tr w:rsidR="00C01B2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  <w:p w:rsidR="00C01B2B" w:rsidRDefault="00C01B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Луцька міська рада</w:t>
            </w:r>
          </w:p>
        </w:tc>
      </w:tr>
      <w:tr w:rsidR="00C01B2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  <w:p w:rsidR="00C01B2B" w:rsidRDefault="00C01B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екології Луцької міської ради</w:t>
            </w:r>
          </w:p>
        </w:tc>
      </w:tr>
      <w:tr w:rsidR="00C01B2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Співрозробники програми</w:t>
            </w:r>
          </w:p>
          <w:p w:rsidR="00C01B2B" w:rsidRDefault="00C01B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pStyle w:val="af6"/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C01B2B">
        <w:trPr>
          <w:trHeight w:val="71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  <w:p w:rsidR="00C01B2B" w:rsidRDefault="00C01B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Відділ екології Луцької міської ради, департамент житлово-комунального господарства,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підприємства, установи, організації</w:t>
            </w:r>
          </w:p>
        </w:tc>
      </w:tr>
      <w:tr w:rsidR="00C01B2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програми</w:t>
            </w:r>
          </w:p>
          <w:p w:rsidR="00C01B2B" w:rsidRDefault="00C01B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pStyle w:val="af6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органи міської ради, підприємства, установи, організації</w:t>
            </w:r>
          </w:p>
        </w:tc>
      </w:tr>
      <w:tr w:rsidR="00C01B2B">
        <w:trPr>
          <w:trHeight w:val="32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2022–2025 роки</w:t>
            </w:r>
          </w:p>
        </w:tc>
      </w:tr>
      <w:tr w:rsidR="00C01B2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</w:p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всього,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тому числі: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1B2B">
            <w:pPr>
              <w:snapToGrid w:val="0"/>
              <w:ind w:left="-83"/>
              <w:jc w:val="center"/>
            </w:pPr>
          </w:p>
          <w:p w:rsidR="00C01B2B" w:rsidRDefault="00C04FB3">
            <w:pPr>
              <w:snapToGrid w:val="0"/>
              <w:ind w:left="-83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93 459,0 млн. грн</w:t>
            </w:r>
          </w:p>
        </w:tc>
      </w:tr>
      <w:tr w:rsidR="00C01B2B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ind w:left="-83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31 170,0 млн. грн</w:t>
            </w:r>
          </w:p>
        </w:tc>
      </w:tr>
      <w:tr w:rsidR="00C01B2B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62 289,0 млн. грн</w:t>
            </w:r>
          </w:p>
        </w:tc>
      </w:tr>
    </w:tbl>
    <w:p w:rsidR="00C01B2B" w:rsidRDefault="00C01B2B">
      <w:pPr>
        <w:spacing w:after="2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1B2B" w:rsidRDefault="00C01B2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1B2B" w:rsidRDefault="00C01B2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1B2B" w:rsidRDefault="00C04FB3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Юрій БЕЗПЯТКО</w:t>
      </w:r>
    </w:p>
    <w:p w:rsidR="00C01B2B" w:rsidRDefault="00C01B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1B2B" w:rsidRDefault="00C01B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1B2B" w:rsidRDefault="00C04FB3">
      <w:pPr>
        <w:sectPr w:rsidR="00C01B2B">
          <w:headerReference w:type="default" r:id="rId7"/>
          <w:pgSz w:w="11906" w:h="16838"/>
          <w:pgMar w:top="766" w:right="567" w:bottom="1134" w:left="1985" w:header="709" w:footer="0" w:gutter="0"/>
          <w:pgNumType w:start="2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color w:val="000000"/>
          <w:sz w:val="24"/>
        </w:rPr>
        <w:t>Лисак 724 160</w:t>
      </w:r>
    </w:p>
    <w:p w:rsidR="00C01B2B" w:rsidRDefault="00C04FB3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Додаток 1</w:t>
      </w:r>
    </w:p>
    <w:p w:rsidR="00C01B2B" w:rsidRDefault="00C04FB3">
      <w:pPr>
        <w:ind w:left="487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Комплексної програми охорони</w:t>
      </w:r>
    </w:p>
    <w:p w:rsidR="00C01B2B" w:rsidRDefault="00C04FB3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 xml:space="preserve">довкілля Луцької міської </w:t>
      </w:r>
    </w:p>
    <w:p w:rsidR="00C01B2B" w:rsidRDefault="00C04FB3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:rsidR="00C01B2B" w:rsidRDefault="00C04FB3">
      <w:pPr>
        <w:ind w:left="4876"/>
        <w:jc w:val="both"/>
      </w:pPr>
      <w:r>
        <w:rPr>
          <w:rFonts w:ascii="Times New Roman" w:hAnsi="Times New Roman"/>
          <w:sz w:val="28"/>
          <w:szCs w:val="28"/>
        </w:rPr>
        <w:t>на 2022</w:t>
      </w:r>
      <w:r w:rsidR="00B96BB8">
        <w:rPr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2025 роки</w:t>
      </w:r>
    </w:p>
    <w:p w:rsidR="00C01B2B" w:rsidRDefault="00C01B2B">
      <w:pPr>
        <w:jc w:val="both"/>
      </w:pPr>
    </w:p>
    <w:p w:rsidR="00C01B2B" w:rsidRDefault="00C04FB3">
      <w:pPr>
        <w:pStyle w:val="11"/>
        <w:numPr>
          <w:ilvl w:val="0"/>
          <w:numId w:val="1"/>
        </w:numPr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Ресурсне забезпечення </w:t>
      </w:r>
    </w:p>
    <w:p w:rsidR="00C01B2B" w:rsidRDefault="00C04FB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охорони довкілля </w:t>
      </w:r>
    </w:p>
    <w:p w:rsidR="00C01B2B" w:rsidRDefault="00C04FB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Луцької міської територіальної громади на 2022–2025 роки</w:t>
      </w:r>
    </w:p>
    <w:p w:rsidR="00C01B2B" w:rsidRDefault="00C01B2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65" w:type="dxa"/>
        <w:tblInd w:w="-52" w:type="dxa"/>
        <w:tblLook w:val="04A0" w:firstRow="1" w:lastRow="0" w:firstColumn="1" w:lastColumn="0" w:noHBand="0" w:noVBand="1"/>
      </w:tblPr>
      <w:tblGrid>
        <w:gridCol w:w="2713"/>
        <w:gridCol w:w="1249"/>
        <w:gridCol w:w="1200"/>
        <w:gridCol w:w="1304"/>
        <w:gridCol w:w="1125"/>
        <w:gridCol w:w="1874"/>
      </w:tblGrid>
      <w:tr w:rsidR="00C01B2B">
        <w:trPr>
          <w:cantSplit/>
          <w:trHeight w:val="751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cs="Times New Roman"/>
                <w:b w:val="0"/>
                <w:i w:val="0"/>
                <w:color w:val="000000"/>
                <w:sz w:val="28"/>
              </w:rPr>
            </w:pPr>
          </w:p>
          <w:p w:rsidR="00C01B2B" w:rsidRDefault="00C04FB3">
            <w:pPr>
              <w:pStyle w:val="21"/>
              <w:widowControl w:val="0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 xml:space="preserve">Обсяг коштів, які планується залучити на виконання Програми за джерелами фінансування,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тис.</w:t>
            </w:r>
            <w:r w:rsidR="00B96BB8"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 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8"/>
              </w:rPr>
              <w:t>грн</w:t>
            </w:r>
          </w:p>
        </w:tc>
        <w:tc>
          <w:tcPr>
            <w:tcW w:w="4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</w:p>
          <w:p w:rsidR="00C01B2B" w:rsidRDefault="00C01B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ind w:left="-81" w:right="-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фінансування, тис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грн</w:t>
            </w:r>
          </w:p>
        </w:tc>
      </w:tr>
      <w:tr w:rsidR="00C01B2B">
        <w:trPr>
          <w:cantSplit/>
          <w:trHeight w:val="516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rPr>
                <w:rFonts w:ascii="Times New Roman" w:hAnsi="Times New Roma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rPr>
                <w:rFonts w:ascii="Times New Roman" w:hAnsi="Times New Roman"/>
              </w:rPr>
            </w:pPr>
          </w:p>
        </w:tc>
      </w:tr>
      <w:tr w:rsidR="00C01B2B">
        <w:trPr>
          <w:cantSplit/>
          <w:trHeight w:val="167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1B2B" w:rsidRDefault="00C01B2B">
            <w:pPr>
              <w:snapToGrid w:val="0"/>
              <w:jc w:val="center"/>
              <w:rPr>
                <w:rFonts w:ascii="Times New Roman" w:eastAsia="SimSun;宋体" w:hAnsi="Times New Roman" w:cs="Times New Roman"/>
                <w:color w:val="000000"/>
                <w:sz w:val="28"/>
                <w:szCs w:val="28"/>
              </w:rPr>
            </w:pPr>
          </w:p>
          <w:p w:rsidR="00C01B2B" w:rsidRDefault="00C04F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:rsidR="00C01B2B" w:rsidRDefault="00C04F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  <w:p w:rsidR="00C01B2B" w:rsidRDefault="00C01B2B">
            <w:pPr>
              <w:jc w:val="center"/>
              <w:rPr>
                <w:rFonts w:ascii="Times New Roman" w:eastAsia="SimSun;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20341,0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4 496,0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20896,0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20001,0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bookmarkStart w:id="0" w:name="__DdeLink__2063_282238246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95734,0</w:t>
            </w:r>
            <w:bookmarkEnd w:id="0"/>
          </w:p>
        </w:tc>
      </w:tr>
      <w:tr w:rsidR="00C01B2B">
        <w:trPr>
          <w:cantSplit/>
          <w:trHeight w:val="1172"/>
        </w:trPr>
        <w:tc>
          <w:tcPr>
            <w:tcW w:w="27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громади/</w:t>
            </w:r>
          </w:p>
          <w:p w:rsidR="00C01B2B" w:rsidRDefault="00C04F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спецфонд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12075,0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9030,0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8380,0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bookmarkStart w:id="1" w:name="__DdeLink__5859_28057960641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bookmarkEnd w:id="1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3245,0</w:t>
            </w:r>
          </w:p>
        </w:tc>
      </w:tr>
      <w:tr w:rsidR="00C01B2B">
        <w:trPr>
          <w:cantSplit/>
        </w:trPr>
        <w:tc>
          <w:tcPr>
            <w:tcW w:w="2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2210,0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10487,0</w:t>
            </w:r>
          </w:p>
        </w:tc>
      </w:tr>
      <w:tr w:rsidR="00C01B2B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обласного бюджету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 w:right="-12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565,0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1065,0</w:t>
            </w:r>
          </w:p>
        </w:tc>
      </w:tr>
      <w:tr w:rsidR="00C01B2B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 w:right="-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ind w:left="-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---</w:t>
            </w:r>
          </w:p>
        </w:tc>
      </w:tr>
      <w:tr w:rsidR="00C01B2B">
        <w:trPr>
          <w:cantSplit/>
        </w:trPr>
        <w:tc>
          <w:tcPr>
            <w:tcW w:w="2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16081,0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21856,0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11866,0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11621,0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61424,0</w:t>
            </w:r>
          </w:p>
        </w:tc>
      </w:tr>
    </w:tbl>
    <w:p w:rsidR="00C01B2B" w:rsidRDefault="00C01B2B">
      <w:pPr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</w:p>
    <w:p w:rsidR="00C01B2B" w:rsidRDefault="00C01B2B">
      <w:pPr>
        <w:tabs>
          <w:tab w:val="left" w:pos="1785"/>
        </w:tabs>
        <w:ind w:firstLine="7020"/>
        <w:rPr>
          <w:rFonts w:ascii="Times New Roman" w:eastAsia="SimSun;宋体" w:hAnsi="Times New Roman" w:cs="Times New Roman"/>
          <w:color w:val="000000"/>
          <w:sz w:val="26"/>
          <w:szCs w:val="28"/>
        </w:rPr>
      </w:pPr>
    </w:p>
    <w:p w:rsidR="00C01B2B" w:rsidRDefault="00C04FB3">
      <w:pPr>
        <w:sectPr w:rsidR="00C01B2B">
          <w:headerReference w:type="default" r:id="rId8"/>
          <w:pgSz w:w="11906" w:h="16838"/>
          <w:pgMar w:top="766" w:right="567" w:bottom="1134" w:left="1985" w:header="709" w:footer="0" w:gutter="0"/>
          <w:pgNumType w:start="2"/>
          <w:cols w:space="720"/>
          <w:formProt w:val="0"/>
          <w:docGrid w:linePitch="100" w:charSpace="8192"/>
        </w:sectPr>
      </w:pPr>
      <w:r>
        <w:rPr>
          <w:rFonts w:ascii="Times New Roman" w:hAnsi="Times New Roman" w:cs="Times New Roman"/>
          <w:color w:val="000000"/>
          <w:sz w:val="24"/>
        </w:rPr>
        <w:t>Лисак 724 160</w:t>
      </w:r>
    </w:p>
    <w:p w:rsidR="00C01B2B" w:rsidRDefault="00C04FB3">
      <w:pPr>
        <w:tabs>
          <w:tab w:val="left" w:pos="4815"/>
          <w:tab w:val="left" w:pos="930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Додаток 2</w:t>
      </w:r>
    </w:p>
    <w:p w:rsidR="00C01B2B" w:rsidRDefault="00C04FB3">
      <w:pPr>
        <w:ind w:left="929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Комплексної програми охорони</w:t>
      </w:r>
    </w:p>
    <w:p w:rsidR="00C01B2B" w:rsidRDefault="00C04FB3">
      <w:pPr>
        <w:ind w:left="9298"/>
        <w:jc w:val="both"/>
      </w:pPr>
      <w:r>
        <w:rPr>
          <w:rFonts w:ascii="Times New Roman" w:hAnsi="Times New Roman"/>
          <w:sz w:val="28"/>
          <w:szCs w:val="28"/>
        </w:rPr>
        <w:t xml:space="preserve">довкілля Луцької міської </w:t>
      </w:r>
    </w:p>
    <w:p w:rsidR="00C01B2B" w:rsidRDefault="00C04FB3">
      <w:pPr>
        <w:ind w:left="9298"/>
        <w:jc w:val="both"/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:rsidR="00C01B2B" w:rsidRDefault="00C04FB3">
      <w:pPr>
        <w:ind w:left="9241"/>
      </w:pPr>
      <w:r>
        <w:rPr>
          <w:rFonts w:ascii="Times New Roman" w:hAnsi="Times New Roman"/>
          <w:sz w:val="28"/>
          <w:szCs w:val="28"/>
        </w:rPr>
        <w:t>на 2022</w:t>
      </w:r>
      <w:r w:rsidR="00B96BB8">
        <w:rPr>
          <w:color w:val="000000"/>
          <w:sz w:val="28"/>
          <w:szCs w:val="28"/>
        </w:rPr>
        <w:t>–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2025 роки</w:t>
      </w:r>
    </w:p>
    <w:p w:rsidR="00C01B2B" w:rsidRDefault="00C01B2B">
      <w:pPr>
        <w:ind w:left="9072"/>
      </w:pPr>
    </w:p>
    <w:p w:rsidR="00C01B2B" w:rsidRDefault="00C04FB3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Перелік завдань, заходів та результативні показники</w:t>
      </w:r>
    </w:p>
    <w:p w:rsidR="00C01B2B" w:rsidRDefault="00C04FB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охорони довкілля Луцької міської територіальної</w:t>
      </w:r>
    </w:p>
    <w:p w:rsidR="00C01B2B" w:rsidRDefault="00C04FB3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  на 2022–2025 роки</w:t>
      </w:r>
    </w:p>
    <w:p w:rsidR="00C01B2B" w:rsidRDefault="00C01B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765" w:type="dxa"/>
        <w:tblInd w:w="109" w:type="dxa"/>
        <w:tblLook w:val="04A0" w:firstRow="1" w:lastRow="0" w:firstColumn="1" w:lastColumn="0" w:noHBand="0" w:noVBand="1"/>
      </w:tblPr>
      <w:tblGrid>
        <w:gridCol w:w="2244"/>
        <w:gridCol w:w="4688"/>
        <w:gridCol w:w="1708"/>
        <w:gridCol w:w="1406"/>
        <w:gridCol w:w="1245"/>
        <w:gridCol w:w="1484"/>
        <w:gridCol w:w="2990"/>
      </w:tblGrid>
      <w:tr w:rsidR="00C01B2B"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Назва зав</w:t>
            </w:r>
            <w:r>
              <w:rPr>
                <w:rFonts w:ascii="Times New Roman" w:hAnsi="Times New Roman"/>
                <w:sz w:val="24"/>
              </w:rPr>
              <w:t>дання</w:t>
            </w:r>
          </w:p>
        </w:tc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Назва заходу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Виконавці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Терміни виконання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Фінансування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Результативні показники</w:t>
            </w:r>
          </w:p>
        </w:tc>
      </w:tr>
      <w:tr w:rsidR="00C01B2B"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Джерела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Обсяги, тис. грн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pStyle w:val="af6"/>
              <w:jc w:val="center"/>
            </w:pPr>
            <w:r>
              <w:rPr>
                <w:rFonts w:ascii="Times New Roman" w:hAnsi="Times New Roman"/>
                <w:sz w:val="24"/>
              </w:rPr>
              <w:t>І. Охорона і раціональне використання водних ресурсів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1. Біологічна меліорація водойм (зариблення)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Збереження та примноження  біоресурсів, покращення стану водойм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Заходи щодо відновлення і підтримання сприятливого гідрологічного режиму, санітарного  стану та благоустрою  річок та водойм, </w:t>
            </w:r>
            <w:r>
              <w:rPr>
                <w:rFonts w:ascii="Times New Roman" w:hAnsi="Times New Roman"/>
                <w:color w:val="000000"/>
                <w:sz w:val="24"/>
              </w:rPr>
              <w:t>створення водоохоронних зон (в т.ч. розробка проектної документації)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1000,0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Покращення санітарно-екологічного стану водойм,  встановлення меж природоохоронних територій, </w:t>
            </w:r>
            <w:r>
              <w:rPr>
                <w:rFonts w:ascii="Times New Roman" w:hAnsi="Times New Roman"/>
                <w:sz w:val="24"/>
              </w:rPr>
              <w:t>забезпечення їх охорони.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3. Утримання в належному стані прибережних захисних смуг та водоохоронних зон річок та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hAnsi="Times New Roman"/>
                <w:sz w:val="24"/>
              </w:rPr>
              <w:t xml:space="preserve">Попередження заростання та замулення </w:t>
            </w:r>
            <w:r>
              <w:rPr>
                <w:rFonts w:ascii="Times New Roman" w:hAnsi="Times New Roman"/>
                <w:sz w:val="24"/>
              </w:rPr>
              <w:t>водних об’єктів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pStyle w:val="afa"/>
              <w:spacing w:before="0" w:after="0"/>
              <w:jc w:val="both"/>
              <w:rPr>
                <w:rFonts w:ascii="Times New Roman" w:hAnsi="Times New Roman"/>
                <w:color w:val="000000"/>
                <w:spacing w:val="2"/>
                <w:lang w:val="uk-UA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Санітарне прибирання, покращення рекреаційних можливостей використання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 xml:space="preserve">4. Очищення русел річок від повалених дерев, догляд за прибережними захисними смугами та </w:t>
            </w: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водоохоронними зонами  (видалення аварійних, сухостійних, вітровальних, фаутних дерев) з метою покращення гідрологічного режиму та санітарного стану водних об'єктів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a"/>
              <w:overflowPunct w:val="0"/>
              <w:spacing w:before="0" w:after="0"/>
              <w:ind w:left="-57"/>
              <w:jc w:val="both"/>
            </w:pPr>
            <w:r>
              <w:rPr>
                <w:rFonts w:ascii="Times New Roman" w:hAnsi="Times New Roman"/>
                <w:spacing w:val="2"/>
                <w:lang w:val="uk-UA"/>
              </w:rPr>
              <w:t xml:space="preserve">Покращення </w:t>
            </w:r>
            <w:r>
              <w:rPr>
                <w:rFonts w:ascii="Times New Roman" w:hAnsi="Times New Roman"/>
                <w:spacing w:val="2"/>
                <w:lang w:val="uk-UA"/>
              </w:rPr>
              <w:t>гідрологічного режиму та санітарного стану водних об'єктів, відновлення судноплавства на р. Стир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5. Відновлення гідрологічного режиму та санітарного стану заплави р. Стир в районі вул. Гнідавська — вул. Ковельська в м. Луцьку (в т.ч. розробка/коригування</w:t>
            </w: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 xml:space="preserve"> проєкту)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Відповідно до ПКД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Очищення заплави від мулових осадів, поглиблення водойми, відновлення водообміну в гідрологічній системі р. Стир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  <w:t xml:space="preserve">6. Реконструкція та відновлення водойми на територіїс.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  <w:t>Прилуцьке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Обласний бюджет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01B2B" w:rsidRDefault="00C04FB3">
            <w:pPr>
              <w:jc w:val="center"/>
            </w:pPr>
            <w:bookmarkStart w:id="3" w:name="__DdeLink__1797_1591253645"/>
            <w:r>
              <w:rPr>
                <w:rFonts w:ascii="Times New Roman" w:hAnsi="Times New Roman"/>
                <w:sz w:val="24"/>
              </w:rPr>
              <w:t>Відповідно до ПКД</w:t>
            </w:r>
            <w:bookmarkEnd w:id="3"/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Відновлення  водойми, розвиток рекреаційного потенціалу території, адаптація до кліматичних змін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a"/>
              <w:spacing w:before="0" w:after="0"/>
              <w:jc w:val="both"/>
            </w:pP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 xml:space="preserve">7. Будівництво локальних очисних споруд дощової каналізації на основних скидах у </w:t>
            </w:r>
            <w:r>
              <w:rPr>
                <w:rFonts w:ascii="Times New Roman" w:hAnsi="Times New Roman"/>
                <w:color w:val="000000"/>
                <w:spacing w:val="2"/>
                <w:lang w:val="uk-UA"/>
              </w:rPr>
              <w:t>відкриті водойми міста (в т.ч. розробка проєкту)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Відповідно до ПКД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Покращить якість води у поверхневих водних об’єктах, зменшить руйнування  на випусках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8. Р</w:t>
            </w:r>
            <w:r>
              <w:rPr>
                <w:rFonts w:ascii="Times New Roman" w:hAnsi="Times New Roman"/>
                <w:sz w:val="24"/>
              </w:rPr>
              <w:t xml:space="preserve">еконструкція гідротехнічних споруд (дамби, греблі, </w:t>
            </w:r>
            <w:r>
              <w:rPr>
                <w:rFonts w:ascii="Times New Roman" w:hAnsi="Times New Roman"/>
                <w:sz w:val="24"/>
              </w:rPr>
              <w:t>шлюзи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Відповідно до ПКД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Забезпечення стійкості штучно створених водних систем, можливість при потребі регулювати рівень води у об’єктах при настанні несприятливих явищ </w:t>
            </w: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повені, засухи 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9. Роботи, пов'язані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 з поліпшенням технічного стану та благоустрою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Підвищить рекреаційний потенціал території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10. Паспортизація малих річок і водойм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80,0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Створення передумов для збереження, захисту, надання в оренду ставів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11. Паспортизація гідротехнічних споруд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Створення передумов для збереження, захисту, надання в оренду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12. Реконструкція </w:t>
            </w:r>
            <w:r>
              <w:rPr>
                <w:rFonts w:ascii="Times New Roman" w:hAnsi="Times New Roman"/>
                <w:sz w:val="24"/>
              </w:rPr>
              <w:t>маслобензовловлювача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“Теремно Хліб”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13. Проведення лабораторного контролю за якісним складом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Покращення якості </w:t>
            </w:r>
            <w:r>
              <w:rPr>
                <w:rFonts w:ascii="Times New Roman" w:hAnsi="Times New Roman"/>
                <w:sz w:val="24"/>
              </w:rPr>
              <w:t>стічних вод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14. Реконструкція радіального відстійника очисних споруд промислової каналізації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“Луцька картонно-паперова фабрика”</w:t>
            </w:r>
          </w:p>
          <w:p w:rsidR="00C01B2B" w:rsidRDefault="00C01B2B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15. Встановлення  ротаційного сепаратора для </w:t>
            </w:r>
            <w:r>
              <w:rPr>
                <w:rFonts w:ascii="Times New Roman" w:hAnsi="Times New Roman"/>
                <w:sz w:val="24"/>
              </w:rPr>
              <w:t>очищення води після установки з виготовлення картону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ТзОВ “Луцька картонно-паперова фабрика”</w:t>
            </w:r>
          </w:p>
          <w:p w:rsidR="00C01B2B" w:rsidRDefault="00C01B2B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16. Будівництво локальних очисних споруд стічних вод на дільниці галтування ролика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17. Реконструкція системи очищення дощових вод та розробка концепції повторного використання дощових  стоків для технічних потреб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6000,0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7000,0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7000,0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очищення зливових стоків, раціональне використання природних ресурсів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18. Розчищення русла та укріплення берегів</w:t>
            </w:r>
          </w:p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р. Сапалаївка в місці скиду зливових вод з очисних споруд підприємства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ДП “АСЗ №1” ПАТ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“АК “Богдан Моторс”</w:t>
            </w:r>
          </w:p>
          <w:p w:rsidR="00C01B2B" w:rsidRDefault="00C01B2B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Попередження руйнування берегів річки, замулення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19. Проведення лабораторного контролю за якісним складом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  <w:p w:rsidR="00C01B2B" w:rsidRDefault="00C01B2B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Власні </w:t>
            </w:r>
            <w:r>
              <w:rPr>
                <w:rFonts w:ascii="Times New Roman" w:hAnsi="Times New Roman"/>
                <w:sz w:val="24"/>
              </w:rPr>
              <w:t>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якості стічних вод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20. Реконструкція насосного обладнання на очисних спорудах зливових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  <w:p w:rsidR="00C01B2B" w:rsidRDefault="00C01B2B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Забезпечення безперебійної роботи та очищення стоків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21. Заходи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проведення очистки меліоративних каналів на території Центрального парку культури і відпочинку ім. Лесі Українки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ЖГК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Обласний бюджет/ 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500,0/500,0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500,0/1500,0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Покращення санітарного стану парку та водойм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6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22. Заходи з охорони підземних вод та ліквідації джерел їх забруднення, а саме </w:t>
            </w:r>
            <w:bookmarkStart w:id="4" w:name="__DdeLink__262_139132664"/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 розробка проєктно-кошторисної документації встановлення санітарно-захисних зон свердловин питного водопостачання</w:t>
            </w:r>
            <w:bookmarkEnd w:id="4"/>
            <w:r>
              <w:rPr>
                <w:rFonts w:ascii="Times New Roman" w:hAnsi="Times New Roman"/>
                <w:color w:val="000000"/>
                <w:sz w:val="24"/>
                <w:lang w:bidi="ar-SA"/>
              </w:rPr>
              <w:t xml:space="preserve"> та влаштування захисних огорож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Бюдже</w:t>
            </w:r>
            <w:r>
              <w:rPr>
                <w:rFonts w:ascii="Times New Roman" w:hAnsi="Times New Roman"/>
                <w:color w:val="000000"/>
                <w:sz w:val="24"/>
              </w:rPr>
              <w:t>т громади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/ в т.ч. спецфон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850,0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Охорона підземних вод (джерел питного водопостачання)</w:t>
            </w:r>
          </w:p>
        </w:tc>
      </w:tr>
      <w:tr w:rsidR="00C01B2B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ІІ. Охорона атмосферного повітря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1. Обслуговування системи моніторингу атмосферного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01B2B" w:rsidRDefault="00C04FB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Створення </w:t>
            </w:r>
            <w:r>
              <w:rPr>
                <w:rFonts w:ascii="Times New Roman" w:hAnsi="Times New Roman"/>
                <w:color w:val="333333"/>
                <w:sz w:val="24"/>
              </w:rPr>
              <w:t>та забезпечення функціювання місцевих екологічних АІС, які є складовою мережі загальнодержавної екологічної автоматизованої інформаційно-аналітичної системи забезпечення доступу до екологічної інформації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 xml:space="preserve"> Реконструкція вентиляційної системи від деревообробного обладнання столярної майстерні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“Теремно Хліб”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3. Проведення режимно-налагоджувальних робіт на котлоагрегатах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ДКП </w:t>
            </w:r>
            <w:r>
              <w:rPr>
                <w:rFonts w:ascii="Times New Roman" w:hAnsi="Times New Roman"/>
                <w:sz w:val="24"/>
              </w:rPr>
              <w:t>“Луцьктепло”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245,0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270,0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360,0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360,0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4. Проведення лабораторного контролю викидів забруднювальних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</w:t>
            </w:r>
            <w:r>
              <w:rPr>
                <w:rFonts w:ascii="Times New Roman" w:hAnsi="Times New Roman"/>
                <w:sz w:val="24"/>
              </w:rPr>
              <w:t xml:space="preserve">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5. Проведення інвентаризації джерел викидів забруднювальних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Покращення  </w:t>
            </w:r>
            <w:r>
              <w:rPr>
                <w:rFonts w:ascii="Times New Roman" w:hAnsi="Times New Roman"/>
                <w:sz w:val="24"/>
              </w:rPr>
              <w:t>якості очищення атмосферного повітря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6. Організація виробництва для очищення газопилового потоку (реконструкція ПГОУ)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r>
              <w:rPr>
                <w:rFonts w:ascii="Times New Roman" w:hAnsi="Times New Roman"/>
                <w:sz w:val="24"/>
              </w:rPr>
              <w:t>Організація виробництва для очищення газопилового потоку (реконструкція ПГОУ)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8. Проведення лабораторного </w:t>
            </w:r>
            <w:r>
              <w:rPr>
                <w:rFonts w:ascii="Times New Roman" w:hAnsi="Times New Roman"/>
                <w:sz w:val="24"/>
              </w:rPr>
              <w:t>контролю викидів забруднюючих речовин в атмосферне повітря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ДП “АСЗ №1” ПАТ “АК “Богдан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7,0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Покращення  якості очищення атмосферного повітря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9. Проведення режимно-налагоджувальних робіт на </w:t>
            </w:r>
            <w:r>
              <w:rPr>
                <w:rFonts w:ascii="Times New Roman" w:hAnsi="Times New Roman"/>
                <w:sz w:val="24"/>
              </w:rPr>
              <w:t>котлоагрегатах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 якості очищення атмосферного повітря</w:t>
            </w:r>
          </w:p>
        </w:tc>
      </w:tr>
      <w:tr w:rsidR="00C01B2B">
        <w:tc>
          <w:tcPr>
            <w:tcW w:w="2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t>ІІІ. Охорона і раціональне використання земель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1. Моніторинг стану забруднення ґрунтів</w:t>
            </w:r>
          </w:p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Луцької </w:t>
            </w:r>
            <w:r>
              <w:rPr>
                <w:rFonts w:ascii="Times New Roman" w:hAnsi="Times New Roman"/>
                <w:sz w:val="24"/>
              </w:rPr>
              <w:t>міської територіальної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Не потребує коштів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Забезпечення доступу до екологічної інформації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color w:val="333333"/>
                <w:sz w:val="24"/>
              </w:rPr>
            </w:pPr>
          </w:p>
        </w:tc>
      </w:tr>
      <w:tr w:rsidR="00C01B2B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ІV. Охорона і раціональне використання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природних рослинних ресурсів</w:t>
            </w:r>
          </w:p>
        </w:tc>
        <w:tc>
          <w:tcPr>
            <w:tcW w:w="46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Заходи з озеленення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населених пунктів Луцької міської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територіальної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  <w:p w:rsidR="00C01B2B" w:rsidRDefault="00C01B2B">
            <w:pPr>
              <w:jc w:val="center"/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01B2B" w:rsidRDefault="00C04FB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color w:val="212529"/>
                <w:sz w:val="24"/>
              </w:rPr>
            </w:pPr>
          </w:p>
        </w:tc>
        <w:tc>
          <w:tcPr>
            <w:tcW w:w="4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2. Ліквідація наслідків буреломів, сніголомів, вітровалів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Забезпечення безпеки життя та здоров’я мешканців громади</w:t>
            </w:r>
          </w:p>
        </w:tc>
      </w:tr>
      <w:tr w:rsidR="00C01B2B">
        <w:trPr>
          <w:trHeight w:val="1341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3. Заходи щодо запобігання інтродукції та поширення чужорідних видів рослин, які загрожують природним екосистемам (борщівник, амброзія та ін. 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комітет, ДЖКГ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Захист та збереження природн</w:t>
            </w:r>
            <w:r>
              <w:rPr>
                <w:rFonts w:ascii="Times New Roman" w:hAnsi="Times New Roman"/>
                <w:sz w:val="24"/>
              </w:rPr>
              <w:t>их екосистем, захист здоров’я мешканці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4. Проведення інвентаризації зелених насаджень, виготовлення документації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lastRenderedPageBreak/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Захист та збереження природних екосистем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pStyle w:val="af6"/>
              <w:spacing w:line="240" w:lineRule="atLeast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5. Обробка зелених насаджень від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кліщів, комарів, білого американського метелика та ін.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Департамент 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Захист та збереження природних екосистем від інвазійних видів, захист здоров’я мешканці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6. Заходи з озеленення території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C01B2B">
        <w:trPr>
          <w:trHeight w:val="1188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7. Заходи з озеленення території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11,0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Збільшення кількості зелених насаджень, адаптація до змін клімату</w:t>
            </w:r>
          </w:p>
        </w:tc>
      </w:tr>
      <w:tr w:rsidR="00C01B2B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r>
              <w:rPr>
                <w:rFonts w:ascii="Times New Roman" w:hAnsi="Times New Roman"/>
                <w:color w:val="212529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color w:val="212529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Охорона і раціональне використання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ресурсів тваринного світу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1. Будівництво та облаштування притулку для утримання безпритульних тварин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біорізноманіття,  охорона ресурсів тваринного світу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2. Заходи щодо охорони тваринного світу та боротьби з браконьєрством (придбання матеріально-технічних засобів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біорізноманіття,  охорона ресурсів тваринного світу</w:t>
            </w:r>
          </w:p>
        </w:tc>
      </w:tr>
      <w:tr w:rsidR="00C01B2B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t>VІ. Збереження природно-заповідного фонду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1. Утримання територій та об’єктів природно-заповідного фонду міської громади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Бюджет громади/ в т.ч.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350,0</w:t>
            </w:r>
          </w:p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2. Розроблення проєктів створення територій і об'єктів природно-заповідного фонду та організації їх територій, наукові дослідження видового складу флори та </w:t>
            </w:r>
            <w:r>
              <w:rPr>
                <w:rFonts w:ascii="Times New Roman" w:hAnsi="Times New Roman"/>
                <w:color w:val="212529"/>
                <w:sz w:val="24"/>
              </w:rPr>
              <w:lastRenderedPageBreak/>
              <w:t>фауни, екосистемних послуг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Виконавчий </w:t>
            </w:r>
            <w:r>
              <w:rPr>
                <w:rFonts w:ascii="Times New Roman" w:hAnsi="Times New Roman"/>
                <w:color w:val="000000"/>
                <w:sz w:val="24"/>
              </w:rPr>
              <w:t>комітет, ДЖКГ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Захист  територій природо-заповідного фонду , їх раціональне не виснажливе використання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>3. Розроблення документації із землеустрою для територій та об’єктів природно-заповідного фонду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color w:val="212529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285,0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Захист  територій природо-заповідного фонду</w:t>
            </w:r>
          </w:p>
        </w:tc>
      </w:tr>
      <w:tr w:rsidR="00C01B2B">
        <w:trPr>
          <w:trHeight w:val="1090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4. Діяльність щодо збереження видів тварин, занесених до Червоної книги України (придбання кормів)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20,0</w:t>
            </w:r>
          </w:p>
          <w:p w:rsidR="00C01B2B" w:rsidRDefault="00C04FB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 та тварин занесених до Червоної книги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5. Створення Ботанічного саду на вул. Потебні в м. Луцьку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ВНУ ім. Лесі Українки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2023  2025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Інші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Cs w:val="22"/>
              </w:rPr>
              <w:t xml:space="preserve">Відповідно до </w:t>
            </w:r>
            <w:r>
              <w:rPr>
                <w:rFonts w:ascii="Times New Roman" w:hAnsi="Times New Roman"/>
                <w:szCs w:val="22"/>
              </w:rPr>
              <w:t>проєктної документації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Збереження біорізноманіття</w:t>
            </w:r>
          </w:p>
        </w:tc>
      </w:tr>
      <w:tr w:rsidR="00C01B2B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VІІ. Раціональне використання і зберігання </w:t>
            </w:r>
            <w:r>
              <w:rPr>
                <w:rFonts w:ascii="Times New Roman" w:hAnsi="Times New Roman"/>
                <w:color w:val="212529"/>
                <w:sz w:val="24"/>
              </w:rPr>
              <w:br/>
              <w:t>відходів виробництва і побутових відходів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Заходи щодо екологічно безпечного збирання, перевезення, зберігання, утилізації і знешкодження відходів </w:t>
            </w:r>
            <w:r>
              <w:rPr>
                <w:rFonts w:ascii="Times New Roman" w:hAnsi="Times New Roman"/>
                <w:color w:val="000000"/>
                <w:sz w:val="24"/>
              </w:rPr>
              <w:t>(відпрацьовані люмінесцентні лампи, ртутні термометри, хімічні джерела струму, зношені шини та ін.)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270,0</w:t>
            </w:r>
          </w:p>
          <w:p w:rsidR="00C01B2B" w:rsidRDefault="00C04FB3">
            <w:pPr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500,0</w:t>
            </w:r>
          </w:p>
          <w:p w:rsidR="00C01B2B" w:rsidRDefault="00C04FB3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Вилучення небезпечних відходів із загального потоку ТПВ, </w:t>
            </w:r>
            <w:r>
              <w:rPr>
                <w:rFonts w:ascii="Times New Roman" w:hAnsi="Times New Roman"/>
                <w:sz w:val="24"/>
              </w:rPr>
              <w:t>зменшення забруднення довкілля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2. Придбання обладнання для збору відходів (компостери для встановлення у ЗДО та ЗЗСО)</w:t>
            </w:r>
            <w:r>
              <w:rPr>
                <w:rFonts w:ascii="Times New Roman" w:hAnsi="Times New Roman"/>
                <w:color w:val="C9211E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 інше.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Впровадження компостування в громаді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 xml:space="preserve"> Реконструкція місця зберігання небезпечних відходів (АКБ)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ind w:left="-57" w:right="-57"/>
              <w:jc w:val="both"/>
            </w:pPr>
            <w:r>
              <w:rPr>
                <w:rFonts w:ascii="Times New Roman" w:hAnsi="Times New Roman"/>
                <w:sz w:val="24"/>
              </w:rPr>
              <w:t>ПрАТ “ТеремноХліб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4. Проєктування та встановлення системи для утилізації полімерних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ПрАТ “Луцька картонно-паперова </w:t>
            </w:r>
            <w:r>
              <w:rPr>
                <w:rFonts w:ascii="Times New Roman" w:hAnsi="Times New Roman"/>
                <w:sz w:val="24"/>
              </w:rPr>
              <w:lastRenderedPageBreak/>
              <w:t>фабрика”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Раціональне використання відходів виробництва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5. Утилізація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r>
              <w:rPr>
                <w:rFonts w:ascii="Times New Roman" w:hAnsi="Times New Roman"/>
                <w:sz w:val="24"/>
              </w:rPr>
              <w:t>Придбання обладнання для тимчасового зберігання небезпечних відходів (відпрацьовані люмінесцентні лампи)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7. Реконструкція (модернізація) місця зберігання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ПрАТ “СКФ </w:t>
            </w:r>
            <w:r>
              <w:rPr>
                <w:rFonts w:ascii="Times New Roman" w:hAnsi="Times New Roman"/>
                <w:sz w:val="24"/>
              </w:rPr>
              <w:t>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eastAsia="Segoe UI" w:hAnsi="Times New Roman" w:cs="Tahoma"/>
                <w:color w:val="212529"/>
                <w:kern w:val="0"/>
                <w:sz w:val="24"/>
              </w:rPr>
              <w:t>8. Р</w:t>
            </w:r>
            <w:r>
              <w:rPr>
                <w:rFonts w:ascii="Times New Roman" w:hAnsi="Times New Roman"/>
                <w:color w:val="212529"/>
                <w:sz w:val="24"/>
              </w:rPr>
              <w:t>озширення та реконструкція споруд, придбання та встановлення обладнання для збору, складування та утилізації промислових відходів виробництва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9. Вдосконалення процесу сортування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Раціональне використання відходів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spacing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10. Утилізація промислових відходів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ДП “АСЗ №1” ПАТ “АК 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Запобігання  забрудненню довкілля</w:t>
            </w:r>
          </w:p>
        </w:tc>
      </w:tr>
      <w:tr w:rsidR="00C01B2B"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VІІІ. Наука, інформація і освіта, забезпечення участі у діяльності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  <w:t>міжнародних організацій природоохоронного спрямування</w:t>
            </w: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1. Придбання обладнання для </w:t>
            </w:r>
            <w:r>
              <w:rPr>
                <w:rFonts w:ascii="Times New Roman" w:hAnsi="Times New Roman"/>
                <w:sz w:val="24"/>
              </w:rPr>
              <w:t>оснащення ним природоохоронних організацій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Організація належного контролю за  порушеннями  природоохоронного законодавства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2. Проведення наукових досліджень (моніторинг якості </w:t>
            </w:r>
            <w:r>
              <w:rPr>
                <w:rFonts w:ascii="Times New Roman" w:hAnsi="Times New Roman"/>
                <w:sz w:val="24"/>
              </w:rPr>
              <w:t>атмосферного повітря, поверхневих вод тощо)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Обласний бюджет/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65,0/30,0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Забезпечення рівноваги природних систем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3. Заходи зі збереження біорізноманіття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</w:t>
            </w: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 xml:space="preserve">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Покращення обізнаності  дітей та молоді  з  питань  біорізноманіття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4. Створення та обслуговування  автоматизованих геоінформаційних систем та приладів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Бюджет громади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Створення та забезпечення функціювання місцевих екологічних АІС, які є складовою мережі загальнодержавної екологічної автоматизованої інформаційно-аналітичної системи забезпечення доступу до екологічної інформації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5. Проведення науково-те</w:t>
            </w:r>
            <w:r>
              <w:rPr>
                <w:rFonts w:ascii="Times New Roman" w:hAnsi="Times New Roman"/>
                <w:color w:val="000000"/>
                <w:sz w:val="24"/>
              </w:rPr>
              <w:t>хнічних конференцій і семінарів, організація виставок, фестивалів та інших заходів щодо пропаганди охорони навколишнього природного середовища, видання поліграфічної продукції з екологічної тематики, створення бібліотек, відеотек, фонотек тощо(в т.ч. придб</w:t>
            </w:r>
            <w:r>
              <w:rPr>
                <w:rFonts w:ascii="Times New Roman" w:hAnsi="Times New Roman"/>
                <w:color w:val="000000"/>
                <w:sz w:val="24"/>
              </w:rPr>
              <w:t>ання одноразових рукавиць та пакетів для сміття в рамках проведення міських екологічних акцій)</w:t>
            </w:r>
          </w:p>
          <w:p w:rsidR="00C01B2B" w:rsidRDefault="00C01B2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Очищення довкілля в ході  загальноміських  акцій, популяризація </w:t>
            </w:r>
            <w:r>
              <w:rPr>
                <w:rFonts w:ascii="Times New Roman" w:hAnsi="Times New Roman"/>
                <w:sz w:val="24"/>
              </w:rPr>
              <w:t>природоохоронної діяльності</w:t>
            </w:r>
          </w:p>
        </w:tc>
      </w:tr>
      <w:tr w:rsidR="00C01B2B">
        <w:trPr>
          <w:trHeight w:val="1020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6. </w:t>
            </w:r>
            <w:r>
              <w:rPr>
                <w:rFonts w:ascii="Times New Roman" w:hAnsi="Times New Roman"/>
                <w:color w:val="212529"/>
                <w:sz w:val="23"/>
                <w:szCs w:val="23"/>
              </w:rPr>
              <w:t>Організація і здійснення робіт з екологічної освіти, підготовки кадрів, підвищення кваліфікації та обміну досвідом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Виконавчий комітет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Cs w:val="22"/>
              </w:rPr>
              <w:t>Бюджет громади/ в т.ч. спецфонд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bookmarkStart w:id="5" w:name="__DdeLink__2169_771351238"/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  <w:bookmarkEnd w:id="5"/>
          </w:p>
        </w:tc>
      </w:tr>
      <w:tr w:rsidR="00C01B2B">
        <w:trPr>
          <w:trHeight w:val="1445"/>
        </w:trPr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7. Проведення семінарів, круглих столів, конференцій з питань сучасних екологічних проблем, видання поліграфічної продукції 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ВНУ ім. Лесі Українки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Популяризація природоохоронної діяльності, підвищення поінформованості громади щодо екологічних питань 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8. 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ПрАТ “СКФ Україна”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9. Підвищення кваліфікації працівників  у сфері охорони навколишнього природного середовища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3"/>
                <w:szCs w:val="23"/>
              </w:rPr>
              <w:t>ДП “АСЗ №1” ПАТ “АК “Богдан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Поширення екологічний знань</w:t>
            </w:r>
          </w:p>
        </w:tc>
      </w:tr>
      <w:tr w:rsidR="00C01B2B">
        <w:tc>
          <w:tcPr>
            <w:tcW w:w="2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1B2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r>
              <w:rPr>
                <w:rFonts w:ascii="Times New Roman" w:hAnsi="Times New Roman"/>
                <w:sz w:val="24"/>
              </w:rPr>
              <w:t>Атестація лабораторії  підприємства  для здійснення моніторингу атмосферного повітря та стічних вод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tabs>
                <w:tab w:val="left" w:pos="0"/>
              </w:tabs>
              <w:jc w:val="center"/>
            </w:pPr>
            <w:r>
              <w:rPr>
                <w:rFonts w:ascii="Times New Roman" w:eastAsia="Segoe UI" w:hAnsi="Times New Roman" w:cs="Tahoma"/>
                <w:color w:val="000000"/>
                <w:kern w:val="0"/>
                <w:sz w:val="24"/>
              </w:rPr>
              <w:t>ДП “АСЗ №1” ПАТ  “АК“ Богдан     Моторс”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Власні кошти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center"/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</w:pPr>
            <w:r>
              <w:rPr>
                <w:rFonts w:ascii="Times New Roman" w:hAnsi="Times New Roman"/>
                <w:sz w:val="24"/>
              </w:rPr>
              <w:t>Забезпечення  контролю за станом довкілля</w:t>
            </w:r>
          </w:p>
        </w:tc>
      </w:tr>
      <w:tr w:rsidR="00C01B2B">
        <w:trPr>
          <w:trHeight w:val="315"/>
        </w:trPr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2B" w:rsidRDefault="00C04FB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Всього за роками,в тому числі: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95 734,0 млн. грн</w:t>
            </w:r>
          </w:p>
        </w:tc>
      </w:tr>
      <w:tr w:rsidR="00C01B2B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2022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ind w:left="-83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20 341,0</w:t>
            </w:r>
          </w:p>
        </w:tc>
      </w:tr>
      <w:tr w:rsidR="00C01B2B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2023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</w:rPr>
            </w:pPr>
            <w:bookmarkStart w:id="6" w:name="__DdeLink__2853_2295493619"/>
            <w:r>
              <w:rPr>
                <w:rFonts w:ascii="Times New Roman" w:hAnsi="Times New Roman" w:cs="Times New Roman"/>
                <w:color w:val="000000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4 496,0</w:t>
            </w:r>
            <w:bookmarkEnd w:id="6"/>
          </w:p>
        </w:tc>
      </w:tr>
      <w:tr w:rsidR="00C01B2B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2024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ind w:left="-83"/>
              <w:jc w:val="center"/>
              <w:rPr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20 896,0</w:t>
            </w:r>
          </w:p>
        </w:tc>
      </w:tr>
      <w:tr w:rsidR="00C01B2B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2025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ind w:left="-83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20001,0</w:t>
            </w:r>
          </w:p>
        </w:tc>
      </w:tr>
      <w:tr w:rsidR="00C01B2B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Всього за джерелами фінансування, у тому числі: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коштів бюджету громади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ind w:left="-83"/>
              <w:jc w:val="center"/>
              <w:rPr>
                <w:sz w:val="20"/>
                <w:szCs w:val="20"/>
              </w:rPr>
            </w:pPr>
            <w:bookmarkStart w:id="7" w:name="__DdeLink__2049_535223266"/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>3</w:t>
            </w:r>
            <w:bookmarkEnd w:id="7"/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>3245,0</w:t>
            </w:r>
          </w:p>
        </w:tc>
      </w:tr>
      <w:tr w:rsidR="00C01B2B">
        <w:tc>
          <w:tcPr>
            <w:tcW w:w="1277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2B" w:rsidRDefault="00C04FB3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коштів інших джерел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2B" w:rsidRDefault="00C04FB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</w:rPr>
              <w:t>61424,0</w:t>
            </w:r>
          </w:p>
        </w:tc>
      </w:tr>
    </w:tbl>
    <w:p w:rsidR="00C01B2B" w:rsidRDefault="00C01B2B">
      <w:pPr>
        <w:tabs>
          <w:tab w:val="left" w:pos="4815"/>
        </w:tabs>
        <w:jc w:val="both"/>
        <w:rPr>
          <w:sz w:val="12"/>
          <w:szCs w:val="12"/>
        </w:rPr>
      </w:pPr>
    </w:p>
    <w:sectPr w:rsidR="00C01B2B">
      <w:headerReference w:type="default" r:id="rId9"/>
      <w:pgSz w:w="16838" w:h="11906" w:orient="landscape"/>
      <w:pgMar w:top="1758" w:right="567" w:bottom="1701" w:left="567" w:header="1701" w:footer="0" w:gutter="0"/>
      <w:pgNumType w:start="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B3" w:rsidRDefault="00C04FB3">
      <w:r>
        <w:separator/>
      </w:r>
    </w:p>
  </w:endnote>
  <w:endnote w:type="continuationSeparator" w:id="0">
    <w:p w:rsidR="00C04FB3" w:rsidRDefault="00C0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B3" w:rsidRDefault="00C04FB3">
      <w:r>
        <w:separator/>
      </w:r>
    </w:p>
  </w:footnote>
  <w:footnote w:type="continuationSeparator" w:id="0">
    <w:p w:rsidR="00C04FB3" w:rsidRDefault="00C0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2B" w:rsidRDefault="00C01B2B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2B" w:rsidRDefault="00C04FB3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B96BB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435239"/>
      <w:docPartObj>
        <w:docPartGallery w:val="Page Numbers (Top of Page)"/>
        <w:docPartUnique/>
      </w:docPartObj>
    </w:sdtPr>
    <w:sdtEndPr/>
    <w:sdtContent>
      <w:p w:rsidR="00C01B2B" w:rsidRDefault="00C04FB3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B96BB8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01B2B" w:rsidRDefault="00C01B2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56B2"/>
    <w:multiLevelType w:val="multilevel"/>
    <w:tmpl w:val="7FDCC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045E83"/>
    <w:multiLevelType w:val="multilevel"/>
    <w:tmpl w:val="2B28E8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3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B2B"/>
    <w:rsid w:val="00B96BB8"/>
    <w:rsid w:val="00C01B2B"/>
    <w:rsid w:val="00C0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B1CA"/>
  <w15:docId w15:val="{B845E16F-76D7-4BA3-991E-20DEDCE6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A3"/>
    <w:pPr>
      <w:widowControl w:val="0"/>
      <w:suppressAutoHyphens/>
    </w:pPr>
    <w:rPr>
      <w:rFonts w:ascii="Calibri" w:hAnsi="Calibri" w:cs="Mangal;Liberation Mono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190DA3"/>
    <w:pPr>
      <w:keepNext/>
      <w:widowControl/>
      <w:jc w:val="center"/>
      <w:outlineLvl w:val="0"/>
    </w:pPr>
    <w:rPr>
      <w:rFonts w:ascii="Liberation Serif;Times New Roma" w:eastAsia="SimSun;宋体" w:hAnsi="Liberation Serif;Times New Roma" w:cs="Liberation Serif;Times New Roma"/>
      <w:b/>
      <w:sz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190DA3"/>
    <w:pPr>
      <w:keepNext/>
      <w:widowControl/>
      <w:spacing w:before="240" w:after="60"/>
      <w:outlineLvl w:val="1"/>
    </w:pPr>
    <w:rPr>
      <w:rFonts w:ascii="Arial" w:eastAsia="SimSun;宋体" w:hAnsi="Arial" w:cs="Arial"/>
      <w:b/>
      <w:i/>
      <w:iCs/>
      <w:sz w:val="24"/>
      <w:szCs w:val="28"/>
    </w:rPr>
  </w:style>
  <w:style w:type="character" w:customStyle="1" w:styleId="Heading1Char">
    <w:name w:val="Heading 1 Char"/>
    <w:basedOn w:val="a0"/>
    <w:link w:val="11"/>
    <w:uiPriority w:val="9"/>
    <w:qFormat/>
    <w:rsid w:val="0041163D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Heading2Char">
    <w:name w:val="Heading 2 Char"/>
    <w:basedOn w:val="a0"/>
    <w:link w:val="21"/>
    <w:uiPriority w:val="9"/>
    <w:semiHidden/>
    <w:qFormat/>
    <w:rsid w:val="0041163D"/>
    <w:rPr>
      <w:rFonts w:asciiTheme="majorHAnsi" w:eastAsiaTheme="majorEastAsia" w:hAnsiTheme="majorHAnsi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WW8Num1z0">
    <w:name w:val="WW8Num1z0"/>
    <w:uiPriority w:val="99"/>
    <w:qFormat/>
    <w:rsid w:val="00190DA3"/>
  </w:style>
  <w:style w:type="character" w:customStyle="1" w:styleId="WW8Num1z1">
    <w:name w:val="WW8Num1z1"/>
    <w:uiPriority w:val="99"/>
    <w:qFormat/>
    <w:rsid w:val="00190DA3"/>
  </w:style>
  <w:style w:type="character" w:customStyle="1" w:styleId="WW8Num1z2">
    <w:name w:val="WW8Num1z2"/>
    <w:uiPriority w:val="99"/>
    <w:qFormat/>
    <w:rsid w:val="00190DA3"/>
  </w:style>
  <w:style w:type="character" w:customStyle="1" w:styleId="WW8Num1z3">
    <w:name w:val="WW8Num1z3"/>
    <w:uiPriority w:val="99"/>
    <w:qFormat/>
    <w:rsid w:val="00190DA3"/>
  </w:style>
  <w:style w:type="character" w:customStyle="1" w:styleId="WW8Num1z4">
    <w:name w:val="WW8Num1z4"/>
    <w:uiPriority w:val="99"/>
    <w:qFormat/>
    <w:rsid w:val="00190DA3"/>
  </w:style>
  <w:style w:type="character" w:customStyle="1" w:styleId="WW8Num1z5">
    <w:name w:val="WW8Num1z5"/>
    <w:uiPriority w:val="99"/>
    <w:qFormat/>
    <w:rsid w:val="00190DA3"/>
  </w:style>
  <w:style w:type="character" w:customStyle="1" w:styleId="WW8Num1z6">
    <w:name w:val="WW8Num1z6"/>
    <w:uiPriority w:val="99"/>
    <w:qFormat/>
    <w:rsid w:val="00190DA3"/>
  </w:style>
  <w:style w:type="character" w:customStyle="1" w:styleId="WW8Num1z7">
    <w:name w:val="WW8Num1z7"/>
    <w:uiPriority w:val="99"/>
    <w:qFormat/>
    <w:rsid w:val="00190DA3"/>
  </w:style>
  <w:style w:type="character" w:customStyle="1" w:styleId="WW8Num1z8">
    <w:name w:val="WW8Num1z8"/>
    <w:uiPriority w:val="99"/>
    <w:qFormat/>
    <w:rsid w:val="00190DA3"/>
  </w:style>
  <w:style w:type="character" w:customStyle="1" w:styleId="2">
    <w:name w:val="Основной шрифт абзаца2"/>
    <w:uiPriority w:val="99"/>
    <w:qFormat/>
    <w:rsid w:val="00190DA3"/>
  </w:style>
  <w:style w:type="character" w:customStyle="1" w:styleId="WW8Num2z0">
    <w:name w:val="WW8Num2z0"/>
    <w:uiPriority w:val="99"/>
    <w:qFormat/>
    <w:rsid w:val="00190DA3"/>
  </w:style>
  <w:style w:type="character" w:customStyle="1" w:styleId="WW8Num2z1">
    <w:name w:val="WW8Num2z1"/>
    <w:uiPriority w:val="99"/>
    <w:qFormat/>
    <w:rsid w:val="00190DA3"/>
  </w:style>
  <w:style w:type="character" w:customStyle="1" w:styleId="WW8Num2z2">
    <w:name w:val="WW8Num2z2"/>
    <w:uiPriority w:val="99"/>
    <w:qFormat/>
    <w:rsid w:val="00190DA3"/>
  </w:style>
  <w:style w:type="character" w:customStyle="1" w:styleId="WW8Num2z3">
    <w:name w:val="WW8Num2z3"/>
    <w:uiPriority w:val="99"/>
    <w:qFormat/>
    <w:rsid w:val="00190DA3"/>
  </w:style>
  <w:style w:type="character" w:customStyle="1" w:styleId="WW8Num2z4">
    <w:name w:val="WW8Num2z4"/>
    <w:uiPriority w:val="99"/>
    <w:qFormat/>
    <w:rsid w:val="00190DA3"/>
  </w:style>
  <w:style w:type="character" w:customStyle="1" w:styleId="WW8Num2z5">
    <w:name w:val="WW8Num2z5"/>
    <w:uiPriority w:val="99"/>
    <w:qFormat/>
    <w:rsid w:val="00190DA3"/>
  </w:style>
  <w:style w:type="character" w:customStyle="1" w:styleId="WW8Num2z6">
    <w:name w:val="WW8Num2z6"/>
    <w:uiPriority w:val="99"/>
    <w:qFormat/>
    <w:rsid w:val="00190DA3"/>
  </w:style>
  <w:style w:type="character" w:customStyle="1" w:styleId="WW8Num2z7">
    <w:name w:val="WW8Num2z7"/>
    <w:uiPriority w:val="99"/>
    <w:qFormat/>
    <w:rsid w:val="00190DA3"/>
  </w:style>
  <w:style w:type="character" w:customStyle="1" w:styleId="WW8Num2z8">
    <w:name w:val="WW8Num2z8"/>
    <w:uiPriority w:val="99"/>
    <w:qFormat/>
    <w:rsid w:val="00190DA3"/>
  </w:style>
  <w:style w:type="character" w:customStyle="1" w:styleId="WW8Num3z0">
    <w:name w:val="WW8Num3z0"/>
    <w:uiPriority w:val="99"/>
    <w:qFormat/>
    <w:rsid w:val="00190DA3"/>
  </w:style>
  <w:style w:type="character" w:customStyle="1" w:styleId="WW8Num3z1">
    <w:name w:val="WW8Num3z1"/>
    <w:uiPriority w:val="99"/>
    <w:qFormat/>
    <w:rsid w:val="00190DA3"/>
  </w:style>
  <w:style w:type="character" w:customStyle="1" w:styleId="WW8Num3z2">
    <w:name w:val="WW8Num3z2"/>
    <w:uiPriority w:val="99"/>
    <w:qFormat/>
    <w:rsid w:val="00190DA3"/>
  </w:style>
  <w:style w:type="character" w:customStyle="1" w:styleId="WW8Num3z3">
    <w:name w:val="WW8Num3z3"/>
    <w:uiPriority w:val="99"/>
    <w:qFormat/>
    <w:rsid w:val="00190DA3"/>
  </w:style>
  <w:style w:type="character" w:customStyle="1" w:styleId="WW8Num3z4">
    <w:name w:val="WW8Num3z4"/>
    <w:uiPriority w:val="99"/>
    <w:qFormat/>
    <w:rsid w:val="00190DA3"/>
  </w:style>
  <w:style w:type="character" w:customStyle="1" w:styleId="WW8Num3z5">
    <w:name w:val="WW8Num3z5"/>
    <w:uiPriority w:val="99"/>
    <w:qFormat/>
    <w:rsid w:val="00190DA3"/>
  </w:style>
  <w:style w:type="character" w:customStyle="1" w:styleId="WW8Num3z6">
    <w:name w:val="WW8Num3z6"/>
    <w:uiPriority w:val="99"/>
    <w:qFormat/>
    <w:rsid w:val="00190DA3"/>
  </w:style>
  <w:style w:type="character" w:customStyle="1" w:styleId="WW8Num3z7">
    <w:name w:val="WW8Num3z7"/>
    <w:uiPriority w:val="99"/>
    <w:qFormat/>
    <w:rsid w:val="00190DA3"/>
  </w:style>
  <w:style w:type="character" w:customStyle="1" w:styleId="WW8Num3z8">
    <w:name w:val="WW8Num3z8"/>
    <w:uiPriority w:val="99"/>
    <w:qFormat/>
    <w:rsid w:val="00190DA3"/>
  </w:style>
  <w:style w:type="character" w:customStyle="1" w:styleId="1">
    <w:name w:val="Основной шрифт абзаца1"/>
    <w:uiPriority w:val="99"/>
    <w:qFormat/>
    <w:rsid w:val="00190DA3"/>
  </w:style>
  <w:style w:type="character" w:customStyle="1" w:styleId="a3">
    <w:name w:val="Верхний колонтитул Знак"/>
    <w:uiPriority w:val="99"/>
    <w:qFormat/>
    <w:rsid w:val="00190DA3"/>
    <w:rPr>
      <w:rFonts w:ascii="Calibri" w:eastAsia="NSimSun" w:hAnsi="Calibri"/>
      <w:kern w:val="2"/>
      <w:sz w:val="24"/>
      <w:lang w:eastAsia="zh-CN"/>
    </w:rPr>
  </w:style>
  <w:style w:type="character" w:customStyle="1" w:styleId="a4">
    <w:name w:val="Нижний колонтитул Знак"/>
    <w:uiPriority w:val="99"/>
    <w:qFormat/>
    <w:rsid w:val="00190DA3"/>
    <w:rPr>
      <w:rFonts w:ascii="Calibri" w:eastAsia="NSimSun" w:hAnsi="Calibri"/>
      <w:kern w:val="2"/>
      <w:sz w:val="24"/>
      <w:lang w:eastAsia="zh-CN"/>
    </w:rPr>
  </w:style>
  <w:style w:type="character" w:customStyle="1" w:styleId="10">
    <w:name w:val="Заголовок 1 Знак"/>
    <w:uiPriority w:val="99"/>
    <w:qFormat/>
    <w:rsid w:val="00190DA3"/>
    <w:rPr>
      <w:rFonts w:ascii="Liberation Serif;Times New Roma" w:eastAsia="SimSun;宋体" w:hAnsi="Liberation Serif;Times New Roma"/>
      <w:b/>
      <w:kern w:val="2"/>
      <w:sz w:val="24"/>
      <w:lang w:eastAsia="zh-CN"/>
    </w:rPr>
  </w:style>
  <w:style w:type="character" w:customStyle="1" w:styleId="20">
    <w:name w:val="Заголовок 2 Знак"/>
    <w:uiPriority w:val="99"/>
    <w:qFormat/>
    <w:rsid w:val="00190DA3"/>
    <w:rPr>
      <w:rFonts w:ascii="Arial" w:eastAsia="SimSun;宋体" w:hAnsi="Arial"/>
      <w:b/>
      <w:i/>
      <w:kern w:val="2"/>
      <w:sz w:val="28"/>
      <w:lang w:eastAsia="zh-CN"/>
    </w:rPr>
  </w:style>
  <w:style w:type="character" w:customStyle="1" w:styleId="a5">
    <w:name w:val="Маркери списку"/>
    <w:uiPriority w:val="99"/>
    <w:qFormat/>
    <w:rsid w:val="00190DA3"/>
    <w:rPr>
      <w:rFonts w:ascii="OpenSymbol" w:eastAsia="Times New Roman" w:hAnsi="OpenSymbol"/>
    </w:rPr>
  </w:style>
  <w:style w:type="character" w:customStyle="1" w:styleId="12">
    <w:name w:val="Гіперпосилання1"/>
    <w:uiPriority w:val="99"/>
    <w:qFormat/>
    <w:rsid w:val="00190DA3"/>
    <w:rPr>
      <w:color w:val="000080"/>
      <w:u w:val="single"/>
    </w:rPr>
  </w:style>
  <w:style w:type="character" w:customStyle="1" w:styleId="a6">
    <w:name w:val="Основний текст Знак"/>
    <w:basedOn w:val="a0"/>
    <w:link w:val="a7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a8">
    <w:name w:val="Назва Знак"/>
    <w:basedOn w:val="a0"/>
    <w:link w:val="a9"/>
    <w:uiPriority w:val="10"/>
    <w:qFormat/>
    <w:rsid w:val="0041163D"/>
    <w:rPr>
      <w:rFonts w:asciiTheme="majorHAnsi" w:eastAsiaTheme="majorEastAsia" w:hAnsiTheme="majorHAnsi" w:cs="Mangal"/>
      <w:b/>
      <w:bCs/>
      <w:kern w:val="2"/>
      <w:sz w:val="32"/>
      <w:szCs w:val="29"/>
      <w:lang w:eastAsia="zh-CN" w:bidi="hi-IN"/>
    </w:rPr>
  </w:style>
  <w:style w:type="character" w:customStyle="1" w:styleId="HeaderChar">
    <w:name w:val="Header Char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FooterChar">
    <w:name w:val="Footer Char"/>
    <w:basedOn w:val="a0"/>
    <w:uiPriority w:val="99"/>
    <w:semiHidden/>
    <w:qFormat/>
    <w:rsid w:val="0041163D"/>
    <w:rPr>
      <w:rFonts w:ascii="Calibri" w:hAnsi="Calibri" w:cs="Mangal"/>
      <w:kern w:val="2"/>
      <w:szCs w:val="24"/>
      <w:lang w:eastAsia="zh-CN" w:bidi="hi-IN"/>
    </w:rPr>
  </w:style>
  <w:style w:type="character" w:customStyle="1" w:styleId="aa">
    <w:name w:val="Верхній колонтитул Знак"/>
    <w:basedOn w:val="a0"/>
    <w:link w:val="ab"/>
    <w:uiPriority w:val="99"/>
    <w:qFormat/>
    <w:rsid w:val="00FB50B0"/>
    <w:rPr>
      <w:rFonts w:ascii="Calibri" w:hAnsi="Calibri" w:cs="Mangal"/>
      <w:kern w:val="2"/>
      <w:sz w:val="22"/>
      <w:szCs w:val="24"/>
      <w:lang w:eastAsia="zh-CN" w:bidi="hi-IN"/>
    </w:rPr>
  </w:style>
  <w:style w:type="character" w:customStyle="1" w:styleId="ac">
    <w:name w:val="Нижній колонтитул Знак"/>
    <w:basedOn w:val="a0"/>
    <w:link w:val="ad"/>
    <w:uiPriority w:val="99"/>
    <w:semiHidden/>
    <w:qFormat/>
    <w:rsid w:val="00FB50B0"/>
    <w:rPr>
      <w:rFonts w:ascii="Calibri" w:hAnsi="Calibri" w:cs="Mangal"/>
      <w:kern w:val="2"/>
      <w:sz w:val="22"/>
      <w:szCs w:val="24"/>
      <w:lang w:eastAsia="zh-CN" w:bidi="hi-IN"/>
    </w:rPr>
  </w:style>
  <w:style w:type="paragraph" w:customStyle="1" w:styleId="ae">
    <w:name w:val="Заголовок"/>
    <w:basedOn w:val="a"/>
    <w:next w:val="a7"/>
    <w:uiPriority w:val="99"/>
    <w:qFormat/>
    <w:rsid w:val="00190DA3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7">
    <w:name w:val="Body Text"/>
    <w:basedOn w:val="a"/>
    <w:link w:val="a6"/>
    <w:uiPriority w:val="99"/>
    <w:rsid w:val="00190DA3"/>
    <w:pPr>
      <w:spacing w:after="140" w:line="276" w:lineRule="auto"/>
    </w:pPr>
  </w:style>
  <w:style w:type="paragraph" w:styleId="af">
    <w:name w:val="List"/>
    <w:basedOn w:val="a7"/>
    <w:uiPriority w:val="99"/>
    <w:rsid w:val="00190DA3"/>
  </w:style>
  <w:style w:type="paragraph" w:customStyle="1" w:styleId="13">
    <w:name w:val="Назва об'єкта1"/>
    <w:basedOn w:val="a"/>
    <w:qFormat/>
    <w:rsid w:val="0071169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uiPriority w:val="99"/>
    <w:qFormat/>
    <w:rsid w:val="00190DA3"/>
    <w:pPr>
      <w:suppressLineNumbers/>
    </w:pPr>
    <w:rPr>
      <w:rFonts w:cs="Arial"/>
    </w:rPr>
  </w:style>
  <w:style w:type="paragraph" w:styleId="af1">
    <w:name w:val="caption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styleId="a9">
    <w:name w:val="Title"/>
    <w:basedOn w:val="a"/>
    <w:link w:val="a8"/>
    <w:uiPriority w:val="99"/>
    <w:qFormat/>
    <w:rsid w:val="00190DA3"/>
    <w:pPr>
      <w:suppressLineNumbers/>
      <w:spacing w:before="120" w:after="120"/>
    </w:pPr>
    <w:rPr>
      <w:rFonts w:cs="Mangal"/>
      <w:i/>
      <w:iCs/>
      <w:sz w:val="24"/>
    </w:rPr>
  </w:style>
  <w:style w:type="paragraph" w:styleId="14">
    <w:name w:val="index 1"/>
    <w:basedOn w:val="a"/>
    <w:next w:val="a"/>
    <w:autoRedefine/>
    <w:uiPriority w:val="99"/>
    <w:semiHidden/>
    <w:qFormat/>
    <w:rsid w:val="00711691"/>
    <w:pPr>
      <w:ind w:left="220" w:hanging="220"/>
    </w:pPr>
  </w:style>
  <w:style w:type="paragraph" w:styleId="af2">
    <w:name w:val="index heading"/>
    <w:basedOn w:val="a"/>
    <w:uiPriority w:val="99"/>
    <w:qFormat/>
    <w:rsid w:val="00190DA3"/>
    <w:pPr>
      <w:suppressLineNumbers/>
    </w:pPr>
    <w:rPr>
      <w:rFonts w:cs="Mangal"/>
    </w:rPr>
  </w:style>
  <w:style w:type="paragraph" w:customStyle="1" w:styleId="3">
    <w:name w:val="Указатель3"/>
    <w:basedOn w:val="a"/>
    <w:uiPriority w:val="99"/>
    <w:qFormat/>
    <w:rsid w:val="00190DA3"/>
    <w:pPr>
      <w:suppressLineNumbers/>
    </w:pPr>
  </w:style>
  <w:style w:type="paragraph" w:customStyle="1" w:styleId="22">
    <w:name w:val="Название объекта2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23">
    <w:name w:val="Указатель2"/>
    <w:basedOn w:val="a"/>
    <w:uiPriority w:val="99"/>
    <w:qFormat/>
    <w:rsid w:val="00190DA3"/>
    <w:pPr>
      <w:suppressLineNumbers/>
    </w:pPr>
  </w:style>
  <w:style w:type="paragraph" w:customStyle="1" w:styleId="15">
    <w:name w:val="Название объекта1"/>
    <w:basedOn w:val="a"/>
    <w:uiPriority w:val="99"/>
    <w:qFormat/>
    <w:rsid w:val="00190DA3"/>
    <w:pPr>
      <w:suppressLineNumbers/>
      <w:spacing w:before="120" w:after="120"/>
    </w:pPr>
    <w:rPr>
      <w:i/>
      <w:iCs/>
      <w:sz w:val="24"/>
    </w:rPr>
  </w:style>
  <w:style w:type="paragraph" w:customStyle="1" w:styleId="16">
    <w:name w:val="Указатель1"/>
    <w:basedOn w:val="a"/>
    <w:uiPriority w:val="99"/>
    <w:qFormat/>
    <w:rsid w:val="00190DA3"/>
    <w:pPr>
      <w:suppressLineNumbers/>
    </w:pPr>
  </w:style>
  <w:style w:type="paragraph" w:customStyle="1" w:styleId="af3">
    <w:name w:val="Содержимое таблицы"/>
    <w:basedOn w:val="a"/>
    <w:uiPriority w:val="99"/>
    <w:qFormat/>
    <w:rsid w:val="00190DA3"/>
    <w:pPr>
      <w:suppressLineNumbers/>
    </w:pPr>
  </w:style>
  <w:style w:type="paragraph" w:customStyle="1" w:styleId="af4">
    <w:name w:val="Заголовок таблицы"/>
    <w:basedOn w:val="af3"/>
    <w:uiPriority w:val="99"/>
    <w:qFormat/>
    <w:rsid w:val="00190DA3"/>
    <w:pPr>
      <w:jc w:val="center"/>
    </w:pPr>
    <w:rPr>
      <w:b/>
      <w:bCs/>
    </w:rPr>
  </w:style>
  <w:style w:type="paragraph" w:customStyle="1" w:styleId="af5">
    <w:name w:val="Верхній і нижній колонтитули"/>
    <w:basedOn w:val="a"/>
    <w:uiPriority w:val="99"/>
    <w:qFormat/>
    <w:rsid w:val="00190DA3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a"/>
    <w:uiPriority w:val="99"/>
    <w:unhideWhenUsed/>
    <w:rsid w:val="00FB50B0"/>
    <w:pPr>
      <w:tabs>
        <w:tab w:val="center" w:pos="4819"/>
        <w:tab w:val="right" w:pos="9639"/>
      </w:tabs>
    </w:pPr>
    <w:rPr>
      <w:rFonts w:cs="Mangal"/>
    </w:rPr>
  </w:style>
  <w:style w:type="paragraph" w:styleId="ad">
    <w:name w:val="footer"/>
    <w:basedOn w:val="a"/>
    <w:link w:val="ac"/>
    <w:uiPriority w:val="99"/>
    <w:semiHidden/>
    <w:unhideWhenUsed/>
    <w:rsid w:val="00FB50B0"/>
    <w:pPr>
      <w:tabs>
        <w:tab w:val="center" w:pos="4819"/>
        <w:tab w:val="right" w:pos="9639"/>
      </w:tabs>
    </w:pPr>
    <w:rPr>
      <w:rFonts w:cs="Mangal"/>
    </w:rPr>
  </w:style>
  <w:style w:type="paragraph" w:customStyle="1" w:styleId="af6">
    <w:name w:val="Вміст таблиці"/>
    <w:basedOn w:val="a"/>
    <w:uiPriority w:val="99"/>
    <w:qFormat/>
    <w:rsid w:val="00190DA3"/>
    <w:pPr>
      <w:suppressLineNumbers/>
    </w:pPr>
  </w:style>
  <w:style w:type="paragraph" w:customStyle="1" w:styleId="af7">
    <w:name w:val="Заголовок таблиці"/>
    <w:basedOn w:val="af6"/>
    <w:uiPriority w:val="99"/>
    <w:qFormat/>
    <w:rsid w:val="00190DA3"/>
    <w:pPr>
      <w:jc w:val="center"/>
    </w:pPr>
    <w:rPr>
      <w:b/>
      <w:bCs/>
    </w:rPr>
  </w:style>
  <w:style w:type="paragraph" w:styleId="af8">
    <w:name w:val="Normal (Web)"/>
    <w:basedOn w:val="a"/>
    <w:uiPriority w:val="99"/>
    <w:qFormat/>
    <w:rsid w:val="00190DA3"/>
    <w:pPr>
      <w:suppressAutoHyphens w:val="0"/>
      <w:spacing w:before="280" w:after="119"/>
    </w:pPr>
    <w:rPr>
      <w:sz w:val="24"/>
      <w:lang w:val="ru-RU"/>
    </w:rPr>
  </w:style>
  <w:style w:type="paragraph" w:customStyle="1" w:styleId="af9">
    <w:name w:val="Абзац списка"/>
    <w:basedOn w:val="a"/>
    <w:uiPriority w:val="99"/>
    <w:qFormat/>
    <w:rsid w:val="00190DA3"/>
    <w:pPr>
      <w:ind w:left="720"/>
      <w:contextualSpacing/>
    </w:pPr>
  </w:style>
  <w:style w:type="paragraph" w:customStyle="1" w:styleId="afa">
    <w:name w:val="Обычный (веб)"/>
    <w:basedOn w:val="a"/>
    <w:qFormat/>
    <w:rsid w:val="00711691"/>
    <w:pPr>
      <w:suppressAutoHyphens w:val="0"/>
      <w:spacing w:before="280" w:after="119"/>
    </w:pPr>
    <w:rPr>
      <w:sz w:val="24"/>
      <w:lang w:val="ru-RU"/>
    </w:rPr>
  </w:style>
  <w:style w:type="paragraph" w:customStyle="1" w:styleId="30">
    <w:name w:val="Продовження нумерації 3"/>
    <w:basedOn w:val="af"/>
    <w:qFormat/>
    <w:rsid w:val="00711691"/>
    <w:pPr>
      <w:spacing w:after="120"/>
      <w:ind w:left="1080"/>
    </w:pPr>
  </w:style>
  <w:style w:type="paragraph" w:customStyle="1" w:styleId="31">
    <w:name w:val="Початок нумерації 3"/>
    <w:basedOn w:val="af"/>
    <w:next w:val="32"/>
    <w:qFormat/>
    <w:rsid w:val="00711691"/>
    <w:pPr>
      <w:spacing w:before="240" w:after="120"/>
      <w:ind w:left="1080" w:hanging="360"/>
    </w:pPr>
  </w:style>
  <w:style w:type="paragraph" w:styleId="32">
    <w:name w:val="List Number 3"/>
    <w:basedOn w:val="af"/>
    <w:qFormat/>
    <w:rsid w:val="00711691"/>
    <w:pPr>
      <w:spacing w:after="12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14</Pages>
  <Words>11908</Words>
  <Characters>6788</Characters>
  <Application>Microsoft Office Word</Application>
  <DocSecurity>0</DocSecurity>
  <Lines>56</Lines>
  <Paragraphs>37</Paragraphs>
  <ScaleCrop>false</ScaleCrop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216</cp:revision>
  <cp:lastPrinted>2023-10-12T14:46:00Z</cp:lastPrinted>
  <dcterms:created xsi:type="dcterms:W3CDTF">1995-11-21T16:41:00Z</dcterms:created>
  <dcterms:modified xsi:type="dcterms:W3CDTF">2023-10-12T13:33:00Z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