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/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6270" cy="636270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760" cy="635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0pt;height:50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45pt;height:59.4pt;mso-wrap-distance-right:0pt" filled="t" fillcolor="#FFFFFF" o:ole="">
            <v:imagedata r:id="rId3" o:title=""/>
          </v:shape>
          <o:OLEObject Type="Embed" ProgID="" ShapeID="ole_rId2" DrawAspect="Content" ObjectID="_430073058" r:id="rId2"/>
        </w:object>
      </w:r>
    </w:p>
    <w:p>
      <w:pPr>
        <w:pStyle w:val="1"/>
        <w:numPr>
          <w:ilvl w:val="0"/>
          <w:numId w:val="1"/>
        </w:numPr>
        <w:ind w:left="432" w:right="0" w:hanging="432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tabs>
          <w:tab w:val="clear" w:pos="708"/>
          <w:tab w:val="left" w:pos="7260" w:leader="none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>
      <w:pPr>
        <w:pStyle w:val="2"/>
        <w:numPr>
          <w:ilvl w:val="1"/>
          <w:numId w:val="2"/>
        </w:numPr>
        <w:tabs>
          <w:tab w:val="clear" w:pos="0"/>
          <w:tab w:val="left" w:pos="4218" w:leader="none"/>
          <w:tab w:val="left" w:pos="4674" w:leader="none"/>
        </w:tabs>
        <w:spacing w:before="0" w:after="0"/>
        <w:ind w:left="432" w:right="0" w:hanging="432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widowControl w:val="false"/>
        <w:tabs>
          <w:tab w:val="clear" w:pos="708"/>
          <w:tab w:val="left" w:pos="4687" w:leader="none"/>
          <w:tab w:val="left" w:pos="5245" w:leader="none"/>
          <w:tab w:val="left" w:pos="53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</w:t>
      </w:r>
    </w:p>
    <w:p>
      <w:pPr>
        <w:pStyle w:val="Normal"/>
        <w:ind w:left="0" w:right="-319" w:hanging="0"/>
        <w:rPr>
          <w:rFonts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Про зміну Луцькій міській територіальній</w:t>
      </w:r>
    </w:p>
    <w:p>
      <w:pPr>
        <w:pStyle w:val="Normal"/>
        <w:ind w:left="0" w:right="-319" w:hanging="0"/>
        <w:rPr>
          <w:rFonts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громаді, від  імені  якої  діє Луцька  міська</w:t>
      </w:r>
    </w:p>
    <w:p>
      <w:pPr>
        <w:pStyle w:val="Normal"/>
        <w:ind w:left="0" w:right="-319" w:hanging="0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рада,   ц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ільового   призначення   земельної</w:t>
      </w:r>
    </w:p>
    <w:p>
      <w:pPr>
        <w:pStyle w:val="Normal"/>
        <w:ind w:left="0" w:right="-319" w:hanging="0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ділянки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4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>для будівництва та обслуговування</w:t>
      </w:r>
    </w:p>
    <w:p>
      <w:pPr>
        <w:pStyle w:val="Normal"/>
        <w:ind w:left="0" w:right="-319" w:hanging="0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будівель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10"/>
          <w:kern w:val="0"/>
          <w:sz w:val="28"/>
          <w:szCs w:val="28"/>
          <w:lang w:val="uk-UA" w:eastAsia="zh-CN" w:bidi="ar-SA"/>
        </w:rPr>
        <w:t>громадських та  релігійних  органі-</w:t>
      </w:r>
    </w:p>
    <w:p>
      <w:pPr>
        <w:pStyle w:val="Normal"/>
        <w:ind w:left="0" w:right="-319" w:hanging="0"/>
        <w:rPr>
          <w:spacing w:val="-6"/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зацій (03.04)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у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10"/>
          <w:kern w:val="0"/>
          <w:sz w:val="28"/>
          <w:szCs w:val="28"/>
          <w:lang w:val="uk-UA" w:eastAsia="zh-CN" w:bidi="ar-SA"/>
        </w:rPr>
        <w:t>с. Липляни Луцького району</w:t>
      </w:r>
    </w:p>
    <w:p>
      <w:pPr>
        <w:pStyle w:val="Normal"/>
        <w:ind w:left="0" w:right="-319" w:hanging="0"/>
        <w:rPr>
          <w:spacing w:val="-6"/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10"/>
          <w:kern w:val="0"/>
          <w:sz w:val="28"/>
          <w:szCs w:val="28"/>
          <w:lang w:val="uk-UA" w:eastAsia="zh-CN" w:bidi="ar-SA"/>
        </w:rPr>
        <w:t xml:space="preserve">Волинської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6"/>
          <w:kern w:val="0"/>
          <w:sz w:val="28"/>
          <w:szCs w:val="28"/>
          <w:lang w:val="uk-UA" w:eastAsia="zh-CN" w:bidi="ar-SA"/>
        </w:rPr>
        <w:t>області</w:t>
      </w:r>
    </w:p>
    <w:p>
      <w:pPr>
        <w:pStyle w:val="Normal"/>
        <w:tabs>
          <w:tab w:val="clear" w:pos="708"/>
          <w:tab w:val="left" w:pos="2450" w:leader="none"/>
        </w:tabs>
        <w:ind w:left="0" w:right="-868" w:hanging="0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6"/>
          <w:kern w:val="0"/>
          <w:sz w:val="28"/>
          <w:szCs w:val="28"/>
          <w:lang w:val="uk-UA" w:eastAsia="zh-CN" w:bidi="ar-SA"/>
        </w:rPr>
        <w:t>Розглянувши заяву Свято-Миколаївського чоловічого монастиря Луцько-Волинської Єпархії Української Православної Церкви Київського Патріархату про затвердження проекту землеустрою щодо відведення земельної ділянки та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зміну її цільового призначення для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будівництва та обслуговування будівель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10"/>
          <w:kern w:val="0"/>
          <w:sz w:val="28"/>
          <w:szCs w:val="28"/>
          <w:lang w:val="uk-UA" w:eastAsia="zh-CN" w:bidi="ar-SA"/>
        </w:rPr>
        <w:t>громадських та релігійних органі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зацій (03.04) у с. Липляни Луцького району Волинської області, проект землеустрою щодо відведення земельної ділянки та зміни її цільового призначення для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будівництва та обслуговування будівель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10"/>
          <w:kern w:val="0"/>
          <w:sz w:val="28"/>
          <w:szCs w:val="28"/>
          <w:lang w:val="uk-UA" w:eastAsia="zh-CN" w:bidi="ar-SA"/>
        </w:rPr>
        <w:t>громадських та релігійних органі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зацій (03.04) у с. Липляни Луцького району Волинської області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lang w:val="uk-UA" w:eastAsia="zh-CN" w:bidi="ar-SA"/>
        </w:rPr>
        <w:t>витяг з Державного земельного кадастру про земельну ділянку,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витяг з Державного реєстру речових прав від 30.10.2023, номер відомостей про речове право: 52312525, враховуючи детальний план території земельних ділянок для будівництва та обслуговування культової споруди та для будівництва та обслуговування нежитлової будівлі комунальної власності в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6"/>
          <w:kern w:val="0"/>
          <w:sz w:val="28"/>
          <w:szCs w:val="28"/>
          <w:lang w:val="uk-UA" w:eastAsia="zh-CN" w:bidi="ar-SA"/>
        </w:rPr>
        <w:t>с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. Липляни Ківерцівського району Волинської області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, затверджений рішенням Жидичинської сільської ради від 17.10.2017 № 20/6 «Про затвердження детального плану території земельних ділянок в межах населеного пункту                                            с. Липляни по вул. Санаторна 8а, 8б», витяг із містобудівної документації та наявні обмеження у використанні території для містобудівних потреб від 08.11.2023 № 2351-П/2023, керуючись статтями 12, 20, 79-1, 92, 122, 125, 126, частиною другою статті 134, 186 Земельного кодексу України, статтями 29, 50 Закону України «Про землеустрій»,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статтями 4, 6 Закону України «Про державну реєстрацію речових прав на нерухоме майно та їх обтяжень», пунктами 66, 67, 75 постанови Кабінету Міністрів України від 17.10.2012 № 1051 «Про затвердження Порядку ведення Державного земельного кадастру», статтями 26, 33 Закону України «Про місцеве самоврядування в Україні», 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33 Закону України «Про місцеве самоврядування в Україні» міська рада</w:t>
      </w:r>
    </w:p>
    <w:p>
      <w:pPr>
        <w:pStyle w:val="Normal"/>
        <w:ind w:left="0" w:right="0" w:firstLine="705"/>
        <w:jc w:val="both"/>
        <w:rPr>
          <w:rFonts w:ascii="Times New Roman" w:hAnsi="Times New Roman" w:eastAsia="Times New Roman" w:cs="Times New Roman"/>
          <w:b/>
          <w:b/>
          <w:bCs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/>
          <w:bCs/>
          <w:color w:val="auto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rPr>
          <w:rFonts w:cs="Times New Roman"/>
          <w:spacing w:val="-6"/>
          <w:sz w:val="28"/>
          <w:szCs w:val="28"/>
          <w:lang w:val="uk-UA"/>
        </w:rPr>
      </w:pPr>
      <w:r>
        <w:rPr>
          <w:rFonts w:cs="Times New Roman"/>
          <w:spacing w:val="-6"/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color w:val="000000"/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6"/>
          <w:sz w:val="28"/>
          <w:szCs w:val="28"/>
          <w:lang w:val="uk-UA" w:eastAsia="zh-CN" w:bidi="ar-SA"/>
        </w:rPr>
        <w:t>1. 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Затвердити проект землеустрою щодо відведення земельної ділянки комунальної власності та зміни її цільового призначення у с. Липляни Луцького району Волинської області площею 0,0927 га, кадастровим номером 0721882700:04:001:0914 для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8"/>
          <w:kern w:val="0"/>
          <w:sz w:val="28"/>
          <w:szCs w:val="28"/>
          <w:lang w:val="uk-UA" w:eastAsia="zh-CN" w:bidi="ar-SA"/>
        </w:rPr>
        <w:t xml:space="preserve">будівництва та обслуговування будівель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10"/>
          <w:kern w:val="0"/>
          <w:sz w:val="28"/>
          <w:szCs w:val="28"/>
          <w:lang w:val="uk-UA" w:eastAsia="zh-CN" w:bidi="ar-SA"/>
        </w:rPr>
        <w:t>громадських та релігійних органі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зацій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6"/>
          <w:kern w:val="0"/>
          <w:sz w:val="28"/>
          <w:szCs w:val="28"/>
          <w:lang w:val="uk-UA" w:eastAsia="ru-RU" w:bidi="ar-SA"/>
        </w:rPr>
        <w:t>(03.04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6"/>
          <w:kern w:val="0"/>
          <w:sz w:val="28"/>
          <w:szCs w:val="28"/>
          <w:lang w:val="uk-UA" w:eastAsia="zh-CN" w:bidi="ar-SA"/>
        </w:rPr>
        <w:t>)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6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color w:val="000000"/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6"/>
          <w:sz w:val="28"/>
          <w:szCs w:val="28"/>
          <w:lang w:val="uk-UA" w:eastAsia="zh-CN" w:bidi="ar-SA"/>
        </w:rPr>
        <w:t xml:space="preserve">2. Змінити Луцькій міській територіальній громаді, від імені якої діє Луцька міська рада, цільове призначення земельної ділянки комунальної власності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6"/>
          <w:kern w:val="0"/>
          <w:sz w:val="28"/>
          <w:szCs w:val="28"/>
          <w:lang w:val="uk-UA" w:eastAsia="zh-CN" w:bidi="ar-SA"/>
        </w:rPr>
        <w:t>с. Липляни Луцького району Волинської області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6"/>
          <w:sz w:val="28"/>
          <w:szCs w:val="28"/>
          <w:lang w:val="uk-UA" w:eastAsia="zh-CN" w:bidi="ar-SA"/>
        </w:rPr>
        <w:t xml:space="preserve"> площею 0,0927 га, кадастровим номером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6"/>
          <w:kern w:val="0"/>
          <w:sz w:val="28"/>
          <w:szCs w:val="28"/>
          <w:lang w:val="uk-UA" w:eastAsia="zh-CN" w:bidi="ar-SA"/>
        </w:rPr>
        <w:t>0721882700:04:001:0914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6"/>
          <w:sz w:val="28"/>
          <w:szCs w:val="28"/>
          <w:lang w:val="uk-UA" w:eastAsia="zh-CN" w:bidi="ar-SA"/>
        </w:rPr>
        <w:t xml:space="preserve"> з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«для будівництва та обслуговування будівель закладів освіти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6"/>
          <w:kern w:val="0"/>
          <w:sz w:val="28"/>
          <w:szCs w:val="28"/>
          <w:lang w:val="uk-UA" w:eastAsia="zh-CN" w:bidi="ar-SA"/>
        </w:rPr>
        <w:t>(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6"/>
          <w:kern w:val="0"/>
          <w:sz w:val="28"/>
          <w:szCs w:val="28"/>
          <w:lang w:val="en-US" w:eastAsia="zh-CN" w:bidi="ar-SA"/>
        </w:rPr>
        <w:t>03.02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6"/>
          <w:kern w:val="0"/>
          <w:sz w:val="28"/>
          <w:szCs w:val="28"/>
          <w:lang w:val="uk-UA" w:eastAsia="zh-CN" w:bidi="ar-SA"/>
        </w:rPr>
        <w:t>)»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 на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8"/>
          <w:kern w:val="0"/>
          <w:sz w:val="28"/>
          <w:szCs w:val="28"/>
          <w:lang w:val="uk-UA" w:eastAsia="zh-CN" w:bidi="ar-SA"/>
        </w:rPr>
        <w:t xml:space="preserve">будівництва та обслуговування будівель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10"/>
          <w:kern w:val="0"/>
          <w:sz w:val="28"/>
          <w:szCs w:val="28"/>
          <w:lang w:val="uk-UA" w:eastAsia="zh-CN" w:bidi="ar-SA"/>
        </w:rPr>
        <w:t>громадських та релігійних органі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зацій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6"/>
          <w:kern w:val="0"/>
          <w:sz w:val="28"/>
          <w:szCs w:val="28"/>
          <w:lang w:val="uk-UA" w:eastAsia="ru-RU" w:bidi="ar-SA"/>
        </w:rPr>
        <w:t>(03.04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)»,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згідно з додатком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6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color w:val="000000"/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6"/>
          <w:sz w:val="28"/>
          <w:szCs w:val="28"/>
          <w:lang w:val="uk-UA" w:eastAsia="zh-CN" w:bidi="ar-SA"/>
        </w:rPr>
        <w:t>3. 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6"/>
          <w:kern w:val="0"/>
          <w:sz w:val="28"/>
          <w:szCs w:val="28"/>
          <w:lang w:val="uk-UA" w:eastAsia="zh-CN" w:bidi="ar-SA"/>
        </w:rPr>
        <w:t>А</w:t>
      </w:r>
      <w:r>
        <w:rPr>
          <w:color w:val="000000"/>
          <w:sz w:val="28"/>
          <w:szCs w:val="28"/>
        </w:rPr>
        <w:t>ктуалізувати відомості про земельну ділянку в Державному земельному кадастрі.</w:t>
      </w:r>
    </w:p>
    <w:p>
      <w:pPr>
        <w:pStyle w:val="Normal"/>
        <w:tabs>
          <w:tab w:val="clear" w:pos="708"/>
          <w:tab w:val="left" w:pos="709" w:leader="none"/>
          <w:tab w:val="left" w:pos="735" w:leader="none"/>
        </w:tabs>
        <w:ind w:left="0" w:right="57" w:firstLine="567"/>
        <w:jc w:val="both"/>
        <w:rPr>
          <w:color w:val="000000"/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6"/>
          <w:kern w:val="0"/>
          <w:sz w:val="28"/>
          <w:szCs w:val="28"/>
          <w:lang w:val="uk-UA" w:eastAsia="zh-CN" w:bidi="ar-SA"/>
        </w:rPr>
        <w:t>4</w:t>
      </w:r>
      <w:r>
        <w:rPr>
          <w:color w:val="000000"/>
          <w:sz w:val="28"/>
          <w:szCs w:val="28"/>
        </w:rPr>
        <w:t>. </w:t>
      </w:r>
      <w:r>
        <w:rPr>
          <w:color w:val="000000"/>
          <w:spacing w:val="-4"/>
          <w:sz w:val="28"/>
          <w:szCs w:val="28"/>
          <w:shd w:fill="FFFFFF" w:val="clear"/>
        </w:rPr>
        <w:t>К</w:t>
      </w:r>
      <w:r>
        <w:rPr>
          <w:color w:val="000000"/>
          <w:spacing w:val="-4"/>
          <w:sz w:val="28"/>
          <w:szCs w:val="28"/>
        </w:rPr>
        <w:t>онтроль за виконанням даного рішення покласти на заступника міського голови Ірину Чебелюк, постійну комісію міської ради з питань земельних відносин та земельного кадастру.</w:t>
      </w:r>
      <w:r>
        <w:rPr>
          <w:color w:val="000000"/>
          <w:sz w:val="28"/>
          <w:szCs w:val="28"/>
        </w:rPr>
        <w:t xml:space="preserve"> </w:t>
      </w:r>
    </w:p>
    <w:p>
      <w:pPr>
        <w:pStyle w:val="Normal"/>
        <w:ind w:left="0" w:right="0" w:firstLine="76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left="0" w:right="0" w:firstLine="76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20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40"/>
        <w:b w:val="false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sz w:val="40"/>
        <w:b w:val="false"/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60"/>
  <w:displayBackgroundShape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right="0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right="0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Style11"/>
    <w:next w:val="Style12"/>
    <w:qFormat/>
    <w:pPr>
      <w:outlineLvl w:val="2"/>
    </w:pPr>
    <w:rPr>
      <w:b/>
      <w:bCs/>
    </w:rPr>
  </w:style>
  <w:style w:type="character" w:styleId="DefaultParagraphFont">
    <w:name w:val="Default Paragraph Font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cs="Times New Roman"/>
    </w:rPr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rFonts w:cs="Times New Roman"/>
    </w:rPr>
  </w:style>
  <w:style w:type="character" w:styleId="21">
    <w:name w:val="Основной шрифт абзаца2"/>
    <w:qFormat/>
    <w:rPr/>
  </w:style>
  <w:style w:type="character" w:styleId="Heading1Char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8Num1ztrue7">
    <w:name w:val="WW8Num1ztrue7"/>
    <w:qFormat/>
    <w:rPr/>
  </w:style>
  <w:style w:type="character" w:styleId="WW8Num1ztrue6">
    <w:name w:val="WW8Num1ztrue6"/>
    <w:qFormat/>
    <w:rPr/>
  </w:style>
  <w:style w:type="character" w:styleId="WW8Num1ztrue5">
    <w:name w:val="WW8Num1ztrue5"/>
    <w:qFormat/>
    <w:rPr/>
  </w:style>
  <w:style w:type="character" w:styleId="WW8Num1ztrue4">
    <w:name w:val="WW8Num1ztrue4"/>
    <w:qFormat/>
    <w:rPr/>
  </w:style>
  <w:style w:type="character" w:styleId="WW8Num1ztrue3">
    <w:name w:val="WW8Num1ztrue3"/>
    <w:qFormat/>
    <w:rPr/>
  </w:style>
  <w:style w:type="character" w:styleId="WW8Num1ztrue2">
    <w:name w:val="WW8Num1ztrue2"/>
    <w:qFormat/>
    <w:rPr/>
  </w:style>
  <w:style w:type="character" w:styleId="WW8Num1ztrue1">
    <w:name w:val="WW8Num1ztrue1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11">
    <w:name w:val="Основной шрифт абзаца1"/>
    <w:qFormat/>
    <w:rPr/>
  </w:style>
  <w:style w:type="character" w:styleId="BodyTextChar">
    <w:name w:val="Body Text Char"/>
    <w:qFormat/>
    <w:rPr>
      <w:rFonts w:cs="Times New Roman"/>
      <w:sz w:val="24"/>
      <w:szCs w:val="24"/>
      <w:lang w:val="uk-UA" w:eastAsia="zh-CN"/>
    </w:rPr>
  </w:style>
  <w:style w:type="character" w:styleId="BalloonTextChar">
    <w:name w:val="Balloon Text Char"/>
    <w:qFormat/>
    <w:rPr>
      <w:rFonts w:cs="Times New Roman"/>
      <w:sz w:val="2"/>
      <w:lang w:val="uk-UA" w:eastAsia="zh-CN"/>
    </w:rPr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2">
    <w:name w:val="Body Text"/>
    <w:basedOn w:val="Normal"/>
    <w:pPr>
      <w:spacing w:before="0" w:after="12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15">
    <w:name w:val="Схема документа1"/>
    <w:basedOn w:val="Normal"/>
    <w:qFormat/>
    <w:pPr>
      <w:shd w:val="clear" w:fill="000080"/>
    </w:pPr>
    <w:rPr>
      <w:rFonts w:ascii="Tahoma" w:hAnsi="Tahoma" w:cs="Tahoma"/>
      <w:sz w:val="20"/>
      <w:szCs w:val="20"/>
    </w:rPr>
  </w:style>
  <w:style w:type="paragraph" w:styleId="Style16">
    <w:name w:val="Верхній і нижній колонтитули"/>
    <w:basedOn w:val="Normal"/>
    <w:qFormat/>
    <w:pPr/>
    <w:rPr/>
  </w:style>
  <w:style w:type="paragraph" w:styleId="Style17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18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Application>LibreOffice/7.1.2.2$Windows_X86_64 LibreOffice_project/8a45595d069ef5570103caea1b71cc9d82b2aae4</Application>
  <AppVersion>15.0000</AppVersion>
  <Pages>2</Pages>
  <Words>499</Words>
  <Characters>3386</Characters>
  <CharactersWithSpaces>4133</CharactersWithSpaces>
  <Paragraphs>22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2021-08-25T14:05:00Z</dcterms:created>
  <dc:creator>burko</dc:creator>
  <dc:description/>
  <dc:language>uk-UA</dc:language>
  <cp:lastModifiedBy/>
  <cp:lastPrinted>2023-02-17T12:36:00Z</cp:lastPrinted>
  <dcterms:modified xsi:type="dcterms:W3CDTF">2023-11-13T13:39:43Z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