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A16C" w14:textId="77777777" w:rsidR="000F0D47" w:rsidRDefault="0000000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32FEA7DE" w14:textId="77777777" w:rsidR="000F0D47" w:rsidRDefault="0000000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E7ABE3F" w14:textId="77777777" w:rsidR="000F0D47" w:rsidRDefault="0000000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5E1657A" w14:textId="77777777" w:rsidR="000F0D47" w:rsidRDefault="00000000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№ _________</w:t>
      </w:r>
    </w:p>
    <w:p w14:paraId="62FEFD6B" w14:textId="77777777" w:rsidR="000F0D47" w:rsidRDefault="000F0D47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6B4CD4B3" w14:textId="77777777" w:rsidR="000F0D47" w:rsidRDefault="00000000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7D88C744" w14:textId="77777777" w:rsidR="000F0D47" w:rsidRDefault="00000000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розвитку міжнародного співробітництва</w:t>
      </w:r>
    </w:p>
    <w:p w14:paraId="03517FCE" w14:textId="77777777" w:rsidR="000F0D47" w:rsidRDefault="00000000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Луцької міської територіальної громади та залучення міжнародної технічної допомоги на 2024–2025 роки</w:t>
      </w:r>
    </w:p>
    <w:p w14:paraId="68A0BE4D" w14:textId="77777777" w:rsidR="000F0D47" w:rsidRPr="006B6538" w:rsidRDefault="00000000">
      <w:pPr>
        <w:contextualSpacing/>
        <w:jc w:val="center"/>
        <w:rPr>
          <w:rFonts w:ascii="Times New Roman" w:hAnsi="Times New Roman"/>
        </w:rPr>
      </w:pPr>
      <w:r w:rsidRPr="006B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(</w:t>
      </w:r>
      <w:proofErr w:type="spellStart"/>
      <w:r w:rsidRPr="006B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проєкт</w:t>
      </w:r>
      <w:proofErr w:type="spellEnd"/>
      <w:r w:rsidRPr="006B6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)</w:t>
      </w:r>
    </w:p>
    <w:p w14:paraId="79B18037" w14:textId="77777777" w:rsidR="000F0D47" w:rsidRDefault="000F0D47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2990B292" w14:textId="77777777" w:rsidR="000F0D47" w:rsidRDefault="00000000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F1F56CB" w14:textId="77777777" w:rsidR="000F0D47" w:rsidRDefault="000F0D47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ook w:val="04A0" w:firstRow="1" w:lastRow="0" w:firstColumn="1" w:lastColumn="0" w:noHBand="0" w:noVBand="1"/>
      </w:tblPr>
      <w:tblGrid>
        <w:gridCol w:w="853"/>
        <w:gridCol w:w="3789"/>
        <w:gridCol w:w="4748"/>
      </w:tblGrid>
      <w:tr w:rsidR="000F0D47" w14:paraId="125672E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175B9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301E1B17" w14:textId="77777777" w:rsidR="000F0D47" w:rsidRDefault="000F0D4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15E1" w14:textId="77777777" w:rsidR="000F0D47" w:rsidRDefault="0000000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0806" w14:textId="77777777" w:rsidR="000F0D47" w:rsidRDefault="0000000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Луцька міська рада</w:t>
            </w:r>
          </w:p>
        </w:tc>
      </w:tr>
      <w:tr w:rsidR="000F0D47" w14:paraId="7582AB4F" w14:textId="77777777">
        <w:trPr>
          <w:trHeight w:val="93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2952F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F0D2" w14:textId="77777777" w:rsidR="000F0D47" w:rsidRDefault="00000000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7CA08815" w14:textId="77777777" w:rsidR="000F0D47" w:rsidRDefault="00000000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591836B" w14:textId="77777777" w:rsidR="000F0D47" w:rsidRDefault="00000000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6807" w14:textId="409E38A8" w:rsidR="000F0D47" w:rsidRDefault="00000000" w:rsidP="006B6538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0F0D47" w14:paraId="2FF20678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2DC94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4DC60" w14:textId="77777777" w:rsidR="000F0D47" w:rsidRDefault="0000000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3B13" w14:textId="10F06132" w:rsidR="000F0D47" w:rsidRDefault="00000000" w:rsidP="006B65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0F0D47" w14:paraId="3B5001DA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F6C4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DC0DA" w14:textId="77777777" w:rsidR="000F0D47" w:rsidRDefault="0000000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775C4A93" w14:textId="77777777" w:rsidR="000F0D47" w:rsidRDefault="000F0D47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F25F" w14:textId="70CD7EAC" w:rsidR="000F0D47" w:rsidRDefault="00000000" w:rsidP="006B6538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культури, департамент освіти, департамент молоді та спорту, управління інформаційної роботи,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господарсько-технічний відділ </w:t>
            </w:r>
          </w:p>
        </w:tc>
      </w:tr>
      <w:tr w:rsidR="000F0D47" w14:paraId="6999A18D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CBC9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D8B5B" w14:textId="77777777" w:rsidR="000F0D47" w:rsidRDefault="0000000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D16A" w14:textId="77777777" w:rsidR="000F0D47" w:rsidRDefault="000000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2024–2025 роки</w:t>
            </w:r>
          </w:p>
        </w:tc>
      </w:tr>
      <w:tr w:rsidR="000F0D47" w14:paraId="5DEF48B4" w14:textId="77777777">
        <w:trPr>
          <w:trHeight w:val="96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79A74" w14:textId="77777777" w:rsidR="000F0D47" w:rsidRDefault="000F0D47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4D341F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7D40" w14:textId="77777777" w:rsidR="000F0D47" w:rsidRDefault="0000000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E0FC" w14:textId="77777777" w:rsidR="000F0D47" w:rsidRDefault="000F0D47">
            <w:pPr>
              <w:snapToGri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2EDEA21" w14:textId="77777777" w:rsidR="000F0D47" w:rsidRDefault="000F0D4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C3BD1E0" w14:textId="77777777" w:rsidR="000F0D47" w:rsidRDefault="000000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0F0D47" w14:paraId="476512B4" w14:textId="77777777">
        <w:trPr>
          <w:trHeight w:val="315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026C" w14:textId="77777777" w:rsidR="000F0D47" w:rsidRDefault="000F0D47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CBB2" w14:textId="77777777" w:rsidR="000F0D47" w:rsidRDefault="000000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</w:tr>
      <w:tr w:rsidR="000F0D47" w14:paraId="239E8FFD" w14:textId="77777777">
        <w:trPr>
          <w:trHeight w:val="33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B4F39" w14:textId="77777777" w:rsidR="000F0D47" w:rsidRDefault="0000000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EA49" w14:textId="77777777" w:rsidR="000F0D47" w:rsidRDefault="0000000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043F" w14:textId="77777777" w:rsidR="006B6538" w:rsidRDefault="006B653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AAF5A4" w14:textId="16817F94" w:rsidR="000F0D47" w:rsidRDefault="0000000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</w:tbl>
    <w:p w14:paraId="150696AF" w14:textId="77777777" w:rsidR="000F0D47" w:rsidRDefault="000F0D47">
      <w:pPr>
        <w:sectPr w:rsidR="000F0D47">
          <w:pgSz w:w="11906" w:h="16838"/>
          <w:pgMar w:top="567" w:right="567" w:bottom="1134" w:left="1984" w:header="0" w:footer="0" w:gutter="0"/>
          <w:pgNumType w:start="1"/>
          <w:cols w:space="720"/>
          <w:formProt w:val="0"/>
          <w:docGrid w:linePitch="100"/>
        </w:sectPr>
      </w:pPr>
    </w:p>
    <w:p w14:paraId="38CF6CC6" w14:textId="77777777" w:rsidR="000F0D47" w:rsidRDefault="00000000">
      <w:pPr>
        <w:pStyle w:val="HTML"/>
        <w:shd w:val="clear" w:color="auto" w:fill="FFFFFF"/>
        <w:tabs>
          <w:tab w:val="left" w:pos="284"/>
        </w:tabs>
        <w:ind w:left="64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Аналіз динаміки змін та поточної ситуації</w:t>
      </w:r>
    </w:p>
    <w:p w14:paraId="088CC06C" w14:textId="77777777" w:rsidR="000F0D47" w:rsidRDefault="000F0D4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BEB692" w14:textId="5D6AEE19" w:rsidR="000F0D47" w:rsidRDefault="0000000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Програма розвитку міжнародного співробітництва Луцької міської територіальної громади та залучення міжнародної технічної допомоги на 20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–2025 роки розроблена управлінням міжнародного співробітництва та проектної діяльності </w:t>
      </w:r>
      <w:r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таких нормативних документів: 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акон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«Про транскордонне співробітництво», Указ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Президента України «Про День Європи»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від 08.09.2023 №</w:t>
      </w:r>
      <w:r w:rsidR="006B65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266/2023,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Європейськ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ої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рамков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конвенці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ї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транскордонне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співробітництво між територіальними общинами або властями (постанова Верховної Ради України від 14.07.1993 № 3384-12 «Про приєднання України до Європейської рамкової конвенції про транскордонне співробітництво між територіальними общинами або властями»), Угод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асоціацію між Україною та Європейським Союзом.</w:t>
      </w:r>
    </w:p>
    <w:p w14:paraId="216EAF85" w14:textId="77777777" w:rsidR="000F0D47" w:rsidRDefault="0000000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Міжнародне співробітництво є одним із ефективних інструментів поглиблення взаємодії його учасників, що сприяє спільному вирішенню завдань місцевого та регіонального розвитку, а також реалізації євроінтеграційних заходів. </w:t>
      </w:r>
    </w:p>
    <w:p w14:paraId="2E5048CD" w14:textId="3F24BCB4" w:rsidR="000F0D47" w:rsidRDefault="00000000">
      <w:pPr>
        <w:widowControl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Луцьк має встановлені побратимські зв’язки з 19 містами та регіонами в 10 країнах світу. Зокрема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 </w:t>
      </w:r>
      <w:r w:rsidR="006B6538">
        <w:rPr>
          <w:rFonts w:ascii="Times New Roman" w:hAnsi="Times New Roman"/>
          <w:color w:val="000000"/>
          <w:sz w:val="28"/>
          <w:szCs w:val="28"/>
          <w:lang w:eastAsia="ru-RU"/>
        </w:rPr>
        <w:t>сім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міст-партнерів у Республіці Польща: Люблін,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Ольштин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Жешув,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Замость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Торунь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Білосток, Хелм; 12 побратимів в інших країнах: край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Ліппе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місто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Швайнфурт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(ФРН),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Тракайський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Таурагський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місто Каунас (Литовська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Бандирма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(Турецька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Сянтань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(Китайська Народна Республіка), Горі (Грузія),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Кійов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(Чехія), Світ (Словацька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Патра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(Греція),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Алба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Юлія (Румунія). </w:t>
      </w:r>
    </w:p>
    <w:p w14:paraId="59059EE3" w14:textId="76352BC0" w:rsidR="000F0D47" w:rsidRDefault="00000000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межах укладених угод зазвичай відбувається обмін делегаціями з метою перейняття досвіду та кращих практик розвитку громад, що проявляється у навчальних візитах, участі в міжнародних спортивних, культурних, економічних заходах, реалізації спільних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міжнародної технічної допомоги (грантових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). Окрім цього</w:t>
      </w:r>
      <w:r w:rsidR="00D86EE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відбуваються візити офіційних делегацій з нагоди державних та локальних визначних подій. </w:t>
      </w:r>
    </w:p>
    <w:p w14:paraId="47AD5011" w14:textId="77777777" w:rsidR="000F0D47" w:rsidRDefault="00000000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Луцька міська рада тісно співпрацює з іноземними дипломатичними представництвами в Україні. Про інтерес до міста з боку іноземних держав та міжнародних структур свідчать візити надзвичайних і повноважних послів, консулів та представників міжнародних організацій. </w:t>
      </w:r>
      <w:r>
        <w:rPr>
          <w:rFonts w:ascii="Times New Roman" w:hAnsi="Times New Roman"/>
          <w:color w:val="000000"/>
          <w:sz w:val="28"/>
          <w:szCs w:val="28"/>
          <w:highlight w:val="red"/>
          <w:lang w:eastAsia="ru-RU"/>
        </w:rPr>
        <w:t xml:space="preserve"> </w:t>
      </w:r>
    </w:p>
    <w:p w14:paraId="5EE581B4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Накопичений досвід роботи у сфері міжнародного співробітництва свідчить про існування таких проблем і потреб, на вирішення яких спрямовані заходи цільової програми:</w:t>
      </w:r>
    </w:p>
    <w:p w14:paraId="25ADB4F4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потреба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підтвердження позитивного іміджу Луцької міської територіальної громади у відносинах з закордонними партнерами та дипломатичними представництвами;</w:t>
      </w:r>
    </w:p>
    <w:p w14:paraId="1403B0F6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недостатній рівень співробітництва та комунікації з окремими закордонними міськими адміністраціями, з якими укладено угоди про співпрацю;</w:t>
      </w:r>
    </w:p>
    <w:p w14:paraId="6CA8894F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недостатній рівень поінформованості в громаді про євроінтеграційний курс України, про держави Європейського Союзу, політичні та адміністративні структури ЄС, політику України щодо євроінтеграції; </w:t>
      </w:r>
    </w:p>
    <w:p w14:paraId="18A88188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обмеженість бюджету міської територіальної громади щодо фінансування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заходів з розвитку міжнародного партнерства та </w:t>
      </w:r>
      <w:r>
        <w:rPr>
          <w:rFonts w:ascii="Times New Roman" w:hAnsi="Times New Roman"/>
          <w:sz w:val="28"/>
          <w:szCs w:val="28"/>
        </w:rPr>
        <w:t xml:space="preserve">спільних з закордонними партнерами ініціатив і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37DEC31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недостатня поінформованість установ міської територіальної громади про можливості використання міжнародної технічної допомоги як допоміжного інструменту соціально-економічного розвитку та зменшення навантаження на бюджет територіальної громади;</w:t>
      </w:r>
    </w:p>
    <w:p w14:paraId="60DAC69A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низький рівень компетентності виконавчих органів щодо залучення міжнародної та державної допомоги на втілення інноваційних ідей.</w:t>
      </w:r>
    </w:p>
    <w:p w14:paraId="4401E1A1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Зважаючи на те, що причини, які стримують подальший розвиток транскордонної і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співпраці, мають комплексний характер, для їх розв’язання розроблено Програму розвитку міжнародного співробітництва Луцької міської територіальної громади та залучення міжнародної технічної допомоги на 2024–2025 роки (далі – Програма). </w:t>
      </w:r>
    </w:p>
    <w:p w14:paraId="1739B59B" w14:textId="77777777" w:rsidR="000F0D47" w:rsidRDefault="0000000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Основою Програми буде система заходів, виконання яких створить сприятливі умови для поглиблення міжнародного співробітництва (в тому числі транскордонного та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>), реалізації євроінтеграційної політики на рівні міської територіальної громади, залучення коштів міжнародної технічної допомоги у розвиток громади.</w:t>
      </w:r>
    </w:p>
    <w:p w14:paraId="1BF8C62A" w14:textId="77777777" w:rsidR="000F0D47" w:rsidRDefault="000F0D47">
      <w:pPr>
        <w:ind w:firstLine="567"/>
        <w:contextualSpacing/>
        <w:jc w:val="both"/>
        <w:rPr>
          <w:rFonts w:cs="Times New Roman"/>
          <w:b/>
        </w:rPr>
      </w:pPr>
    </w:p>
    <w:p w14:paraId="31D6FE58" w14:textId="77777777" w:rsidR="000F0D47" w:rsidRDefault="0000000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мети Програми</w:t>
      </w:r>
    </w:p>
    <w:p w14:paraId="1FE83B94" w14:textId="77777777" w:rsidR="000F0D47" w:rsidRDefault="000F0D47">
      <w:pPr>
        <w:pStyle w:val="HTML"/>
        <w:shd w:val="clear" w:color="auto" w:fill="FFFFFF"/>
        <w:tabs>
          <w:tab w:val="clear" w:pos="916"/>
          <w:tab w:val="clear" w:pos="2748"/>
          <w:tab w:val="clear" w:pos="3664"/>
          <w:tab w:val="left" w:pos="345"/>
          <w:tab w:val="left" w:pos="2835"/>
          <w:tab w:val="left" w:pos="2895"/>
          <w:tab w:val="left" w:pos="2977"/>
        </w:tabs>
        <w:ind w:left="340"/>
        <w:contextualSpacing/>
        <w:rPr>
          <w:rFonts w:ascii="Times New Roman" w:hAnsi="Times New Roman" w:cs="Times New Roman"/>
          <w:sz w:val="28"/>
          <w:szCs w:val="28"/>
        </w:rPr>
      </w:pPr>
    </w:p>
    <w:p w14:paraId="2B426CCA" w14:textId="77777777" w:rsidR="000F0D47" w:rsidRDefault="00000000">
      <w:pPr>
        <w:tabs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Метою Програми є забезпечення реалізації в Луцькій міській територіальній громаді державної політики у сфері міжнародного співробітництва та взаємодії з міжнародними організаціями і фінансовими інституціями в межах міжнародної технічної допомоги, а також підвищення конкурентоспроможності Луцької міської територіальної громади шляхом активізації та розвитку міжнародного співробітництва, сприяння встановленню і поглибленню економічних, соціальних, наукових, технологічних, екологічних, культурних, туристичних та інших відносин між суб’єктами таких відносин Луцької міської територіальної громади та інших держав.</w:t>
      </w:r>
    </w:p>
    <w:p w14:paraId="2E545AEC" w14:textId="77777777" w:rsidR="000F0D47" w:rsidRDefault="000F0D47">
      <w:pPr>
        <w:tabs>
          <w:tab w:val="left" w:pos="900"/>
        </w:tabs>
        <w:contextualSpacing/>
        <w:jc w:val="both"/>
        <w:rPr>
          <w:rFonts w:cs="Times New Roman"/>
          <w:b/>
        </w:rPr>
      </w:pPr>
    </w:p>
    <w:p w14:paraId="7530EBE5" w14:textId="77777777" w:rsidR="000F0D47" w:rsidRDefault="00000000">
      <w:pPr>
        <w:tabs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Засоби розв’язання проблеми</w:t>
      </w:r>
    </w:p>
    <w:p w14:paraId="70D69A10" w14:textId="77777777" w:rsidR="000F0D47" w:rsidRDefault="000F0D47">
      <w:pPr>
        <w:pStyle w:val="HTML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14AF9" w14:textId="142B6D83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розвитку міжнародної співпраці, підтвердження та зміцнення позитивного іміджу Луцької міської територіальної громади у відносинах з закордонними партнерами та дипломатичними представництвами, необхідне постійне офіційне представлення громади у міжнародних відносинах з закордонними містами та регіонами, дипломатичними установами. Традиційним обов’язковим механізмом для цього вважаються візити офіційних делегацій від Луцької</w:t>
      </w:r>
      <w:r w:rsidR="00D86EEA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D86EEA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партнерськ</w:t>
      </w:r>
      <w:r w:rsidR="00D86EEA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міст за кордон, відвідання знакових заходів, які організовують посольства та консульства іноземних держав в Україні. Також для поглиблення партнерства відбуваються прийоми іноземних делегацій в Луцьку, в тому числі й під час іміджевих заходів міжнародного характеру: конференцій, форумів, круглих столів, навчань, інших знакових подій. Комплексне формування іміджу міста включає також наявність </w:t>
      </w:r>
      <w:proofErr w:type="spellStart"/>
      <w:r>
        <w:rPr>
          <w:rFonts w:ascii="Times New Roman" w:hAnsi="Times New Roman"/>
          <w:sz w:val="28"/>
          <w:szCs w:val="28"/>
        </w:rPr>
        <w:t>промоційної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сувенірної продукції, яку прийнято вручати почесним гостям під час офіційних прийомів, а також передавати приймаючій стороні під час візитів за кордон. Програмою передбачені заходи з розвитку міжнародного співробітництва та видатки на них.</w:t>
      </w:r>
    </w:p>
    <w:p w14:paraId="250639B4" w14:textId="77777777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2024-2025 роках передбачається робота з іноземними партнерами  (комунікація, оформлення документів) щодо надання гуманітарної допомоги для потреб Луцької громади, військових і постраждалих від воєнних дій.</w:t>
      </w:r>
    </w:p>
    <w:p w14:paraId="7AE082FB" w14:textId="6114E85F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Враховуючи стратегічний курс України на європейську інтеграцію та на виконання Указу Президента України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від 08.09.2023 №</w:t>
      </w:r>
      <w:r w:rsidR="00D86EE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266/2023</w:t>
      </w:r>
      <w:r>
        <w:rPr>
          <w:rFonts w:ascii="Times New Roman" w:hAnsi="Times New Roman"/>
          <w:sz w:val="28"/>
          <w:szCs w:val="28"/>
        </w:rPr>
        <w:t xml:space="preserve"> буде проведено заходи з нагоди Дня Європи інформаційно-просвітницького характеру. Також заплановано участь делегацій і представників Луцької міської територіальної громади у заходах на тему європейської інтеграції, міжнародного та транскордонного співробітництва в онлайн чи 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форматах.</w:t>
      </w:r>
    </w:p>
    <w:p w14:paraId="120DDA29" w14:textId="6556A028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На ґрунті перевіреного часом та спільними ініціативами побратимства побудована робота з закордонним</w:t>
      </w:r>
      <w:r w:rsidR="00D86EE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партнерами щодо реалізації спільних міжнародних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що фінансуються з коштів донорських установ. Партнерські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передбачають взаємозалежну відповідальність всіх реципієнтів за вирішення спільних проблем і досягнення єдиної для них мети і цілей. Відповідно передбачена і спільна фінансова відповідальність за освоєння грантових коштів, забезпечення власного співфінансування та чітке прозоре звітування перед донором. В сучасних умовах обмеженого бюджетного фінансування залучення коштів міжнародної технічної допомоги є одним із дієвих інструментів, який використовується для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спрямованих на розвиток громади та поглиблення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транскордонного співробітництва. З цією метою планується надання консультацій для виконавчих органів Луцької міської ради, комунальних </w:t>
      </w:r>
      <w:r w:rsidR="00D86EEA">
        <w:rPr>
          <w:rFonts w:ascii="Times New Roman" w:hAnsi="Times New Roman"/>
          <w:sz w:val="28"/>
          <w:szCs w:val="28"/>
        </w:rPr>
        <w:t>підприємств (</w:t>
      </w:r>
      <w:r>
        <w:rPr>
          <w:rFonts w:ascii="Times New Roman" w:hAnsi="Times New Roman"/>
          <w:sz w:val="28"/>
          <w:szCs w:val="28"/>
        </w:rPr>
        <w:t>установ, закладів</w:t>
      </w:r>
      <w:r w:rsidR="00D86E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з питань участі в програмах міжнародної технічної допомоги, зокрема щодо підготовки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заявок, а також розробка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виконавчого комітету Луцької міської ради. Заплановано також видатки на підвищення кваліфікації працівників з метою розвитку кадрового потенціалу та формування команди ефективних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менеджерів.</w:t>
      </w:r>
    </w:p>
    <w:p w14:paraId="38771DDA" w14:textId="4AB30BFF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Протягом 2024–2025 років особлива увага приділятиметься розробці та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співпраці з містами-побратимами у Республіці Польща в межах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Програми </w:t>
      </w:r>
      <w:proofErr w:type="spellStart"/>
      <w:r>
        <w:rPr>
          <w:rStyle w:val="a6"/>
          <w:rFonts w:ascii="Times New Roman" w:hAnsi="Times New Roman"/>
          <w:i w:val="0"/>
          <w:sz w:val="28"/>
          <w:szCs w:val="28"/>
        </w:rPr>
        <w:t>Interreg</w:t>
      </w:r>
      <w:proofErr w:type="spellEnd"/>
      <w:r>
        <w:rPr>
          <w:rStyle w:val="a6"/>
          <w:rFonts w:ascii="Times New Roman" w:hAnsi="Times New Roman"/>
          <w:i w:val="0"/>
          <w:sz w:val="28"/>
          <w:szCs w:val="28"/>
        </w:rPr>
        <w:t xml:space="preserve"> NEXT Польща</w:t>
      </w:r>
      <w:r w:rsidR="00D86EEA">
        <w:rPr>
          <w:rStyle w:val="a6"/>
          <w:rFonts w:ascii="Times New Roman" w:hAnsi="Times New Roman"/>
          <w:i w:val="0"/>
          <w:sz w:val="28"/>
          <w:szCs w:val="28"/>
        </w:rPr>
        <w:t> – </w:t>
      </w:r>
      <w:r>
        <w:rPr>
          <w:rStyle w:val="a6"/>
          <w:rFonts w:ascii="Times New Roman" w:hAnsi="Times New Roman"/>
          <w:i w:val="0"/>
          <w:sz w:val="28"/>
          <w:szCs w:val="28"/>
        </w:rPr>
        <w:t>Україна 2021</w:t>
      </w:r>
      <w:r w:rsidR="00D86EEA">
        <w:rPr>
          <w:rStyle w:val="a6"/>
          <w:rFonts w:ascii="Times New Roman" w:hAnsi="Times New Roman"/>
          <w:i w:val="0"/>
          <w:sz w:val="28"/>
          <w:szCs w:val="28"/>
        </w:rPr>
        <w:t>-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та з партнерами у Федеративній Республіці Німеччина в межах програм, що фінансуються Федеральним міністерством економічного співробітництва та розвитку Німеччини.</w:t>
      </w:r>
    </w:p>
    <w:p w14:paraId="4CC10E8F" w14:textId="77777777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До Програми включено співфінансування з бюджету громади </w:t>
      </w:r>
      <w:proofErr w:type="spellStart"/>
      <w:r>
        <w:rPr>
          <w:rFonts w:ascii="Times New Roman" w:hAnsi="Times New Roman"/>
          <w:sz w:val="28"/>
          <w:szCs w:val="28"/>
        </w:rPr>
        <w:t>малобюджетних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потенційно впроваджуватимуться виконавчим комітетом Луцької міської ради. На реалізацію </w:t>
      </w:r>
      <w:proofErr w:type="spellStart"/>
      <w:r>
        <w:rPr>
          <w:rFonts w:ascii="Times New Roman" w:hAnsi="Times New Roman"/>
          <w:sz w:val="28"/>
          <w:szCs w:val="28"/>
        </w:rPr>
        <w:t>великобюджетних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 розроблено окремі цільові програми.</w:t>
      </w:r>
    </w:p>
    <w:p w14:paraId="2558600A" w14:textId="1D95F7C9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Фінансування заходів на виконання Програми здійснюється за рахунок коштів бюджету Луцької міської територіальної громади. В процесі виконання </w:t>
      </w:r>
      <w:r w:rsidR="00D86EEA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рограми, у випадку затвердження до реалізації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міжнародної технічної допомоги, може бути додано фінансування з інших джерел.</w:t>
      </w:r>
    </w:p>
    <w:p w14:paraId="4A691C2D" w14:textId="77777777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заходів, передбачених Програмою, наведене у додатку 1 до Програми.</w:t>
      </w:r>
    </w:p>
    <w:p w14:paraId="3D6ABB32" w14:textId="77777777" w:rsidR="000F0D47" w:rsidRDefault="00000000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Програма є короткостроковою та буде реалізовуватись протягом       2024–2025 років. Коригування плану заходів Програми та термінів їх виконання здійснюватиметься за необхідністю.</w:t>
      </w:r>
    </w:p>
    <w:p w14:paraId="429C46A1" w14:textId="77777777" w:rsidR="000F0D47" w:rsidRDefault="000F0D47">
      <w:pPr>
        <w:tabs>
          <w:tab w:val="left" w:pos="360"/>
          <w:tab w:val="left" w:pos="900"/>
        </w:tabs>
        <w:ind w:firstLine="567"/>
        <w:contextualSpacing/>
        <w:jc w:val="both"/>
        <w:rPr>
          <w:rFonts w:cs="Times New Roman"/>
          <w:b/>
          <w:color w:val="000000"/>
        </w:rPr>
      </w:pPr>
    </w:p>
    <w:p w14:paraId="004E63B0" w14:textId="77777777" w:rsidR="000F0D47" w:rsidRDefault="00000000">
      <w:pPr>
        <w:tabs>
          <w:tab w:val="left" w:pos="360"/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 Перелік завдань і заходів Програми. Результативні показники</w:t>
      </w:r>
    </w:p>
    <w:p w14:paraId="5A52F834" w14:textId="77777777" w:rsidR="000F0D47" w:rsidRDefault="000F0D47">
      <w:pPr>
        <w:pStyle w:val="HTML"/>
        <w:ind w:left="644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08D59C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покликана реалізовувати такі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:</w:t>
      </w:r>
    </w:p>
    <w:p w14:paraId="39F7870E" w14:textId="77777777" w:rsidR="000F0D47" w:rsidRDefault="00000000">
      <w:pPr>
        <w:ind w:firstLine="567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виконувати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положення підписаних угод про побратимство та поглиблювати партнерство з іноземними містами та регіонами;</w:t>
      </w:r>
    </w:p>
    <w:p w14:paraId="68050591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розширювати географію міжнародного співробітництва, налагоджувати контакти з новими закордонними громадами;</w:t>
      </w:r>
    </w:p>
    <w:p w14:paraId="23B37195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підтримувати та зміцнювати за кордоном позитивний імідж громади як прогресивної та інноваційної, яка є надійним партнером, відкритим до співпраці;</w:t>
      </w:r>
    </w:p>
    <w:p w14:paraId="361915CE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забезпечувати прийоми іноземних делегацій з партнерських та дружніх міст і регіонів, представників дипломатичного корпусу та міжнародних організацій з дотриманням вимог етикету та норм гостинності;</w:t>
      </w:r>
    </w:p>
    <w:p w14:paraId="7B664DE8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розширити та наповнювати мережу міжнародного партнерства між суб’єктами господарювання з території громади та організаціями за кордоном;</w:t>
      </w:r>
    </w:p>
    <w:p w14:paraId="1EC7C7D3" w14:textId="44FC859F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</w:t>
      </w:r>
      <w:r w:rsidR="002E24DE">
        <w:rPr>
          <w:rFonts w:ascii="Times New Roman" w:hAnsi="Times New Roman"/>
          <w:sz w:val="28"/>
          <w:szCs w:val="28"/>
        </w:rPr>
        <w:t>уват</w:t>
      </w:r>
      <w:r>
        <w:rPr>
          <w:rFonts w:ascii="Times New Roman" w:hAnsi="Times New Roman"/>
          <w:sz w:val="28"/>
          <w:szCs w:val="28"/>
        </w:rPr>
        <w:t>и рівень поінформованості громадян про стан та перспективи реалізації євроінтеграційного курсу України;</w:t>
      </w:r>
    </w:p>
    <w:p w14:paraId="7149BDF2" w14:textId="7ABE6D78" w:rsidR="000F0D47" w:rsidRDefault="0000000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забезпеч</w:t>
      </w:r>
      <w:r w:rsidR="002E24DE">
        <w:rPr>
          <w:rFonts w:ascii="Times New Roman" w:hAnsi="Times New Roman"/>
          <w:sz w:val="28"/>
          <w:szCs w:val="28"/>
        </w:rPr>
        <w:t>увати</w:t>
      </w:r>
      <w:r>
        <w:rPr>
          <w:rFonts w:ascii="Times New Roman" w:hAnsi="Times New Roman"/>
          <w:sz w:val="28"/>
          <w:szCs w:val="28"/>
        </w:rPr>
        <w:t xml:space="preserve"> розробку якісних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 для участі у грантових конкурсах, ефективну реалізацію та підтримку результатів грантових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508D404" w14:textId="77777777" w:rsidR="000F0D47" w:rsidRDefault="00000000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Перелік завдань і заходів Програми та результативні показники наведено в додатку 2 до Програми. </w:t>
      </w:r>
    </w:p>
    <w:p w14:paraId="42234E0E" w14:textId="77777777" w:rsidR="000F0D47" w:rsidRDefault="000F0D47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765942" w14:textId="77777777" w:rsidR="000F0D47" w:rsidRDefault="00000000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5. </w:t>
      </w:r>
      <w:r>
        <w:rPr>
          <w:rFonts w:ascii="Times New Roman" w:hAnsi="Times New Roman"/>
          <w:b/>
          <w:sz w:val="28"/>
          <w:szCs w:val="28"/>
        </w:rPr>
        <w:t>Координація і контроль за ходом виконання Програми.</w:t>
      </w:r>
    </w:p>
    <w:p w14:paraId="5A4B2193" w14:textId="77777777" w:rsidR="000F0D47" w:rsidRDefault="00000000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 про виконання Програми</w:t>
      </w:r>
    </w:p>
    <w:p w14:paraId="0F53F420" w14:textId="77777777" w:rsidR="000F0D47" w:rsidRDefault="000F0D47">
      <w:pPr>
        <w:ind w:left="644"/>
        <w:contextualSpacing/>
        <w:rPr>
          <w:rFonts w:ascii="Times New Roman" w:hAnsi="Times New Roman"/>
          <w:b/>
          <w:sz w:val="28"/>
          <w:szCs w:val="28"/>
        </w:rPr>
      </w:pPr>
    </w:p>
    <w:p w14:paraId="22C91C6F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Загальна координація та контроль за ходом виконання Програми покладені на заступника міського голови відповідно до розподілу обов'язків. </w:t>
      </w:r>
      <w:r>
        <w:rPr>
          <w:rFonts w:ascii="Times New Roman" w:hAnsi="Times New Roman"/>
          <w:sz w:val="28"/>
          <w:szCs w:val="28"/>
        </w:rPr>
        <w:lastRenderedPageBreak/>
        <w:t>Відповідальним виконавцем Програми визначено управління міжнародного співробітництва та проектної діяльності.</w:t>
      </w:r>
    </w:p>
    <w:p w14:paraId="185499A1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систематичного моніторингу її виконання покладаються на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14:paraId="00967E06" w14:textId="77777777" w:rsidR="000F0D47" w:rsidRDefault="0000000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виконання Програми заслуховується на сесії міської ради після завершення її дії на вимогу депутатів.</w:t>
      </w:r>
    </w:p>
    <w:p w14:paraId="286D5910" w14:textId="77777777" w:rsidR="000F0D47" w:rsidRDefault="000F0D47">
      <w:pPr>
        <w:ind w:firstLine="851"/>
        <w:contextualSpacing/>
        <w:jc w:val="both"/>
      </w:pPr>
    </w:p>
    <w:p w14:paraId="05FE8D17" w14:textId="77777777" w:rsidR="000F0D47" w:rsidRDefault="000F0D47">
      <w:pPr>
        <w:ind w:firstLine="851"/>
        <w:contextualSpacing/>
        <w:jc w:val="both"/>
        <w:rPr>
          <w:sz w:val="28"/>
          <w:szCs w:val="28"/>
        </w:rPr>
      </w:pPr>
    </w:p>
    <w:p w14:paraId="117754E8" w14:textId="77777777" w:rsidR="000F0D47" w:rsidRDefault="0000000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A010430" w14:textId="77777777" w:rsidR="000F0D47" w:rsidRDefault="00000000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                                                  Юрій ВЕРБИЧ</w:t>
      </w:r>
    </w:p>
    <w:p w14:paraId="040A749A" w14:textId="77777777" w:rsidR="000F0D47" w:rsidRDefault="000F0D4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027FAE5" w14:textId="77777777" w:rsidR="000F0D47" w:rsidRDefault="000F0D4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8D0F534" w14:textId="77777777" w:rsidR="000F0D47" w:rsidRDefault="00000000">
      <w:pPr>
        <w:contextualSpacing/>
        <w:jc w:val="both"/>
      </w:pP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</w:rPr>
        <w:t xml:space="preserve">  777 995</w:t>
      </w:r>
      <w:r>
        <w:br w:type="page"/>
      </w:r>
    </w:p>
    <w:p w14:paraId="435B8B18" w14:textId="77777777" w:rsidR="000F0D47" w:rsidRDefault="00000000">
      <w:pPr>
        <w:ind w:left="48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29F3E68C" w14:textId="77777777" w:rsidR="000F0D47" w:rsidRDefault="00000000">
      <w:pPr>
        <w:ind w:left="482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0CE03FA3" w14:textId="77777777" w:rsidR="000F0D47" w:rsidRDefault="00000000">
      <w:pPr>
        <w:ind w:left="4820" w:hang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на 2024–202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роки</w:t>
      </w:r>
    </w:p>
    <w:p w14:paraId="11F5FB3A" w14:textId="77777777" w:rsidR="000F0D47" w:rsidRDefault="000F0D47">
      <w:pPr>
        <w:jc w:val="center"/>
        <w:rPr>
          <w:color w:val="000000"/>
          <w:sz w:val="28"/>
          <w:szCs w:val="28"/>
        </w:rPr>
      </w:pPr>
    </w:p>
    <w:p w14:paraId="24B39D97" w14:textId="77777777" w:rsidR="000F0D47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19B16234" w14:textId="77777777" w:rsidR="000F0D47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розвитку міжнародного співробітництва </w:t>
      </w:r>
    </w:p>
    <w:p w14:paraId="45112F25" w14:textId="77777777" w:rsidR="000F0D47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Луцької міської територіальної громади </w:t>
      </w:r>
    </w:p>
    <w:p w14:paraId="3F4A7881" w14:textId="77777777" w:rsidR="000F0D47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залучення міжнародної технічної </w:t>
      </w:r>
    </w:p>
    <w:p w14:paraId="26FDD371" w14:textId="77777777" w:rsidR="000F0D47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допомоги на 2024–2025 роки</w:t>
      </w:r>
    </w:p>
    <w:p w14:paraId="72A56313" w14:textId="77777777" w:rsidR="000F0D47" w:rsidRDefault="000F0D47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41" w:type="dxa"/>
        <w:tblLook w:val="04A0" w:firstRow="1" w:lastRow="0" w:firstColumn="1" w:lastColumn="0" w:noHBand="0" w:noVBand="1"/>
      </w:tblPr>
      <w:tblGrid>
        <w:gridCol w:w="750"/>
        <w:gridCol w:w="2925"/>
        <w:gridCol w:w="1800"/>
        <w:gridCol w:w="1818"/>
        <w:gridCol w:w="2063"/>
      </w:tblGrid>
      <w:tr w:rsidR="000F0D47" w14:paraId="16A59A49" w14:textId="77777777">
        <w:trPr>
          <w:trHeight w:val="751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C59D" w14:textId="77777777" w:rsidR="000F0D47" w:rsidRDefault="00000000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7FFA9" w14:textId="77777777" w:rsidR="000F0D47" w:rsidRDefault="00000000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7D841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F1A2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0F0D47" w14:paraId="42176687" w14:textId="77777777">
        <w:trPr>
          <w:trHeight w:val="516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B277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7782A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9C38A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6EA2" w14:textId="77777777" w:rsidR="000F0D47" w:rsidRDefault="0000000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0D1A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0D47" w14:paraId="38854F67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18D8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DB1B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Обсяг фінансових ресурсів всього, </w:t>
            </w:r>
          </w:p>
          <w:p w14:paraId="79205CF8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7ED7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DFBEA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F282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2 840,0</w:t>
            </w:r>
          </w:p>
        </w:tc>
      </w:tr>
      <w:tr w:rsidR="000F0D47" w14:paraId="16E0F2C8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3E4A7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7CA62" w14:textId="77777777" w:rsidR="000F0D47" w:rsidRDefault="00000000">
            <w:pPr>
              <w:ind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C0B36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E8E4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373D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2 840,0</w:t>
            </w:r>
          </w:p>
        </w:tc>
      </w:tr>
    </w:tbl>
    <w:p w14:paraId="4ECEB168" w14:textId="77777777" w:rsidR="000F0D47" w:rsidRDefault="000F0D47">
      <w:pPr>
        <w:rPr>
          <w:rFonts w:ascii="Times New Roman" w:hAnsi="Times New Roman"/>
          <w:color w:val="000000"/>
          <w:sz w:val="28"/>
          <w:szCs w:val="28"/>
        </w:rPr>
      </w:pPr>
    </w:p>
    <w:p w14:paraId="6A78B8F2" w14:textId="77777777" w:rsidR="000F0D47" w:rsidRDefault="000F0D47">
      <w:pPr>
        <w:rPr>
          <w:color w:val="000000"/>
          <w:sz w:val="28"/>
          <w:szCs w:val="28"/>
        </w:rPr>
      </w:pPr>
    </w:p>
    <w:p w14:paraId="345C17C6" w14:textId="1753ECA7" w:rsidR="000F0D47" w:rsidRDefault="00000000">
      <w:pPr>
        <w:ind w:left="-57"/>
        <w:contextualSpacing/>
        <w:jc w:val="both"/>
        <w:rPr>
          <w:rFonts w:ascii="Times New Roman" w:hAnsi="Times New Roman"/>
        </w:rPr>
        <w:sectPr w:rsidR="000F0D47">
          <w:headerReference w:type="default" r:id="rId7"/>
          <w:pgSz w:w="11906" w:h="16838"/>
          <w:pgMar w:top="1172" w:right="567" w:bottom="1134" w:left="1984" w:header="567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 w:rsidR="00313E6B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777 995</w:t>
      </w:r>
    </w:p>
    <w:p w14:paraId="4C08C412" w14:textId="77777777" w:rsidR="000F0D47" w:rsidRDefault="00000000" w:rsidP="00313E6B">
      <w:pPr>
        <w:tabs>
          <w:tab w:val="left" w:pos="5580"/>
        </w:tabs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27610C6D" w14:textId="0EBB64FF" w:rsidR="000F0D47" w:rsidRDefault="00000000" w:rsidP="00313E6B">
      <w:pPr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Програми розвитку міжнародного</w:t>
      </w:r>
      <w:r w:rsidR="00313E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співробітництва Луцької міської</w:t>
      </w:r>
      <w:r w:rsidR="00313E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територіальної громади та залучення</w:t>
      </w:r>
      <w:r w:rsidR="00313E6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міжнародної технічної допомоги </w:t>
      </w:r>
      <w:r w:rsidR="00313E6B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>на 2024–2025 роки</w:t>
      </w:r>
    </w:p>
    <w:p w14:paraId="512689CA" w14:textId="77777777" w:rsidR="000F0D47" w:rsidRDefault="000F0D47" w:rsidP="00313E6B">
      <w:pPr>
        <w:ind w:left="1049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80DC34" w14:textId="77777777" w:rsidR="000F0D47" w:rsidRDefault="0000000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408C9E38" w14:textId="77777777" w:rsidR="000F0D47" w:rsidRDefault="0000000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розвитку міжнародного співробітництва</w:t>
      </w:r>
    </w:p>
    <w:p w14:paraId="6D9E9053" w14:textId="77777777" w:rsidR="000F0D47" w:rsidRDefault="0000000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Луцької міської територіальної громади</w:t>
      </w:r>
    </w:p>
    <w:p w14:paraId="7713B304" w14:textId="77777777" w:rsidR="000F0D47" w:rsidRDefault="0000000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 залучення міжнародної технічної допомоги</w:t>
      </w:r>
    </w:p>
    <w:p w14:paraId="49C78BD3" w14:textId="77777777" w:rsidR="000F0D47" w:rsidRDefault="00000000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2024–2025 роки </w:t>
      </w:r>
    </w:p>
    <w:p w14:paraId="074C02BC" w14:textId="77777777" w:rsidR="000F0D47" w:rsidRDefault="000F0D47">
      <w:pPr>
        <w:ind w:left="68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76" w:type="dxa"/>
        <w:tblInd w:w="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82"/>
        <w:gridCol w:w="2608"/>
        <w:gridCol w:w="2318"/>
        <w:gridCol w:w="1592"/>
        <w:gridCol w:w="1984"/>
        <w:gridCol w:w="1761"/>
        <w:gridCol w:w="1830"/>
        <w:gridCol w:w="2301"/>
      </w:tblGrid>
      <w:tr w:rsidR="000F0D47" w14:paraId="24CB3827" w14:textId="7777777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9B0D" w14:textId="77777777" w:rsidR="000F0D47" w:rsidRDefault="00000000">
            <w:pPr>
              <w:ind w:left="72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6075F067" w14:textId="77777777" w:rsidR="000F0D47" w:rsidRDefault="00000000">
            <w:pPr>
              <w:ind w:left="72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7F7A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B3FEB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FD09F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Терміни виконання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32AB8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AF35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06058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Орієнтовні обсяги фінансування, </w:t>
            </w:r>
          </w:p>
          <w:p w14:paraId="2ADCCC83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8E6F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Результативні показники</w:t>
            </w:r>
          </w:p>
        </w:tc>
      </w:tr>
      <w:tr w:rsidR="000F0D47" w14:paraId="42D7BDB4" w14:textId="77777777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60583" w14:textId="77777777" w:rsidR="000F0D47" w:rsidRDefault="00000000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  <w:p w14:paraId="6A7E4828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9A31102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FD03179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106CE32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D210277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68992C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5C921CD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0226FD8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429780D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5EF689C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8CF300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6532809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F339D5D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A28C630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947EB44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71962A6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EA5711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01AFC11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64510AA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29D003C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C1EB34B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0D1389C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57595F5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B06B74F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BB353B3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99ED990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0D337E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B7D3BDE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E6E9E5A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4BD88FC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63CFE6B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CF924AA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D0066C5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3738BAC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2C24C35" w14:textId="77777777" w:rsidR="000F0D47" w:rsidRDefault="00000000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</w:p>
          <w:p w14:paraId="62F25782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613F04B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5F62D76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03AD4E6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06248B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2B4A9AF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7DE7976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CE68A5F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3572492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122C882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E730A68" w14:textId="77777777" w:rsidR="000F0D47" w:rsidRDefault="000F0D47">
            <w:pPr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</w:p>
          <w:p w14:paraId="6E62EFD3" w14:textId="77777777" w:rsidR="000F0D47" w:rsidRDefault="000F0D47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76CC2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Розвиток міжнародного співробітництва, співпраця з дипломатичними установами, представництвами міжнародних організацій</w:t>
            </w:r>
          </w:p>
          <w:p w14:paraId="2034391A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0E7F6022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4797A8FB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203A7A9B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7E7E427A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4CC94F09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61E9EAE7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65E58991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B5DDD" w14:textId="77777777" w:rsidR="000F0D47" w:rsidRDefault="00000000">
            <w:pPr>
              <w:tabs>
                <w:tab w:val="left" w:pos="46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1.1. Організаційне забезпечення візитів офіційних делегацій Луцької міської територіальної громади за кордон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CA720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4472C" w14:textId="77777777" w:rsidR="000F0D47" w:rsidRDefault="00000000"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</w:t>
            </w:r>
            <w:hyperlink r:id="rId8">
              <w:r>
                <w:rPr>
                  <w:rStyle w:val="a5"/>
                  <w:rFonts w:ascii="Times New Roman" w:hAnsi="Times New Roman"/>
                  <w:color w:val="000000"/>
                  <w:u w:val="none"/>
                </w:rPr>
                <w:t>господарсько-технічний відділ</w:t>
              </w:r>
            </w:hyperlink>
          </w:p>
          <w:p w14:paraId="647B46F0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D4AD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DECC8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90,0 </w:t>
            </w:r>
          </w:p>
          <w:p w14:paraId="57418F18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091B6EC7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80B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Реалізація положень підписаних угод, поглиблення партнерства з іноземними містами та регіонами. Налагодження контактів з новими закордонними громадами</w:t>
            </w:r>
          </w:p>
        </w:tc>
      </w:tr>
      <w:tr w:rsidR="000F0D47" w14:paraId="76D55E45" w14:textId="77777777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7855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3BD5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23E3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1.2. Організація прийомів іноземних делегацій з партнерських та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дружніх міст і регіонів, представників дипломатичного корпусу та міжнародних організацій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7636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8A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</w:t>
            </w:r>
            <w:r>
              <w:rPr>
                <w:rFonts w:ascii="Times New Roman" w:hAnsi="Times New Roman"/>
                <w:color w:val="000000"/>
              </w:rPr>
              <w:lastRenderedPageBreak/>
              <w:t>діяльності</w:t>
            </w:r>
          </w:p>
          <w:p w14:paraId="1A4FB47E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11F9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A733E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140,0 </w:t>
            </w:r>
          </w:p>
          <w:p w14:paraId="5884000B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5B027CD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0B97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Ознайомлення іноземних гостей з Луцькою міською територіальною </w:t>
            </w:r>
            <w:r>
              <w:rPr>
                <w:rFonts w:ascii="Times New Roman" w:hAnsi="Times New Roman"/>
                <w:color w:val="000000"/>
              </w:rPr>
              <w:lastRenderedPageBreak/>
              <w:t>громадою, підтримка партнерських відносин, налагодження нових контактів</w:t>
            </w:r>
          </w:p>
        </w:tc>
      </w:tr>
      <w:tr w:rsidR="000F0D47" w14:paraId="1D9C5E47" w14:textId="77777777">
        <w:trPr>
          <w:trHeight w:val="15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62AB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1FA6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1F0" w14:textId="77777777" w:rsidR="000F0D47" w:rsidRDefault="00000000">
            <w:pPr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1.3. Розробка та</w:t>
            </w:r>
            <w:r>
              <w:rPr>
                <w:rFonts w:ascii="Times New Roman" w:hAnsi="Times New Roman"/>
              </w:rPr>
              <w:t xml:space="preserve"> закупівля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матеріалів та сувенірів про місто Луцьк та Луцьку міську територіальну громаду англійською мовою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3DD6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18EC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56A8224C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туризму та промоції міста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8B48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364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– 150,0</w:t>
            </w:r>
          </w:p>
          <w:p w14:paraId="4D98DABE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C0C9784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150,0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A3C2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символікою громади,</w:t>
            </w:r>
          </w:p>
          <w:p w14:paraId="2E20063F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та підтримка позитивного іміджу громади</w:t>
            </w:r>
          </w:p>
        </w:tc>
      </w:tr>
      <w:tr w:rsidR="000F0D47" w14:paraId="25DC17F4" w14:textId="77777777">
        <w:trPr>
          <w:trHeight w:val="15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96E6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A582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4FA8" w14:textId="77777777" w:rsidR="000F0D47" w:rsidRDefault="00000000">
            <w:pPr>
              <w:tabs>
                <w:tab w:val="left" w:pos="-108"/>
                <w:tab w:val="left" w:pos="167"/>
              </w:tabs>
              <w:ind w:left="-1" w:firstLine="29"/>
            </w:pPr>
            <w:r>
              <w:rPr>
                <w:rFonts w:ascii="Times New Roman" w:hAnsi="Times New Roman"/>
                <w:color w:val="000000"/>
              </w:rPr>
              <w:t>1.4. Забезпечення дод</w:t>
            </w:r>
            <w:r>
              <w:rPr>
                <w:rFonts w:ascii="Times New Roman" w:hAnsi="Times New Roman"/>
              </w:rPr>
              <w:t>атков</w:t>
            </w:r>
            <w:r>
              <w:rPr>
                <w:rFonts w:ascii="Times New Roman" w:hAnsi="Times New Roman"/>
                <w:color w:val="000000"/>
              </w:rPr>
              <w:t xml:space="preserve">ого перекладу (усного, письмового) в межах офіційних заходів, ділової комунікації, підготовки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заявок, 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CBB4C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0F3A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FBE3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1FD0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40,0 </w:t>
            </w:r>
          </w:p>
          <w:p w14:paraId="7D533B36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7D137FD9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40,0 </w:t>
            </w:r>
          </w:p>
          <w:p w14:paraId="701CA423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15D1B9BF" w14:textId="77777777" w:rsidR="000F0D47" w:rsidRDefault="000F0D47">
            <w:pPr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7E93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Безперешкодна комунікація з іноземними установами, міжнародними фондами</w:t>
            </w:r>
          </w:p>
          <w:p w14:paraId="18378AFF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F0D47" w14:paraId="57569AAB" w14:textId="77777777">
        <w:trPr>
          <w:trHeight w:val="1695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B1C7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D35F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A034" w14:textId="77777777" w:rsidR="000F0D47" w:rsidRDefault="00000000">
            <w:pPr>
              <w:tabs>
                <w:tab w:val="left" w:pos="4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1.5. Сприяння проведенню іміджевих заходів міжнародного характеру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в онлайн форматі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EC9AC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C312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5F7C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D8A2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50,0 </w:t>
            </w:r>
          </w:p>
          <w:p w14:paraId="2A11AEB9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0368A9F4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70,0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B8B3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Забезпечення міжнародної </w:t>
            </w:r>
            <w:r>
              <w:rPr>
                <w:rFonts w:ascii="Times New Roman" w:hAnsi="Times New Roman"/>
              </w:rPr>
              <w:t xml:space="preserve">складової </w:t>
            </w:r>
            <w:r>
              <w:rPr>
                <w:rFonts w:ascii="Times New Roman" w:hAnsi="Times New Roman"/>
                <w:color w:val="000000"/>
              </w:rPr>
              <w:t>заходів, які визначені як іміджеві у громаді та плануються як міжнародні</w:t>
            </w:r>
          </w:p>
        </w:tc>
      </w:tr>
      <w:tr w:rsidR="000F0D47" w14:paraId="34CFA2AE" w14:textId="77777777">
        <w:trPr>
          <w:trHeight w:val="8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84B0" w14:textId="77777777" w:rsidR="000F0D4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7235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Реалізація державної політики у сфері євроінтеграції </w:t>
            </w:r>
          </w:p>
          <w:p w14:paraId="4D646EF1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EA52" w14:textId="77777777" w:rsidR="000F0D47" w:rsidRDefault="00000000">
            <w:pPr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2.1. Проведення заходів на тему європейської інтеграції, </w:t>
            </w:r>
            <w:r>
              <w:rPr>
                <w:rFonts w:ascii="Times New Roman" w:hAnsi="Times New Roman"/>
              </w:rPr>
              <w:t>зокрема в межах Дня Європи в Україні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A0C4E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6CEDF" w14:textId="77777777" w:rsidR="000F0D47" w:rsidRDefault="00000000">
            <w:bookmarkStart w:id="0" w:name="__DdeLink__482_3211486512"/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департамент культури, департамент освіти, департамент молоді та спорту, управління інформаційної роботи</w:t>
            </w:r>
            <w:bookmarkEnd w:id="0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263E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6DB3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50,0 </w:t>
            </w:r>
          </w:p>
          <w:p w14:paraId="3F24736B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746CB0A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80,0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D0C4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Зміцнення громадської підтримки євроінтеграційного курсу України на місцевому рівні</w:t>
            </w:r>
          </w:p>
        </w:tc>
      </w:tr>
      <w:tr w:rsidR="000F0D47" w14:paraId="466F6C51" w14:textId="77777777">
        <w:trPr>
          <w:trHeight w:val="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BEE3" w14:textId="77777777" w:rsidR="000F0D47" w:rsidRDefault="00000000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7BD7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Залучення міжнародної технічної та державної допомоги, реалізація транскордонних і міжнародних грантових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забезпечення сталості реалізованих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58FF" w14:textId="3A5BA689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3.1. Розробка</w:t>
            </w:r>
            <w:r>
              <w:rPr>
                <w:rFonts w:ascii="Times New Roman" w:hAnsi="Times New Roman"/>
              </w:rPr>
              <w:t xml:space="preserve">, подання на грантові конкурси </w:t>
            </w:r>
            <w:r>
              <w:rPr>
                <w:rFonts w:ascii="Times New Roman" w:hAnsi="Times New Roman"/>
                <w:color w:val="000000"/>
              </w:rPr>
              <w:t>від виконавчого комітету Луцької міської ради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допомоги, адміністрування, </w:t>
            </w:r>
            <w:r>
              <w:rPr>
                <w:rFonts w:ascii="Times New Roman" w:hAnsi="Times New Roman"/>
              </w:rPr>
              <w:lastRenderedPageBreak/>
              <w:t xml:space="preserve">супровід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(дослідження, ПКД, послуги </w:t>
            </w:r>
            <w:r>
              <w:rPr>
                <w:rFonts w:ascii="Times New Roman" w:hAnsi="Times New Roman"/>
              </w:rPr>
              <w:t xml:space="preserve">незалежних експертів, аудит, стратегічна екологічна оцінка), підтримка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(ремонт, заміна </w:t>
            </w:r>
            <w:bookmarkStart w:id="1" w:name="__DdeLink__653_2403243139"/>
            <w:r>
              <w:rPr>
                <w:rFonts w:ascii="Times New Roman" w:hAnsi="Times New Roman"/>
              </w:rPr>
              <w:t>комплектуючих</w:t>
            </w:r>
            <w:bookmarkEnd w:id="1"/>
            <w:r>
              <w:rPr>
                <w:rFonts w:ascii="Times New Roman" w:hAnsi="Times New Roman"/>
              </w:rPr>
              <w:t xml:space="preserve"> для закуплених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товарів</w:t>
            </w:r>
            <w:r w:rsidR="007872B4">
              <w:rPr>
                <w:rFonts w:ascii="Times New Roman" w:hAnsi="Times New Roman"/>
              </w:rPr>
              <w:t xml:space="preserve"> та</w:t>
            </w:r>
            <w:r>
              <w:rPr>
                <w:rFonts w:ascii="Times New Roman" w:hAnsi="Times New Roman"/>
              </w:rPr>
              <w:t xml:space="preserve"> інш</w:t>
            </w:r>
            <w:r w:rsidR="007872B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C20C1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1581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D4B3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37C0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700,0 </w:t>
            </w:r>
          </w:p>
          <w:p w14:paraId="7663C3B9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6C587D86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250,0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7E7C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Комплексно підготовлені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заявки для подачі на грантові конкурси, </w:t>
            </w:r>
            <w:r>
              <w:rPr>
                <w:rFonts w:ascii="Times New Roman" w:hAnsi="Times New Roman"/>
              </w:rPr>
              <w:t xml:space="preserve">якісно реалізовані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забезпечено підтримку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  <w:p w14:paraId="080517D1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F0D47" w14:paraId="70ED399F" w14:textId="77777777">
        <w:trPr>
          <w:trHeight w:val="705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2C87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0D5C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65DB" w14:textId="77777777" w:rsidR="000F0D47" w:rsidRDefault="00000000">
            <w:r>
              <w:rPr>
                <w:rFonts w:ascii="Times New Roman" w:hAnsi="Times New Roman"/>
                <w:color w:val="000000"/>
              </w:rPr>
              <w:t>3.2. </w:t>
            </w:r>
            <w:r>
              <w:rPr>
                <w:rFonts w:ascii="Times New Roman" w:hAnsi="Times New Roman"/>
              </w:rPr>
              <w:t xml:space="preserve">Забезпечення фінансового внеску в </w:t>
            </w:r>
            <w:r>
              <w:rPr>
                <w:rFonts w:ascii="Times New Roman" w:hAnsi="Times New Roman"/>
                <w:color w:val="000000"/>
              </w:rPr>
              <w:t>реалізацію</w:t>
            </w:r>
            <w:r>
              <w:rPr>
                <w:rFonts w:ascii="Times New Roman" w:hAnsi="Times New Roman"/>
              </w:rPr>
              <w:t xml:space="preserve"> потенційних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малобюджетних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 відповідно до грантових угод*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13774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667D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7AF1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2580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</w:t>
            </w:r>
            <w:r>
              <w:rPr>
                <w:rFonts w:ascii="Times New Roman" w:hAnsi="Times New Roman"/>
                <w:color w:val="000000"/>
              </w:rPr>
              <w:t>300,0</w:t>
            </w:r>
          </w:p>
          <w:p w14:paraId="403587F3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60AD570F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2025 – 400,0</w:t>
            </w:r>
          </w:p>
          <w:p w14:paraId="74F1B5DC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77DAA9D6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1AB26CC2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0540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</w:t>
            </w:r>
          </w:p>
        </w:tc>
      </w:tr>
      <w:tr w:rsidR="000F0D47" w14:paraId="2E296ED5" w14:textId="77777777">
        <w:trPr>
          <w:trHeight w:val="705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86CA4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AE5D" w14:textId="77777777" w:rsidR="000F0D47" w:rsidRDefault="000F0D47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9F701" w14:textId="77777777" w:rsidR="000F0D47" w:rsidRDefault="00000000">
            <w:r>
              <w:rPr>
                <w:rFonts w:ascii="Times New Roman" w:hAnsi="Times New Roman"/>
                <w:color w:val="000000"/>
              </w:rPr>
              <w:t xml:space="preserve">3.3. Організація навчань, участь у навчаннях, заходах з підвищення кваліфікації працівників з метою розвитку кадрового потенціалу та формування </w:t>
            </w:r>
            <w:r>
              <w:rPr>
                <w:rFonts w:ascii="Times New Roman" w:hAnsi="Times New Roman"/>
              </w:rPr>
              <w:lastRenderedPageBreak/>
              <w:t>команди</w:t>
            </w:r>
            <w:r>
              <w:rPr>
                <w:rFonts w:ascii="Times New Roman" w:hAnsi="Times New Roman"/>
                <w:color w:val="000000"/>
              </w:rPr>
              <w:t xml:space="preserve"> ефективних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менеджерів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5DDAB" w14:textId="77777777" w:rsidR="000F0D47" w:rsidRDefault="00000000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Протягом 2024–2025 років </w:t>
            </w:r>
          </w:p>
          <w:p w14:paraId="7655D025" w14:textId="77777777" w:rsidR="000F0D47" w:rsidRDefault="000F0D4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51F1247" w14:textId="77777777" w:rsidR="000F0D47" w:rsidRDefault="000F0D4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D0AEE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23691DD6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A5843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  <w:p w14:paraId="2C08BAB0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BC30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2024 – 40,0</w:t>
            </w:r>
          </w:p>
          <w:p w14:paraId="12B67DDE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7E076DDC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2025 – 40,0</w:t>
            </w:r>
          </w:p>
          <w:p w14:paraId="7E0E844F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0DF6C06A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  <w:p w14:paraId="4E4063C5" w14:textId="77777777" w:rsidR="000F0D47" w:rsidRDefault="000F0D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5E6D" w14:textId="77777777" w:rsidR="000F0D47" w:rsidRDefault="00000000">
            <w:pPr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Розвиток кадрового потенціалу </w:t>
            </w:r>
          </w:p>
          <w:p w14:paraId="1B73379E" w14:textId="77777777" w:rsidR="000F0D47" w:rsidRDefault="00000000">
            <w:pPr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 формування команди ефективних </w:t>
            </w:r>
            <w:proofErr w:type="spellStart"/>
            <w:r>
              <w:rPr>
                <w:rFonts w:ascii="Times New Roman" w:hAnsi="Times New Roman"/>
              </w:rPr>
              <w:t>проєктних</w:t>
            </w:r>
            <w:proofErr w:type="spellEnd"/>
            <w:r>
              <w:rPr>
                <w:rFonts w:ascii="Times New Roman" w:hAnsi="Times New Roman"/>
              </w:rPr>
              <w:t xml:space="preserve"> менеджерів</w:t>
            </w:r>
          </w:p>
        </w:tc>
      </w:tr>
      <w:tr w:rsidR="000F0D47" w14:paraId="2764E846" w14:textId="77777777">
        <w:trPr>
          <w:trHeight w:val="450"/>
        </w:trPr>
        <w:tc>
          <w:tcPr>
            <w:tcW w:w="91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B155" w14:textId="77777777" w:rsidR="000F0D47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Всього: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8B617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41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4A47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2024 – </w:t>
            </w:r>
            <w:r>
              <w:rPr>
                <w:rFonts w:ascii="Times New Roman" w:hAnsi="Times New Roman"/>
              </w:rPr>
              <w:t>1 560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6D0448ED" w14:textId="77777777" w:rsidR="000F0D47" w:rsidRDefault="000F0D47">
            <w:pPr>
              <w:rPr>
                <w:rFonts w:ascii="Times New Roman" w:hAnsi="Times New Roman"/>
              </w:rPr>
            </w:pPr>
          </w:p>
          <w:p w14:paraId="586EA2B5" w14:textId="77777777" w:rsidR="000F0D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1 280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</w:p>
        </w:tc>
      </w:tr>
    </w:tbl>
    <w:p w14:paraId="652F9C32" w14:textId="77777777" w:rsidR="000F0D47" w:rsidRDefault="000F0D47">
      <w:pPr>
        <w:ind w:left="851"/>
        <w:contextualSpacing/>
        <w:jc w:val="both"/>
        <w:rPr>
          <w:color w:val="000000"/>
        </w:rPr>
      </w:pPr>
    </w:p>
    <w:p w14:paraId="6E88110A" w14:textId="77777777" w:rsidR="000F0D47" w:rsidRDefault="00000000">
      <w:pPr>
        <w:ind w:right="22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color w:val="000000"/>
          <w:sz w:val="22"/>
          <w:szCs w:val="22"/>
        </w:rPr>
        <w:t xml:space="preserve">Захід Програми передбачає співфінансування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малобюджетних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У випадку затвердження донором для 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великобюджетних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міжнародної технічної або державної допомоги, поданих виконавчим комітетом Луцької міської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рішення про співфінансування кожного грантового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буде окремо винесене на розгляд міської ради.</w:t>
      </w:r>
    </w:p>
    <w:p w14:paraId="75029588" w14:textId="77777777" w:rsidR="000F0D47" w:rsidRDefault="000F0D47">
      <w:pPr>
        <w:ind w:left="851"/>
        <w:contextualSpacing/>
        <w:jc w:val="both"/>
        <w:rPr>
          <w:rFonts w:ascii="Times New Roman" w:hAnsi="Times New Roman"/>
          <w:color w:val="000000"/>
        </w:rPr>
      </w:pPr>
    </w:p>
    <w:p w14:paraId="7F2F67A1" w14:textId="77777777" w:rsidR="000F0D47" w:rsidRDefault="000F0D47">
      <w:pPr>
        <w:contextualSpacing/>
        <w:rPr>
          <w:rFonts w:ascii="Times New Roman" w:hAnsi="Times New Roman"/>
          <w:color w:val="000000"/>
        </w:rPr>
      </w:pPr>
    </w:p>
    <w:p w14:paraId="58A79AFA" w14:textId="77777777" w:rsidR="000F0D47" w:rsidRDefault="00000000">
      <w:pPr>
        <w:contextualSpacing/>
        <w:jc w:val="both"/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 xml:space="preserve"> 777 995</w:t>
      </w:r>
    </w:p>
    <w:sectPr w:rsidR="000F0D47">
      <w:headerReference w:type="default" r:id="rId9"/>
      <w:pgSz w:w="16838" w:h="11906" w:orient="landscape"/>
      <w:pgMar w:top="1984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481A" w14:textId="77777777" w:rsidR="0059456D" w:rsidRDefault="0059456D">
      <w:r>
        <w:separator/>
      </w:r>
    </w:p>
  </w:endnote>
  <w:endnote w:type="continuationSeparator" w:id="0">
    <w:p w14:paraId="5A00F5D7" w14:textId="77777777" w:rsidR="0059456D" w:rsidRDefault="0059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CC6D" w14:textId="77777777" w:rsidR="0059456D" w:rsidRDefault="0059456D">
      <w:r>
        <w:separator/>
      </w:r>
    </w:p>
  </w:footnote>
  <w:footnote w:type="continuationSeparator" w:id="0">
    <w:p w14:paraId="383B1EAE" w14:textId="77777777" w:rsidR="0059456D" w:rsidRDefault="0059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BD0F" w14:textId="77777777" w:rsidR="000F0D47" w:rsidRDefault="00000000">
    <w:pPr>
      <w:pStyle w:val="ad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DEC4" w14:textId="77777777" w:rsidR="000F0D47" w:rsidRDefault="000F0D47">
    <w:pPr>
      <w:jc w:val="center"/>
    </w:pPr>
  </w:p>
  <w:p w14:paraId="7D9CCEEE" w14:textId="77777777" w:rsidR="000F0D47" w:rsidRDefault="000F0D47">
    <w:pPr>
      <w:jc w:val="center"/>
    </w:pPr>
  </w:p>
  <w:p w14:paraId="03BB767A" w14:textId="77777777" w:rsidR="000F0D47" w:rsidRDefault="000F0D47">
    <w:pPr>
      <w:jc w:val="center"/>
    </w:pPr>
  </w:p>
  <w:p w14:paraId="49BCDD18" w14:textId="77777777" w:rsidR="000F0D47" w:rsidRDefault="000F0D47">
    <w:pPr>
      <w:jc w:val="center"/>
    </w:pPr>
  </w:p>
  <w:p w14:paraId="6D7AB317" w14:textId="77777777" w:rsidR="000F0D47" w:rsidRDefault="00000000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1D3"/>
    <w:multiLevelType w:val="multilevel"/>
    <w:tmpl w:val="71EE53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A9726F"/>
    <w:multiLevelType w:val="multilevel"/>
    <w:tmpl w:val="D7FECC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9639455">
    <w:abstractNumId w:val="0"/>
  </w:num>
  <w:num w:numId="2" w16cid:durableId="148114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47"/>
    <w:rsid w:val="000F0D47"/>
    <w:rsid w:val="002E24DE"/>
    <w:rsid w:val="00313E6B"/>
    <w:rsid w:val="0059456D"/>
    <w:rsid w:val="006B6538"/>
    <w:rsid w:val="007872B4"/>
    <w:rsid w:val="00D86EEA"/>
    <w:rsid w:val="00E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50A4"/>
  <w15:docId w15:val="{A5EE8849-0D24-493E-A5D7-4AF38193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qFormat/>
    <w:pPr>
      <w:spacing w:before="280" w:after="280"/>
      <w:textAlignment w:val="top"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ac"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epartments/hospodarsko-tekhnichnyi-vidd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11564</Words>
  <Characters>6593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50</cp:revision>
  <cp:lastPrinted>2023-09-07T09:18:00Z</cp:lastPrinted>
  <dcterms:created xsi:type="dcterms:W3CDTF">2023-09-06T09:03:00Z</dcterms:created>
  <dcterms:modified xsi:type="dcterms:W3CDTF">2023-12-07T13:09:00Z</dcterms:modified>
  <dc:language>uk-UA</dc:language>
</cp:coreProperties>
</file>