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bidi w:val="0"/>
        <w:spacing w:before="0" w:after="0"/>
        <w:ind w:left="5669" w:right="0" w:hanging="0"/>
        <w:contextualSpacing/>
        <w:jc w:val="left"/>
        <w:rPr>
          <w:rFonts w:ascii="Times New Roman" w:hAnsi="Times New Roman"/>
          <w:sz w:val="28"/>
          <w:szCs w:val="28"/>
        </w:rPr>
      </w:pPr>
      <w:r>
        <w:rPr>
          <w:rFonts w:ascii="Times New Roman" w:hAnsi="Times New Roman"/>
          <w:sz w:val="28"/>
          <w:szCs w:val="28"/>
        </w:rPr>
        <w:t xml:space="preserve">Додаток </w:t>
      </w:r>
    </w:p>
    <w:p>
      <w:pPr>
        <w:pStyle w:val="Normal"/>
        <w:widowControl/>
        <w:bidi w:val="0"/>
        <w:spacing w:before="0" w:after="0"/>
        <w:ind w:left="5669" w:right="0" w:hanging="0"/>
        <w:contextualSpacing/>
        <w:jc w:val="left"/>
        <w:rPr/>
      </w:pPr>
      <w:r>
        <w:rPr>
          <w:rFonts w:ascii="Times New Roman" w:hAnsi="Times New Roman"/>
          <w:sz w:val="28"/>
          <w:szCs w:val="28"/>
        </w:rPr>
        <w:t xml:space="preserve">до рішення міської ради </w:t>
      </w:r>
    </w:p>
    <w:p>
      <w:pPr>
        <w:pStyle w:val="Normal"/>
        <w:widowControl/>
        <w:bidi w:val="0"/>
        <w:spacing w:before="0" w:after="0"/>
        <w:ind w:left="5669" w:right="0" w:hanging="0"/>
        <w:contextualSpacing/>
        <w:jc w:val="left"/>
        <w:rPr/>
      </w:pPr>
      <w:r>
        <w:rPr>
          <w:rFonts w:ascii="Times New Roman" w:hAnsi="Times New Roman"/>
          <w:sz w:val="28"/>
          <w:szCs w:val="28"/>
        </w:rPr>
        <w:t>______________  № _____</w:t>
      </w:r>
    </w:p>
    <w:p>
      <w:pPr>
        <w:pStyle w:val="Normal"/>
        <w:spacing w:before="0" w:after="0"/>
        <w:ind w:left="4248" w:firstLine="855"/>
        <w:contextualSpacing/>
        <w:jc w:val="both"/>
        <w:rPr>
          <w:rFonts w:ascii="Times New Roman" w:hAnsi="Times New Roman"/>
        </w:rPr>
      </w:pPr>
      <w:r>
        <w:rPr>
          <w:rFonts w:ascii="Times New Roman" w:hAnsi="Times New Roman"/>
        </w:rPr>
      </w:r>
    </w:p>
    <w:p>
      <w:pPr>
        <w:pStyle w:val="Normal"/>
        <w:spacing w:before="0" w:after="0"/>
        <w:contextualSpacing/>
        <w:jc w:val="center"/>
        <w:rPr>
          <w:rFonts w:ascii="Times New Roman" w:hAnsi="Times New Roman" w:eastAsia="Times New Roman" w:cs="Times New Roman"/>
          <w:b/>
          <w:b/>
          <w:bCs/>
          <w:color w:val="000000"/>
          <w:sz w:val="28"/>
          <w:szCs w:val="28"/>
          <w:lang w:eastAsia="ru-RU" w:bidi="ar-SA"/>
        </w:rPr>
      </w:pPr>
      <w:r>
        <w:rPr/>
      </w:r>
    </w:p>
    <w:p>
      <w:pPr>
        <w:pStyle w:val="Normal"/>
        <w:spacing w:before="0" w:after="0"/>
        <w:contextualSpacing/>
        <w:jc w:val="center"/>
        <w:rPr>
          <w:rFonts w:ascii="Times New Roman" w:hAnsi="Times New Roman"/>
          <w:b/>
          <w:b/>
          <w:bCs/>
        </w:rPr>
      </w:pPr>
      <w:r>
        <w:rPr>
          <w:rFonts w:eastAsia="Times New Roman" w:cs="Times New Roman" w:ascii="Times New Roman" w:hAnsi="Times New Roman"/>
          <w:b/>
          <w:bCs/>
          <w:color w:val="000000"/>
          <w:sz w:val="28"/>
          <w:szCs w:val="28"/>
          <w:lang w:eastAsia="ru-RU" w:bidi="ar-SA"/>
        </w:rPr>
        <w:t>ПРОГРАМА</w:t>
      </w:r>
    </w:p>
    <w:p>
      <w:pPr>
        <w:pStyle w:val="Normal"/>
        <w:spacing w:before="0" w:after="0"/>
        <w:contextualSpacing/>
        <w:jc w:val="center"/>
        <w:rPr>
          <w:rFonts w:ascii="Times New Roman" w:hAnsi="Times New Roman"/>
          <w:b/>
          <w:b/>
          <w:bCs/>
        </w:rPr>
      </w:pPr>
      <w:r>
        <w:rPr>
          <w:rFonts w:eastAsia="Times New Roman" w:cs="Times New Roman" w:ascii="Times New Roman" w:hAnsi="Times New Roman"/>
          <w:b/>
          <w:bCs/>
          <w:color w:val="000000"/>
          <w:sz w:val="28"/>
          <w:szCs w:val="28"/>
          <w:lang w:eastAsia="ru-RU" w:bidi="ar-SA"/>
        </w:rPr>
        <w:t>розвитку міжнародного співробітництва</w:t>
      </w:r>
    </w:p>
    <w:p>
      <w:pPr>
        <w:pStyle w:val="Normal"/>
        <w:spacing w:before="0" w:after="0"/>
        <w:contextualSpacing/>
        <w:jc w:val="center"/>
        <w:rPr>
          <w:rFonts w:ascii="Times New Roman" w:hAnsi="Times New Roman"/>
          <w:b/>
          <w:b/>
          <w:bCs/>
        </w:rPr>
      </w:pPr>
      <w:r>
        <w:rPr>
          <w:rFonts w:eastAsia="Times New Roman" w:cs="Times New Roman" w:ascii="Times New Roman" w:hAnsi="Times New Roman"/>
          <w:b/>
          <w:bCs/>
          <w:color w:val="000000"/>
          <w:sz w:val="28"/>
          <w:szCs w:val="28"/>
          <w:lang w:eastAsia="ru-RU" w:bidi="ar-SA"/>
        </w:rPr>
        <w:t>Луцької міської територіальної громади та залучення міжнародної технічної допомоги на 2024–2025 роки</w:t>
      </w:r>
    </w:p>
    <w:p>
      <w:pPr>
        <w:pStyle w:val="Normal"/>
        <w:spacing w:before="0" w:after="0"/>
        <w:contextualSpacing/>
        <w:jc w:val="center"/>
        <w:rPr>
          <w:rFonts w:ascii="Times New Roman" w:hAnsi="Times New Roman" w:eastAsia="Times New Roman" w:cs="Times New Roman"/>
          <w:bCs/>
          <w:color w:val="000000"/>
          <w:sz w:val="28"/>
          <w:szCs w:val="28"/>
          <w:lang w:eastAsia="ru-RU" w:bidi="ar-SA"/>
        </w:rPr>
      </w:pPr>
      <w:r>
        <w:rPr>
          <w:rFonts w:eastAsia="Times New Roman" w:cs="Times New Roman" w:ascii="Times New Roman" w:hAnsi="Times New Roman"/>
          <w:bCs/>
          <w:color w:val="000000"/>
          <w:sz w:val="28"/>
          <w:szCs w:val="28"/>
          <w:lang w:eastAsia="ru-RU" w:bidi="ar-SA"/>
        </w:rPr>
      </w:r>
    </w:p>
    <w:p>
      <w:pPr>
        <w:pStyle w:val="Normal"/>
        <w:spacing w:before="0" w:after="0"/>
        <w:contextualSpacing/>
        <w:jc w:val="center"/>
        <w:rPr>
          <w:rFonts w:ascii="Times New Roman" w:hAnsi="Times New Roman"/>
        </w:rPr>
      </w:pPr>
      <w:r>
        <w:rPr>
          <w:rFonts w:ascii="Times New Roman" w:hAnsi="Times New Roman"/>
          <w:b/>
          <w:sz w:val="28"/>
          <w:szCs w:val="28"/>
        </w:rPr>
        <w:t>ПАСПОРТ ПРОГРАМИ</w:t>
      </w:r>
      <w:r>
        <w:rPr>
          <w:rFonts w:ascii="Times New Roman" w:hAnsi="Times New Roman"/>
          <w:b/>
          <w:bCs/>
          <w:sz w:val="28"/>
          <w:szCs w:val="28"/>
        </w:rPr>
        <w:t xml:space="preserve"> </w:t>
      </w:r>
    </w:p>
    <w:p>
      <w:pPr>
        <w:pStyle w:val="Normal"/>
        <w:spacing w:before="0" w:after="0"/>
        <w:contextualSpacing/>
        <w:jc w:val="center"/>
        <w:rPr>
          <w:rFonts w:ascii="Times New Roman" w:hAnsi="Times New Roman"/>
          <w:b/>
          <w:b/>
          <w:bCs/>
          <w:sz w:val="28"/>
          <w:szCs w:val="28"/>
        </w:rPr>
      </w:pPr>
      <w:r>
        <w:rPr>
          <w:rFonts w:ascii="Times New Roman" w:hAnsi="Times New Roman"/>
          <w:b/>
          <w:bCs/>
          <w:sz w:val="28"/>
          <w:szCs w:val="28"/>
        </w:rPr>
      </w:r>
    </w:p>
    <w:tbl>
      <w:tblPr>
        <w:tblW w:w="9390" w:type="dxa"/>
        <w:jc w:val="left"/>
        <w:tblInd w:w="16" w:type="dxa"/>
        <w:tblCellMar>
          <w:top w:w="0" w:type="dxa"/>
          <w:left w:w="108" w:type="dxa"/>
          <w:bottom w:w="0" w:type="dxa"/>
          <w:right w:w="108" w:type="dxa"/>
        </w:tblCellMar>
        <w:tblLook w:firstRow="1" w:noVBand="1" w:lastRow="0" w:firstColumn="1" w:lastColumn="0" w:noHBand="0" w:val="04a0"/>
      </w:tblPr>
      <w:tblGrid>
        <w:gridCol w:w="853"/>
        <w:gridCol w:w="3789"/>
        <w:gridCol w:w="4748"/>
      </w:tblGrid>
      <w:tr>
        <w:trPr/>
        <w:tc>
          <w:tcPr>
            <w:tcW w:w="853" w:type="dxa"/>
            <w:tcBorders>
              <w:top w:val="single" w:sz="4" w:space="0" w:color="000000"/>
              <w:left w:val="single" w:sz="4" w:space="0" w:color="000000"/>
              <w:bottom w:val="single" w:sz="4" w:space="0" w:color="000000"/>
            </w:tcBorders>
            <w:shd w:color="auto" w:fill="auto" w:val="clear"/>
          </w:tcPr>
          <w:p>
            <w:pPr>
              <w:pStyle w:val="Normal"/>
              <w:spacing w:before="0" w:after="0"/>
              <w:contextualSpacing/>
              <w:jc w:val="center"/>
              <w:rPr>
                <w:rFonts w:ascii="Times New Roman" w:hAnsi="Times New Roman"/>
                <w:sz w:val="28"/>
                <w:szCs w:val="28"/>
              </w:rPr>
            </w:pPr>
            <w:r>
              <w:rPr>
                <w:rFonts w:ascii="Times New Roman" w:hAnsi="Times New Roman"/>
                <w:sz w:val="28"/>
                <w:szCs w:val="28"/>
              </w:rPr>
              <w:t>1.</w:t>
            </w:r>
          </w:p>
          <w:p>
            <w:pPr>
              <w:pStyle w:val="Normal"/>
              <w:spacing w:before="0" w:after="0"/>
              <w:contextualSpacing/>
              <w:rPr>
                <w:rFonts w:ascii="Times New Roman" w:hAnsi="Times New Roman"/>
                <w:sz w:val="28"/>
                <w:szCs w:val="28"/>
              </w:rPr>
            </w:pPr>
            <w:r>
              <w:rPr>
                <w:rFonts w:ascii="Times New Roman" w:hAnsi="Times New Roman"/>
                <w:sz w:val="28"/>
                <w:szCs w:val="28"/>
              </w:rPr>
            </w:r>
          </w:p>
        </w:tc>
        <w:tc>
          <w:tcPr>
            <w:tcW w:w="3789"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rFonts w:ascii="Times New Roman" w:hAnsi="Times New Roman"/>
                <w:sz w:val="28"/>
                <w:szCs w:val="28"/>
              </w:rPr>
            </w:pPr>
            <w:r>
              <w:rPr>
                <w:rFonts w:ascii="Times New Roman" w:hAnsi="Times New Roman"/>
                <w:sz w:val="28"/>
                <w:szCs w:val="28"/>
              </w:rPr>
              <w:t>Ініціатор розроблення Програми</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rFonts w:ascii="Times New Roman" w:hAnsi="Times New Roman" w:eastAsia="Times New Roman" w:cs="Times New Roman"/>
                <w:sz w:val="28"/>
                <w:szCs w:val="28"/>
                <w:lang w:bidi="ar-SA"/>
              </w:rPr>
            </w:pPr>
            <w:r>
              <w:rPr>
                <w:rFonts w:eastAsia="Times New Roman" w:cs="Times New Roman" w:ascii="Times New Roman" w:hAnsi="Times New Roman"/>
                <w:sz w:val="28"/>
                <w:szCs w:val="28"/>
                <w:lang w:bidi="ar-SA"/>
              </w:rPr>
              <w:t>Луцька міська рада</w:t>
            </w:r>
          </w:p>
        </w:tc>
      </w:tr>
      <w:tr>
        <w:trPr>
          <w:trHeight w:val="934" w:hRule="atLeast"/>
        </w:trPr>
        <w:tc>
          <w:tcPr>
            <w:tcW w:w="853" w:type="dxa"/>
            <w:tcBorders>
              <w:top w:val="single" w:sz="4" w:space="0" w:color="000000"/>
              <w:left w:val="single" w:sz="4" w:space="0" w:color="000000"/>
              <w:bottom w:val="single" w:sz="4" w:space="0" w:color="000000"/>
            </w:tcBorders>
            <w:shd w:color="auto" w:fill="auto" w:val="clear"/>
          </w:tcPr>
          <w:p>
            <w:pPr>
              <w:pStyle w:val="Normal"/>
              <w:spacing w:before="0" w:after="0"/>
              <w:contextualSpacing/>
              <w:jc w:val="center"/>
              <w:rPr>
                <w:rFonts w:ascii="Times New Roman" w:hAnsi="Times New Roman"/>
                <w:sz w:val="28"/>
                <w:szCs w:val="28"/>
              </w:rPr>
            </w:pPr>
            <w:r>
              <w:rPr>
                <w:rFonts w:ascii="Times New Roman" w:hAnsi="Times New Roman"/>
                <w:sz w:val="28"/>
                <w:szCs w:val="28"/>
              </w:rPr>
              <w:t>2.</w:t>
            </w:r>
          </w:p>
        </w:tc>
        <w:tc>
          <w:tcPr>
            <w:tcW w:w="3789" w:type="dxa"/>
            <w:tcBorders>
              <w:top w:val="single" w:sz="4" w:space="0" w:color="000000"/>
              <w:left w:val="single" w:sz="4" w:space="0" w:color="000000"/>
              <w:bottom w:val="single" w:sz="4" w:space="0" w:color="000000"/>
            </w:tcBorders>
            <w:shd w:color="auto" w:fill="auto" w:val="clear"/>
          </w:tcPr>
          <w:p>
            <w:pPr>
              <w:pStyle w:val="HTMLPreformatted"/>
              <w:spacing w:before="0" w:after="0"/>
              <w:contextualSpacing/>
              <w:rPr>
                <w:rFonts w:ascii="Times New Roman" w:hAnsi="Times New Roman" w:cs="Times New Roman"/>
                <w:sz w:val="28"/>
                <w:szCs w:val="28"/>
              </w:rPr>
            </w:pPr>
            <w:r>
              <w:rPr>
                <w:rFonts w:cs="Times New Roman" w:ascii="Times New Roman" w:hAnsi="Times New Roman"/>
                <w:sz w:val="28"/>
                <w:szCs w:val="28"/>
              </w:rPr>
              <w:t>Розробник Програми</w:t>
            </w:r>
          </w:p>
          <w:p>
            <w:pPr>
              <w:pStyle w:val="HTMLPreformatted"/>
              <w:spacing w:before="0" w:after="0"/>
              <w:contextualSpacing/>
              <w:rPr>
                <w:rFonts w:ascii="Times New Roman" w:hAnsi="Times New Roman" w:cs="Times New Roman"/>
                <w:color w:val="000000"/>
                <w:sz w:val="28"/>
                <w:szCs w:val="28"/>
              </w:rPr>
            </w:pPr>
            <w:r>
              <w:rPr>
                <w:rFonts w:cs="Times New Roman" w:ascii="Times New Roman" w:hAnsi="Times New Roman"/>
                <w:color w:val="000000"/>
                <w:sz w:val="28"/>
                <w:szCs w:val="28"/>
              </w:rPr>
              <w:t xml:space="preserve"> </w:t>
            </w:r>
          </w:p>
          <w:p>
            <w:pPr>
              <w:pStyle w:val="HTMLPreformatted"/>
              <w:spacing w:before="0" w:after="0"/>
              <w:contextualSpacing/>
              <w:rPr>
                <w:rFonts w:ascii="Times New Roman" w:hAnsi="Times New Roman" w:cs="Times New Roman"/>
                <w:color w:val="000000"/>
                <w:sz w:val="28"/>
                <w:szCs w:val="28"/>
              </w:rPr>
            </w:pPr>
            <w:r>
              <w:rPr>
                <w:rFonts w:cs="Times New Roman" w:ascii="Times New Roman" w:hAnsi="Times New Roman"/>
                <w:color w:val="000000"/>
                <w:sz w:val="28"/>
                <w:szCs w:val="28"/>
              </w:rPr>
              <w:t xml:space="preserve"> </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sz w:val="28"/>
                <w:szCs w:val="28"/>
              </w:rPr>
              <w:t xml:space="preserve">Управління міжнародного співробітництва та проектної діяльності </w:t>
            </w:r>
          </w:p>
        </w:tc>
      </w:tr>
      <w:tr>
        <w:trPr/>
        <w:tc>
          <w:tcPr>
            <w:tcW w:w="853" w:type="dxa"/>
            <w:tcBorders>
              <w:top w:val="single" w:sz="4" w:space="0" w:color="000000"/>
              <w:left w:val="single" w:sz="4" w:space="0" w:color="000000"/>
              <w:bottom w:val="single" w:sz="4" w:space="0" w:color="000000"/>
            </w:tcBorders>
            <w:shd w:color="auto" w:fill="auto" w:val="clear"/>
          </w:tcPr>
          <w:p>
            <w:pPr>
              <w:pStyle w:val="Normal"/>
              <w:spacing w:before="0" w:after="0"/>
              <w:contextualSpacing/>
              <w:jc w:val="center"/>
              <w:rPr>
                <w:rFonts w:ascii="Times New Roman" w:hAnsi="Times New Roman"/>
                <w:sz w:val="28"/>
                <w:szCs w:val="28"/>
              </w:rPr>
            </w:pPr>
            <w:r>
              <w:rPr>
                <w:rFonts w:ascii="Times New Roman" w:hAnsi="Times New Roman"/>
                <w:sz w:val="28"/>
                <w:szCs w:val="28"/>
              </w:rPr>
              <w:t>3.</w:t>
            </w:r>
          </w:p>
        </w:tc>
        <w:tc>
          <w:tcPr>
            <w:tcW w:w="3789"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rFonts w:ascii="Times New Roman" w:hAnsi="Times New Roman"/>
                <w:color w:val="000000"/>
                <w:sz w:val="28"/>
                <w:szCs w:val="28"/>
              </w:rPr>
            </w:pPr>
            <w:r>
              <w:rPr>
                <w:rFonts w:ascii="Times New Roman" w:hAnsi="Times New Roman"/>
                <w:color w:val="000000"/>
                <w:sz w:val="28"/>
                <w:szCs w:val="28"/>
              </w:rPr>
              <w:t>Відповідальний виконавець Програми</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rFonts w:ascii="Times New Roman" w:hAnsi="Times New Roman"/>
                <w:sz w:val="28"/>
                <w:szCs w:val="28"/>
              </w:rPr>
            </w:pPr>
            <w:r>
              <w:rPr>
                <w:rFonts w:ascii="Times New Roman" w:hAnsi="Times New Roman"/>
                <w:sz w:val="28"/>
                <w:szCs w:val="28"/>
              </w:rPr>
              <w:t xml:space="preserve">Управління міжнародного співробітництва та проектної діяльності </w:t>
            </w:r>
          </w:p>
        </w:tc>
      </w:tr>
      <w:tr>
        <w:trPr/>
        <w:tc>
          <w:tcPr>
            <w:tcW w:w="853" w:type="dxa"/>
            <w:tcBorders>
              <w:top w:val="single" w:sz="4" w:space="0" w:color="000000"/>
              <w:left w:val="single" w:sz="4" w:space="0" w:color="000000"/>
              <w:bottom w:val="single" w:sz="4" w:space="0" w:color="000000"/>
            </w:tcBorders>
            <w:shd w:color="auto" w:fill="auto" w:val="clear"/>
          </w:tcPr>
          <w:p>
            <w:pPr>
              <w:pStyle w:val="Normal"/>
              <w:spacing w:before="0" w:after="0"/>
              <w:contextualSpacing/>
              <w:jc w:val="center"/>
              <w:rPr>
                <w:rFonts w:ascii="Times New Roman" w:hAnsi="Times New Roman"/>
                <w:sz w:val="28"/>
                <w:szCs w:val="28"/>
              </w:rPr>
            </w:pPr>
            <w:r>
              <w:rPr>
                <w:rFonts w:ascii="Times New Roman" w:hAnsi="Times New Roman"/>
                <w:sz w:val="28"/>
                <w:szCs w:val="28"/>
              </w:rPr>
              <w:t>4.</w:t>
            </w:r>
          </w:p>
        </w:tc>
        <w:tc>
          <w:tcPr>
            <w:tcW w:w="3789"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rFonts w:ascii="Times New Roman" w:hAnsi="Times New Roman"/>
                <w:sz w:val="28"/>
                <w:szCs w:val="28"/>
              </w:rPr>
            </w:pPr>
            <w:r>
              <w:rPr>
                <w:rFonts w:ascii="Times New Roman" w:hAnsi="Times New Roman"/>
                <w:sz w:val="28"/>
                <w:szCs w:val="28"/>
              </w:rPr>
              <w:t>Учасники Програми</w:t>
            </w:r>
          </w:p>
          <w:p>
            <w:pPr>
              <w:pStyle w:val="HTMLPreformatted"/>
              <w:spacing w:before="0" w:after="0"/>
              <w:contextualSpacing/>
              <w:rPr>
                <w:rFonts w:ascii="Times New Roman" w:hAnsi="Times New Roman" w:cs="Times New Roman"/>
                <w:sz w:val="28"/>
                <w:szCs w:val="28"/>
              </w:rPr>
            </w:pPr>
            <w:r>
              <w:rPr>
                <w:rFonts w:cs="Times New Roman" w:ascii="Times New Roman" w:hAnsi="Times New Roman"/>
                <w:sz w:val="28"/>
                <w:szCs w:val="28"/>
              </w:rPr>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rPr/>
            </w:pPr>
            <w:r>
              <w:rPr>
                <w:rFonts w:ascii="Times New Roman" w:hAnsi="Times New Roman"/>
                <w:color w:val="000000"/>
                <w:sz w:val="28"/>
                <w:szCs w:val="28"/>
              </w:rPr>
              <w:t>Департамент культури, департамент освіти, департамент молоді та спорту, управління інформаційної роботи,</w:t>
            </w:r>
            <w:r>
              <w:rPr>
                <w:rFonts w:ascii="Times New Roman" w:hAnsi="Times New Roman"/>
                <w:sz w:val="28"/>
                <w:szCs w:val="28"/>
              </w:rPr>
              <w:t xml:space="preserve"> господарсько-технічний відділ </w:t>
            </w:r>
          </w:p>
        </w:tc>
      </w:tr>
      <w:tr>
        <w:trPr/>
        <w:tc>
          <w:tcPr>
            <w:tcW w:w="853" w:type="dxa"/>
            <w:tcBorders>
              <w:top w:val="single" w:sz="4" w:space="0" w:color="000000"/>
              <w:left w:val="single" w:sz="4" w:space="0" w:color="000000"/>
              <w:bottom w:val="single" w:sz="4" w:space="0" w:color="000000"/>
            </w:tcBorders>
            <w:shd w:color="auto" w:fill="auto" w:val="clear"/>
          </w:tcPr>
          <w:p>
            <w:pPr>
              <w:pStyle w:val="Normal"/>
              <w:spacing w:before="0" w:after="0"/>
              <w:contextualSpacing/>
              <w:jc w:val="center"/>
              <w:rPr>
                <w:rFonts w:ascii="Times New Roman" w:hAnsi="Times New Roman"/>
                <w:sz w:val="28"/>
                <w:szCs w:val="28"/>
              </w:rPr>
            </w:pPr>
            <w:r>
              <w:rPr>
                <w:rFonts w:ascii="Times New Roman" w:hAnsi="Times New Roman"/>
                <w:sz w:val="28"/>
                <w:szCs w:val="28"/>
              </w:rPr>
              <w:t>5.</w:t>
            </w:r>
          </w:p>
        </w:tc>
        <w:tc>
          <w:tcPr>
            <w:tcW w:w="3789"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rFonts w:ascii="Times New Roman" w:hAnsi="Times New Roman"/>
                <w:sz w:val="28"/>
                <w:szCs w:val="28"/>
              </w:rPr>
            </w:pPr>
            <w:r>
              <w:rPr>
                <w:rFonts w:ascii="Times New Roman" w:hAnsi="Times New Roman"/>
                <w:sz w:val="28"/>
                <w:szCs w:val="28"/>
              </w:rPr>
              <w:t>Термін реалізації Програми</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jc w:val="both"/>
              <w:rPr>
                <w:rFonts w:ascii="Times New Roman" w:hAnsi="Times New Roman"/>
                <w:sz w:val="28"/>
                <w:szCs w:val="28"/>
              </w:rPr>
            </w:pPr>
            <w:r>
              <w:rPr>
                <w:rFonts w:ascii="Times New Roman" w:hAnsi="Times New Roman"/>
                <w:sz w:val="28"/>
                <w:szCs w:val="28"/>
              </w:rPr>
              <w:t>2024–2025 роки</w:t>
            </w:r>
          </w:p>
        </w:tc>
      </w:tr>
      <w:tr>
        <w:trPr>
          <w:trHeight w:val="960" w:hRule="atLeast"/>
        </w:trPr>
        <w:tc>
          <w:tcPr>
            <w:tcW w:w="853" w:type="dxa"/>
            <w:vMerge w:val="restart"/>
            <w:tcBorders>
              <w:top w:val="single" w:sz="4" w:space="0" w:color="000000"/>
              <w:left w:val="single" w:sz="4" w:space="0" w:color="000000"/>
              <w:bottom w:val="single" w:sz="4" w:space="0" w:color="000000"/>
            </w:tcBorders>
            <w:shd w:color="auto" w:fill="auto" w:val="clear"/>
          </w:tcPr>
          <w:p>
            <w:pPr>
              <w:pStyle w:val="Normal"/>
              <w:snapToGrid w:val="false"/>
              <w:spacing w:before="0" w:after="0"/>
              <w:contextualSpacing/>
              <w:jc w:val="center"/>
              <w:rPr>
                <w:rFonts w:ascii="Times New Roman" w:hAnsi="Times New Roman"/>
                <w:sz w:val="28"/>
                <w:szCs w:val="28"/>
              </w:rPr>
            </w:pPr>
            <w:r>
              <w:rPr>
                <w:rFonts w:ascii="Times New Roman" w:hAnsi="Times New Roman"/>
                <w:sz w:val="28"/>
                <w:szCs w:val="28"/>
              </w:rPr>
            </w:r>
          </w:p>
          <w:p>
            <w:pPr>
              <w:pStyle w:val="Normal"/>
              <w:spacing w:before="0" w:after="0"/>
              <w:contextualSpacing/>
              <w:jc w:val="center"/>
              <w:rPr>
                <w:rFonts w:ascii="Times New Roman" w:hAnsi="Times New Roman"/>
                <w:sz w:val="28"/>
                <w:szCs w:val="28"/>
              </w:rPr>
            </w:pPr>
            <w:r>
              <w:rPr>
                <w:rFonts w:ascii="Times New Roman" w:hAnsi="Times New Roman"/>
                <w:sz w:val="28"/>
                <w:szCs w:val="28"/>
              </w:rPr>
              <w:t>6.</w:t>
            </w:r>
          </w:p>
        </w:tc>
        <w:tc>
          <w:tcPr>
            <w:tcW w:w="3789"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rFonts w:ascii="Times New Roman" w:hAnsi="Times New Roman"/>
                <w:sz w:val="28"/>
                <w:szCs w:val="28"/>
              </w:rPr>
            </w:pPr>
            <w:r>
              <w:rPr>
                <w:rFonts w:ascii="Times New Roman" w:hAnsi="Times New Roman"/>
                <w:sz w:val="28"/>
                <w:szCs w:val="28"/>
              </w:rPr>
              <w:t>Загальний обсяг фінансових ресурсів, необхідних для реалізації Програми, всього:</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before="0" w:after="0"/>
              <w:contextualSpacing/>
              <w:jc w:val="both"/>
              <w:rPr>
                <w:rFonts w:ascii="Times New Roman" w:hAnsi="Times New Roman"/>
                <w:i/>
                <w:i/>
                <w:sz w:val="28"/>
                <w:szCs w:val="28"/>
              </w:rPr>
            </w:pPr>
            <w:r>
              <w:rPr>
                <w:rFonts w:ascii="Times New Roman" w:hAnsi="Times New Roman"/>
                <w:i/>
                <w:sz w:val="28"/>
                <w:szCs w:val="28"/>
              </w:rPr>
            </w:r>
          </w:p>
          <w:p>
            <w:pPr>
              <w:pStyle w:val="Normal"/>
              <w:spacing w:before="0" w:after="0"/>
              <w:contextualSpacing/>
              <w:jc w:val="both"/>
              <w:rPr>
                <w:rFonts w:ascii="Times New Roman" w:hAnsi="Times New Roman"/>
                <w:i/>
                <w:i/>
                <w:sz w:val="28"/>
                <w:szCs w:val="28"/>
              </w:rPr>
            </w:pPr>
            <w:r>
              <w:rPr>
                <w:rFonts w:ascii="Times New Roman" w:hAnsi="Times New Roman"/>
                <w:i/>
                <w:sz w:val="28"/>
                <w:szCs w:val="28"/>
              </w:rPr>
            </w:r>
          </w:p>
          <w:p>
            <w:pPr>
              <w:pStyle w:val="Normal"/>
              <w:spacing w:before="0" w:after="0"/>
              <w:contextualSpacing/>
              <w:jc w:val="both"/>
              <w:rPr>
                <w:rFonts w:ascii="Times New Roman" w:hAnsi="Times New Roman"/>
              </w:rPr>
            </w:pPr>
            <w:r>
              <w:rPr>
                <w:rFonts w:ascii="Times New Roman" w:hAnsi="Times New Roman"/>
                <w:color w:val="000000"/>
                <w:sz w:val="28"/>
                <w:szCs w:val="28"/>
              </w:rPr>
              <w:t>2 840,0</w:t>
            </w:r>
            <w:r>
              <w:rPr>
                <w:rFonts w:ascii="Times New Roman" w:hAnsi="Times New Roman"/>
                <w:sz w:val="28"/>
                <w:szCs w:val="28"/>
              </w:rPr>
              <w:t xml:space="preserve"> тис. грн</w:t>
            </w:r>
          </w:p>
        </w:tc>
      </w:tr>
      <w:tr>
        <w:trPr>
          <w:trHeight w:val="315" w:hRule="atLeast"/>
        </w:trPr>
        <w:tc>
          <w:tcPr>
            <w:tcW w:w="853" w:type="dxa"/>
            <w:vMerge w:val="continue"/>
            <w:tcBorders>
              <w:top w:val="single" w:sz="4" w:space="0" w:color="000000"/>
              <w:left w:val="single" w:sz="4" w:space="0" w:color="000000"/>
              <w:bottom w:val="single" w:sz="4" w:space="0" w:color="000000"/>
            </w:tcBorders>
            <w:shd w:color="auto" w:fill="auto" w:val="clear"/>
          </w:tcPr>
          <w:p>
            <w:pPr>
              <w:pStyle w:val="Normal"/>
              <w:snapToGrid w:val="false"/>
              <w:spacing w:before="0" w:after="0"/>
              <w:contextualSpacing/>
              <w:jc w:val="center"/>
              <w:rPr>
                <w:rFonts w:ascii="Times New Roman" w:hAnsi="Times New Roman"/>
                <w:sz w:val="28"/>
                <w:szCs w:val="28"/>
              </w:rPr>
            </w:pPr>
            <w:r>
              <w:rPr>
                <w:rFonts w:ascii="Times New Roman" w:hAnsi="Times New Roman"/>
                <w:sz w:val="28"/>
                <w:szCs w:val="28"/>
              </w:rPr>
            </w:r>
          </w:p>
        </w:tc>
        <w:tc>
          <w:tcPr>
            <w:tcW w:w="8537"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jc w:val="both"/>
              <w:rPr>
                <w:rFonts w:ascii="Times New Roman" w:hAnsi="Times New Roman"/>
                <w:sz w:val="28"/>
                <w:szCs w:val="28"/>
              </w:rPr>
            </w:pPr>
            <w:r>
              <w:rPr>
                <w:rFonts w:ascii="Times New Roman" w:hAnsi="Times New Roman"/>
                <w:sz w:val="28"/>
                <w:szCs w:val="28"/>
              </w:rPr>
              <w:t>у тому числі:</w:t>
            </w:r>
          </w:p>
        </w:tc>
      </w:tr>
      <w:tr>
        <w:trPr>
          <w:trHeight w:val="330" w:hRule="atLeast"/>
        </w:trPr>
        <w:tc>
          <w:tcPr>
            <w:tcW w:w="853" w:type="dxa"/>
            <w:tcBorders>
              <w:top w:val="single" w:sz="4" w:space="0" w:color="000000"/>
              <w:left w:val="single" w:sz="4" w:space="0" w:color="000000"/>
              <w:bottom w:val="single" w:sz="4" w:space="0" w:color="000000"/>
            </w:tcBorders>
            <w:shd w:color="auto" w:fill="auto" w:val="clear"/>
          </w:tcPr>
          <w:p>
            <w:pPr>
              <w:pStyle w:val="Normal"/>
              <w:snapToGrid w:val="false"/>
              <w:spacing w:before="0" w:after="0"/>
              <w:contextualSpacing/>
              <w:jc w:val="center"/>
              <w:rPr>
                <w:rFonts w:ascii="Times New Roman" w:hAnsi="Times New Roman"/>
                <w:sz w:val="28"/>
                <w:szCs w:val="28"/>
              </w:rPr>
            </w:pPr>
            <w:r>
              <w:rPr>
                <w:rFonts w:ascii="Times New Roman" w:hAnsi="Times New Roman"/>
                <w:sz w:val="28"/>
                <w:szCs w:val="28"/>
              </w:rPr>
              <w:t>6.1.</w:t>
            </w:r>
          </w:p>
        </w:tc>
        <w:tc>
          <w:tcPr>
            <w:tcW w:w="3789" w:type="dxa"/>
            <w:tcBorders>
              <w:top w:val="single" w:sz="4" w:space="0" w:color="000000"/>
              <w:left w:val="single" w:sz="4" w:space="0" w:color="000000"/>
              <w:bottom w:val="single" w:sz="4" w:space="0" w:color="000000"/>
            </w:tcBorders>
            <w:shd w:color="auto" w:fill="auto" w:val="clear"/>
          </w:tcPr>
          <w:p>
            <w:pPr>
              <w:pStyle w:val="Normal"/>
              <w:spacing w:before="0" w:after="0"/>
              <w:contextualSpacing/>
              <w:rPr>
                <w:rFonts w:ascii="Times New Roman" w:hAnsi="Times New Roman"/>
                <w:sz w:val="28"/>
                <w:szCs w:val="28"/>
              </w:rPr>
            </w:pPr>
            <w:r>
              <w:rPr>
                <w:rFonts w:ascii="Times New Roman" w:hAnsi="Times New Roman"/>
                <w:sz w:val="28"/>
                <w:szCs w:val="28"/>
              </w:rPr>
              <w:t>коштів бюджету міської територіальної громади</w:t>
            </w:r>
          </w:p>
        </w:tc>
        <w:tc>
          <w:tcPr>
            <w:tcW w:w="474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contextualSpacing/>
              <w:jc w:val="both"/>
              <w:rPr>
                <w:rFonts w:ascii="Times New Roman" w:hAnsi="Times New Roman"/>
                <w:color w:val="000000"/>
                <w:sz w:val="28"/>
                <w:szCs w:val="28"/>
              </w:rPr>
            </w:pPr>
            <w:r>
              <w:rPr>
                <w:rFonts w:ascii="Times New Roman" w:hAnsi="Times New Roman"/>
                <w:color w:val="000000"/>
                <w:sz w:val="28"/>
                <w:szCs w:val="28"/>
              </w:rPr>
            </w:r>
          </w:p>
          <w:p>
            <w:pPr>
              <w:pStyle w:val="Normal"/>
              <w:spacing w:before="0" w:after="0"/>
              <w:contextualSpacing/>
              <w:jc w:val="both"/>
              <w:rPr>
                <w:rFonts w:ascii="Times New Roman" w:hAnsi="Times New Roman"/>
              </w:rPr>
            </w:pPr>
            <w:r>
              <w:rPr>
                <w:rFonts w:ascii="Times New Roman" w:hAnsi="Times New Roman"/>
                <w:color w:val="000000"/>
                <w:sz w:val="28"/>
                <w:szCs w:val="28"/>
              </w:rPr>
              <w:t>2 840,0</w:t>
            </w:r>
            <w:r>
              <w:rPr>
                <w:rFonts w:ascii="Times New Roman" w:hAnsi="Times New Roman"/>
                <w:sz w:val="28"/>
                <w:szCs w:val="28"/>
              </w:rPr>
              <w:t xml:space="preserve"> тис. грн</w:t>
            </w:r>
          </w:p>
        </w:tc>
      </w:tr>
    </w:tbl>
    <w:p>
      <w:pPr>
        <w:sectPr>
          <w:type w:val="nextPage"/>
          <w:pgSz w:w="11906" w:h="16838"/>
          <w:pgMar w:left="1984" w:right="567" w:header="0" w:top="567" w:footer="0" w:bottom="1134" w:gutter="0"/>
          <w:pgNumType w:start="1" w:fmt="decimal"/>
          <w:formProt w:val="false"/>
          <w:textDirection w:val="lrTb"/>
          <w:docGrid w:type="default" w:linePitch="100" w:charSpace="0"/>
        </w:sectPr>
      </w:pPr>
    </w:p>
    <w:p>
      <w:pPr>
        <w:pStyle w:val="HTMLPreformatted"/>
        <w:shd w:val="clear" w:color="auto" w:fill="FFFFFF"/>
        <w:tabs>
          <w:tab w:val="left" w:pos="284"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644" w:hanging="0"/>
        <w:contextualSpacing/>
        <w:jc w:val="center"/>
        <w:rPr>
          <w:rFonts w:ascii="Times New Roman" w:hAnsi="Times New Roman" w:cs="Times New Roman"/>
          <w:b/>
          <w:b/>
          <w:sz w:val="28"/>
          <w:szCs w:val="28"/>
        </w:rPr>
      </w:pPr>
      <w:r>
        <w:rPr>
          <w:rFonts w:cs="Times New Roman" w:ascii="Times New Roman" w:hAnsi="Times New Roman"/>
          <w:b/>
          <w:sz w:val="28"/>
          <w:szCs w:val="28"/>
        </w:rPr>
        <w:t>1. Аналіз динаміки змін та поточної ситуації</w:t>
      </w:r>
    </w:p>
    <w:p>
      <w:pPr>
        <w:pStyle w:val="Normal"/>
        <w:spacing w:before="0" w:after="0"/>
        <w:ind w:firstLine="720"/>
        <w:contextualSpacing/>
        <w:jc w:val="both"/>
        <w:rPr>
          <w:rFonts w:ascii="Times New Roman" w:hAnsi="Times New Roman"/>
          <w:sz w:val="28"/>
          <w:szCs w:val="28"/>
        </w:rPr>
      </w:pPr>
      <w:r>
        <w:rPr>
          <w:rFonts w:ascii="Times New Roman" w:hAnsi="Times New Roman"/>
          <w:sz w:val="28"/>
          <w:szCs w:val="28"/>
        </w:rPr>
      </w:r>
    </w:p>
    <w:p>
      <w:pPr>
        <w:pStyle w:val="Normal"/>
        <w:widowControl w:val="false"/>
        <w:spacing w:before="0" w:after="0"/>
        <w:ind w:firstLine="567"/>
        <w:contextualSpacing/>
        <w:jc w:val="both"/>
        <w:rPr>
          <w:rFonts w:ascii="Times New Roman" w:hAnsi="Times New Roman"/>
          <w:sz w:val="28"/>
          <w:szCs w:val="28"/>
        </w:rPr>
      </w:pPr>
      <w:r>
        <w:rPr>
          <w:rFonts w:ascii="Times New Roman" w:hAnsi="Times New Roman"/>
          <w:color w:val="000000"/>
          <w:sz w:val="28"/>
          <w:szCs w:val="28"/>
          <w:lang w:eastAsia="ru-RU"/>
        </w:rPr>
        <w:t>Програма розвитку міжнародного співробітництва Луцької міської територіальної громади та залучення міжнародної технічної допомоги на 20</w:t>
      </w:r>
      <w:r>
        <w:rPr>
          <w:rFonts w:ascii="Times New Roman" w:hAnsi="Times New Roman"/>
          <w:sz w:val="28"/>
          <w:szCs w:val="28"/>
        </w:rPr>
        <w:t>24</w:t>
      </w:r>
      <w:r>
        <w:rPr>
          <w:rFonts w:ascii="Times New Roman" w:hAnsi="Times New Roman"/>
          <w:color w:val="000000"/>
          <w:sz w:val="28"/>
          <w:szCs w:val="28"/>
          <w:lang w:eastAsia="ru-RU"/>
        </w:rPr>
        <w:t xml:space="preserve">–2025 роки розроблена управлінням міжнародного співробітництва та проектної діяльності </w:t>
      </w:r>
      <w:r>
        <w:rPr>
          <w:rFonts w:ascii="Times New Roman" w:hAnsi="Times New Roman"/>
          <w:sz w:val="28"/>
          <w:szCs w:val="28"/>
        </w:rPr>
        <w:t>відповідно до</w:t>
      </w:r>
      <w:r>
        <w:rPr>
          <w:rFonts w:ascii="Times New Roman" w:hAnsi="Times New Roman"/>
          <w:color w:val="000000"/>
          <w:sz w:val="28"/>
          <w:szCs w:val="28"/>
          <w:lang w:eastAsia="ru-RU"/>
        </w:rPr>
        <w:t xml:space="preserve"> таких нормативних документів: законів України «Про місцеве самоврядування в Україні», «Про транскордонне співробітництво», Указу Президента України «Про День Європи»</w:t>
      </w:r>
      <w:r>
        <w:rPr>
          <w:rFonts w:ascii="Times New Roman" w:hAnsi="Times New Roman"/>
          <w:color w:val="000000"/>
          <w:sz w:val="28"/>
          <w:szCs w:val="28"/>
          <w:shd w:fill="FFFFFF" w:val="clear"/>
          <w:lang w:eastAsia="ru-RU"/>
        </w:rPr>
        <w:t xml:space="preserve"> від 08.09.2023 № 266/2023, </w:t>
      </w:r>
      <w:r>
        <w:rPr>
          <w:rFonts w:ascii="Times New Roman" w:hAnsi="Times New Roman"/>
          <w:color w:val="000000"/>
          <w:sz w:val="28"/>
          <w:szCs w:val="28"/>
          <w:lang w:eastAsia="ru-RU"/>
        </w:rPr>
        <w:t>Європейської рамкової</w:t>
      </w:r>
      <w:r>
        <w:rPr>
          <w:rFonts w:ascii="Times New Roman" w:hAnsi="Times New Roman"/>
          <w:sz w:val="28"/>
          <w:szCs w:val="28"/>
        </w:rPr>
        <w:t xml:space="preserve"> </w:t>
      </w:r>
      <w:r>
        <w:rPr>
          <w:rFonts w:ascii="Times New Roman" w:hAnsi="Times New Roman"/>
          <w:color w:val="000000"/>
          <w:sz w:val="28"/>
          <w:szCs w:val="28"/>
          <w:lang w:eastAsia="ru-RU"/>
        </w:rPr>
        <w:t xml:space="preserve">конвенції про </w:t>
      </w:r>
      <w:r>
        <w:rPr>
          <w:rFonts w:ascii="Times New Roman" w:hAnsi="Times New Roman"/>
          <w:color w:val="000000"/>
          <w:sz w:val="28"/>
          <w:szCs w:val="28"/>
          <w:shd w:fill="FFFFFF" w:val="clear"/>
          <w:lang w:eastAsia="ru-RU"/>
        </w:rPr>
        <w:t>транскордонне</w:t>
      </w:r>
      <w:r>
        <w:rPr>
          <w:rFonts w:ascii="Times New Roman" w:hAnsi="Times New Roman"/>
          <w:color w:val="000000"/>
          <w:sz w:val="28"/>
          <w:szCs w:val="28"/>
          <w:lang w:eastAsia="ru-RU"/>
        </w:rPr>
        <w:t xml:space="preserve"> співробітництво між територіальними общинами або властями (постанова Верховної Ради України від 14.07.1993 № 3384-12 «Про приєднання України до Європейської рамкової конвенції про транскордонне співробітництво між територіальними общинами або властями»), Угоди про асоціацію між Україною та Європейським Союзом.</w:t>
      </w:r>
    </w:p>
    <w:p>
      <w:pPr>
        <w:pStyle w:val="Normal"/>
        <w:widowControl w:val="false"/>
        <w:spacing w:before="0" w:after="0"/>
        <w:ind w:firstLine="567"/>
        <w:contextualSpacing/>
        <w:jc w:val="both"/>
        <w:rPr>
          <w:rFonts w:ascii="Times New Roman" w:hAnsi="Times New Roman"/>
          <w:sz w:val="28"/>
          <w:szCs w:val="28"/>
        </w:rPr>
      </w:pPr>
      <w:r>
        <w:rPr>
          <w:rFonts w:ascii="Times New Roman" w:hAnsi="Times New Roman"/>
          <w:sz w:val="28"/>
          <w:szCs w:val="28"/>
          <w:lang w:eastAsia="ru-RU"/>
        </w:rPr>
        <w:t xml:space="preserve">Міжнародне співробітництво є одним із ефективних інструментів поглиблення взаємодії його учасників, що сприяє спільному вирішенню завдань місцевого та регіонального розвитку, а також реалізації євроінтеграційних заходів. </w:t>
      </w:r>
    </w:p>
    <w:p>
      <w:pPr>
        <w:pStyle w:val="Normal"/>
        <w:widowControl w:val="false"/>
        <w:spacing w:before="0" w:after="0"/>
        <w:ind w:firstLine="567"/>
        <w:contextualSpacing/>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Луцьк має встановлені побратимські зв’язки з 19 містами та регіонами в 10 країнах світу. Зокрема, це сім міст-партнерів у Республіці Польща: Люблін, Ольштин, Жешув, Замость, Торунь, Білосток, Хелм; 12 побратимів в інших країнах: край Ліппе, місто Швайнфурт (ФРН), Тракайський район, Таурагський район, місто Каунас (Литовська Республіка), Бандирма (Турецька Республіка), Сянтань (Китайська Народна Республіка), Горі (Грузія), Кійов (Чехія), Світ (Словацька Республіка), Патра (Греція), Алба Юлія (Румунія). </w:t>
      </w:r>
    </w:p>
    <w:p>
      <w:pPr>
        <w:pStyle w:val="Normal"/>
        <w:widowControl w:val="false"/>
        <w:spacing w:before="0" w:after="0"/>
        <w:ind w:firstLine="567"/>
        <w:contextualSpacing/>
        <w:jc w:val="both"/>
        <w:rPr/>
      </w:pPr>
      <w:r>
        <w:rPr>
          <w:rFonts w:ascii="Times New Roman" w:hAnsi="Times New Roman"/>
          <w:color w:val="000000"/>
          <w:sz w:val="28"/>
          <w:szCs w:val="28"/>
          <w:lang w:eastAsia="ru-RU"/>
        </w:rPr>
        <w:t xml:space="preserve">В межах укладених угод зазвичай відбувається обмін делегаціями з метою перейняття досвіду та кращих практик розвитку громад, що проявляється у навчальних візитах, участі в міжнародних спортивних, культурних, економічних заходах, реалізації спільних проєктів міжнародної технічної допомоги (грантових проєктів). Окрім цього, відбуваються візити офіційних делегацій з нагоди державних та локальних визначних подій. </w:t>
      </w:r>
    </w:p>
    <w:p>
      <w:pPr>
        <w:pStyle w:val="Normal"/>
        <w:widowControl w:val="false"/>
        <w:spacing w:before="0" w:after="0"/>
        <w:ind w:firstLine="567"/>
        <w:contextualSpacing/>
        <w:jc w:val="both"/>
        <w:rPr>
          <w:rFonts w:ascii="Times New Roman" w:hAnsi="Times New Roman"/>
          <w:sz w:val="28"/>
          <w:szCs w:val="28"/>
        </w:rPr>
      </w:pPr>
      <w:r>
        <w:rPr>
          <w:rFonts w:ascii="Times New Roman" w:hAnsi="Times New Roman"/>
          <w:color w:val="000000"/>
          <w:sz w:val="28"/>
          <w:szCs w:val="28"/>
          <w:lang w:eastAsia="ru-RU"/>
        </w:rPr>
        <w:t xml:space="preserve">Луцька міська рада тісно співпрацює з іноземними дипломатичними представництвами в Україні. Про інтерес до міста з боку іноземних держав та міжнародних структур свідчать візити надзвичайних і повноважних послів, консулів та представників міжнародних організацій. </w:t>
      </w:r>
      <w:r>
        <w:rPr>
          <w:rFonts w:ascii="Times New Roman" w:hAnsi="Times New Roman"/>
          <w:color w:val="000000"/>
          <w:sz w:val="28"/>
          <w:szCs w:val="28"/>
          <w:highlight w:val="red"/>
          <w:lang w:eastAsia="ru-RU"/>
        </w:rPr>
        <w:t xml:space="preserve"> </w:t>
      </w:r>
    </w:p>
    <w:p>
      <w:pPr>
        <w:pStyle w:val="Normal"/>
        <w:spacing w:before="0" w:after="0"/>
        <w:ind w:firstLine="567"/>
        <w:contextualSpacing/>
        <w:jc w:val="both"/>
        <w:rPr>
          <w:rFonts w:ascii="Times New Roman" w:hAnsi="Times New Roman"/>
          <w:sz w:val="28"/>
          <w:szCs w:val="28"/>
        </w:rPr>
      </w:pPr>
      <w:r>
        <w:rPr>
          <w:rFonts w:ascii="Times New Roman" w:hAnsi="Times New Roman"/>
          <w:color w:val="000000"/>
          <w:sz w:val="28"/>
          <w:szCs w:val="28"/>
          <w:lang w:eastAsia="ru-RU"/>
        </w:rPr>
        <w:t>Накопичений досвід роботи у сфері міжнародного співробітництва свідчить про існування таких проблем і потреб, на вирішення яких спрямовані заходи цільової програми:</w:t>
      </w:r>
    </w:p>
    <w:p>
      <w:pPr>
        <w:pStyle w:val="Normal"/>
        <w:spacing w:before="0" w:after="0"/>
        <w:ind w:firstLine="567"/>
        <w:contextualSpacing/>
        <w:jc w:val="both"/>
        <w:rPr>
          <w:rFonts w:ascii="Times New Roman" w:hAnsi="Times New Roman"/>
          <w:sz w:val="28"/>
          <w:szCs w:val="28"/>
        </w:rPr>
      </w:pPr>
      <w:r>
        <w:rPr>
          <w:rFonts w:eastAsia="Times New Roman" w:cs="Times New Roman" w:ascii="Times New Roman" w:hAnsi="Times New Roman"/>
          <w:color w:val="000000"/>
          <w:sz w:val="28"/>
          <w:szCs w:val="28"/>
          <w:lang w:eastAsia="ru-RU" w:bidi="ar-SA"/>
        </w:rPr>
        <w:t>потреба</w:t>
      </w:r>
      <w:r>
        <w:rPr>
          <w:rFonts w:ascii="Times New Roman" w:hAnsi="Times New Roman"/>
          <w:color w:val="000000"/>
          <w:sz w:val="28"/>
          <w:szCs w:val="28"/>
          <w:lang w:eastAsia="ru-RU"/>
        </w:rPr>
        <w:t xml:space="preserve"> підтвердження позитивного іміджу Луцької міської територіальної громади у відносинах з закордонними партнерами та дипломатичними представництвами;</w:t>
      </w:r>
    </w:p>
    <w:p>
      <w:pPr>
        <w:pStyle w:val="Normal"/>
        <w:spacing w:before="0" w:after="0"/>
        <w:ind w:firstLine="567"/>
        <w:contextualSpacing/>
        <w:jc w:val="both"/>
        <w:rPr>
          <w:rFonts w:ascii="Times New Roman" w:hAnsi="Times New Roman"/>
          <w:sz w:val="28"/>
          <w:szCs w:val="28"/>
        </w:rPr>
      </w:pPr>
      <w:r>
        <w:rPr>
          <w:rFonts w:ascii="Times New Roman" w:hAnsi="Times New Roman"/>
          <w:color w:val="000000"/>
          <w:sz w:val="28"/>
          <w:szCs w:val="28"/>
          <w:lang w:eastAsia="ru-RU"/>
        </w:rPr>
        <w:t>недостатній рівень співробітництва та комунікації з окремими закордонними міськими адміністраціями, з якими укладено угоди про співпрацю;</w:t>
      </w:r>
    </w:p>
    <w:p>
      <w:pPr>
        <w:pStyle w:val="Normal"/>
        <w:spacing w:before="0" w:after="0"/>
        <w:ind w:firstLine="567"/>
        <w:contextualSpacing/>
        <w:jc w:val="both"/>
        <w:rPr>
          <w:rFonts w:ascii="Times New Roman" w:hAnsi="Times New Roman"/>
          <w:sz w:val="28"/>
          <w:szCs w:val="28"/>
        </w:rPr>
      </w:pPr>
      <w:r>
        <w:rPr>
          <w:rFonts w:ascii="Times New Roman" w:hAnsi="Times New Roman"/>
          <w:color w:val="000000"/>
          <w:sz w:val="28"/>
          <w:szCs w:val="28"/>
          <w:lang w:eastAsia="ru-RU"/>
        </w:rPr>
        <w:t xml:space="preserve">недостатній рівень поінформованості в громаді про євроінтеграційний курс України, про держави Європейського Союзу, політичні та адміністративні структури ЄС, політику України щодо євроінтеграції; </w:t>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 xml:space="preserve">обмеженість бюджету міської територіальної громади щодо фінансування </w:t>
      </w:r>
      <w:r>
        <w:rPr>
          <w:rFonts w:ascii="Times New Roman" w:hAnsi="Times New Roman"/>
          <w:color w:val="000000"/>
          <w:sz w:val="28"/>
          <w:szCs w:val="28"/>
          <w:lang w:eastAsia="ru-RU"/>
        </w:rPr>
        <w:t xml:space="preserve">заходів з розвитку міжнародного партнерства та </w:t>
      </w:r>
      <w:r>
        <w:rPr>
          <w:rFonts w:ascii="Times New Roman" w:hAnsi="Times New Roman"/>
          <w:sz w:val="28"/>
          <w:szCs w:val="28"/>
        </w:rPr>
        <w:t>спільних з закордонними партнерами ініціатив і проєктів;</w:t>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недостатня поінформованість установ міської територіальної громади про можливості використання міжнародної технічної допомоги як допоміжного інструменту соціально-економічного розвитку та зменшення навантаження на бюджет територіальної громади;</w:t>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низький рівень компетентності виконавчих органів щодо залучення міжнародної та державної допомоги на втілення інноваційних ідей.</w:t>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 xml:space="preserve">Зважаючи на те, що причини, які стримують подальший розвиток транскордонної і міжтериторіальної співпраці, мають комплексний характер, для їх розв’язання розроблено Програму розвитку міжнародного співробітництва Луцької міської територіальної громади та залучення міжнародної технічної допомоги на 2024–2025 роки (далі – Програма). </w:t>
      </w:r>
    </w:p>
    <w:p>
      <w:pPr>
        <w:pStyle w:val="Normal"/>
        <w:spacing w:before="0" w:after="0"/>
        <w:ind w:firstLine="567"/>
        <w:contextualSpacing/>
        <w:jc w:val="both"/>
        <w:rPr/>
      </w:pPr>
      <w:r>
        <w:rPr>
          <w:rFonts w:ascii="Times New Roman" w:hAnsi="Times New Roman"/>
          <w:sz w:val="28"/>
          <w:szCs w:val="28"/>
        </w:rPr>
        <w:t>Основою Програми буде система заходів, виконання яких створить сприятливі умови для поглиблення міжнародного співробітництва (в тому числі транскордонного та міжтериторіального), реалізації євроінтеграційної політики на рівні міської територіальної громади, залучення коштів міжнародної технічної допомоги у розвиток громади.</w:t>
      </w:r>
    </w:p>
    <w:p>
      <w:pPr>
        <w:pStyle w:val="Normal"/>
        <w:spacing w:before="0" w:after="0"/>
        <w:ind w:firstLine="567"/>
        <w:contextualSpacing/>
        <w:jc w:val="both"/>
        <w:rPr>
          <w:rFonts w:cs="Times New Roman"/>
          <w:b/>
          <w:b/>
        </w:rPr>
      </w:pPr>
      <w:r>
        <w:rPr>
          <w:rFonts w:cs="Times New Roman"/>
          <w:b/>
        </w:rPr>
      </w:r>
    </w:p>
    <w:p>
      <w:pPr>
        <w:pStyle w:val="Normal"/>
        <w:spacing w:before="0" w:after="0"/>
        <w:contextualSpacing/>
        <w:jc w:val="center"/>
        <w:rPr>
          <w:rFonts w:ascii="Times New Roman" w:hAnsi="Times New Roman"/>
          <w:sz w:val="28"/>
          <w:szCs w:val="28"/>
        </w:rPr>
      </w:pPr>
      <w:r>
        <w:rPr>
          <w:rFonts w:cs="Times New Roman" w:ascii="Times New Roman" w:hAnsi="Times New Roman"/>
          <w:b/>
          <w:sz w:val="28"/>
          <w:szCs w:val="28"/>
        </w:rPr>
        <w:t>2. Визначення мети Програми</w:t>
      </w:r>
    </w:p>
    <w:p>
      <w:pPr>
        <w:pStyle w:val="HTMLPreformatted"/>
        <w:shd w:val="clear" w:color="auto" w:fill="FFFFFF"/>
        <w:tabs>
          <w:tab w:val="clear" w:pos="916"/>
          <w:tab w:val="clear" w:pos="2748"/>
          <w:tab w:val="clear" w:pos="3664"/>
          <w:tab w:val="left" w:pos="345" w:leader="none"/>
          <w:tab w:val="left" w:pos="1832" w:leader="none"/>
          <w:tab w:val="left" w:pos="2835" w:leader="none"/>
          <w:tab w:val="left" w:pos="2895" w:leader="none"/>
          <w:tab w:val="left" w:pos="2977"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left="340" w:hanging="0"/>
        <w:contextualSpacing/>
        <w:rPr>
          <w:rFonts w:ascii="Times New Roman" w:hAnsi="Times New Roman" w:cs="Times New Roman"/>
          <w:sz w:val="28"/>
          <w:szCs w:val="28"/>
        </w:rPr>
      </w:pPr>
      <w:r>
        <w:rPr>
          <w:rFonts w:cs="Times New Roman" w:ascii="Times New Roman" w:hAnsi="Times New Roman"/>
          <w:sz w:val="28"/>
          <w:szCs w:val="28"/>
        </w:rPr>
      </w:r>
    </w:p>
    <w:p>
      <w:pPr>
        <w:pStyle w:val="Normal"/>
        <w:tabs>
          <w:tab w:val="clear" w:pos="709"/>
          <w:tab w:val="left" w:pos="900" w:leader="none"/>
        </w:tabs>
        <w:spacing w:before="0" w:after="0"/>
        <w:ind w:firstLine="567"/>
        <w:contextualSpacing/>
        <w:jc w:val="both"/>
        <w:rPr/>
      </w:pPr>
      <w:r>
        <w:rPr>
          <w:rFonts w:ascii="Times New Roman" w:hAnsi="Times New Roman"/>
          <w:sz w:val="28"/>
          <w:szCs w:val="28"/>
        </w:rPr>
        <w:t>Метою Програми є забезпечення реалізації в Луцькій міській територіальній громаді державної політики у сфері міжнародного співробітництва та взаємодії з міжнародними організаціями і фінансовими інституціями в межах міжнародної технічної допомоги, а також підвищення конкурентоспроможності Луцької міської територіальної громади шляхом активізації та розвитку міжнародного співробітництва, сприяння встановленню і поглибленню економічних, соціальних, наукових, технологічних, екологічних, культурних, туристичних та інших відносин між суб’єктами таких відносин Луцької міської територіальної громади та інших держав.</w:t>
      </w:r>
    </w:p>
    <w:p>
      <w:pPr>
        <w:pStyle w:val="Normal"/>
        <w:tabs>
          <w:tab w:val="clear" w:pos="709"/>
          <w:tab w:val="left" w:pos="900" w:leader="none"/>
        </w:tabs>
        <w:spacing w:before="0" w:after="0"/>
        <w:contextualSpacing/>
        <w:jc w:val="both"/>
        <w:rPr>
          <w:rFonts w:cs="Times New Roman"/>
          <w:b/>
          <w:b/>
        </w:rPr>
      </w:pPr>
      <w:r>
        <w:rPr>
          <w:rFonts w:cs="Times New Roman"/>
          <w:b/>
        </w:rPr>
      </w:r>
    </w:p>
    <w:p>
      <w:pPr>
        <w:pStyle w:val="Normal"/>
        <w:tabs>
          <w:tab w:val="clear" w:pos="709"/>
          <w:tab w:val="left" w:pos="900" w:leader="none"/>
        </w:tabs>
        <w:spacing w:before="0" w:after="0"/>
        <w:contextualSpacing/>
        <w:jc w:val="center"/>
        <w:rPr>
          <w:rFonts w:ascii="Times New Roman" w:hAnsi="Times New Roman"/>
          <w:sz w:val="28"/>
          <w:szCs w:val="28"/>
        </w:rPr>
      </w:pPr>
      <w:r>
        <w:rPr>
          <w:rFonts w:cs="Times New Roman" w:ascii="Times New Roman" w:hAnsi="Times New Roman"/>
          <w:b/>
          <w:sz w:val="28"/>
          <w:szCs w:val="28"/>
        </w:rPr>
        <w:t>3. Засоби розв’язання проблеми</w:t>
      </w:r>
    </w:p>
    <w:p>
      <w:pPr>
        <w:pStyle w:val="HTMLPreformatted"/>
        <w:shd w:val="clear" w:color="auto" w:fill="FFFFFF"/>
        <w:spacing w:before="0" w:after="0"/>
        <w:contextualSpacing/>
        <w:jc w:val="center"/>
        <w:rPr>
          <w:rFonts w:ascii="Times New Roman" w:hAnsi="Times New Roman" w:cs="Times New Roman"/>
          <w:b/>
          <w:b/>
          <w:sz w:val="28"/>
          <w:szCs w:val="28"/>
        </w:rPr>
      </w:pPr>
      <w:r>
        <w:rPr>
          <w:rFonts w:cs="Times New Roman" w:ascii="Times New Roman" w:hAnsi="Times New Roman"/>
          <w:b/>
          <w:sz w:val="28"/>
          <w:szCs w:val="28"/>
        </w:rPr>
      </w:r>
    </w:p>
    <w:p>
      <w:pPr>
        <w:pStyle w:val="Normal"/>
        <w:tabs>
          <w:tab w:val="clear" w:pos="709"/>
          <w:tab w:val="left" w:pos="360" w:leader="none"/>
          <w:tab w:val="left" w:pos="900" w:leader="none"/>
        </w:tabs>
        <w:spacing w:before="0" w:after="0"/>
        <w:ind w:firstLine="567"/>
        <w:contextualSpacing/>
        <w:jc w:val="both"/>
        <w:rPr>
          <w:rFonts w:ascii="Times New Roman" w:hAnsi="Times New Roman"/>
          <w:sz w:val="28"/>
          <w:szCs w:val="28"/>
        </w:rPr>
      </w:pPr>
      <w:r>
        <w:rPr>
          <w:rFonts w:ascii="Times New Roman" w:hAnsi="Times New Roman"/>
          <w:sz w:val="28"/>
          <w:szCs w:val="28"/>
        </w:rPr>
        <w:t>Для розвитку міжнародної співпраці, підтвердження та зміцнення позитивного іміджу Луцької міської територіальної громади у відносинах з закордонними партнерами та дипломатичними представництвами, необхідне постійне офіційне представлення громади у міжнародних відносинах з закордонними містами та регіонами, дипломатичними установами. Традиційним обов’язковим механізмом для цього вважаються візити офіційних делегацій від Луцької міської територіальної громади до партнерських міст за кордон, відвідання знакових заходів, які організовують посольства та консульства іноземних держав в Україні. Також для поглиблення партнерства відбуваються прийоми іноземних делегацій в Луцьку, в тому числі й під час іміджевих заходів міжнародного характеру: конференцій, форумів, круглих столів, навчань, інших знакових подій. Комплексне формування іміджу міста включає також наявність промоційної сувенірної продукції, яку прийнято вручати почесним гостям під час офіційних прийомів, а також передавати приймаючій стороні під час візитів за кордон. Програмою передбачені заходи з розвитку міжнародного співробітництва та видатки на них.</w:t>
      </w:r>
    </w:p>
    <w:p>
      <w:pPr>
        <w:pStyle w:val="Normal"/>
        <w:tabs>
          <w:tab w:val="clear" w:pos="709"/>
          <w:tab w:val="left" w:pos="360" w:leader="none"/>
          <w:tab w:val="left" w:pos="900" w:leader="none"/>
        </w:tabs>
        <w:spacing w:before="0" w:after="0"/>
        <w:ind w:firstLine="567"/>
        <w:contextualSpacing/>
        <w:jc w:val="both"/>
        <w:rPr>
          <w:rFonts w:ascii="Times New Roman" w:hAnsi="Times New Roman"/>
          <w:sz w:val="28"/>
          <w:szCs w:val="28"/>
        </w:rPr>
      </w:pPr>
      <w:r>
        <w:rPr>
          <w:rFonts w:ascii="Times New Roman" w:hAnsi="Times New Roman"/>
          <w:sz w:val="28"/>
          <w:szCs w:val="28"/>
        </w:rPr>
        <w:t>У 2024-2025 роках передбачається робота з іноземними партнерами  (комунікація, оформлення документів) щодо надання гуманітарної допомоги для потреб Луцької громади, військових і постраждалих від воєнних дій.</w:t>
      </w:r>
    </w:p>
    <w:p>
      <w:pPr>
        <w:pStyle w:val="Normal"/>
        <w:tabs>
          <w:tab w:val="clear" w:pos="709"/>
          <w:tab w:val="left" w:pos="360" w:leader="none"/>
          <w:tab w:val="left" w:pos="900" w:leader="none"/>
        </w:tabs>
        <w:spacing w:before="0" w:after="0"/>
        <w:ind w:firstLine="567"/>
        <w:contextualSpacing/>
        <w:jc w:val="both"/>
        <w:rPr/>
      </w:pPr>
      <w:r>
        <w:rPr>
          <w:rFonts w:ascii="Times New Roman" w:hAnsi="Times New Roman"/>
          <w:sz w:val="28"/>
          <w:szCs w:val="28"/>
        </w:rPr>
        <w:t xml:space="preserve">Враховуючи стратегічний курс України на європейську інтеграцію та на виконання Указу Президента України </w:t>
      </w:r>
      <w:r>
        <w:rPr>
          <w:rFonts w:ascii="Times New Roman" w:hAnsi="Times New Roman"/>
          <w:color w:val="000000"/>
          <w:sz w:val="28"/>
          <w:szCs w:val="28"/>
          <w:lang w:eastAsia="ru-RU"/>
        </w:rPr>
        <w:t>від 08.09.2023 № 266/2023</w:t>
      </w:r>
      <w:r>
        <w:rPr>
          <w:rFonts w:ascii="Times New Roman" w:hAnsi="Times New Roman"/>
          <w:sz w:val="28"/>
          <w:szCs w:val="28"/>
        </w:rPr>
        <w:t xml:space="preserve"> буде проведено заходи з нагоди Дня Європи інформаційно-просвітницького характеру. Також заплановано участь делегацій і представників Луцької міської територіальної громади у заходах на тему європейської інтеграції, міжнародного та транскордонного співробітництва в онлайн чи офлайн форматах.</w:t>
      </w:r>
    </w:p>
    <w:p>
      <w:pPr>
        <w:pStyle w:val="Normal"/>
        <w:tabs>
          <w:tab w:val="clear" w:pos="709"/>
          <w:tab w:val="left" w:pos="360" w:leader="none"/>
          <w:tab w:val="left" w:pos="900" w:leader="none"/>
        </w:tabs>
        <w:spacing w:before="0" w:after="0"/>
        <w:ind w:firstLine="567"/>
        <w:contextualSpacing/>
        <w:jc w:val="both"/>
        <w:rPr/>
      </w:pPr>
      <w:r>
        <w:rPr>
          <w:rFonts w:ascii="Times New Roman" w:hAnsi="Times New Roman"/>
          <w:sz w:val="28"/>
          <w:szCs w:val="28"/>
        </w:rPr>
        <w:t>На ґрунті перевіреного часом та спільними ініціативами побратимства побудована робота з закордонними партнерами щодо реалізації спільних міжнародних проєктів, що фінансуються з коштів донорських установ. Партнерські проєкти передбачають взаємозалежну відповідальність всіх реципієнтів за вирішення спільних проблем і досягнення єдиної для них мети і цілей. Відповідно передбачена і спільна фінансова відповідальність за освоєння грантових коштів, забезпечення власного співфінансування та чітке прозоре звітування перед донором. В сучасних умовах обмеженого бюджетного фінансування залучення коштів міжнародної технічної допомоги є одним із дієвих інструментів, який використовується для реалізації проєктів, спрямованих на розвиток громади та поглиблення міжтериторіального та транскордонного співробітництва. З цією метою планується надання консультацій для виконавчих органів Луцької міської ради, комунальних підприємств (установ, закладів) міської територіальної громади з питань участі в програмах міжнародної технічної допомоги, зокрема щодо підготовки проєктних заявок, а також розробка проєктів від виконавчого комітету Луцької міської ради. Заплановано також видатки на підвищення кваліфікації працівників з метою розвитку кадрового потенціалу та формування команди ефективних проєктних менеджерів.</w:t>
      </w:r>
    </w:p>
    <w:p>
      <w:pPr>
        <w:pStyle w:val="Normal"/>
        <w:tabs>
          <w:tab w:val="clear" w:pos="709"/>
          <w:tab w:val="left" w:pos="360" w:leader="none"/>
          <w:tab w:val="left" w:pos="900" w:leader="none"/>
        </w:tabs>
        <w:spacing w:before="0" w:after="0"/>
        <w:ind w:firstLine="567"/>
        <w:contextualSpacing/>
        <w:jc w:val="both"/>
        <w:rPr/>
      </w:pPr>
      <w:r>
        <w:rPr>
          <w:rFonts w:ascii="Times New Roman" w:hAnsi="Times New Roman"/>
          <w:sz w:val="28"/>
          <w:szCs w:val="28"/>
        </w:rPr>
        <w:t xml:space="preserve">Протягом 2024–2025 років особлива увага приділятиметься розробці та реалізації проєктів у співпраці з містами-побратимами у Республіці Польща в межах </w:t>
      </w:r>
      <w:r>
        <w:rPr>
          <w:rStyle w:val="Style14"/>
          <w:rFonts w:ascii="Times New Roman" w:hAnsi="Times New Roman"/>
          <w:i w:val="false"/>
          <w:sz w:val="28"/>
          <w:szCs w:val="28"/>
        </w:rPr>
        <w:t xml:space="preserve">Програми Interreg NEXT Польща – Україна 2021-2027 </w:t>
      </w:r>
      <w:r>
        <w:rPr>
          <w:rFonts w:ascii="Times New Roman" w:hAnsi="Times New Roman"/>
          <w:sz w:val="28"/>
          <w:szCs w:val="28"/>
        </w:rPr>
        <w:t>та з партнерами у Федеративній Республіці Німеччина в межах програм, що фінансуються Федеральним міністерством економічного співробітництва та розвитку Німеччини.</w:t>
      </w:r>
    </w:p>
    <w:p>
      <w:pPr>
        <w:pStyle w:val="Normal"/>
        <w:tabs>
          <w:tab w:val="clear" w:pos="709"/>
          <w:tab w:val="left" w:pos="360" w:leader="none"/>
          <w:tab w:val="left" w:pos="900" w:leader="none"/>
        </w:tabs>
        <w:spacing w:before="0" w:after="0"/>
        <w:ind w:firstLine="567"/>
        <w:contextualSpacing/>
        <w:jc w:val="both"/>
        <w:rPr/>
      </w:pPr>
      <w:r>
        <w:rPr>
          <w:rFonts w:ascii="Times New Roman" w:hAnsi="Times New Roman"/>
          <w:sz w:val="28"/>
          <w:szCs w:val="28"/>
        </w:rPr>
        <w:t>До Програми включено співфінансування з бюджету громади малобюджетних проєктів, які потенційно впроваджуватимуться виконавчим комітетом Луцької міської ради. На реалізацію великобюджетних проєктів буде розроблено окремі цільові програми.</w:t>
      </w:r>
    </w:p>
    <w:p>
      <w:pPr>
        <w:pStyle w:val="Normal"/>
        <w:tabs>
          <w:tab w:val="clear" w:pos="709"/>
          <w:tab w:val="left" w:pos="360" w:leader="none"/>
          <w:tab w:val="left" w:pos="900" w:leader="none"/>
        </w:tabs>
        <w:spacing w:before="0" w:after="0"/>
        <w:ind w:firstLine="567"/>
        <w:contextualSpacing/>
        <w:jc w:val="both"/>
        <w:rPr>
          <w:rFonts w:ascii="Times New Roman" w:hAnsi="Times New Roman"/>
          <w:sz w:val="28"/>
          <w:szCs w:val="28"/>
        </w:rPr>
      </w:pPr>
      <w:r>
        <w:rPr>
          <w:rFonts w:ascii="Times New Roman" w:hAnsi="Times New Roman"/>
          <w:color w:val="000000"/>
          <w:sz w:val="28"/>
          <w:szCs w:val="28"/>
        </w:rPr>
        <w:t>Фінансування заходів на виконання Програми здійснюється за рахунок коштів бюджету Луцької міської територіальної громади. В процесі виконання Програми, у випадку затвердження до реалізації проєктів міжнародної технічної допомоги, може бути додано фінансування з інших джерел.</w:t>
      </w:r>
    </w:p>
    <w:p>
      <w:pPr>
        <w:pStyle w:val="Normal"/>
        <w:tabs>
          <w:tab w:val="clear" w:pos="709"/>
          <w:tab w:val="left" w:pos="360" w:leader="none"/>
          <w:tab w:val="left" w:pos="900" w:leader="none"/>
        </w:tabs>
        <w:spacing w:before="0" w:after="0"/>
        <w:ind w:firstLine="567"/>
        <w:contextualSpacing/>
        <w:jc w:val="both"/>
        <w:rPr>
          <w:rFonts w:ascii="Times New Roman" w:hAnsi="Times New Roman"/>
          <w:sz w:val="28"/>
          <w:szCs w:val="28"/>
        </w:rPr>
      </w:pPr>
      <w:r>
        <w:rPr>
          <w:rFonts w:ascii="Times New Roman" w:hAnsi="Times New Roman"/>
          <w:sz w:val="28"/>
          <w:szCs w:val="28"/>
        </w:rPr>
        <w:t>Фінансування заходів, передбачених Програмою, наведене у додатку 1 до Програми.</w:t>
      </w:r>
    </w:p>
    <w:p>
      <w:pPr>
        <w:pStyle w:val="Normal"/>
        <w:tabs>
          <w:tab w:val="clear" w:pos="709"/>
          <w:tab w:val="left" w:pos="360" w:leader="none"/>
          <w:tab w:val="left" w:pos="900" w:leader="none"/>
        </w:tabs>
        <w:spacing w:before="0" w:after="0"/>
        <w:ind w:firstLine="567"/>
        <w:contextualSpacing/>
        <w:jc w:val="both"/>
        <w:rPr>
          <w:rFonts w:ascii="Times New Roman" w:hAnsi="Times New Roman"/>
          <w:sz w:val="28"/>
          <w:szCs w:val="28"/>
        </w:rPr>
      </w:pPr>
      <w:r>
        <w:rPr>
          <w:rFonts w:ascii="Times New Roman" w:hAnsi="Times New Roman"/>
          <w:color w:val="000000"/>
          <w:sz w:val="28"/>
          <w:szCs w:val="28"/>
        </w:rPr>
        <w:t>Програма є короткостроковою та буде реалізовуватись протягом       2024–2025 років. Коригування плану заходів Програми та термінів їх виконання здійснюватиметься за необхідністю.</w:t>
      </w:r>
    </w:p>
    <w:p>
      <w:pPr>
        <w:pStyle w:val="Normal"/>
        <w:tabs>
          <w:tab w:val="clear" w:pos="709"/>
          <w:tab w:val="left" w:pos="360" w:leader="none"/>
          <w:tab w:val="left" w:pos="900" w:leader="none"/>
        </w:tabs>
        <w:spacing w:before="0" w:after="0"/>
        <w:ind w:firstLine="567"/>
        <w:contextualSpacing/>
        <w:jc w:val="both"/>
        <w:rPr>
          <w:rFonts w:cs="Times New Roman"/>
          <w:b/>
          <w:b/>
          <w:color w:val="000000"/>
        </w:rPr>
      </w:pPr>
      <w:r>
        <w:rPr>
          <w:rFonts w:cs="Times New Roman"/>
          <w:b/>
          <w:color w:val="000000"/>
        </w:rPr>
      </w:r>
    </w:p>
    <w:p>
      <w:pPr>
        <w:pStyle w:val="Normal"/>
        <w:tabs>
          <w:tab w:val="clear" w:pos="709"/>
          <w:tab w:val="left" w:pos="360" w:leader="none"/>
          <w:tab w:val="left" w:pos="900" w:leader="none"/>
        </w:tabs>
        <w:spacing w:before="0" w:after="0"/>
        <w:contextualSpacing/>
        <w:jc w:val="center"/>
        <w:rPr>
          <w:rFonts w:ascii="Times New Roman" w:hAnsi="Times New Roman"/>
          <w:sz w:val="28"/>
          <w:szCs w:val="28"/>
        </w:rPr>
      </w:pPr>
      <w:r>
        <w:rPr>
          <w:rFonts w:cs="Times New Roman" w:ascii="Times New Roman" w:hAnsi="Times New Roman"/>
          <w:b/>
          <w:color w:val="000000"/>
          <w:sz w:val="28"/>
          <w:szCs w:val="28"/>
        </w:rPr>
        <w:t>4. Перелік завдань і заходів Програми. Результативні показники</w:t>
      </w:r>
    </w:p>
    <w:p>
      <w:pPr>
        <w:pStyle w:val="HTMLPreformatted"/>
        <w:spacing w:before="0" w:after="0"/>
        <w:ind w:left="644" w:hanging="0"/>
        <w:contextualSpacing/>
        <w:rPr>
          <w:rFonts w:ascii="Times New Roman" w:hAnsi="Times New Roman" w:cs="Times New Roman"/>
          <w:b/>
          <w:b/>
          <w:color w:val="000000"/>
          <w:sz w:val="28"/>
          <w:szCs w:val="28"/>
        </w:rPr>
      </w:pPr>
      <w:r>
        <w:rPr>
          <w:rFonts w:cs="Times New Roman" w:ascii="Times New Roman" w:hAnsi="Times New Roman"/>
          <w:b/>
          <w:color w:val="000000"/>
          <w:sz w:val="28"/>
          <w:szCs w:val="28"/>
        </w:rPr>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 xml:space="preserve">Програма покликана реалізовувати такі </w:t>
      </w:r>
      <w:r>
        <w:rPr>
          <w:rFonts w:ascii="Times New Roman" w:hAnsi="Times New Roman"/>
          <w:sz w:val="28"/>
          <w:szCs w:val="28"/>
          <w:lang w:val="en-US"/>
        </w:rPr>
        <w:t>завдання:</w:t>
      </w:r>
    </w:p>
    <w:p>
      <w:pPr>
        <w:pStyle w:val="Normal"/>
        <w:spacing w:before="0" w:after="0"/>
        <w:ind w:firstLine="567"/>
        <w:contextualSpacing/>
        <w:jc w:val="both"/>
        <w:rPr/>
      </w:pPr>
      <w:r>
        <w:rPr>
          <w:rFonts w:ascii="Times New Roman" w:hAnsi="Times New Roman"/>
          <w:sz w:val="28"/>
          <w:szCs w:val="28"/>
          <w:lang w:val="en-US"/>
        </w:rPr>
        <w:t xml:space="preserve">виконувати </w:t>
      </w:r>
      <w:r>
        <w:rPr>
          <w:rFonts w:ascii="Times New Roman" w:hAnsi="Times New Roman"/>
          <w:sz w:val="28"/>
          <w:szCs w:val="28"/>
        </w:rPr>
        <w:t>положення підписаних угод про побратимство та поглиблювати партнерство з іноземними містами та регіонами;</w:t>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розширювати географію міжнародного співробітництва, налагоджувати контакти з новими закордонними громадами;</w:t>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підтримувати та зміцнювати за кордоном позитивний імідж громади як прогресивної та інноваційної, яка є надійним партнером, відкритим до співпраці;</w:t>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забезпечувати прийоми іноземних делегацій з партнерських та дружніх міст і регіонів, представників дипломатичного корпусу та міжнародних організацій з дотриманням вимог етикету та норм гостинності;</w:t>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розширити та наповнювати мережу міжнародного партнерства між суб’єктами господарювання з території громади та організаціями за кордоном;</w:t>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підвищувати рівень поінформованості громадян про стан та перспективи реалізації євроінтеграційного курсу України;</w:t>
      </w:r>
    </w:p>
    <w:p>
      <w:pPr>
        <w:pStyle w:val="Normal"/>
        <w:spacing w:before="0" w:after="0"/>
        <w:ind w:firstLine="567"/>
        <w:contextualSpacing/>
        <w:jc w:val="both"/>
        <w:rPr/>
      </w:pPr>
      <w:r>
        <w:rPr>
          <w:rFonts w:ascii="Times New Roman" w:hAnsi="Times New Roman"/>
          <w:sz w:val="28"/>
          <w:szCs w:val="28"/>
        </w:rPr>
        <w:t>забезпечувати розробку якісних проєктних заявок для участі у грантових конкурсах, ефективну реалізацію та підтримку результатів грантових проєктів.</w:t>
      </w:r>
    </w:p>
    <w:p>
      <w:pPr>
        <w:pStyle w:val="Normal"/>
        <w:spacing w:before="0" w:after="0"/>
        <w:ind w:firstLine="567"/>
        <w:contextualSpacing/>
        <w:jc w:val="both"/>
        <w:rPr/>
      </w:pPr>
      <w:r>
        <w:rPr>
          <w:rFonts w:ascii="Times New Roman" w:hAnsi="Times New Roman"/>
          <w:sz w:val="28"/>
          <w:szCs w:val="28"/>
        </w:rPr>
        <w:t xml:space="preserve">Перелік завдань і заходів Програми та результативні показники наведено в додатку 2 до Програми. </w:t>
      </w:r>
    </w:p>
    <w:p>
      <w:pPr>
        <w:pStyle w:val="Normal"/>
        <w:spacing w:before="0" w:after="0"/>
        <w:ind w:firstLine="851"/>
        <w:contextualSpacing/>
        <w:jc w:val="both"/>
        <w:rPr>
          <w:rFonts w:ascii="Times New Roman" w:hAnsi="Times New Roman"/>
          <w:sz w:val="28"/>
          <w:szCs w:val="28"/>
        </w:rPr>
      </w:pPr>
      <w:r>
        <w:rPr>
          <w:rFonts w:ascii="Times New Roman" w:hAnsi="Times New Roman"/>
          <w:sz w:val="28"/>
          <w:szCs w:val="28"/>
        </w:rPr>
      </w:r>
    </w:p>
    <w:p>
      <w:pPr>
        <w:pStyle w:val="Normal"/>
        <w:spacing w:before="0" w:after="0"/>
        <w:ind w:left="644" w:hanging="0"/>
        <w:contextualSpacing/>
        <w:jc w:val="center"/>
        <w:rPr>
          <w:rFonts w:ascii="Times New Roman" w:hAnsi="Times New Roman"/>
          <w:b/>
          <w:b/>
          <w:sz w:val="28"/>
          <w:szCs w:val="28"/>
        </w:rPr>
      </w:pPr>
      <w:r>
        <w:rPr>
          <w:rFonts w:ascii="Times New Roman" w:hAnsi="Times New Roman"/>
          <w:b/>
          <w:sz w:val="28"/>
          <w:szCs w:val="28"/>
          <w:lang w:val="en-US"/>
        </w:rPr>
        <w:t>5. </w:t>
      </w:r>
      <w:r>
        <w:rPr>
          <w:rFonts w:ascii="Times New Roman" w:hAnsi="Times New Roman"/>
          <w:b/>
          <w:sz w:val="28"/>
          <w:szCs w:val="28"/>
        </w:rPr>
        <w:t>Координація і контроль за ходом виконання Програми.</w:t>
      </w:r>
    </w:p>
    <w:p>
      <w:pPr>
        <w:pStyle w:val="Normal"/>
        <w:spacing w:before="0" w:after="0"/>
        <w:ind w:left="644" w:hanging="0"/>
        <w:contextualSpacing/>
        <w:jc w:val="center"/>
        <w:rPr>
          <w:rFonts w:ascii="Times New Roman" w:hAnsi="Times New Roman"/>
          <w:b/>
          <w:b/>
          <w:sz w:val="28"/>
          <w:szCs w:val="28"/>
        </w:rPr>
      </w:pPr>
      <w:r>
        <w:rPr>
          <w:rFonts w:ascii="Times New Roman" w:hAnsi="Times New Roman"/>
          <w:b/>
          <w:sz w:val="28"/>
          <w:szCs w:val="28"/>
        </w:rPr>
        <w:t>Звіт про виконання Програми</w:t>
      </w:r>
    </w:p>
    <w:p>
      <w:pPr>
        <w:pStyle w:val="Normal"/>
        <w:spacing w:before="0" w:after="0"/>
        <w:ind w:left="644" w:hanging="0"/>
        <w:contextualSpacing/>
        <w:rPr>
          <w:rFonts w:ascii="Times New Roman" w:hAnsi="Times New Roman"/>
          <w:b/>
          <w:b/>
          <w:sz w:val="28"/>
          <w:szCs w:val="28"/>
        </w:rPr>
      </w:pPr>
      <w:r>
        <w:rPr>
          <w:rFonts w:ascii="Times New Roman" w:hAnsi="Times New Roman"/>
          <w:b/>
          <w:sz w:val="28"/>
          <w:szCs w:val="28"/>
        </w:rPr>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Загальна координація та контроль за ходом виконання Програми покладені на заступника міського голови відповідно до розподілу обов'язків. Відповідальним виконавцем Програми визначено управління міжнародного співробітництва та проектної діяльності.</w:t>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З метою дотримання принципу колегіальності, компетентності та прозорості фінансового забезпечення реалізації Програми, функції щодо здійснення систематичного моніторингу її виконання покладаються на постійну комісію міської ради з питань міжнародного співробітництва, торгівлі, послуг та розвитку підприємництва, інформаційної політики, молоді, спорту та туризму.</w:t>
      </w:r>
    </w:p>
    <w:p>
      <w:pPr>
        <w:pStyle w:val="Normal"/>
        <w:spacing w:before="0" w:after="0"/>
        <w:ind w:firstLine="567"/>
        <w:contextualSpacing/>
        <w:jc w:val="both"/>
        <w:rPr>
          <w:rFonts w:ascii="Times New Roman" w:hAnsi="Times New Roman"/>
          <w:sz w:val="28"/>
          <w:szCs w:val="28"/>
        </w:rPr>
      </w:pPr>
      <w:r>
        <w:rPr>
          <w:rFonts w:ascii="Times New Roman" w:hAnsi="Times New Roman"/>
          <w:sz w:val="28"/>
          <w:szCs w:val="28"/>
        </w:rPr>
        <w:t>Звіт про виконання Програми заслуховується на сесії міської ради після завершення її дії на вимогу депутатів.</w:t>
      </w:r>
    </w:p>
    <w:p>
      <w:pPr>
        <w:pStyle w:val="Normal"/>
        <w:spacing w:before="0" w:after="0"/>
        <w:ind w:firstLine="851"/>
        <w:contextualSpacing/>
        <w:jc w:val="both"/>
        <w:rPr/>
      </w:pPr>
      <w:r>
        <w:rPr/>
      </w:r>
    </w:p>
    <w:p>
      <w:pPr>
        <w:pStyle w:val="Normal"/>
        <w:spacing w:before="0" w:after="0"/>
        <w:ind w:firstLine="851"/>
        <w:contextualSpacing/>
        <w:jc w:val="both"/>
        <w:rPr>
          <w:sz w:val="28"/>
          <w:szCs w:val="28"/>
        </w:rPr>
      </w:pPr>
      <w:r>
        <w:rPr>
          <w:sz w:val="28"/>
          <w:szCs w:val="28"/>
        </w:rPr>
      </w:r>
    </w:p>
    <w:p>
      <w:pPr>
        <w:pStyle w:val="Normal"/>
        <w:spacing w:before="0" w:after="0"/>
        <w:contextualSpacing/>
        <w:jc w:val="both"/>
        <w:rPr>
          <w:rFonts w:ascii="Times New Roman" w:hAnsi="Times New Roman"/>
          <w:sz w:val="28"/>
          <w:szCs w:val="28"/>
          <w:lang w:val="uk-UA"/>
        </w:rPr>
      </w:pPr>
      <w:r>
        <w:rPr>
          <w:rFonts w:ascii="Times New Roman" w:hAnsi="Times New Roman"/>
          <w:sz w:val="28"/>
          <w:szCs w:val="28"/>
          <w:lang w:val="uk-UA"/>
        </w:rPr>
        <w:t>Секретар міської ради</w:t>
        <w:tab/>
        <w:tab/>
        <w:tab/>
        <w:tab/>
        <w:tab/>
        <w:tab/>
        <w:tab/>
        <w:t>Юрій БЕЗПЯТКО</w:t>
      </w:r>
    </w:p>
    <w:p>
      <w:pPr>
        <w:pStyle w:val="Normal"/>
        <w:spacing w:before="0" w:after="0"/>
        <w:contextualSpacing/>
        <w:jc w:val="both"/>
        <w:rPr>
          <w:rFonts w:ascii="Times New Roman" w:hAnsi="Times New Roman"/>
          <w:sz w:val="28"/>
          <w:szCs w:val="28"/>
        </w:rPr>
      </w:pPr>
      <w:r>
        <w:rPr>
          <w:rFonts w:ascii="Times New Roman" w:hAnsi="Times New Roman"/>
          <w:sz w:val="28"/>
          <w:szCs w:val="28"/>
        </w:rPr>
      </w:r>
    </w:p>
    <w:p>
      <w:pPr>
        <w:pStyle w:val="Normal"/>
        <w:spacing w:before="0" w:after="0"/>
        <w:contextualSpacing/>
        <w:jc w:val="both"/>
        <w:rPr>
          <w:rFonts w:ascii="Times New Roman" w:hAnsi="Times New Roman"/>
          <w:sz w:val="28"/>
          <w:szCs w:val="28"/>
        </w:rPr>
      </w:pPr>
      <w:r>
        <w:rPr>
          <w:rFonts w:ascii="Times New Roman" w:hAnsi="Times New Roman"/>
          <w:sz w:val="28"/>
          <w:szCs w:val="28"/>
        </w:rPr>
      </w:r>
    </w:p>
    <w:p>
      <w:pPr>
        <w:pStyle w:val="Normal"/>
        <w:spacing w:before="0" w:after="0"/>
        <w:contextualSpacing/>
        <w:jc w:val="both"/>
        <w:rPr/>
      </w:pPr>
      <w:r>
        <w:rPr>
          <w:rFonts w:ascii="Times New Roman" w:hAnsi="Times New Roman"/>
        </w:rPr>
        <w:t>Вінцюк  777 995</w:t>
      </w:r>
      <w:r>
        <w:br w:type="page"/>
      </w:r>
    </w:p>
    <w:p>
      <w:pPr>
        <w:pStyle w:val="Normal"/>
        <w:ind w:left="4819" w:hanging="0"/>
        <w:jc w:val="both"/>
        <w:rPr>
          <w:rFonts w:ascii="Times New Roman" w:hAnsi="Times New Roman"/>
        </w:rPr>
      </w:pPr>
      <w:r>
        <w:rPr>
          <w:rFonts w:ascii="Times New Roman" w:hAnsi="Times New Roman"/>
          <w:color w:val="000000"/>
          <w:sz w:val="28"/>
          <w:szCs w:val="28"/>
        </w:rPr>
        <w:t>Додаток 1</w:t>
      </w:r>
    </w:p>
    <w:p>
      <w:pPr>
        <w:pStyle w:val="Normal"/>
        <w:ind w:left="4820" w:hanging="1"/>
        <w:jc w:val="both"/>
        <w:rPr>
          <w:rFonts w:ascii="Times New Roman" w:hAnsi="Times New Roman"/>
        </w:rPr>
      </w:pPr>
      <w:r>
        <w:rPr>
          <w:rFonts w:ascii="Times New Roman" w:hAnsi="Times New Roman"/>
          <w:color w:val="000000"/>
          <w:sz w:val="28"/>
          <w:szCs w:val="28"/>
        </w:rPr>
        <w:t xml:space="preserve">до Програми розвитку міжнародного співробітництва Луцької міської територіальної громади та залучення міжнародної технічної допомоги </w:t>
      </w:r>
    </w:p>
    <w:p>
      <w:pPr>
        <w:pStyle w:val="Normal"/>
        <w:spacing w:before="0" w:after="0"/>
        <w:ind w:left="4820" w:hanging="1"/>
        <w:contextualSpacing/>
        <w:jc w:val="both"/>
        <w:rPr>
          <w:rFonts w:ascii="Times New Roman" w:hAnsi="Times New Roman"/>
        </w:rPr>
      </w:pPr>
      <w:r>
        <w:rPr>
          <w:rFonts w:ascii="Times New Roman" w:hAnsi="Times New Roman"/>
          <w:color w:val="000000"/>
          <w:sz w:val="28"/>
          <w:szCs w:val="28"/>
        </w:rPr>
        <w:t>на 2024–202</w:t>
      </w:r>
      <w:r>
        <w:rPr>
          <w:rFonts w:ascii="Times New Roman" w:hAnsi="Times New Roman"/>
          <w:color w:val="000000"/>
          <w:sz w:val="28"/>
          <w:szCs w:val="28"/>
          <w:lang w:val="en-US"/>
        </w:rPr>
        <w:t>5</w:t>
      </w:r>
      <w:r>
        <w:rPr>
          <w:rFonts w:ascii="Times New Roman" w:hAnsi="Times New Roman"/>
          <w:color w:val="000000"/>
          <w:sz w:val="28"/>
          <w:szCs w:val="28"/>
        </w:rPr>
        <w:t xml:space="preserve"> роки</w:t>
      </w:r>
    </w:p>
    <w:p>
      <w:pPr>
        <w:pStyle w:val="Normal"/>
        <w:jc w:val="center"/>
        <w:rPr>
          <w:color w:val="000000"/>
          <w:sz w:val="28"/>
          <w:szCs w:val="28"/>
        </w:rPr>
      </w:pPr>
      <w:r>
        <w:rPr>
          <w:color w:val="000000"/>
          <w:sz w:val="28"/>
          <w:szCs w:val="28"/>
        </w:rPr>
      </w:r>
    </w:p>
    <w:p>
      <w:pPr>
        <w:pStyle w:val="Normal"/>
        <w:jc w:val="center"/>
        <w:rPr>
          <w:rFonts w:ascii="Times New Roman" w:hAnsi="Times New Roman"/>
          <w:b/>
          <w:b/>
          <w:bCs/>
        </w:rPr>
      </w:pPr>
      <w:r>
        <w:rPr>
          <w:rFonts w:ascii="Times New Roman" w:hAnsi="Times New Roman"/>
          <w:b/>
          <w:bCs/>
          <w:color w:val="000000"/>
          <w:sz w:val="28"/>
          <w:szCs w:val="28"/>
        </w:rPr>
        <w:t xml:space="preserve">Ресурсне забезпечення </w:t>
      </w:r>
    </w:p>
    <w:p>
      <w:pPr>
        <w:pStyle w:val="Normal"/>
        <w:jc w:val="center"/>
        <w:rPr>
          <w:rFonts w:ascii="Times New Roman" w:hAnsi="Times New Roman"/>
          <w:b/>
          <w:b/>
          <w:bCs/>
        </w:rPr>
      </w:pPr>
      <w:r>
        <w:rPr>
          <w:rFonts w:ascii="Times New Roman" w:hAnsi="Times New Roman"/>
          <w:b/>
          <w:bCs/>
          <w:color w:val="000000"/>
          <w:sz w:val="28"/>
          <w:szCs w:val="28"/>
        </w:rPr>
        <w:t xml:space="preserve">Програми розвитку міжнародного співробітництва </w:t>
      </w:r>
    </w:p>
    <w:p>
      <w:pPr>
        <w:pStyle w:val="Normal"/>
        <w:jc w:val="center"/>
        <w:rPr>
          <w:rFonts w:ascii="Times New Roman" w:hAnsi="Times New Roman"/>
          <w:b/>
          <w:b/>
          <w:bCs/>
        </w:rPr>
      </w:pPr>
      <w:r>
        <w:rPr>
          <w:rFonts w:ascii="Times New Roman" w:hAnsi="Times New Roman"/>
          <w:b/>
          <w:bCs/>
          <w:color w:val="000000"/>
          <w:sz w:val="28"/>
          <w:szCs w:val="28"/>
        </w:rPr>
        <w:t xml:space="preserve">Луцької міської територіальної громади </w:t>
      </w:r>
    </w:p>
    <w:p>
      <w:pPr>
        <w:pStyle w:val="Normal"/>
        <w:jc w:val="center"/>
        <w:rPr>
          <w:rFonts w:ascii="Times New Roman" w:hAnsi="Times New Roman"/>
          <w:b/>
          <w:b/>
          <w:bCs/>
        </w:rPr>
      </w:pPr>
      <w:r>
        <w:rPr>
          <w:rFonts w:ascii="Times New Roman" w:hAnsi="Times New Roman"/>
          <w:b/>
          <w:bCs/>
          <w:color w:val="000000"/>
          <w:sz w:val="28"/>
          <w:szCs w:val="28"/>
        </w:rPr>
        <w:t xml:space="preserve">та залучення міжнародної технічної </w:t>
      </w:r>
    </w:p>
    <w:p>
      <w:pPr>
        <w:pStyle w:val="Normal"/>
        <w:jc w:val="center"/>
        <w:rPr>
          <w:rFonts w:ascii="Times New Roman" w:hAnsi="Times New Roman"/>
          <w:b/>
          <w:b/>
          <w:bCs/>
        </w:rPr>
      </w:pPr>
      <w:r>
        <w:rPr>
          <w:rFonts w:ascii="Times New Roman" w:hAnsi="Times New Roman"/>
          <w:b/>
          <w:bCs/>
          <w:color w:val="000000"/>
          <w:sz w:val="28"/>
          <w:szCs w:val="28"/>
        </w:rPr>
        <w:t>допомоги на 2024–2025 роки</w:t>
      </w:r>
    </w:p>
    <w:p>
      <w:pPr>
        <w:pStyle w:val="Normal"/>
        <w:rPr>
          <w:rFonts w:ascii="Times New Roman" w:hAnsi="Times New Roman"/>
          <w:color w:val="000000"/>
          <w:sz w:val="28"/>
          <w:szCs w:val="28"/>
        </w:rPr>
      </w:pPr>
      <w:r>
        <w:rPr>
          <w:rFonts w:ascii="Times New Roman" w:hAnsi="Times New Roman"/>
          <w:color w:val="000000"/>
          <w:sz w:val="28"/>
          <w:szCs w:val="28"/>
        </w:rPr>
      </w:r>
    </w:p>
    <w:tbl>
      <w:tblPr>
        <w:tblW w:w="9356" w:type="dxa"/>
        <w:jc w:val="left"/>
        <w:tblInd w:w="41" w:type="dxa"/>
        <w:tblCellMar>
          <w:top w:w="0" w:type="dxa"/>
          <w:left w:w="108" w:type="dxa"/>
          <w:bottom w:w="0" w:type="dxa"/>
          <w:right w:w="108" w:type="dxa"/>
        </w:tblCellMar>
        <w:tblLook w:firstRow="1" w:noVBand="1" w:lastRow="0" w:firstColumn="1" w:lastColumn="0" w:noHBand="0" w:val="04a0"/>
      </w:tblPr>
      <w:tblGrid>
        <w:gridCol w:w="750"/>
        <w:gridCol w:w="2925"/>
        <w:gridCol w:w="1800"/>
        <w:gridCol w:w="1818"/>
        <w:gridCol w:w="2063"/>
      </w:tblGrid>
      <w:tr>
        <w:trPr>
          <w:trHeight w:val="751" w:hRule="atLeast"/>
        </w:trPr>
        <w:tc>
          <w:tcPr>
            <w:tcW w:w="750" w:type="dxa"/>
            <w:vMerge w:val="restart"/>
            <w:tcBorders>
              <w:top w:val="single" w:sz="4" w:space="0" w:color="000000"/>
              <w:left w:val="single" w:sz="4" w:space="0" w:color="000000"/>
              <w:bottom w:val="single" w:sz="4" w:space="0" w:color="000000"/>
            </w:tcBorders>
            <w:shd w:color="auto" w:fill="auto" w:val="clear"/>
            <w:vAlign w:val="center"/>
          </w:tcPr>
          <w:p>
            <w:pPr>
              <w:pStyle w:val="Normal"/>
              <w:keepNext w:val="true"/>
              <w:numPr>
                <w:ilvl w:val="1"/>
                <w:numId w:val="2"/>
              </w:numPr>
              <w:spacing w:before="0" w:after="0"/>
              <w:contextualSpacing/>
              <w:jc w:val="center"/>
              <w:rPr>
                <w:rFonts w:ascii="Times New Roman" w:hAnsi="Times New Roman"/>
              </w:rPr>
            </w:pPr>
            <w:r>
              <w:rPr>
                <w:rFonts w:ascii="Times New Roman" w:hAnsi="Times New Roman"/>
                <w:b/>
                <w:bCs/>
                <w:color w:val="000000"/>
                <w:sz w:val="28"/>
                <w:szCs w:val="28"/>
              </w:rPr>
              <w:t xml:space="preserve">№ </w:t>
            </w:r>
            <w:r>
              <w:rPr>
                <w:rFonts w:ascii="Times New Roman" w:hAnsi="Times New Roman"/>
                <w:b/>
                <w:bCs/>
                <w:color w:val="000000"/>
                <w:sz w:val="28"/>
                <w:szCs w:val="28"/>
              </w:rPr>
              <w:t>з/п</w:t>
            </w:r>
          </w:p>
        </w:tc>
        <w:tc>
          <w:tcPr>
            <w:tcW w:w="2925" w:type="dxa"/>
            <w:vMerge w:val="restart"/>
            <w:tcBorders>
              <w:top w:val="single" w:sz="4" w:space="0" w:color="000000"/>
              <w:left w:val="single" w:sz="4" w:space="0" w:color="000000"/>
              <w:bottom w:val="single" w:sz="4" w:space="0" w:color="000000"/>
            </w:tcBorders>
            <w:shd w:color="auto" w:fill="auto" w:val="clear"/>
            <w:vAlign w:val="center"/>
          </w:tcPr>
          <w:p>
            <w:pPr>
              <w:pStyle w:val="Normal"/>
              <w:keepNext w:val="true"/>
              <w:numPr>
                <w:ilvl w:val="1"/>
                <w:numId w:val="2"/>
              </w:numPr>
              <w:spacing w:before="0" w:after="0"/>
              <w:contextualSpacing/>
              <w:jc w:val="center"/>
              <w:rPr>
                <w:rFonts w:ascii="Times New Roman" w:hAnsi="Times New Roman"/>
              </w:rPr>
            </w:pPr>
            <w:r>
              <w:rPr>
                <w:rFonts w:ascii="Times New Roman" w:hAnsi="Times New Roman"/>
                <w:b/>
                <w:bCs/>
                <w:color w:val="000000"/>
                <w:sz w:val="28"/>
                <w:szCs w:val="28"/>
              </w:rPr>
              <w:t>Обсяг коштів, які планується залучити на виконання Програми, тис. грн</w:t>
            </w:r>
          </w:p>
        </w:tc>
        <w:tc>
          <w:tcPr>
            <w:tcW w:w="3618" w:type="dxa"/>
            <w:gridSpan w:val="2"/>
            <w:tcBorders>
              <w:top w:val="single" w:sz="4" w:space="0" w:color="000000"/>
              <w:left w:val="single" w:sz="4" w:space="0" w:color="000000"/>
              <w:bottom w:val="single" w:sz="4" w:space="0" w:color="000000"/>
            </w:tcBorders>
            <w:shd w:color="auto" w:fill="auto" w:val="clear"/>
            <w:vAlign w:val="center"/>
          </w:tcPr>
          <w:p>
            <w:pPr>
              <w:pStyle w:val="Normal"/>
              <w:spacing w:before="0" w:after="0"/>
              <w:contextualSpacing/>
              <w:jc w:val="center"/>
              <w:rPr>
                <w:rFonts w:ascii="Times New Roman" w:hAnsi="Times New Roman"/>
              </w:rPr>
            </w:pPr>
            <w:r>
              <w:rPr>
                <w:rFonts w:ascii="Times New Roman" w:hAnsi="Times New Roman"/>
                <w:b/>
                <w:bCs/>
                <w:color w:val="000000"/>
                <w:sz w:val="28"/>
                <w:szCs w:val="28"/>
              </w:rPr>
              <w:t>Роки</w:t>
            </w:r>
          </w:p>
        </w:tc>
        <w:tc>
          <w:tcPr>
            <w:tcW w:w="206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contextualSpacing/>
              <w:jc w:val="center"/>
              <w:rPr>
                <w:rFonts w:ascii="Times New Roman" w:hAnsi="Times New Roman"/>
              </w:rPr>
            </w:pPr>
            <w:r>
              <w:rPr>
                <w:rFonts w:ascii="Times New Roman" w:hAnsi="Times New Roman"/>
                <w:b/>
                <w:bCs/>
                <w:color w:val="000000"/>
                <w:sz w:val="28"/>
                <w:szCs w:val="28"/>
              </w:rPr>
              <w:t>Загальний обсяг фінансування, тис. грн</w:t>
            </w:r>
          </w:p>
        </w:tc>
      </w:tr>
      <w:tr>
        <w:trPr>
          <w:trHeight w:val="516" w:hRule="atLeast"/>
        </w:trPr>
        <w:tc>
          <w:tcPr>
            <w:tcW w:w="750"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sz w:val="28"/>
                <w:szCs w:val="28"/>
              </w:rPr>
            </w:pPr>
            <w:r>
              <w:rPr>
                <w:rFonts w:ascii="Times New Roman" w:hAnsi="Times New Roman"/>
                <w:color w:val="000000"/>
                <w:sz w:val="28"/>
                <w:szCs w:val="28"/>
              </w:rPr>
            </w:r>
          </w:p>
        </w:tc>
        <w:tc>
          <w:tcPr>
            <w:tcW w:w="2925"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sz w:val="28"/>
                <w:szCs w:val="28"/>
              </w:rPr>
            </w:pPr>
            <w:r>
              <w:rPr>
                <w:rFonts w:ascii="Times New Roman" w:hAnsi="Times New Roman"/>
                <w:color w:val="000000"/>
                <w:sz w:val="28"/>
                <w:szCs w:val="28"/>
              </w:rPr>
            </w:r>
          </w:p>
        </w:tc>
        <w:tc>
          <w:tcPr>
            <w:tcW w:w="1800" w:type="dxa"/>
            <w:tcBorders>
              <w:top w:val="single" w:sz="4" w:space="0" w:color="000000"/>
              <w:left w:val="single" w:sz="4" w:space="0" w:color="000000"/>
              <w:bottom w:val="single" w:sz="4" w:space="0" w:color="000000"/>
            </w:tcBorders>
            <w:shd w:color="auto" w:fill="auto" w:val="clear"/>
            <w:vAlign w:val="center"/>
          </w:tcPr>
          <w:p>
            <w:pPr>
              <w:pStyle w:val="Normal"/>
              <w:spacing w:before="0" w:after="0"/>
              <w:contextualSpacing/>
              <w:jc w:val="center"/>
              <w:rPr>
                <w:rFonts w:ascii="Times New Roman" w:hAnsi="Times New Roman"/>
              </w:rPr>
            </w:pPr>
            <w:r>
              <w:rPr>
                <w:rFonts w:ascii="Times New Roman" w:hAnsi="Times New Roman"/>
                <w:b/>
                <w:bCs/>
                <w:color w:val="000000"/>
                <w:sz w:val="28"/>
                <w:szCs w:val="28"/>
              </w:rPr>
              <w:t>2024</w:t>
            </w:r>
          </w:p>
        </w:tc>
        <w:tc>
          <w:tcPr>
            <w:tcW w:w="1818" w:type="dxa"/>
            <w:tcBorders>
              <w:top w:val="single" w:sz="4" w:space="0" w:color="000000"/>
              <w:left w:val="single" w:sz="4" w:space="0" w:color="000000"/>
              <w:bottom w:val="single" w:sz="4" w:space="0" w:color="000000"/>
            </w:tcBorders>
            <w:shd w:color="auto" w:fill="auto" w:val="clear"/>
            <w:vAlign w:val="center"/>
          </w:tcPr>
          <w:p>
            <w:pPr>
              <w:pStyle w:val="Normal"/>
              <w:spacing w:before="0" w:after="0"/>
              <w:contextualSpacing/>
              <w:jc w:val="center"/>
              <w:rPr>
                <w:rFonts w:ascii="Times New Roman" w:hAnsi="Times New Roman"/>
              </w:rPr>
            </w:pPr>
            <w:r>
              <w:rPr>
                <w:rFonts w:ascii="Times New Roman" w:hAnsi="Times New Roman"/>
                <w:b/>
                <w:bCs/>
                <w:color w:val="000000"/>
                <w:sz w:val="28"/>
                <w:szCs w:val="28"/>
              </w:rPr>
              <w:t>2025</w:t>
            </w:r>
          </w:p>
        </w:tc>
        <w:tc>
          <w:tcPr>
            <w:tcW w:w="2063"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76"/>
              <w:rPr>
                <w:rFonts w:ascii="Times New Roman" w:hAnsi="Times New Roman"/>
                <w:color w:val="000000"/>
                <w:sz w:val="28"/>
                <w:szCs w:val="28"/>
              </w:rPr>
            </w:pPr>
            <w:r>
              <w:rPr>
                <w:rFonts w:ascii="Times New Roman" w:hAnsi="Times New Roman"/>
                <w:color w:val="000000"/>
                <w:sz w:val="28"/>
                <w:szCs w:val="28"/>
              </w:rPr>
            </w:r>
          </w:p>
        </w:tc>
      </w:tr>
      <w:tr>
        <w:trPr/>
        <w:tc>
          <w:tcPr>
            <w:tcW w:w="750"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color w:val="000000"/>
                <w:sz w:val="28"/>
                <w:szCs w:val="28"/>
              </w:rPr>
              <w:t>1.</w:t>
            </w:r>
          </w:p>
        </w:tc>
        <w:tc>
          <w:tcPr>
            <w:tcW w:w="2925" w:type="dxa"/>
            <w:tcBorders>
              <w:top w:val="single" w:sz="4" w:space="0" w:color="000000"/>
              <w:left w:val="single" w:sz="4" w:space="0" w:color="000000"/>
              <w:bottom w:val="single" w:sz="4" w:space="0" w:color="000000"/>
            </w:tcBorders>
            <w:shd w:color="auto" w:fill="auto" w:val="clear"/>
            <w:vAlign w:val="center"/>
          </w:tcPr>
          <w:p>
            <w:pPr>
              <w:pStyle w:val="Normal"/>
              <w:rPr>
                <w:rFonts w:ascii="Times New Roman" w:hAnsi="Times New Roman"/>
              </w:rPr>
            </w:pPr>
            <w:r>
              <w:rPr>
                <w:rFonts w:ascii="Times New Roman" w:hAnsi="Times New Roman"/>
                <w:color w:val="000000"/>
                <w:sz w:val="28"/>
                <w:szCs w:val="28"/>
              </w:rPr>
              <w:t xml:space="preserve">Обсяг фінансових ресурсів всього, </w:t>
            </w:r>
          </w:p>
          <w:p>
            <w:pPr>
              <w:pStyle w:val="Normal"/>
              <w:rPr>
                <w:rFonts w:ascii="Times New Roman" w:hAnsi="Times New Roman"/>
              </w:rPr>
            </w:pPr>
            <w:r>
              <w:rPr>
                <w:rFonts w:ascii="Times New Roman" w:hAnsi="Times New Roman"/>
                <w:color w:val="000000"/>
                <w:sz w:val="28"/>
                <w:szCs w:val="28"/>
              </w:rPr>
              <w:t>у тому числі:</w:t>
            </w:r>
          </w:p>
        </w:tc>
        <w:tc>
          <w:tcPr>
            <w:tcW w:w="1800"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color w:val="000000"/>
                <w:sz w:val="28"/>
                <w:szCs w:val="28"/>
              </w:rPr>
              <w:t>1 56</w:t>
            </w:r>
            <w:r>
              <w:rPr>
                <w:rFonts w:ascii="Times New Roman" w:hAnsi="Times New Roman"/>
                <w:color w:val="000000"/>
                <w:sz w:val="28"/>
                <w:szCs w:val="28"/>
                <w:lang w:val="en-US"/>
              </w:rPr>
              <w:t>0</w:t>
            </w:r>
            <w:r>
              <w:rPr>
                <w:rFonts w:ascii="Times New Roman" w:hAnsi="Times New Roman"/>
                <w:color w:val="000000"/>
                <w:sz w:val="28"/>
                <w:szCs w:val="28"/>
              </w:rPr>
              <w:t>,0</w:t>
            </w:r>
          </w:p>
        </w:tc>
        <w:tc>
          <w:tcPr>
            <w:tcW w:w="1818"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color w:val="000000"/>
                <w:sz w:val="28"/>
                <w:szCs w:val="28"/>
              </w:rPr>
              <w:t>1 28</w:t>
            </w:r>
            <w:r>
              <w:rPr>
                <w:rFonts w:ascii="Times New Roman" w:hAnsi="Times New Roman"/>
                <w:color w:val="000000"/>
                <w:sz w:val="28"/>
                <w:szCs w:val="28"/>
                <w:lang w:val="en-US"/>
              </w:rPr>
              <w:t>0</w:t>
            </w:r>
            <w:r>
              <w:rPr>
                <w:rFonts w:ascii="Times New Roman" w:hAnsi="Times New Roman"/>
                <w:color w:val="000000"/>
                <w:sz w:val="28"/>
                <w:szCs w:val="28"/>
              </w:rPr>
              <w:t>,0</w:t>
            </w:r>
          </w:p>
        </w:tc>
        <w:tc>
          <w:tcPr>
            <w:tcW w:w="206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color w:val="000000"/>
                <w:sz w:val="28"/>
                <w:szCs w:val="28"/>
              </w:rPr>
              <w:t>2 840,0</w:t>
            </w:r>
          </w:p>
        </w:tc>
      </w:tr>
      <w:tr>
        <w:trPr/>
        <w:tc>
          <w:tcPr>
            <w:tcW w:w="750"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color w:val="000000"/>
                <w:sz w:val="28"/>
                <w:szCs w:val="28"/>
              </w:rPr>
              <w:t>1.1.</w:t>
            </w:r>
          </w:p>
        </w:tc>
        <w:tc>
          <w:tcPr>
            <w:tcW w:w="2925" w:type="dxa"/>
            <w:tcBorders>
              <w:top w:val="single" w:sz="4" w:space="0" w:color="000000"/>
              <w:left w:val="single" w:sz="4" w:space="0" w:color="000000"/>
              <w:bottom w:val="single" w:sz="4" w:space="0" w:color="000000"/>
            </w:tcBorders>
            <w:shd w:color="auto" w:fill="auto" w:val="clear"/>
            <w:vAlign w:val="center"/>
          </w:tcPr>
          <w:p>
            <w:pPr>
              <w:pStyle w:val="Normal"/>
              <w:ind w:hanging="1"/>
              <w:rPr>
                <w:rFonts w:ascii="Times New Roman" w:hAnsi="Times New Roman"/>
              </w:rPr>
            </w:pPr>
            <w:r>
              <w:rPr>
                <w:rFonts w:ascii="Times New Roman" w:hAnsi="Times New Roman"/>
                <w:color w:val="000000"/>
                <w:sz w:val="28"/>
                <w:szCs w:val="28"/>
              </w:rPr>
              <w:t>бюджет Луцької міської територіальної громади</w:t>
            </w:r>
          </w:p>
        </w:tc>
        <w:tc>
          <w:tcPr>
            <w:tcW w:w="1800"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color w:val="000000"/>
                <w:sz w:val="28"/>
                <w:szCs w:val="28"/>
              </w:rPr>
              <w:t>1 56</w:t>
            </w:r>
            <w:r>
              <w:rPr>
                <w:rFonts w:ascii="Times New Roman" w:hAnsi="Times New Roman"/>
                <w:color w:val="000000"/>
                <w:sz w:val="28"/>
                <w:szCs w:val="28"/>
                <w:lang w:val="en-US"/>
              </w:rPr>
              <w:t>0</w:t>
            </w:r>
            <w:r>
              <w:rPr>
                <w:rFonts w:ascii="Times New Roman" w:hAnsi="Times New Roman"/>
                <w:color w:val="000000"/>
                <w:sz w:val="28"/>
                <w:szCs w:val="28"/>
              </w:rPr>
              <w:t>,0</w:t>
            </w:r>
          </w:p>
        </w:tc>
        <w:tc>
          <w:tcPr>
            <w:tcW w:w="1818"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color w:val="000000"/>
                <w:sz w:val="28"/>
                <w:szCs w:val="28"/>
              </w:rPr>
              <w:t>1 28</w:t>
            </w:r>
            <w:r>
              <w:rPr>
                <w:rFonts w:ascii="Times New Roman" w:hAnsi="Times New Roman"/>
                <w:color w:val="000000"/>
                <w:sz w:val="28"/>
                <w:szCs w:val="28"/>
                <w:lang w:val="en-US"/>
              </w:rPr>
              <w:t>0</w:t>
            </w:r>
            <w:r>
              <w:rPr>
                <w:rFonts w:ascii="Times New Roman" w:hAnsi="Times New Roman"/>
                <w:color w:val="000000"/>
                <w:sz w:val="28"/>
                <w:szCs w:val="28"/>
              </w:rPr>
              <w:t>,0</w:t>
            </w:r>
          </w:p>
        </w:tc>
        <w:tc>
          <w:tcPr>
            <w:tcW w:w="206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color w:val="000000"/>
                <w:sz w:val="28"/>
                <w:szCs w:val="28"/>
              </w:rPr>
              <w:t>2 840,0</w:t>
            </w:r>
          </w:p>
        </w:tc>
      </w:tr>
    </w:tbl>
    <w:p>
      <w:pPr>
        <w:pStyle w:val="Normal"/>
        <w:rPr>
          <w:rFonts w:ascii="Times New Roman" w:hAnsi="Times New Roman"/>
          <w:color w:val="000000"/>
          <w:sz w:val="28"/>
          <w:szCs w:val="28"/>
        </w:rPr>
      </w:pPr>
      <w:r>
        <w:rPr>
          <w:rFonts w:ascii="Times New Roman" w:hAnsi="Times New Roman"/>
          <w:color w:val="000000"/>
          <w:sz w:val="28"/>
          <w:szCs w:val="28"/>
        </w:rPr>
      </w:r>
    </w:p>
    <w:p>
      <w:pPr>
        <w:pStyle w:val="Normal"/>
        <w:rPr>
          <w:color w:val="000000"/>
          <w:sz w:val="28"/>
          <w:szCs w:val="28"/>
        </w:rPr>
      </w:pPr>
      <w:r>
        <w:rPr>
          <w:color w:val="000000"/>
          <w:sz w:val="28"/>
          <w:szCs w:val="28"/>
        </w:rPr>
      </w:r>
    </w:p>
    <w:p>
      <w:pPr>
        <w:sectPr>
          <w:headerReference w:type="default" r:id="rId2"/>
          <w:type w:val="nextPage"/>
          <w:pgSz w:w="11906" w:h="16838"/>
          <w:pgMar w:left="1984" w:right="567" w:header="567" w:top="1172" w:footer="0" w:bottom="1134" w:gutter="0"/>
          <w:pgNumType w:fmt="decimal"/>
          <w:formProt w:val="false"/>
          <w:textDirection w:val="lrTb"/>
          <w:docGrid w:type="default" w:linePitch="100" w:charSpace="0"/>
        </w:sectPr>
        <w:pStyle w:val="Normal"/>
        <w:spacing w:before="0" w:after="0"/>
        <w:ind w:left="-57" w:hanging="0"/>
        <w:contextualSpacing/>
        <w:jc w:val="both"/>
        <w:rPr>
          <w:rFonts w:ascii="Times New Roman" w:hAnsi="Times New Roman"/>
        </w:rPr>
      </w:pPr>
      <w:r>
        <w:rPr>
          <w:rFonts w:ascii="Times New Roman" w:hAnsi="Times New Roman"/>
          <w:color w:val="000000"/>
        </w:rPr>
        <w:t>Вінцюк 777 995</w:t>
      </w:r>
    </w:p>
    <w:p>
      <w:pPr>
        <w:pStyle w:val="Normal"/>
        <w:tabs>
          <w:tab w:val="clear" w:pos="709"/>
          <w:tab w:val="left" w:pos="5580" w:leader="none"/>
        </w:tabs>
        <w:ind w:left="10490" w:hanging="0"/>
        <w:jc w:val="both"/>
        <w:rPr>
          <w:rFonts w:ascii="Times New Roman" w:hAnsi="Times New Roman"/>
          <w:sz w:val="28"/>
          <w:szCs w:val="28"/>
        </w:rPr>
      </w:pPr>
      <w:r>
        <w:rPr>
          <w:rFonts w:ascii="Times New Roman" w:hAnsi="Times New Roman"/>
          <w:color w:val="000000"/>
          <w:sz w:val="28"/>
          <w:szCs w:val="28"/>
        </w:rPr>
        <w:t>Додаток 2</w:t>
      </w:r>
    </w:p>
    <w:p>
      <w:pPr>
        <w:pStyle w:val="Normal"/>
        <w:ind w:left="10490" w:hanging="0"/>
        <w:jc w:val="both"/>
        <w:rPr>
          <w:rFonts w:ascii="Times New Roman" w:hAnsi="Times New Roman"/>
          <w:sz w:val="28"/>
          <w:szCs w:val="28"/>
        </w:rPr>
      </w:pPr>
      <w:r>
        <w:rPr>
          <w:rFonts w:ascii="Times New Roman" w:hAnsi="Times New Roman"/>
          <w:color w:val="000000"/>
          <w:sz w:val="28"/>
          <w:szCs w:val="28"/>
        </w:rPr>
        <w:t>до Програми розвитку міжнародного співробітництва Луцької міської територіальної громади та залучення міжнародної технічної допомоги                  на 2024–2025 роки</w:t>
      </w:r>
    </w:p>
    <w:p>
      <w:pPr>
        <w:pStyle w:val="Normal"/>
        <w:ind w:left="10490" w:hanging="0"/>
        <w:jc w:val="both"/>
        <w:rPr>
          <w:rFonts w:ascii="Times New Roman" w:hAnsi="Times New Roman"/>
          <w:color w:val="000000"/>
          <w:sz w:val="28"/>
          <w:szCs w:val="28"/>
        </w:rPr>
      </w:pPr>
      <w:r>
        <w:rPr>
          <w:rFonts w:ascii="Times New Roman" w:hAnsi="Times New Roman"/>
          <w:color w:val="000000"/>
          <w:sz w:val="28"/>
          <w:szCs w:val="28"/>
        </w:rPr>
      </w:r>
    </w:p>
    <w:p>
      <w:pPr>
        <w:pStyle w:val="Normal"/>
        <w:ind w:left="680" w:hanging="0"/>
        <w:jc w:val="center"/>
        <w:rPr>
          <w:rFonts w:ascii="Times New Roman" w:hAnsi="Times New Roman"/>
          <w:sz w:val="28"/>
          <w:szCs w:val="28"/>
        </w:rPr>
      </w:pPr>
      <w:r>
        <w:rPr>
          <w:rFonts w:ascii="Times New Roman" w:hAnsi="Times New Roman"/>
          <w:b/>
          <w:bCs/>
          <w:color w:val="000000"/>
          <w:sz w:val="28"/>
          <w:szCs w:val="28"/>
        </w:rPr>
        <w:t xml:space="preserve">Перелік завдань, заходів та результативні показники </w:t>
      </w:r>
    </w:p>
    <w:p>
      <w:pPr>
        <w:pStyle w:val="Normal"/>
        <w:ind w:left="680" w:hanging="0"/>
        <w:jc w:val="center"/>
        <w:rPr>
          <w:rFonts w:ascii="Times New Roman" w:hAnsi="Times New Roman"/>
          <w:sz w:val="28"/>
          <w:szCs w:val="28"/>
        </w:rPr>
      </w:pPr>
      <w:r>
        <w:rPr>
          <w:rFonts w:ascii="Times New Roman" w:hAnsi="Times New Roman"/>
          <w:b/>
          <w:bCs/>
          <w:color w:val="000000"/>
          <w:sz w:val="28"/>
          <w:szCs w:val="28"/>
        </w:rPr>
        <w:t>Програми розвитку міжнародного співробітництва</w:t>
      </w:r>
    </w:p>
    <w:p>
      <w:pPr>
        <w:pStyle w:val="Normal"/>
        <w:ind w:left="680" w:hanging="0"/>
        <w:jc w:val="center"/>
        <w:rPr>
          <w:rFonts w:ascii="Times New Roman" w:hAnsi="Times New Roman"/>
          <w:sz w:val="28"/>
          <w:szCs w:val="28"/>
        </w:rPr>
      </w:pPr>
      <w:r>
        <w:rPr>
          <w:rFonts w:ascii="Times New Roman" w:hAnsi="Times New Roman"/>
          <w:b/>
          <w:bCs/>
          <w:color w:val="000000"/>
          <w:sz w:val="28"/>
          <w:szCs w:val="28"/>
        </w:rPr>
        <w:t>Луцької міської територіальної громади</w:t>
      </w:r>
    </w:p>
    <w:p>
      <w:pPr>
        <w:pStyle w:val="Normal"/>
        <w:ind w:left="680" w:hanging="0"/>
        <w:jc w:val="center"/>
        <w:rPr>
          <w:rFonts w:ascii="Times New Roman" w:hAnsi="Times New Roman"/>
          <w:sz w:val="28"/>
          <w:szCs w:val="28"/>
        </w:rPr>
      </w:pPr>
      <w:r>
        <w:rPr>
          <w:rFonts w:ascii="Times New Roman" w:hAnsi="Times New Roman"/>
          <w:b/>
          <w:bCs/>
          <w:color w:val="000000"/>
          <w:sz w:val="28"/>
          <w:szCs w:val="28"/>
        </w:rPr>
        <w:t>та залучення міжнародної технічної допомоги</w:t>
      </w:r>
    </w:p>
    <w:p>
      <w:pPr>
        <w:pStyle w:val="Normal"/>
        <w:ind w:left="680" w:hanging="0"/>
        <w:jc w:val="center"/>
        <w:rPr>
          <w:rFonts w:ascii="Times New Roman" w:hAnsi="Times New Roman"/>
          <w:sz w:val="28"/>
          <w:szCs w:val="28"/>
        </w:rPr>
      </w:pPr>
      <w:r>
        <w:rPr>
          <w:rFonts w:ascii="Times New Roman" w:hAnsi="Times New Roman"/>
          <w:b/>
          <w:bCs/>
          <w:color w:val="000000"/>
          <w:sz w:val="28"/>
          <w:szCs w:val="28"/>
        </w:rPr>
        <w:t xml:space="preserve">на 2024–2025 роки </w:t>
      </w:r>
    </w:p>
    <w:p>
      <w:pPr>
        <w:pStyle w:val="Normal"/>
        <w:ind w:left="680" w:hanging="0"/>
        <w:jc w:val="center"/>
        <w:rPr>
          <w:rFonts w:ascii="Times New Roman" w:hAnsi="Times New Roman"/>
          <w:color w:val="000000"/>
          <w:sz w:val="28"/>
          <w:szCs w:val="28"/>
        </w:rPr>
      </w:pPr>
      <w:r>
        <w:rPr>
          <w:rFonts w:ascii="Times New Roman" w:hAnsi="Times New Roman"/>
          <w:color w:val="000000"/>
          <w:sz w:val="28"/>
          <w:szCs w:val="28"/>
        </w:rPr>
      </w:r>
    </w:p>
    <w:tbl>
      <w:tblPr>
        <w:tblW w:w="15076" w:type="dxa"/>
        <w:jc w:val="left"/>
        <w:tblInd w:w="48" w:type="dxa"/>
        <w:tblCellMar>
          <w:top w:w="0" w:type="dxa"/>
          <w:left w:w="103" w:type="dxa"/>
          <w:bottom w:w="0" w:type="dxa"/>
          <w:right w:w="108" w:type="dxa"/>
        </w:tblCellMar>
        <w:tblLook w:firstRow="1" w:noVBand="1" w:lastRow="0" w:firstColumn="1" w:lastColumn="0" w:noHBand="0" w:val="04a0"/>
      </w:tblPr>
      <w:tblGrid>
        <w:gridCol w:w="681"/>
        <w:gridCol w:w="2608"/>
        <w:gridCol w:w="2319"/>
        <w:gridCol w:w="1592"/>
        <w:gridCol w:w="1984"/>
        <w:gridCol w:w="1761"/>
        <w:gridCol w:w="1830"/>
        <w:gridCol w:w="2299"/>
      </w:tblGrid>
      <w:tr>
        <w:trPr/>
        <w:tc>
          <w:tcPr>
            <w:tcW w:w="681" w:type="dxa"/>
            <w:tcBorders>
              <w:top w:val="single" w:sz="4" w:space="0" w:color="000000"/>
              <w:left w:val="single" w:sz="4" w:space="0" w:color="000000"/>
              <w:bottom w:val="single" w:sz="4" w:space="0" w:color="000000"/>
            </w:tcBorders>
            <w:shd w:color="auto" w:fill="auto" w:val="clear"/>
            <w:vAlign w:val="center"/>
          </w:tcPr>
          <w:p>
            <w:pPr>
              <w:pStyle w:val="Normal"/>
              <w:ind w:left="72" w:hanging="1"/>
              <w:rPr>
                <w:rFonts w:ascii="Times New Roman" w:hAnsi="Times New Roman"/>
              </w:rPr>
            </w:pPr>
            <w:r>
              <w:rPr>
                <w:rFonts w:ascii="Times New Roman" w:hAnsi="Times New Roman"/>
                <w:b/>
                <w:bCs/>
                <w:color w:val="000000"/>
              </w:rPr>
              <w:t>№</w:t>
            </w:r>
          </w:p>
          <w:p>
            <w:pPr>
              <w:pStyle w:val="Normal"/>
              <w:ind w:left="72" w:hanging="1"/>
              <w:rPr>
                <w:rFonts w:ascii="Times New Roman" w:hAnsi="Times New Roman"/>
              </w:rPr>
            </w:pPr>
            <w:r>
              <w:rPr>
                <w:rFonts w:ascii="Times New Roman" w:hAnsi="Times New Roman"/>
                <w:b/>
                <w:bCs/>
                <w:color w:val="000000"/>
              </w:rPr>
              <w:t>з/п</w:t>
            </w:r>
          </w:p>
        </w:tc>
        <w:tc>
          <w:tcPr>
            <w:tcW w:w="2608"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b/>
                <w:bCs/>
                <w:color w:val="000000"/>
              </w:rPr>
              <w:t>Завдання</w:t>
            </w:r>
          </w:p>
        </w:tc>
        <w:tc>
          <w:tcPr>
            <w:tcW w:w="2319"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b/>
                <w:bCs/>
                <w:color w:val="000000"/>
              </w:rPr>
              <w:t>Перелік заходів Програми</w:t>
            </w:r>
          </w:p>
        </w:tc>
        <w:tc>
          <w:tcPr>
            <w:tcW w:w="1592"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b/>
                <w:bCs/>
                <w:color w:val="000000"/>
              </w:rPr>
              <w:t xml:space="preserve">Терміни виконання </w:t>
            </w:r>
          </w:p>
        </w:tc>
        <w:tc>
          <w:tcPr>
            <w:tcW w:w="1984"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b/>
                <w:bCs/>
                <w:color w:val="000000"/>
              </w:rPr>
              <w:t>Виконавці</w:t>
            </w:r>
          </w:p>
        </w:tc>
        <w:tc>
          <w:tcPr>
            <w:tcW w:w="1761"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b/>
                <w:bCs/>
                <w:color w:val="000000"/>
              </w:rPr>
              <w:t>Джерела фінансування</w:t>
            </w:r>
          </w:p>
        </w:tc>
        <w:tc>
          <w:tcPr>
            <w:tcW w:w="1830" w:type="dxa"/>
            <w:tcBorders>
              <w:top w:val="single" w:sz="4" w:space="0" w:color="000000"/>
              <w:left w:val="single" w:sz="4" w:space="0" w:color="000000"/>
              <w:bottom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b/>
                <w:bCs/>
                <w:color w:val="000000"/>
              </w:rPr>
              <w:t xml:space="preserve">Орієнтовні обсяги фінансування, </w:t>
            </w:r>
          </w:p>
          <w:p>
            <w:pPr>
              <w:pStyle w:val="Normal"/>
              <w:jc w:val="center"/>
              <w:rPr>
                <w:rFonts w:ascii="Times New Roman" w:hAnsi="Times New Roman"/>
              </w:rPr>
            </w:pPr>
            <w:r>
              <w:rPr>
                <w:rFonts w:ascii="Times New Roman" w:hAnsi="Times New Roman"/>
                <w:b/>
                <w:bCs/>
                <w:color w:val="000000"/>
              </w:rPr>
              <w:t>тис. грн</w:t>
            </w:r>
          </w:p>
        </w:tc>
        <w:tc>
          <w:tcPr>
            <w:tcW w:w="22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Times New Roman" w:hAnsi="Times New Roman"/>
              </w:rPr>
            </w:pPr>
            <w:r>
              <w:rPr>
                <w:rFonts w:ascii="Times New Roman" w:hAnsi="Times New Roman"/>
                <w:b/>
                <w:bCs/>
                <w:color w:val="000000"/>
              </w:rPr>
              <w:t>Результативні показники</w:t>
            </w:r>
          </w:p>
        </w:tc>
      </w:tr>
      <w:tr>
        <w:trPr/>
        <w:tc>
          <w:tcPr>
            <w:tcW w:w="681" w:type="dxa"/>
            <w:vMerge w:val="restart"/>
            <w:tcBorders>
              <w:top w:val="single" w:sz="4" w:space="0" w:color="000000"/>
              <w:left w:val="single" w:sz="4" w:space="0" w:color="000000"/>
              <w:bottom w:val="single" w:sz="4" w:space="0" w:color="000000"/>
            </w:tcBorders>
            <w:shd w:color="auto" w:fill="auto" w:val="clear"/>
          </w:tcPr>
          <w:p>
            <w:pPr>
              <w:pStyle w:val="Normal"/>
              <w:tabs>
                <w:tab w:val="clear" w:pos="709"/>
                <w:tab w:val="left" w:pos="720" w:leader="none"/>
              </w:tabs>
              <w:ind w:left="72" w:hanging="1"/>
              <w:jc w:val="center"/>
              <w:rPr>
                <w:rFonts w:ascii="Times New Roman" w:hAnsi="Times New Roman"/>
              </w:rPr>
            </w:pPr>
            <w:r>
              <w:rPr>
                <w:rFonts w:ascii="Times New Roman" w:hAnsi="Times New Roman"/>
                <w:color w:val="000000"/>
              </w:rPr>
              <w:t>1.</w:t>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rPr>
            </w:pPr>
            <w:r>
              <w:rPr>
                <w:rFonts w:ascii="Times New Roman" w:hAnsi="Times New Roman"/>
                <w:color w:val="000000"/>
              </w:rPr>
              <w:t xml:space="preserve">     </w:t>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p>
            <w:pPr>
              <w:pStyle w:val="Normal"/>
              <w:tabs>
                <w:tab w:val="clear" w:pos="709"/>
                <w:tab w:val="left" w:pos="720" w:leader="none"/>
              </w:tabs>
              <w:rPr>
                <w:rFonts w:ascii="Times New Roman" w:hAnsi="Times New Roman"/>
                <w:color w:val="000000"/>
              </w:rPr>
            </w:pPr>
            <w:r>
              <w:rPr>
                <w:rFonts w:ascii="Times New Roman" w:hAnsi="Times New Roman"/>
                <w:color w:val="000000"/>
              </w:rPr>
            </w:r>
          </w:p>
          <w:p>
            <w:pPr>
              <w:pStyle w:val="Normal"/>
              <w:tabs>
                <w:tab w:val="clear" w:pos="709"/>
                <w:tab w:val="left" w:pos="720" w:leader="none"/>
              </w:tabs>
              <w:ind w:left="72" w:hanging="1"/>
              <w:jc w:val="center"/>
              <w:rPr>
                <w:rFonts w:ascii="Times New Roman" w:hAnsi="Times New Roman"/>
                <w:color w:val="000000"/>
              </w:rPr>
            </w:pPr>
            <w:r>
              <w:rPr>
                <w:rFonts w:ascii="Times New Roman" w:hAnsi="Times New Roman"/>
                <w:color w:val="000000"/>
              </w:rPr>
            </w:r>
          </w:p>
        </w:tc>
        <w:tc>
          <w:tcPr>
            <w:tcW w:w="2608" w:type="dxa"/>
            <w:vMerge w:val="restart"/>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Розвиток міжнародного співробітництва, співпраця з дипломатичними установами, представництвами міжнародних організацій</w:t>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color w:val="000000"/>
              </w:rPr>
            </w:pPr>
            <w:r>
              <w:rPr>
                <w:rFonts w:ascii="Times New Roman" w:hAnsi="Times New Roman"/>
                <w:color w:val="000000"/>
              </w:rPr>
            </w:r>
          </w:p>
        </w:tc>
        <w:tc>
          <w:tcPr>
            <w:tcW w:w="2319" w:type="dxa"/>
            <w:tcBorders>
              <w:top w:val="single" w:sz="4" w:space="0" w:color="000000"/>
              <w:left w:val="single" w:sz="4" w:space="0" w:color="000000"/>
              <w:bottom w:val="single" w:sz="4" w:space="0" w:color="000000"/>
            </w:tcBorders>
            <w:shd w:color="auto" w:fill="auto" w:val="clear"/>
          </w:tcPr>
          <w:p>
            <w:pPr>
              <w:pStyle w:val="Normal"/>
              <w:tabs>
                <w:tab w:val="clear" w:pos="709"/>
                <w:tab w:val="left" w:pos="461" w:leader="none"/>
              </w:tabs>
              <w:rPr>
                <w:rFonts w:ascii="Times New Roman" w:hAnsi="Times New Roman"/>
              </w:rPr>
            </w:pPr>
            <w:r>
              <w:rPr>
                <w:rFonts w:ascii="Times New Roman" w:hAnsi="Times New Roman"/>
                <w:color w:val="000000"/>
              </w:rPr>
              <w:t>1.1. Організаційне забезпечення візитів офіційних делегацій Луцької міської територіальної громади за кордон</w:t>
            </w:r>
          </w:p>
        </w:tc>
        <w:tc>
          <w:tcPr>
            <w:tcW w:w="1592" w:type="dxa"/>
            <w:tcBorders>
              <w:top w:val="single" w:sz="4" w:space="0" w:color="000000"/>
              <w:left w:val="single" w:sz="4" w:space="0" w:color="000000"/>
              <w:bottom w:val="single" w:sz="4" w:space="0" w:color="000000"/>
            </w:tcBorders>
            <w:shd w:color="auto" w:fill="auto" w:val="clear"/>
          </w:tcPr>
          <w:p>
            <w:pPr>
              <w:pStyle w:val="Normal"/>
              <w:ind w:left="-53" w:hanging="1"/>
              <w:jc w:val="center"/>
              <w:rPr>
                <w:rFonts w:ascii="Times New Roman" w:hAnsi="Times New Roman"/>
              </w:rPr>
            </w:pPr>
            <w:r>
              <w:rPr>
                <w:rFonts w:ascii="Times New Roman" w:hAnsi="Times New Roman"/>
                <w:color w:val="000000"/>
              </w:rPr>
              <w:t xml:space="preserve">Протягом 2024–2025 років </w:t>
            </w:r>
          </w:p>
        </w:tc>
        <w:tc>
          <w:tcPr>
            <w:tcW w:w="1984" w:type="dxa"/>
            <w:tcBorders>
              <w:top w:val="single" w:sz="4" w:space="0" w:color="000000"/>
              <w:left w:val="single" w:sz="4" w:space="0" w:color="000000"/>
              <w:bottom w:val="single" w:sz="4" w:space="0" w:color="000000"/>
            </w:tcBorders>
            <w:shd w:color="auto" w:fill="auto" w:val="clear"/>
          </w:tcPr>
          <w:p>
            <w:pPr>
              <w:pStyle w:val="Normal"/>
              <w:rPr/>
            </w:pPr>
            <w:r>
              <w:rPr>
                <w:rFonts w:ascii="Times New Roman" w:hAnsi="Times New Roman"/>
                <w:color w:val="000000"/>
              </w:rPr>
              <w:t xml:space="preserve">Управління міжнародного співробітництва та проектної діяльності, </w:t>
            </w:r>
            <w:hyperlink r:id="rId3">
              <w:r>
                <w:rPr>
                  <w:rStyle w:val="Style13"/>
                  <w:rFonts w:ascii="Times New Roman" w:hAnsi="Times New Roman"/>
                  <w:color w:val="000000"/>
                  <w:u w:val="none"/>
                </w:rPr>
                <w:t>господарсько-технічний відділ</w:t>
              </w:r>
            </w:hyperlink>
          </w:p>
          <w:p>
            <w:pPr>
              <w:pStyle w:val="Normal"/>
              <w:rPr>
                <w:rFonts w:ascii="Times New Roman" w:hAnsi="Times New Roman"/>
                <w:color w:val="000000"/>
              </w:rPr>
            </w:pPr>
            <w:r>
              <w:rPr>
                <w:rFonts w:ascii="Times New Roman" w:hAnsi="Times New Roman"/>
                <w:color w:val="000000"/>
              </w:rPr>
            </w:r>
          </w:p>
        </w:tc>
        <w:tc>
          <w:tcPr>
            <w:tcW w:w="1761"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Бюджет міської територіальної громади</w:t>
            </w:r>
          </w:p>
        </w:tc>
        <w:tc>
          <w:tcPr>
            <w:tcW w:w="1830"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rPr>
              <w:t xml:space="preserve">2024 – 90,0 </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color w:val="000000"/>
              </w:rPr>
              <w:t xml:space="preserve">2025 – </w:t>
            </w:r>
            <w:r>
              <w:rPr>
                <w:rFonts w:ascii="Times New Roman" w:hAnsi="Times New Roman"/>
              </w:rPr>
              <w:t>100</w:t>
            </w:r>
            <w:r>
              <w:rPr>
                <w:rFonts w:ascii="Times New Roman" w:hAnsi="Times New Roman"/>
                <w:color w:val="000000"/>
              </w:rPr>
              <w:t xml:space="preserve">,0 </w:t>
            </w:r>
          </w:p>
        </w:tc>
        <w:tc>
          <w:tcPr>
            <w:tcW w:w="229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Times New Roman" w:hAnsi="Times New Roman"/>
              </w:rPr>
            </w:pPr>
            <w:r>
              <w:rPr>
                <w:rFonts w:ascii="Times New Roman" w:hAnsi="Times New Roman"/>
                <w:color w:val="000000"/>
              </w:rPr>
              <w:t>Реалізація положень підписаних угод, поглиблення партнерства з іноземними містами та регіонами. Налагодження контактів з новими закордонними громадами</w:t>
            </w:r>
          </w:p>
        </w:tc>
      </w:tr>
      <w:tr>
        <w:trPr/>
        <w:tc>
          <w:tcPr>
            <w:tcW w:w="681"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rPr>
            </w:pPr>
            <w:r>
              <w:rPr>
                <w:rFonts w:ascii="Times New Roman" w:hAnsi="Times New Roman"/>
                <w:color w:val="000000"/>
              </w:rPr>
            </w:r>
          </w:p>
        </w:tc>
        <w:tc>
          <w:tcPr>
            <w:tcW w:w="2608"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rPr>
            </w:pPr>
            <w:r>
              <w:rPr>
                <w:rFonts w:ascii="Times New Roman" w:hAnsi="Times New Roman"/>
                <w:color w:val="000000"/>
              </w:rPr>
            </w:r>
          </w:p>
        </w:tc>
        <w:tc>
          <w:tcPr>
            <w:tcW w:w="2319"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 xml:space="preserve">1.2. Організація прийомів іноземних делегацій з партнерських та дружніх міст і регіонів, представників дипломатичного корпусу та міжнародних організацій </w:t>
            </w:r>
          </w:p>
        </w:tc>
        <w:tc>
          <w:tcPr>
            <w:tcW w:w="1592" w:type="dxa"/>
            <w:tcBorders>
              <w:top w:val="single" w:sz="4" w:space="0" w:color="000000"/>
              <w:left w:val="single" w:sz="4" w:space="0" w:color="000000"/>
              <w:bottom w:val="single" w:sz="4" w:space="0" w:color="000000"/>
            </w:tcBorders>
            <w:shd w:color="auto" w:fill="auto" w:val="clear"/>
          </w:tcPr>
          <w:p>
            <w:pPr>
              <w:pStyle w:val="Normal"/>
              <w:ind w:left="-53" w:hanging="1"/>
              <w:jc w:val="center"/>
              <w:rPr>
                <w:rFonts w:ascii="Times New Roman" w:hAnsi="Times New Roman"/>
              </w:rPr>
            </w:pPr>
            <w:r>
              <w:rPr>
                <w:rFonts w:ascii="Times New Roman" w:hAnsi="Times New Roman"/>
                <w:color w:val="000000"/>
              </w:rPr>
              <w:t xml:space="preserve">Протягом 2024–2025 років </w:t>
            </w:r>
          </w:p>
        </w:tc>
        <w:tc>
          <w:tcPr>
            <w:tcW w:w="1984"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Управління міжнародного співробітництва та проектної діяльності</w:t>
            </w:r>
          </w:p>
          <w:p>
            <w:pPr>
              <w:pStyle w:val="Normal"/>
              <w:rPr>
                <w:rFonts w:ascii="Times New Roman" w:hAnsi="Times New Roman"/>
                <w:color w:val="000000"/>
              </w:rPr>
            </w:pPr>
            <w:r>
              <w:rPr>
                <w:rFonts w:ascii="Times New Roman" w:hAnsi="Times New Roman"/>
                <w:color w:val="000000"/>
              </w:rPr>
            </w:r>
          </w:p>
        </w:tc>
        <w:tc>
          <w:tcPr>
            <w:tcW w:w="1761"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Бюджет міської територіальної громади</w:t>
            </w:r>
          </w:p>
        </w:tc>
        <w:tc>
          <w:tcPr>
            <w:tcW w:w="1830"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rPr>
              <w:t xml:space="preserve">2024 – 140,0 </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color w:val="000000"/>
              </w:rPr>
              <w:t xml:space="preserve">2025 – </w:t>
            </w:r>
            <w:r>
              <w:rPr>
                <w:rFonts w:ascii="Times New Roman" w:hAnsi="Times New Roman"/>
              </w:rPr>
              <w:t>150</w:t>
            </w:r>
            <w:r>
              <w:rPr>
                <w:rFonts w:ascii="Times New Roman" w:hAnsi="Times New Roman"/>
                <w:color w:val="000000"/>
              </w:rPr>
              <w:t xml:space="preserve">,0 </w:t>
            </w:r>
          </w:p>
        </w:tc>
        <w:tc>
          <w:tcPr>
            <w:tcW w:w="229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Times New Roman" w:hAnsi="Times New Roman"/>
              </w:rPr>
            </w:pPr>
            <w:r>
              <w:rPr>
                <w:rFonts w:ascii="Times New Roman" w:hAnsi="Times New Roman"/>
                <w:color w:val="000000"/>
              </w:rPr>
              <w:t>Ознайомлення іноземних гостей з Луцькою міською територіальною громадою, підтримка партнерських відносин, налагодження нових контактів</w:t>
            </w:r>
          </w:p>
        </w:tc>
      </w:tr>
      <w:tr>
        <w:trPr>
          <w:trHeight w:val="150" w:hRule="atLeast"/>
        </w:trPr>
        <w:tc>
          <w:tcPr>
            <w:tcW w:w="681"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rPr>
            </w:pPr>
            <w:r>
              <w:rPr>
                <w:rFonts w:ascii="Times New Roman" w:hAnsi="Times New Roman"/>
                <w:color w:val="000000"/>
              </w:rPr>
            </w:r>
          </w:p>
        </w:tc>
        <w:tc>
          <w:tcPr>
            <w:tcW w:w="2608"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rPr>
            </w:pPr>
            <w:r>
              <w:rPr>
                <w:rFonts w:ascii="Times New Roman" w:hAnsi="Times New Roman"/>
                <w:color w:val="000000"/>
              </w:rPr>
            </w:r>
          </w:p>
        </w:tc>
        <w:tc>
          <w:tcPr>
            <w:tcW w:w="2319" w:type="dxa"/>
            <w:tcBorders>
              <w:top w:val="single" w:sz="4" w:space="0" w:color="000000"/>
              <w:left w:val="single" w:sz="4" w:space="0" w:color="000000"/>
              <w:bottom w:val="single" w:sz="4" w:space="0" w:color="000000"/>
            </w:tcBorders>
            <w:shd w:color="auto" w:fill="auto" w:val="clear"/>
          </w:tcPr>
          <w:p>
            <w:pPr>
              <w:pStyle w:val="Normal"/>
              <w:tabs>
                <w:tab w:val="clear" w:pos="709"/>
                <w:tab w:val="left" w:pos="-108" w:leader="none"/>
                <w:tab w:val="left" w:pos="167" w:leader="none"/>
              </w:tabs>
              <w:ind w:left="-1" w:hanging="113"/>
              <w:rPr>
                <w:rFonts w:ascii="Times New Roman" w:hAnsi="Times New Roman"/>
              </w:rPr>
            </w:pPr>
            <w:r>
              <w:rPr>
                <w:rFonts w:ascii="Times New Roman" w:hAnsi="Times New Roman"/>
                <w:color w:val="000000"/>
              </w:rPr>
              <w:t xml:space="preserve"> </w:t>
            </w:r>
            <w:r>
              <w:rPr>
                <w:rFonts w:ascii="Times New Roman" w:hAnsi="Times New Roman"/>
                <w:color w:val="000000"/>
              </w:rPr>
              <w:t>1.3. Розробка та</w:t>
            </w:r>
            <w:r>
              <w:rPr>
                <w:rFonts w:ascii="Times New Roman" w:hAnsi="Times New Roman"/>
              </w:rPr>
              <w:t xml:space="preserve"> закупівля </w:t>
            </w:r>
            <w:r>
              <w:rPr>
                <w:rFonts w:ascii="Times New Roman" w:hAnsi="Times New Roman"/>
                <w:color w:val="000000"/>
              </w:rPr>
              <w:t>промоційних матеріалів та сувенірів про місто Луцьк та Луцьку міську територіальну громаду англійською мовою</w:t>
            </w:r>
          </w:p>
        </w:tc>
        <w:tc>
          <w:tcPr>
            <w:tcW w:w="1592" w:type="dxa"/>
            <w:tcBorders>
              <w:top w:val="single" w:sz="4" w:space="0" w:color="000000"/>
              <w:left w:val="single" w:sz="4" w:space="0" w:color="000000"/>
              <w:bottom w:val="single" w:sz="4" w:space="0" w:color="000000"/>
            </w:tcBorders>
            <w:shd w:color="auto" w:fill="auto" w:val="clear"/>
          </w:tcPr>
          <w:p>
            <w:pPr>
              <w:pStyle w:val="Normal"/>
              <w:ind w:left="-53" w:hanging="1"/>
              <w:jc w:val="center"/>
              <w:rPr>
                <w:rFonts w:ascii="Times New Roman" w:hAnsi="Times New Roman"/>
              </w:rPr>
            </w:pPr>
            <w:r>
              <w:rPr>
                <w:rFonts w:ascii="Times New Roman" w:hAnsi="Times New Roman"/>
                <w:color w:val="000000"/>
              </w:rPr>
              <w:t xml:space="preserve">Протягом 2024–2025 років </w:t>
            </w:r>
          </w:p>
        </w:tc>
        <w:tc>
          <w:tcPr>
            <w:tcW w:w="1984"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Управління міжнародного співробітництва та проектної діяльності,</w:t>
            </w:r>
          </w:p>
          <w:p>
            <w:pPr>
              <w:pStyle w:val="Normal"/>
              <w:rPr>
                <w:rFonts w:ascii="Times New Roman" w:hAnsi="Times New Roman"/>
              </w:rPr>
            </w:pPr>
            <w:r>
              <w:rPr>
                <w:rFonts w:ascii="Times New Roman" w:hAnsi="Times New Roman"/>
              </w:rPr>
              <w:t>управління туризму та промоції міста</w:t>
            </w:r>
          </w:p>
        </w:tc>
        <w:tc>
          <w:tcPr>
            <w:tcW w:w="1761"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Бюджет міської територіальної громади</w:t>
            </w:r>
          </w:p>
        </w:tc>
        <w:tc>
          <w:tcPr>
            <w:tcW w:w="1830"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rPr>
              <w:t>2024 – 150,0</w:t>
            </w:r>
          </w:p>
          <w:p>
            <w:pPr>
              <w:pStyle w:val="Normal"/>
              <w:rPr>
                <w:rFonts w:ascii="Times New Roman" w:hAnsi="Times New Roman"/>
              </w:rPr>
            </w:pPr>
            <w:r>
              <w:rPr>
                <w:rFonts w:ascii="Times New Roman" w:hAnsi="Times New Roman"/>
              </w:rPr>
              <w:t xml:space="preserve"> </w:t>
            </w:r>
          </w:p>
          <w:p>
            <w:pPr>
              <w:pStyle w:val="Normal"/>
              <w:rPr>
                <w:rFonts w:ascii="Times New Roman" w:hAnsi="Times New Roman"/>
              </w:rPr>
            </w:pPr>
            <w:r>
              <w:rPr>
                <w:rFonts w:ascii="Times New Roman" w:hAnsi="Times New Roman"/>
              </w:rPr>
              <w:t xml:space="preserve">2025 – 150,0 </w:t>
            </w:r>
          </w:p>
        </w:tc>
        <w:tc>
          <w:tcPr>
            <w:tcW w:w="229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Times New Roman" w:hAnsi="Times New Roman"/>
              </w:rPr>
            </w:pPr>
            <w:r>
              <w:rPr>
                <w:rFonts w:ascii="Times New Roman" w:hAnsi="Times New Roman"/>
                <w:color w:val="000000"/>
              </w:rPr>
              <w:t>Ознайомлення іноземних гостей з символікою громади,</w:t>
            </w:r>
          </w:p>
          <w:p>
            <w:pPr>
              <w:pStyle w:val="Normal"/>
              <w:rPr>
                <w:rFonts w:ascii="Times New Roman" w:hAnsi="Times New Roman"/>
              </w:rPr>
            </w:pPr>
            <w:r>
              <w:rPr>
                <w:rFonts w:ascii="Times New Roman" w:hAnsi="Times New Roman"/>
                <w:color w:val="000000"/>
              </w:rPr>
              <w:t>створення та підтримка позитивного іміджу громади</w:t>
            </w:r>
          </w:p>
        </w:tc>
      </w:tr>
      <w:tr>
        <w:trPr>
          <w:trHeight w:val="150" w:hRule="atLeast"/>
        </w:trPr>
        <w:tc>
          <w:tcPr>
            <w:tcW w:w="681"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rPr>
            </w:pPr>
            <w:r>
              <w:rPr>
                <w:rFonts w:ascii="Times New Roman" w:hAnsi="Times New Roman"/>
                <w:color w:val="000000"/>
              </w:rPr>
            </w:r>
          </w:p>
        </w:tc>
        <w:tc>
          <w:tcPr>
            <w:tcW w:w="2608"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rPr>
            </w:pPr>
            <w:r>
              <w:rPr>
                <w:rFonts w:ascii="Times New Roman" w:hAnsi="Times New Roman"/>
                <w:color w:val="000000"/>
              </w:rPr>
            </w:r>
          </w:p>
        </w:tc>
        <w:tc>
          <w:tcPr>
            <w:tcW w:w="2319" w:type="dxa"/>
            <w:tcBorders>
              <w:top w:val="single" w:sz="4" w:space="0" w:color="000000"/>
              <w:left w:val="single" w:sz="4" w:space="0" w:color="000000"/>
              <w:bottom w:val="single" w:sz="4" w:space="0" w:color="000000"/>
            </w:tcBorders>
            <w:shd w:color="auto" w:fill="auto" w:val="clear"/>
          </w:tcPr>
          <w:p>
            <w:pPr>
              <w:pStyle w:val="Normal"/>
              <w:tabs>
                <w:tab w:val="clear" w:pos="709"/>
                <w:tab w:val="left" w:pos="-108" w:leader="none"/>
                <w:tab w:val="left" w:pos="167" w:leader="none"/>
              </w:tabs>
              <w:ind w:left="-1" w:firstLine="29"/>
              <w:rPr/>
            </w:pPr>
            <w:r>
              <w:rPr>
                <w:rFonts w:ascii="Times New Roman" w:hAnsi="Times New Roman"/>
                <w:color w:val="000000"/>
              </w:rPr>
              <w:t>1.4. Забезпечення дод</w:t>
            </w:r>
            <w:r>
              <w:rPr>
                <w:rFonts w:ascii="Times New Roman" w:hAnsi="Times New Roman"/>
              </w:rPr>
              <w:t>атков</w:t>
            </w:r>
            <w:r>
              <w:rPr>
                <w:rFonts w:ascii="Times New Roman" w:hAnsi="Times New Roman"/>
                <w:color w:val="000000"/>
              </w:rPr>
              <w:t xml:space="preserve">ого перекладу (усного, письмового) в межах офіційних заходів, ділової комунікації, підготовки проєктних заявок, впровадження проєктів </w:t>
            </w:r>
          </w:p>
        </w:tc>
        <w:tc>
          <w:tcPr>
            <w:tcW w:w="1592" w:type="dxa"/>
            <w:tcBorders>
              <w:top w:val="single" w:sz="4" w:space="0" w:color="000000"/>
              <w:left w:val="single" w:sz="4" w:space="0" w:color="000000"/>
              <w:bottom w:val="single" w:sz="4" w:space="0" w:color="000000"/>
            </w:tcBorders>
            <w:shd w:color="auto" w:fill="auto" w:val="clear"/>
          </w:tcPr>
          <w:p>
            <w:pPr>
              <w:pStyle w:val="Normal"/>
              <w:ind w:left="-53" w:hanging="1"/>
              <w:jc w:val="center"/>
              <w:rPr>
                <w:rFonts w:ascii="Times New Roman" w:hAnsi="Times New Roman"/>
              </w:rPr>
            </w:pPr>
            <w:r>
              <w:rPr>
                <w:rFonts w:ascii="Times New Roman" w:hAnsi="Times New Roman"/>
                <w:color w:val="000000"/>
              </w:rPr>
              <w:t xml:space="preserve">Протягом 2024–2025 років </w:t>
            </w:r>
          </w:p>
        </w:tc>
        <w:tc>
          <w:tcPr>
            <w:tcW w:w="1984"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Управління міжнародного співробітництва та проектної діяльності</w:t>
            </w:r>
          </w:p>
        </w:tc>
        <w:tc>
          <w:tcPr>
            <w:tcW w:w="1761"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Бюджет міської територіальної громади</w:t>
            </w:r>
          </w:p>
        </w:tc>
        <w:tc>
          <w:tcPr>
            <w:tcW w:w="1830"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rPr>
              <w:t xml:space="preserve">2024 – 40,0 </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t xml:space="preserve">2025 – 40,0 </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r>
          </w:p>
        </w:tc>
        <w:tc>
          <w:tcPr>
            <w:tcW w:w="229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Times New Roman" w:hAnsi="Times New Roman"/>
              </w:rPr>
            </w:pPr>
            <w:r>
              <w:rPr>
                <w:rFonts w:ascii="Times New Roman" w:hAnsi="Times New Roman"/>
                <w:color w:val="000000"/>
              </w:rPr>
              <w:t>Безперешкодна комунікація з іноземними установами, міжнародними фондами</w:t>
            </w:r>
          </w:p>
          <w:p>
            <w:pPr>
              <w:pStyle w:val="Normal"/>
              <w:rPr>
                <w:rFonts w:ascii="Times New Roman" w:hAnsi="Times New Roman"/>
                <w:color w:val="000000"/>
              </w:rPr>
            </w:pPr>
            <w:r>
              <w:rPr>
                <w:rFonts w:ascii="Times New Roman" w:hAnsi="Times New Roman"/>
                <w:color w:val="000000"/>
              </w:rPr>
            </w:r>
          </w:p>
        </w:tc>
      </w:tr>
      <w:tr>
        <w:trPr>
          <w:trHeight w:val="1695" w:hRule="atLeast"/>
        </w:trPr>
        <w:tc>
          <w:tcPr>
            <w:tcW w:w="681"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rPr>
            </w:pPr>
            <w:r>
              <w:rPr>
                <w:rFonts w:ascii="Times New Roman" w:hAnsi="Times New Roman"/>
                <w:color w:val="000000"/>
              </w:rPr>
            </w:r>
          </w:p>
        </w:tc>
        <w:tc>
          <w:tcPr>
            <w:tcW w:w="2608"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rPr>
            </w:pPr>
            <w:r>
              <w:rPr>
                <w:rFonts w:ascii="Times New Roman" w:hAnsi="Times New Roman"/>
                <w:color w:val="000000"/>
              </w:rPr>
            </w:r>
          </w:p>
        </w:tc>
        <w:tc>
          <w:tcPr>
            <w:tcW w:w="2319" w:type="dxa"/>
            <w:tcBorders>
              <w:top w:val="single" w:sz="4" w:space="0" w:color="000000"/>
              <w:left w:val="single" w:sz="4" w:space="0" w:color="000000"/>
              <w:bottom w:val="single" w:sz="4" w:space="0" w:color="000000"/>
            </w:tcBorders>
            <w:shd w:color="auto" w:fill="auto" w:val="clear"/>
          </w:tcPr>
          <w:p>
            <w:pPr>
              <w:pStyle w:val="Normal"/>
              <w:tabs>
                <w:tab w:val="clear" w:pos="709"/>
                <w:tab w:val="left" w:pos="495" w:leader="none"/>
              </w:tabs>
              <w:rPr>
                <w:rFonts w:ascii="Times New Roman" w:hAnsi="Times New Roman"/>
              </w:rPr>
            </w:pPr>
            <w:r>
              <w:rPr>
                <w:rFonts w:ascii="Times New Roman" w:hAnsi="Times New Roman"/>
                <w:color w:val="000000"/>
              </w:rPr>
              <w:t xml:space="preserve">1.5. Сприяння проведенню іміджевих заходів міжнародного характеру в т.ч. в онлайн форматі </w:t>
            </w:r>
          </w:p>
        </w:tc>
        <w:tc>
          <w:tcPr>
            <w:tcW w:w="1592" w:type="dxa"/>
            <w:tcBorders>
              <w:top w:val="single" w:sz="4" w:space="0" w:color="000000"/>
              <w:left w:val="single" w:sz="4" w:space="0" w:color="000000"/>
              <w:bottom w:val="single" w:sz="4" w:space="0" w:color="000000"/>
            </w:tcBorders>
            <w:shd w:color="auto" w:fill="auto" w:val="clear"/>
          </w:tcPr>
          <w:p>
            <w:pPr>
              <w:pStyle w:val="Normal"/>
              <w:ind w:left="-53" w:hanging="1"/>
              <w:jc w:val="center"/>
              <w:rPr>
                <w:rFonts w:ascii="Times New Roman" w:hAnsi="Times New Roman"/>
              </w:rPr>
            </w:pPr>
            <w:r>
              <w:rPr>
                <w:rFonts w:ascii="Times New Roman" w:hAnsi="Times New Roman"/>
                <w:color w:val="000000"/>
              </w:rPr>
              <w:t xml:space="preserve">Протягом 2024–2025 років </w:t>
            </w:r>
          </w:p>
        </w:tc>
        <w:tc>
          <w:tcPr>
            <w:tcW w:w="1984"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Управління міжнародного співробітництва та проектної діяльності</w:t>
            </w:r>
          </w:p>
        </w:tc>
        <w:tc>
          <w:tcPr>
            <w:tcW w:w="1761"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Бюджет міської територіальної громади</w:t>
            </w:r>
          </w:p>
        </w:tc>
        <w:tc>
          <w:tcPr>
            <w:tcW w:w="1830"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rPr>
              <w:t xml:space="preserve">2024 – 50,0 </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t xml:space="preserve">2025 – 70,0 </w:t>
            </w:r>
          </w:p>
        </w:tc>
        <w:tc>
          <w:tcPr>
            <w:tcW w:w="229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Times New Roman" w:hAnsi="Times New Roman"/>
              </w:rPr>
            </w:pPr>
            <w:r>
              <w:rPr>
                <w:rFonts w:ascii="Times New Roman" w:hAnsi="Times New Roman"/>
                <w:color w:val="000000"/>
              </w:rPr>
              <w:t xml:space="preserve">Забезпечення міжнародної </w:t>
            </w:r>
            <w:r>
              <w:rPr>
                <w:rFonts w:ascii="Times New Roman" w:hAnsi="Times New Roman"/>
              </w:rPr>
              <w:t xml:space="preserve">складової </w:t>
            </w:r>
            <w:r>
              <w:rPr>
                <w:rFonts w:ascii="Times New Roman" w:hAnsi="Times New Roman"/>
                <w:color w:val="000000"/>
              </w:rPr>
              <w:t>заходів, які визначені як іміджеві у громаді та плануються як міжнародні</w:t>
            </w:r>
          </w:p>
        </w:tc>
      </w:tr>
      <w:tr>
        <w:trPr>
          <w:trHeight w:val="870" w:hRule="atLeast"/>
        </w:trPr>
        <w:tc>
          <w:tcPr>
            <w:tcW w:w="681" w:type="dxa"/>
            <w:tcBorders>
              <w:top w:val="single" w:sz="4" w:space="0" w:color="000000"/>
              <w:left w:val="single" w:sz="4" w:space="0" w:color="000000"/>
              <w:bottom w:val="single" w:sz="4" w:space="0" w:color="000000"/>
            </w:tcBorders>
            <w:shd w:color="auto" w:fill="auto" w:val="clear"/>
          </w:tcPr>
          <w:p>
            <w:pPr>
              <w:pStyle w:val="Normal"/>
              <w:jc w:val="center"/>
              <w:rPr>
                <w:rFonts w:ascii="Times New Roman" w:hAnsi="Times New Roman"/>
              </w:rPr>
            </w:pPr>
            <w:r>
              <w:rPr>
                <w:rFonts w:ascii="Times New Roman" w:hAnsi="Times New Roman"/>
                <w:color w:val="000000"/>
              </w:rPr>
              <w:t>2.</w:t>
            </w:r>
          </w:p>
        </w:tc>
        <w:tc>
          <w:tcPr>
            <w:tcW w:w="2608"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 xml:space="preserve">Реалізація державної політики у сфері євроінтеграції </w:t>
            </w:r>
          </w:p>
          <w:p>
            <w:pPr>
              <w:pStyle w:val="Normal"/>
              <w:rPr>
                <w:rFonts w:ascii="Times New Roman" w:hAnsi="Times New Roman"/>
                <w:color w:val="000000"/>
              </w:rPr>
            </w:pPr>
            <w:r>
              <w:rPr>
                <w:rFonts w:ascii="Times New Roman" w:hAnsi="Times New Roman"/>
                <w:color w:val="000000"/>
              </w:rPr>
            </w:r>
          </w:p>
        </w:tc>
        <w:tc>
          <w:tcPr>
            <w:tcW w:w="2319" w:type="dxa"/>
            <w:tcBorders>
              <w:top w:val="single" w:sz="4" w:space="0" w:color="000000"/>
              <w:left w:val="single" w:sz="4" w:space="0" w:color="000000"/>
              <w:bottom w:val="single" w:sz="4" w:space="0" w:color="000000"/>
            </w:tcBorders>
            <w:shd w:color="auto" w:fill="auto" w:val="clear"/>
          </w:tcPr>
          <w:p>
            <w:pPr>
              <w:pStyle w:val="Normal"/>
              <w:tabs>
                <w:tab w:val="clear" w:pos="709"/>
                <w:tab w:val="left" w:pos="495" w:leader="none"/>
              </w:tabs>
              <w:rPr/>
            </w:pPr>
            <w:r>
              <w:rPr>
                <w:rFonts w:ascii="Times New Roman" w:hAnsi="Times New Roman"/>
                <w:color w:val="000000"/>
              </w:rPr>
              <w:t xml:space="preserve">2.1. Проведення заходів на тему європейської інтеграції, </w:t>
            </w:r>
            <w:r>
              <w:rPr>
                <w:rFonts w:ascii="Times New Roman" w:hAnsi="Times New Roman"/>
              </w:rPr>
              <w:t>зокрема в межах Дня Європи в Україні</w:t>
            </w:r>
          </w:p>
        </w:tc>
        <w:tc>
          <w:tcPr>
            <w:tcW w:w="1592" w:type="dxa"/>
            <w:tcBorders>
              <w:top w:val="single" w:sz="4" w:space="0" w:color="000000"/>
              <w:left w:val="single" w:sz="4" w:space="0" w:color="000000"/>
              <w:bottom w:val="single" w:sz="4" w:space="0" w:color="000000"/>
            </w:tcBorders>
            <w:shd w:color="auto" w:fill="auto" w:val="clear"/>
          </w:tcPr>
          <w:p>
            <w:pPr>
              <w:pStyle w:val="Normal"/>
              <w:ind w:left="-53" w:hanging="1"/>
              <w:jc w:val="center"/>
              <w:rPr>
                <w:rFonts w:ascii="Times New Roman" w:hAnsi="Times New Roman"/>
              </w:rPr>
            </w:pPr>
            <w:r>
              <w:rPr>
                <w:rFonts w:ascii="Times New Roman" w:hAnsi="Times New Roman"/>
                <w:color w:val="000000"/>
              </w:rPr>
              <w:t xml:space="preserve">Протягом 2024–2025 років </w:t>
            </w:r>
          </w:p>
        </w:tc>
        <w:tc>
          <w:tcPr>
            <w:tcW w:w="1984" w:type="dxa"/>
            <w:tcBorders>
              <w:top w:val="single" w:sz="4" w:space="0" w:color="000000"/>
              <w:left w:val="single" w:sz="4" w:space="0" w:color="000000"/>
              <w:bottom w:val="single" w:sz="4" w:space="0" w:color="000000"/>
            </w:tcBorders>
            <w:shd w:color="auto" w:fill="auto" w:val="clear"/>
          </w:tcPr>
          <w:p>
            <w:pPr>
              <w:pStyle w:val="Normal"/>
              <w:rPr/>
            </w:pPr>
            <w:bookmarkStart w:id="0" w:name="__DdeLink__482_3211486512"/>
            <w:r>
              <w:rPr>
                <w:rFonts w:ascii="Times New Roman" w:hAnsi="Times New Roman"/>
                <w:color w:val="000000"/>
              </w:rPr>
              <w:t>Управління міжнародного співробітництва та проектної діяльності, департамент культури, департамент освіти, департамент молоді та спорту, управління інформаційної роботи</w:t>
            </w:r>
            <w:bookmarkEnd w:id="0"/>
          </w:p>
        </w:tc>
        <w:tc>
          <w:tcPr>
            <w:tcW w:w="1761"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Бюджет міської територіальної громади</w:t>
            </w:r>
          </w:p>
        </w:tc>
        <w:tc>
          <w:tcPr>
            <w:tcW w:w="1830"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rPr>
              <w:t xml:space="preserve">2024 – 50,0 </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t xml:space="preserve">2025 – 80,0 </w:t>
            </w:r>
          </w:p>
        </w:tc>
        <w:tc>
          <w:tcPr>
            <w:tcW w:w="229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Times New Roman" w:hAnsi="Times New Roman"/>
              </w:rPr>
            </w:pPr>
            <w:r>
              <w:rPr>
                <w:rFonts w:ascii="Times New Roman" w:hAnsi="Times New Roman"/>
                <w:color w:val="000000"/>
              </w:rPr>
              <w:t>Зміцнення громадської підтримки євроінтеграційного курсу України на місцевому рівні</w:t>
            </w:r>
          </w:p>
        </w:tc>
      </w:tr>
      <w:tr>
        <w:trPr>
          <w:trHeight w:val="551" w:hRule="atLeast"/>
        </w:trPr>
        <w:tc>
          <w:tcPr>
            <w:tcW w:w="681" w:type="dxa"/>
            <w:vMerge w:val="restart"/>
            <w:tcBorders>
              <w:top w:val="single" w:sz="4" w:space="0" w:color="000000"/>
              <w:left w:val="single" w:sz="4" w:space="0" w:color="000000"/>
              <w:bottom w:val="single" w:sz="4" w:space="0" w:color="000000"/>
            </w:tcBorders>
            <w:shd w:color="auto" w:fill="auto" w:val="clear"/>
          </w:tcPr>
          <w:p>
            <w:pPr>
              <w:pStyle w:val="Normal"/>
              <w:tabs>
                <w:tab w:val="clear" w:pos="709"/>
                <w:tab w:val="left" w:pos="720" w:leader="none"/>
              </w:tabs>
              <w:ind w:left="72" w:hanging="1"/>
              <w:jc w:val="center"/>
              <w:rPr>
                <w:rFonts w:ascii="Times New Roman" w:hAnsi="Times New Roman"/>
              </w:rPr>
            </w:pPr>
            <w:r>
              <w:rPr>
                <w:rFonts w:ascii="Times New Roman" w:hAnsi="Times New Roman"/>
                <w:color w:val="000000"/>
              </w:rPr>
              <w:t>3.</w:t>
            </w:r>
          </w:p>
        </w:tc>
        <w:tc>
          <w:tcPr>
            <w:tcW w:w="2608" w:type="dxa"/>
            <w:vMerge w:val="restart"/>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 xml:space="preserve">Залучення міжнародної технічної та державної допомоги, реалізація транскордонних і міжнародних грантових проєктів, забезпечення сталості реалізованих проєктів </w:t>
            </w:r>
          </w:p>
        </w:tc>
        <w:tc>
          <w:tcPr>
            <w:tcW w:w="2319"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3.1. Розробка</w:t>
            </w:r>
            <w:r>
              <w:rPr>
                <w:rFonts w:ascii="Times New Roman" w:hAnsi="Times New Roman"/>
              </w:rPr>
              <w:t xml:space="preserve">, подання на грантові конкурси </w:t>
            </w:r>
            <w:r>
              <w:rPr>
                <w:rFonts w:ascii="Times New Roman" w:hAnsi="Times New Roman"/>
                <w:color w:val="000000"/>
              </w:rPr>
              <w:t>від виконавчого комітету Луцької міської ради</w:t>
            </w:r>
            <w:r>
              <w:rPr>
                <w:rFonts w:ascii="Times New Roman" w:hAnsi="Times New Roman"/>
              </w:rPr>
              <w:t xml:space="preserve"> </w:t>
            </w:r>
            <w:r>
              <w:rPr>
                <w:rFonts w:ascii="Times New Roman" w:hAnsi="Times New Roman"/>
                <w:color w:val="000000"/>
              </w:rPr>
              <w:t xml:space="preserve">проєктів міжнародної технічної та державної допомоги, адміністрування, </w:t>
            </w:r>
            <w:r>
              <w:rPr>
                <w:rFonts w:ascii="Times New Roman" w:hAnsi="Times New Roman"/>
              </w:rPr>
              <w:t>супровід проєктів</w:t>
            </w:r>
            <w:r>
              <w:rPr>
                <w:rFonts w:ascii="Times New Roman" w:hAnsi="Times New Roman"/>
                <w:color w:val="000000"/>
              </w:rPr>
              <w:t xml:space="preserve"> (дослідження, ПКД, послуги </w:t>
            </w:r>
            <w:r>
              <w:rPr>
                <w:rFonts w:ascii="Times New Roman" w:hAnsi="Times New Roman"/>
              </w:rPr>
              <w:t xml:space="preserve">незалежних експертів, аудит, стратегічна екологічна оцінка), підтримка результатів проєктів (ремонт, заміна </w:t>
            </w:r>
            <w:bookmarkStart w:id="1" w:name="__DdeLink__653_2403243139"/>
            <w:r>
              <w:rPr>
                <w:rFonts w:ascii="Times New Roman" w:hAnsi="Times New Roman"/>
              </w:rPr>
              <w:t>комплектуючих</w:t>
            </w:r>
            <w:bookmarkEnd w:id="1"/>
            <w:r>
              <w:rPr>
                <w:rFonts w:ascii="Times New Roman" w:hAnsi="Times New Roman"/>
              </w:rPr>
              <w:t xml:space="preserve"> для закуплених в межах проєкту товарів та інше.)</w:t>
            </w:r>
          </w:p>
        </w:tc>
        <w:tc>
          <w:tcPr>
            <w:tcW w:w="1592" w:type="dxa"/>
            <w:tcBorders>
              <w:top w:val="single" w:sz="4" w:space="0" w:color="000000"/>
              <w:left w:val="single" w:sz="4" w:space="0" w:color="000000"/>
              <w:bottom w:val="single" w:sz="4" w:space="0" w:color="000000"/>
            </w:tcBorders>
            <w:shd w:color="auto" w:fill="auto" w:val="clear"/>
          </w:tcPr>
          <w:p>
            <w:pPr>
              <w:pStyle w:val="Normal"/>
              <w:ind w:left="-53" w:hanging="1"/>
              <w:jc w:val="center"/>
              <w:rPr>
                <w:rFonts w:ascii="Times New Roman" w:hAnsi="Times New Roman"/>
              </w:rPr>
            </w:pPr>
            <w:r>
              <w:rPr>
                <w:rFonts w:ascii="Times New Roman" w:hAnsi="Times New Roman"/>
                <w:color w:val="000000"/>
              </w:rPr>
              <w:t xml:space="preserve">Протягом 2024–2025 років </w:t>
            </w:r>
          </w:p>
        </w:tc>
        <w:tc>
          <w:tcPr>
            <w:tcW w:w="1984"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Управління міжнародного співробітництва та проектної діяльності</w:t>
            </w:r>
          </w:p>
        </w:tc>
        <w:tc>
          <w:tcPr>
            <w:tcW w:w="1761"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Бюджет міської територіальної громади</w:t>
            </w:r>
          </w:p>
        </w:tc>
        <w:tc>
          <w:tcPr>
            <w:tcW w:w="1830"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rPr>
              <w:t xml:space="preserve">2024 – 700,0 </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color w:val="000000"/>
              </w:rPr>
              <w:t xml:space="preserve">2025 – 250,0 </w:t>
            </w:r>
          </w:p>
        </w:tc>
        <w:tc>
          <w:tcPr>
            <w:tcW w:w="229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Times New Roman" w:hAnsi="Times New Roman"/>
              </w:rPr>
            </w:pPr>
            <w:r>
              <w:rPr>
                <w:rFonts w:ascii="Times New Roman" w:hAnsi="Times New Roman"/>
                <w:color w:val="000000"/>
              </w:rPr>
              <w:t xml:space="preserve">Комплексно підготовлені проєктні заявки для подачі на грантові конкурси, </w:t>
            </w:r>
            <w:r>
              <w:rPr>
                <w:rFonts w:ascii="Times New Roman" w:hAnsi="Times New Roman"/>
              </w:rPr>
              <w:t>якісно реалізовані проєкти, забезпечено підтримку результатів проєктів</w:t>
            </w:r>
          </w:p>
          <w:p>
            <w:pPr>
              <w:pStyle w:val="Normal"/>
              <w:rPr>
                <w:rFonts w:ascii="Times New Roman" w:hAnsi="Times New Roman"/>
                <w:color w:val="000000"/>
              </w:rPr>
            </w:pPr>
            <w:r>
              <w:rPr>
                <w:rFonts w:ascii="Times New Roman" w:hAnsi="Times New Roman"/>
                <w:color w:val="000000"/>
              </w:rPr>
            </w:r>
          </w:p>
        </w:tc>
      </w:tr>
      <w:tr>
        <w:trPr>
          <w:trHeight w:val="705" w:hRule="atLeast"/>
        </w:trPr>
        <w:tc>
          <w:tcPr>
            <w:tcW w:w="681"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rPr>
            </w:pPr>
            <w:r>
              <w:rPr>
                <w:rFonts w:ascii="Times New Roman" w:hAnsi="Times New Roman"/>
                <w:color w:val="000000"/>
              </w:rPr>
            </w:r>
          </w:p>
        </w:tc>
        <w:tc>
          <w:tcPr>
            <w:tcW w:w="2608"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rPr>
            </w:pPr>
            <w:r>
              <w:rPr>
                <w:rFonts w:ascii="Times New Roman" w:hAnsi="Times New Roman"/>
                <w:color w:val="000000"/>
              </w:rPr>
            </w:r>
          </w:p>
        </w:tc>
        <w:tc>
          <w:tcPr>
            <w:tcW w:w="2319" w:type="dxa"/>
            <w:tcBorders>
              <w:top w:val="single" w:sz="4" w:space="0" w:color="000000"/>
              <w:left w:val="single" w:sz="4" w:space="0" w:color="000000"/>
              <w:bottom w:val="single" w:sz="4" w:space="0" w:color="000000"/>
            </w:tcBorders>
            <w:shd w:color="auto" w:fill="auto" w:val="clear"/>
          </w:tcPr>
          <w:p>
            <w:pPr>
              <w:pStyle w:val="Normal"/>
              <w:rPr/>
            </w:pPr>
            <w:r>
              <w:rPr>
                <w:rFonts w:ascii="Times New Roman" w:hAnsi="Times New Roman"/>
                <w:color w:val="000000"/>
              </w:rPr>
              <w:t>3.2. </w:t>
            </w:r>
            <w:r>
              <w:rPr>
                <w:rFonts w:ascii="Times New Roman" w:hAnsi="Times New Roman"/>
              </w:rPr>
              <w:t xml:space="preserve">Забезпечення фінансового внеску в </w:t>
            </w:r>
            <w:r>
              <w:rPr>
                <w:rFonts w:ascii="Times New Roman" w:hAnsi="Times New Roman"/>
                <w:color w:val="000000"/>
              </w:rPr>
              <w:t>реалізацію</w:t>
            </w:r>
            <w:r>
              <w:rPr>
                <w:rFonts w:ascii="Times New Roman" w:hAnsi="Times New Roman"/>
              </w:rPr>
              <w:t xml:space="preserve"> потенційних </w:t>
            </w:r>
            <w:r>
              <w:rPr>
                <w:rFonts w:ascii="Times New Roman" w:hAnsi="Times New Roman"/>
                <w:color w:val="000000"/>
              </w:rPr>
              <w:t>малобюджетних  проєктів міжнародної технічної та державної допомоги відповідно до грантових угод*</w:t>
            </w:r>
          </w:p>
        </w:tc>
        <w:tc>
          <w:tcPr>
            <w:tcW w:w="1592" w:type="dxa"/>
            <w:tcBorders>
              <w:top w:val="single" w:sz="4" w:space="0" w:color="000000"/>
              <w:left w:val="single" w:sz="4" w:space="0" w:color="000000"/>
              <w:bottom w:val="single" w:sz="4" w:space="0" w:color="000000"/>
            </w:tcBorders>
            <w:shd w:color="auto" w:fill="auto" w:val="clear"/>
          </w:tcPr>
          <w:p>
            <w:pPr>
              <w:pStyle w:val="Normal"/>
              <w:ind w:left="-53" w:hanging="1"/>
              <w:jc w:val="center"/>
              <w:rPr>
                <w:rFonts w:ascii="Times New Roman" w:hAnsi="Times New Roman"/>
              </w:rPr>
            </w:pPr>
            <w:r>
              <w:rPr>
                <w:rFonts w:ascii="Times New Roman" w:hAnsi="Times New Roman"/>
                <w:color w:val="000000"/>
              </w:rPr>
              <w:t xml:space="preserve">Протягом 2024–2025 років </w:t>
            </w:r>
          </w:p>
        </w:tc>
        <w:tc>
          <w:tcPr>
            <w:tcW w:w="1984"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Управління міжнародного співробітництва та проектної діяльності</w:t>
            </w:r>
          </w:p>
        </w:tc>
        <w:tc>
          <w:tcPr>
            <w:tcW w:w="1761"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Бюджет міської територіальної громади</w:t>
            </w:r>
          </w:p>
        </w:tc>
        <w:tc>
          <w:tcPr>
            <w:tcW w:w="1830"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rPr>
              <w:t xml:space="preserve">2024 – </w:t>
            </w:r>
            <w:r>
              <w:rPr>
                <w:rFonts w:ascii="Times New Roman" w:hAnsi="Times New Roman"/>
                <w:color w:val="000000"/>
              </w:rPr>
              <w:t>300,0</w:t>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rPr>
            </w:pPr>
            <w:r>
              <w:rPr>
                <w:rFonts w:ascii="Times New Roman" w:hAnsi="Times New Roman"/>
                <w:color w:val="000000"/>
              </w:rPr>
              <w:t>2025 – 400,0</w:t>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color w:val="000000"/>
              </w:rPr>
            </w:pPr>
            <w:r>
              <w:rPr>
                <w:rFonts w:ascii="Times New Roman" w:hAnsi="Times New Roman"/>
                <w:color w:val="000000"/>
              </w:rPr>
            </w:r>
          </w:p>
        </w:tc>
        <w:tc>
          <w:tcPr>
            <w:tcW w:w="229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Times New Roman" w:hAnsi="Times New Roman"/>
              </w:rPr>
            </w:pPr>
            <w:r>
              <w:rPr>
                <w:rFonts w:ascii="Times New Roman" w:hAnsi="Times New Roman"/>
                <w:color w:val="000000"/>
              </w:rPr>
              <w:t>Впровадження проєктів міжнародної технічної та державної допомоги</w:t>
            </w:r>
          </w:p>
        </w:tc>
      </w:tr>
      <w:tr>
        <w:trPr>
          <w:trHeight w:val="705" w:hRule="atLeast"/>
        </w:trPr>
        <w:tc>
          <w:tcPr>
            <w:tcW w:w="681" w:type="dxa"/>
            <w:vMerge w:val="continue"/>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76"/>
              <w:rPr>
                <w:rFonts w:ascii="Times New Roman" w:hAnsi="Times New Roman"/>
                <w:color w:val="000000"/>
              </w:rPr>
            </w:pPr>
            <w:r>
              <w:rPr>
                <w:rFonts w:ascii="Times New Roman" w:hAnsi="Times New Roman"/>
                <w:color w:val="000000"/>
              </w:rPr>
            </w:r>
          </w:p>
        </w:tc>
        <w:tc>
          <w:tcPr>
            <w:tcW w:w="2608"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76"/>
              <w:rPr>
                <w:rFonts w:ascii="Times New Roman" w:hAnsi="Times New Roman"/>
                <w:color w:val="000000"/>
              </w:rPr>
            </w:pPr>
            <w:r>
              <w:rPr>
                <w:rFonts w:ascii="Times New Roman" w:hAnsi="Times New Roman"/>
                <w:color w:val="000000"/>
              </w:rPr>
            </w:r>
          </w:p>
        </w:tc>
        <w:tc>
          <w:tcPr>
            <w:tcW w:w="2319"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rFonts w:ascii="Times New Roman" w:hAnsi="Times New Roman"/>
                <w:color w:val="000000"/>
              </w:rPr>
              <w:t xml:space="preserve">3.3. Організація навчань, участь у навчаннях, заходах з підвищення кваліфікації працівників з метою розвитку кадрового потенціалу та формування </w:t>
            </w:r>
            <w:r>
              <w:rPr>
                <w:rFonts w:ascii="Times New Roman" w:hAnsi="Times New Roman"/>
              </w:rPr>
              <w:t>команди</w:t>
            </w:r>
            <w:r>
              <w:rPr>
                <w:rFonts w:ascii="Times New Roman" w:hAnsi="Times New Roman"/>
                <w:color w:val="000000"/>
              </w:rPr>
              <w:t xml:space="preserve"> ефективних проєктних менеджерів</w:t>
            </w:r>
          </w:p>
        </w:tc>
        <w:tc>
          <w:tcPr>
            <w:tcW w:w="1592" w:type="dxa"/>
            <w:tcBorders>
              <w:top w:val="single" w:sz="4" w:space="0" w:color="000000"/>
              <w:left w:val="single" w:sz="4" w:space="0" w:color="000000"/>
              <w:bottom w:val="single" w:sz="4" w:space="0" w:color="000000"/>
            </w:tcBorders>
            <w:shd w:color="auto" w:fill="auto" w:val="clear"/>
          </w:tcPr>
          <w:p>
            <w:pPr>
              <w:pStyle w:val="Normal"/>
              <w:ind w:left="-53" w:hanging="1"/>
              <w:jc w:val="center"/>
              <w:rPr>
                <w:rFonts w:ascii="Times New Roman" w:hAnsi="Times New Roman"/>
              </w:rPr>
            </w:pPr>
            <w:r>
              <w:rPr>
                <w:rFonts w:ascii="Times New Roman" w:hAnsi="Times New Roman"/>
                <w:color w:val="000000"/>
              </w:rPr>
              <w:t xml:space="preserve">Протягом 2024–2025 років </w:t>
            </w:r>
          </w:p>
          <w:p>
            <w:pPr>
              <w:pStyle w:val="Normal"/>
              <w:jc w:val="center"/>
              <w:rPr>
                <w:rFonts w:ascii="Times New Roman" w:hAnsi="Times New Roman"/>
                <w:color w:val="000000"/>
              </w:rPr>
            </w:pPr>
            <w:r>
              <w:rPr>
                <w:rFonts w:ascii="Times New Roman" w:hAnsi="Times New Roman"/>
                <w:color w:val="000000"/>
              </w:rPr>
            </w:r>
          </w:p>
          <w:p>
            <w:pPr>
              <w:pStyle w:val="Normal"/>
              <w:jc w:val="center"/>
              <w:rPr>
                <w:rFonts w:ascii="Times New Roman" w:hAnsi="Times New Roman"/>
                <w:color w:val="000000"/>
              </w:rPr>
            </w:pPr>
            <w:r>
              <w:rPr>
                <w:rFonts w:ascii="Times New Roman" w:hAnsi="Times New Roman"/>
                <w:color w:val="000000"/>
              </w:rPr>
            </w:r>
          </w:p>
        </w:tc>
        <w:tc>
          <w:tcPr>
            <w:tcW w:w="1984"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Управління міжнародного співробітництва та проектної діяльності</w:t>
            </w:r>
          </w:p>
          <w:p>
            <w:pPr>
              <w:pStyle w:val="Normal"/>
              <w:rPr>
                <w:rFonts w:ascii="Times New Roman" w:hAnsi="Times New Roman"/>
                <w:color w:val="000000"/>
              </w:rPr>
            </w:pPr>
            <w:r>
              <w:rPr>
                <w:rFonts w:ascii="Times New Roman" w:hAnsi="Times New Roman"/>
                <w:color w:val="000000"/>
              </w:rPr>
            </w:r>
          </w:p>
        </w:tc>
        <w:tc>
          <w:tcPr>
            <w:tcW w:w="1761"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Бюджет міської територіальної громади</w:t>
            </w:r>
          </w:p>
          <w:p>
            <w:pPr>
              <w:pStyle w:val="Normal"/>
              <w:rPr>
                <w:rFonts w:ascii="Times New Roman" w:hAnsi="Times New Roman"/>
                <w:color w:val="000000"/>
              </w:rPr>
            </w:pPr>
            <w:r>
              <w:rPr>
                <w:rFonts w:ascii="Times New Roman" w:hAnsi="Times New Roman"/>
                <w:color w:val="000000"/>
              </w:rPr>
            </w:r>
          </w:p>
        </w:tc>
        <w:tc>
          <w:tcPr>
            <w:tcW w:w="1830" w:type="dxa"/>
            <w:tcBorders>
              <w:top w:val="single" w:sz="4" w:space="0" w:color="000000"/>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2024 – 40,0</w:t>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rPr>
            </w:pPr>
            <w:r>
              <w:rPr>
                <w:rFonts w:ascii="Times New Roman" w:hAnsi="Times New Roman"/>
                <w:color w:val="000000"/>
              </w:rPr>
              <w:t>2025 – 40,0</w:t>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color w:val="000000"/>
              </w:rPr>
            </w:pPr>
            <w:r>
              <w:rPr>
                <w:rFonts w:ascii="Times New Roman" w:hAnsi="Times New Roman"/>
                <w:color w:val="000000"/>
              </w:rPr>
            </w:r>
          </w:p>
          <w:p>
            <w:pPr>
              <w:pStyle w:val="Normal"/>
              <w:rPr>
                <w:rFonts w:ascii="Times New Roman" w:hAnsi="Times New Roman"/>
                <w:color w:val="000000"/>
              </w:rPr>
            </w:pPr>
            <w:r>
              <w:rPr>
                <w:rFonts w:ascii="Times New Roman" w:hAnsi="Times New Roman"/>
                <w:color w:val="000000"/>
              </w:rPr>
            </w:r>
          </w:p>
        </w:tc>
        <w:tc>
          <w:tcPr>
            <w:tcW w:w="2299"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left" w:pos="709" w:leader="none"/>
              </w:tabs>
              <w:jc w:val="both"/>
              <w:rPr>
                <w:rFonts w:ascii="Times New Roman" w:hAnsi="Times New Roman"/>
              </w:rPr>
            </w:pPr>
            <w:r>
              <w:rPr>
                <w:rFonts w:ascii="Times New Roman" w:hAnsi="Times New Roman"/>
              </w:rPr>
              <w:t xml:space="preserve">Розвиток кадрового потенціалу </w:t>
            </w:r>
          </w:p>
          <w:p>
            <w:pPr>
              <w:pStyle w:val="Normal"/>
              <w:tabs>
                <w:tab w:val="left" w:pos="709" w:leader="none"/>
              </w:tabs>
              <w:jc w:val="both"/>
              <w:rPr/>
            </w:pPr>
            <w:r>
              <w:rPr>
                <w:rFonts w:ascii="Times New Roman" w:hAnsi="Times New Roman"/>
              </w:rPr>
              <w:t>та формування команди ефективних проєктних менеджерів</w:t>
            </w:r>
          </w:p>
        </w:tc>
      </w:tr>
      <w:tr>
        <w:trPr>
          <w:trHeight w:val="450" w:hRule="atLeast"/>
        </w:trPr>
        <w:tc>
          <w:tcPr>
            <w:tcW w:w="9184" w:type="dxa"/>
            <w:gridSpan w:val="5"/>
            <w:tcBorders>
              <w:left w:val="single" w:sz="4" w:space="0" w:color="000000"/>
              <w:bottom w:val="single" w:sz="4" w:space="0" w:color="000000"/>
              <w:right w:val="single" w:sz="4" w:space="0" w:color="000000"/>
            </w:tcBorders>
            <w:shd w:color="auto" w:fill="auto" w:val="clear"/>
          </w:tcPr>
          <w:p>
            <w:pPr>
              <w:pStyle w:val="Normal"/>
              <w:jc w:val="right"/>
              <w:rPr>
                <w:rFonts w:ascii="Times New Roman" w:hAnsi="Times New Roman"/>
              </w:rPr>
            </w:pPr>
            <w:r>
              <w:rPr>
                <w:rFonts w:ascii="Times New Roman" w:hAnsi="Times New Roman"/>
                <w:color w:val="000000"/>
              </w:rPr>
              <w:t>Всього:</w:t>
            </w:r>
          </w:p>
        </w:tc>
        <w:tc>
          <w:tcPr>
            <w:tcW w:w="1761" w:type="dxa"/>
            <w:tcBorders>
              <w:left w:val="single" w:sz="4" w:space="0" w:color="000000"/>
              <w:bottom w:val="single" w:sz="4" w:space="0" w:color="000000"/>
            </w:tcBorders>
            <w:shd w:color="auto" w:fill="auto" w:val="clear"/>
          </w:tcPr>
          <w:p>
            <w:pPr>
              <w:pStyle w:val="Normal"/>
              <w:rPr>
                <w:rFonts w:ascii="Times New Roman" w:hAnsi="Times New Roman"/>
              </w:rPr>
            </w:pPr>
            <w:r>
              <w:rPr>
                <w:rFonts w:ascii="Times New Roman" w:hAnsi="Times New Roman"/>
                <w:color w:val="000000"/>
              </w:rPr>
              <w:t>Бюджет міської територіальної громади</w:t>
            </w:r>
          </w:p>
        </w:tc>
        <w:tc>
          <w:tcPr>
            <w:tcW w:w="4129" w:type="dxa"/>
            <w:gridSpan w:val="2"/>
            <w:tcBorders>
              <w:left w:val="single" w:sz="4" w:space="0" w:color="000000"/>
              <w:bottom w:val="single" w:sz="4" w:space="0" w:color="000000"/>
              <w:right w:val="single" w:sz="4" w:space="0" w:color="000000"/>
            </w:tcBorders>
            <w:shd w:color="auto" w:fill="auto" w:val="clear"/>
          </w:tcPr>
          <w:p>
            <w:pPr>
              <w:pStyle w:val="Normal"/>
              <w:rPr>
                <w:rFonts w:ascii="Times New Roman" w:hAnsi="Times New Roman"/>
              </w:rPr>
            </w:pPr>
            <w:r>
              <w:rPr>
                <w:rFonts w:ascii="Times New Roman" w:hAnsi="Times New Roman"/>
                <w:color w:val="000000"/>
              </w:rPr>
              <w:t xml:space="preserve">2024 – </w:t>
            </w:r>
            <w:r>
              <w:rPr>
                <w:rFonts w:ascii="Times New Roman" w:hAnsi="Times New Roman"/>
              </w:rPr>
              <w:t>1 560</w:t>
            </w:r>
            <w:r>
              <w:rPr>
                <w:rFonts w:ascii="Times New Roman" w:hAnsi="Times New Roman"/>
                <w:color w:val="000000"/>
              </w:rPr>
              <w:t>,0</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color w:val="000000"/>
              </w:rPr>
              <w:t xml:space="preserve">2025 – </w:t>
            </w:r>
            <w:r>
              <w:rPr>
                <w:rFonts w:ascii="Times New Roman" w:hAnsi="Times New Roman"/>
              </w:rPr>
              <w:t>1 280</w:t>
            </w:r>
            <w:r>
              <w:rPr>
                <w:rFonts w:ascii="Times New Roman" w:hAnsi="Times New Roman"/>
                <w:color w:val="000000"/>
              </w:rPr>
              <w:t xml:space="preserve">,0 </w:t>
            </w:r>
          </w:p>
        </w:tc>
      </w:tr>
    </w:tbl>
    <w:p>
      <w:pPr>
        <w:pStyle w:val="Normal"/>
        <w:spacing w:before="0" w:after="0"/>
        <w:ind w:left="851" w:hanging="0"/>
        <w:contextualSpacing/>
        <w:jc w:val="both"/>
        <w:rPr>
          <w:color w:val="000000"/>
        </w:rPr>
      </w:pPr>
      <w:r>
        <w:rPr>
          <w:color w:val="000000"/>
        </w:rPr>
      </w:r>
    </w:p>
    <w:p>
      <w:pPr>
        <w:pStyle w:val="Normal"/>
        <w:spacing w:before="0" w:after="0"/>
        <w:ind w:right="227" w:hanging="0"/>
        <w:contextualSpacing/>
        <w:jc w:val="both"/>
        <w:rPr>
          <w:rFonts w:ascii="Times New Roman" w:hAnsi="Times New Roman"/>
        </w:rPr>
      </w:pPr>
      <w:r>
        <w:rPr>
          <w:rFonts w:ascii="Times New Roman" w:hAnsi="Times New Roman"/>
          <w:color w:val="000000"/>
        </w:rPr>
        <w:t xml:space="preserve">* </w:t>
      </w:r>
      <w:r>
        <w:rPr>
          <w:rFonts w:ascii="Times New Roman" w:hAnsi="Times New Roman"/>
          <w:color w:val="000000"/>
          <w:sz w:val="22"/>
          <w:szCs w:val="22"/>
        </w:rPr>
        <w:t>Захід Програми передбачає співфінансування малобюджетних проєктів. У випадку затвердження донором для фінансування великобюджетних проєктів міжнародної технічної або державної допомоги, поданих виконавчим комітетом Луцької міської ради,</w:t>
      </w:r>
      <w:r>
        <w:rPr>
          <w:rFonts w:ascii="Times New Roman" w:hAnsi="Times New Roman"/>
          <w:color w:val="000000"/>
          <w:sz w:val="28"/>
          <w:szCs w:val="28"/>
        </w:rPr>
        <w:t xml:space="preserve"> </w:t>
      </w:r>
      <w:r>
        <w:rPr>
          <w:rFonts w:ascii="Times New Roman" w:hAnsi="Times New Roman"/>
          <w:color w:val="000000"/>
          <w:sz w:val="22"/>
          <w:szCs w:val="22"/>
        </w:rPr>
        <w:t>рішення про співфінансування кожного грантового проєкту буде окремо винесене на розгляд міської ради.</w:t>
      </w:r>
    </w:p>
    <w:p>
      <w:pPr>
        <w:pStyle w:val="Normal"/>
        <w:spacing w:before="0" w:after="0"/>
        <w:ind w:left="851" w:hanging="0"/>
        <w:contextualSpacing/>
        <w:jc w:val="both"/>
        <w:rPr>
          <w:rFonts w:ascii="Times New Roman" w:hAnsi="Times New Roman"/>
          <w:color w:val="000000"/>
        </w:rPr>
      </w:pPr>
      <w:r>
        <w:rPr>
          <w:rFonts w:ascii="Times New Roman" w:hAnsi="Times New Roman"/>
          <w:color w:val="000000"/>
        </w:rPr>
      </w:r>
    </w:p>
    <w:p>
      <w:pPr>
        <w:pStyle w:val="Normal"/>
        <w:spacing w:before="0" w:after="0"/>
        <w:contextualSpacing/>
        <w:rPr>
          <w:rFonts w:ascii="Times New Roman" w:hAnsi="Times New Roman"/>
          <w:color w:val="000000"/>
        </w:rPr>
      </w:pPr>
      <w:r>
        <w:rPr>
          <w:rFonts w:ascii="Times New Roman" w:hAnsi="Times New Roman"/>
          <w:color w:val="000000"/>
        </w:rPr>
      </w:r>
    </w:p>
    <w:p>
      <w:pPr>
        <w:pStyle w:val="Normal"/>
        <w:spacing w:before="0" w:after="0"/>
        <w:contextualSpacing/>
        <w:jc w:val="both"/>
        <w:rPr/>
      </w:pPr>
      <w:r>
        <w:rPr>
          <w:rFonts w:ascii="Times New Roman" w:hAnsi="Times New Roman"/>
          <w:color w:val="000000"/>
        </w:rPr>
        <w:t>Вінцюк 777 995</w:t>
      </w:r>
    </w:p>
    <w:sectPr>
      <w:headerReference w:type="default" r:id="rId4"/>
      <w:type w:val="nextPage"/>
      <w:pgSz w:orient="landscape" w:w="16838" w:h="11906"/>
      <w:pgMar w:left="1134" w:right="567" w:header="0" w:top="1984" w:footer="0" w:bottom="56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3"/>
      <w:jc w:val="center"/>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7</w:t>
    </w:r>
    <w:r>
      <w:rPr>
        <w:sz w:val="28"/>
        <w:szCs w:val="28"/>
        <w:rFonts w:ascii="Times New Roman" w:hAnsi="Times New Roman"/>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Fonts w:ascii="Times New Roman" w:hAnsi="Times New Roman"/>
        <w:sz w:val="28"/>
        <w:szCs w:val="28"/>
      </w:rPr>
      <w:fldChar w:fldCharType="begin"/>
    </w:r>
    <w:r>
      <w:rPr>
        <w:sz w:val="28"/>
        <w:szCs w:val="28"/>
        <w:rFonts w:ascii="Times New Roman" w:hAnsi="Times New Roman"/>
      </w:rPr>
      <w:instrText> PAGE </w:instrText>
    </w:r>
    <w:r>
      <w:rPr>
        <w:sz w:val="28"/>
        <w:szCs w:val="28"/>
        <w:rFonts w:ascii="Times New Roman" w:hAnsi="Times New Roman"/>
      </w:rPr>
      <w:fldChar w:fldCharType="separate"/>
    </w:r>
    <w:r>
      <w:rPr>
        <w:sz w:val="28"/>
        <w:szCs w:val="28"/>
        <w:rFonts w:ascii="Times New Roman" w:hAnsi="Times New Roman"/>
      </w:rPr>
      <w:t>12</w:t>
    </w:r>
    <w:r>
      <w:rPr>
        <w:sz w:val="28"/>
        <w:szCs w:val="28"/>
        <w:rFonts w:ascii="Times New Roman" w:hAnsi="Times New Roman"/>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compat>
    <w:compatSetting w:name="compatibilityMode" w:uri="http://schemas.microsoft.com/office/word" w:val="12"/>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uk-UA" w:eastAsia="zh-CN" w:bidi="hi-IN"/>
      </w:rPr>
    </w:rPrDefault>
    <w:pPrDefault>
      <w:pPr>
        <w:widowControl/>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kinsoku w:val="true"/>
      <w:overflowPunct w:val="true"/>
      <w:autoSpaceDE w:val="true"/>
      <w:bidi w:val="0"/>
      <w:spacing w:before="0" w:after="0"/>
      <w:jc w:val="left"/>
    </w:pPr>
    <w:rPr>
      <w:rFonts w:ascii="Liberation Serif" w:hAnsi="Liberation Serif" w:eastAsia="NSimSun" w:cs="Arial"/>
      <w:color w:val="auto"/>
      <w:kern w:val="2"/>
      <w:sz w:val="24"/>
      <w:szCs w:val="24"/>
      <w:lang w:val="uk-UA" w:eastAsia="zh-CN" w:bidi="hi-IN"/>
    </w:rPr>
  </w:style>
  <w:style w:type="paragraph" w:styleId="1">
    <w:name w:val="Heading 1"/>
    <w:basedOn w:val="Style15"/>
    <w:next w:val="Style16"/>
    <w:uiPriority w:val="9"/>
    <w:qFormat/>
    <w:pPr>
      <w:numPr>
        <w:ilvl w:val="0"/>
        <w:numId w:val="1"/>
      </w:numPr>
      <w:outlineLvl w:val="0"/>
    </w:pPr>
    <w:rPr>
      <w:rFonts w:ascii="Liberation Serif" w:hAnsi="Liberation Serif" w:eastAsia="NSimSun"/>
      <w:b/>
      <w:bCs/>
      <w:sz w:val="48"/>
      <w:szCs w:val="48"/>
    </w:rPr>
  </w:style>
  <w:style w:type="character" w:styleId="DefaultParagraphFont" w:default="1">
    <w:name w:val="Default Paragraph Font"/>
    <w:uiPriority w:val="1"/>
    <w:semiHidden/>
    <w:unhideWhenUsed/>
    <w:qFormat/>
    <w:rPr/>
  </w:style>
  <w:style w:type="character" w:styleId="WW8Num2z0" w:customStyle="1">
    <w:name w:val="WW8Num2z0"/>
    <w:qFormat/>
    <w:rPr>
      <w:rFonts w:ascii="Times New Roman" w:hAnsi="Times New Roman" w:cs="Times New Roman"/>
      <w:b/>
      <w:color w:val="000000"/>
      <w:sz w:val="28"/>
      <w:szCs w:val="28"/>
      <w:lang w:val="uk-UA"/>
    </w:rPr>
  </w:style>
  <w:style w:type="character" w:styleId="Style13">
    <w:name w:val="Гіперпосилання"/>
    <w:rPr>
      <w:color w:val="0000FF"/>
      <w:u w:val="single"/>
    </w:rPr>
  </w:style>
  <w:style w:type="character" w:styleId="Style14">
    <w:name w:val="Виділення"/>
    <w:qFormat/>
    <w:rPr>
      <w:i/>
      <w:iCs/>
    </w:rPr>
  </w:style>
  <w:style w:type="paragraph" w:styleId="Style15" w:customStyle="1">
    <w:name w:val="Заголовок"/>
    <w:basedOn w:val="Normal"/>
    <w:next w:val="Style16"/>
    <w:qFormat/>
    <w:pPr>
      <w:keepNext w:val="true"/>
      <w:spacing w:before="240" w:after="120"/>
    </w:pPr>
    <w:rPr>
      <w:rFonts w:ascii="Liberation Sans" w:hAnsi="Liberation Sans" w:eastAsia="Microsoft YaHei"/>
      <w:sz w:val="28"/>
      <w:szCs w:val="28"/>
    </w:rPr>
  </w:style>
  <w:style w:type="paragraph" w:styleId="Style16">
    <w:name w:val="Body Text"/>
    <w:basedOn w:val="Normal"/>
    <w:pPr>
      <w:spacing w:lineRule="auto" w:line="276" w:before="0" w:after="140"/>
    </w:pPr>
    <w:rPr/>
  </w:style>
  <w:style w:type="paragraph" w:styleId="Style17">
    <w:name w:val="List"/>
    <w:basedOn w:val="Style16"/>
    <w:pPr/>
    <w:rPr/>
  </w:style>
  <w:style w:type="paragraph" w:styleId="Style18">
    <w:name w:val="Caption"/>
    <w:basedOn w:val="Normal"/>
    <w:qFormat/>
    <w:pPr>
      <w:suppressLineNumbers/>
      <w:spacing w:before="120" w:after="120"/>
    </w:pPr>
    <w:rPr>
      <w:rFonts w:cs="Arial"/>
      <w:i/>
      <w:iCs/>
      <w:sz w:val="24"/>
      <w:szCs w:val="24"/>
    </w:rPr>
  </w:style>
  <w:style w:type="paragraph" w:styleId="Style19" w:customStyle="1">
    <w:name w:val="Покажчик"/>
    <w:basedOn w:val="Normal"/>
    <w:qFormat/>
    <w:pPr>
      <w:suppressLineNumbers/>
    </w:pPr>
    <w:rPr/>
  </w:style>
  <w:style w:type="paragraph" w:styleId="Caption">
    <w:name w:val="caption"/>
    <w:basedOn w:val="Normal"/>
    <w:qFormat/>
    <w:pPr>
      <w:suppressLineNumbers/>
      <w:spacing w:before="120" w:after="120"/>
    </w:pPr>
    <w:rPr>
      <w:i/>
      <w:iCs/>
    </w:rPr>
  </w:style>
  <w:style w:type="paragraph" w:styleId="Style20" w:customStyle="1">
    <w:name w:val="Вміст таблиці"/>
    <w:basedOn w:val="Normal"/>
    <w:qFormat/>
    <w:pPr>
      <w:suppressLineNumbers/>
    </w:pPr>
    <w:rPr/>
  </w:style>
  <w:style w:type="paragraph" w:styleId="Style21" w:customStyle="1">
    <w:name w:val="Заголовок таблиці"/>
    <w:basedOn w:val="Style20"/>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11" w:customStyle="1">
    <w:name w:val="Обычный (веб)1"/>
    <w:basedOn w:val="Normal"/>
    <w:qFormat/>
    <w:pPr>
      <w:spacing w:before="280" w:after="280"/>
      <w:textAlignment w:val="top"/>
    </w:pPr>
    <w:rPr/>
  </w:style>
  <w:style w:type="paragraph" w:styleId="Style22" w:customStyle="1">
    <w:name w:val="Верхній і нижній колонтитули"/>
    <w:basedOn w:val="Normal"/>
    <w:qFormat/>
    <w:pPr>
      <w:suppressLineNumbers/>
      <w:tabs>
        <w:tab w:val="clear" w:pos="709"/>
        <w:tab w:val="center" w:pos="4677" w:leader="none"/>
        <w:tab w:val="right" w:pos="9355" w:leader="none"/>
      </w:tabs>
    </w:pPr>
    <w:rPr/>
  </w:style>
  <w:style w:type="paragraph" w:styleId="Style23">
    <w:name w:val="Header"/>
    <w:basedOn w:val="Style22"/>
    <w:pPr/>
    <w:rPr/>
  </w:style>
  <w:style w:type="numbering" w:styleId="NoList" w:default="1">
    <w:name w:val="No List"/>
    <w:uiPriority w:val="99"/>
    <w:semiHidden/>
    <w:unhideWhenUsed/>
    <w:qFormat/>
  </w:style>
  <w:style w:type="numbering" w:styleId="WW8Num2" w:customStyle="1">
    <w:name w:val="WW8Num2"/>
    <w:qFormat/>
  </w:style>
  <w:style w:type="table" w:default="1" w:styleId="a3">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yperlink" Target="https://www.lutskrada.gov.ua/departments/hospodarsko-tekhnichnyi-viddil" TargetMode="External"/><Relationship Id="rId4"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Application>LibreOffice/6.3.4.2$Windows_X86_64 LibreOffice_project/60da17e045e08f1793c57c00ba83cdfce946d0aa</Application>
  <Pages>12</Pages>
  <Words>2100</Words>
  <Characters>15610</Characters>
  <CharactersWithSpaces>17612</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2023-09-06T09:03:00Z</dcterms:created>
  <dc:creator/>
  <dc:description/>
  <dc:language>uk-UA</dc:language>
  <cp:lastModifiedBy/>
  <cp:lastPrinted>2023-09-07T09:18:00Z</cp:lastPrinted>
  <dcterms:modified xsi:type="dcterms:W3CDTF">2023-12-08T16:53:07Z</dcterms:modified>
  <cp:revision>51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