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38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ind w:left="538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рішення міської ради</w:t>
      </w:r>
    </w:p>
    <w:p>
      <w:pPr>
        <w:pStyle w:val="Normal"/>
        <w:ind w:left="538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_____________№___________           </w:t>
      </w:r>
    </w:p>
    <w:p>
      <w:pPr>
        <w:pStyle w:val="Normal"/>
        <w:ind w:left="5387" w:hanging="0"/>
        <w:rPr>
          <w:sz w:val="26"/>
          <w:szCs w:val="26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ab/>
        <w:tab/>
        <w:tab/>
        <w:tab/>
        <w:tab/>
        <w:tab/>
        <w:tab/>
      </w:r>
    </w:p>
    <w:p>
      <w:pPr>
        <w:pStyle w:val="Normal"/>
        <w:jc w:val="center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Програма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розвитку туризму Луцької міської територіальної громади 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2024–2025 роки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ПАСПОРТ ПРОГРАМИ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</w:r>
    </w:p>
    <w:tbl>
      <w:tblPr>
        <w:tblW w:w="9427" w:type="dxa"/>
        <w:jc w:val="left"/>
        <w:tblInd w:w="207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04"/>
        <w:gridCol w:w="3854"/>
        <w:gridCol w:w="4869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Луцька міська рада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Розробник Програми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Управління туризму та промоції міста Луцької міської ради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Співрозробники Програми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КП «Центр розвитку туризму»</w:t>
            </w:r>
          </w:p>
        </w:tc>
      </w:tr>
      <w:tr>
        <w:trPr/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8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Управління туризму та промоції міста Луцької міської ради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Учасники Програми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Виконавчі органи Луцької міської ради; КП «Центр розвитку туризму»; громадські організації, Адміністрація державного історико-культурного заповідника у м. Луцьку, музеї міста, вищі навчальні заклади  м. Луцька, заклади сфери гостинності (за згодою)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2024–2025 роки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Загальний обсяг фінансових ресурсів, необхідних для реалізації програми, всього (тис. грн)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415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</w:tr>
      <w:tr>
        <w:trPr>
          <w:trHeight w:val="287" w:hRule="atLeast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</w:p>
        </w:tc>
        <w:tc>
          <w:tcPr>
            <w:tcW w:w="8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</w:tc>
      </w:tr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7.1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коштів бюджету громади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375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</w:tr>
      <w:tr>
        <w:trPr/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7.2</w:t>
            </w:r>
          </w:p>
        </w:tc>
        <w:tc>
          <w:tcPr>
            <w:tcW w:w="38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4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204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0,0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701" w:right="567" w:header="680" w:top="1134" w:footer="0" w:bottom="1701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ListParagraph"/>
        <w:ind w:left="0" w:firstLine="567"/>
        <w:jc w:val="center"/>
        <w:rPr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1. Аналіз динаміки змін та поточної ситуації</w:t>
      </w:r>
    </w:p>
    <w:p>
      <w:pPr>
        <w:pStyle w:val="Normal"/>
        <w:tabs>
          <w:tab w:val="clear" w:pos="709"/>
          <w:tab w:val="left" w:pos="567" w:leader="none"/>
        </w:tabs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 початку створення управління туризму та промоції міста (далі – управління) у 2012 році завдяки реалізації програм розвитку туризму вдалося реалізувати низку проєктів туристичного спрямування та вирішити цілий ряд проблем. Зокрема: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створено систему туристичного ознакування, що включає в себе вказівники, пілони з картами, інформаційні таблиці на пам'ятках історії та архітектури, туристичні знаки на в'їздах в місто;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створено КП «Центр туристичної інформації та послуг», яке у 2023 році було перейменовано в КП «Центр розвитку туризму», що сьогодні включає в себе Центр туристичної інформації та послуг і новий туристичний об'єкт – Музейний простір «Окольний замок»;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започатковано та втілено проєкт «Луцький кликун», який включає в себе дослідження професії та образу луцького кликуна, відновлення цієї професії,   міське свято День кликуна, ритуал сурмління з В’їзної вежі Луцького замку, створення скульптур луцьких кликунів, маркування їх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QR-</w:t>
      </w:r>
      <w:r>
        <w:rPr>
          <w:rFonts w:ascii="Times New Roman" w:hAnsi="Times New Roman"/>
          <w:color w:val="000000"/>
          <w:sz w:val="28"/>
          <w:szCs w:val="28"/>
        </w:rPr>
        <w:t>кодами, а також популяризацію цього бренду і введення образу в систему міських символів;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розроблено і затверджено правила візуалізації бренду міста (брендбук), який тепер широко використовується як виконавчими органами міської ради, комунальними підприємствами, так і громадою;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створено і активно впроваджується нова міська туристична ідеологія «тут луцько» (особливий настрій, непорівнювані ні з чим відчуття затишку, доброзичливої гостинності, атмосфери спокою і тихої зачаєної радості);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проведено два маркетингові дослідження (2017, 2019 рр.), які у свій час допомогли побачити у динаміці ситуацію на туристичному ринку міста;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здійснюється постійна промоція Луцька як туристичної дестинації в Україні і за кордоном шляхом участі у туристичних заходах;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проводиться цілеспрямована внутрішня промоція, що передбачає поширення позитивних знань про місто серед лучан різного віку шляхом проведення тематичних заходів, семінарів, лекцій, зустрічей з істориками, краєзнавцями тощо;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створюється широкий спектр власної промоційної поліграфічної продукції, а також надається підтримка виданню історико-краєзнавчої літератури про Луцьк;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окремо здійснюється промоція туристоутворюючих подій, зокрема З'їзду європейських монархів 1429 року у Луцьку, Дня міста, відкриття туристичних сезонів, відзначення Всесвітнього дня туризму та інших;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запроваджено навчання та підвищення кваліфікації гідів міста (школа екскурсовода);</w:t>
      </w:r>
    </w:p>
    <w:p>
      <w:pPr>
        <w:pStyle w:val="Normal"/>
        <w:ind w:left="11" w:firstLine="556"/>
        <w:jc w:val="both"/>
        <w:rPr>
          <w:color w:val="auto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відкрито </w:t>
      </w:r>
      <w:r>
        <w:rPr>
          <w:rFonts w:ascii="Times New Roman" w:hAnsi="Times New Roman"/>
          <w:color w:val="auto"/>
          <w:spacing w:val="1"/>
          <w:sz w:val="28"/>
          <w:szCs w:val="28"/>
          <w:lang w:eastAsia="uk-UA"/>
        </w:rPr>
        <w:t>Музейний простір «Окольний замок», як результат проєкту «Нове життя старого міста: ревіталізація пам'яток історико-культурної спадщини Любліна і Луцька»,</w:t>
      </w:r>
      <w:r>
        <w:rPr>
          <w:rFonts w:ascii="Times New Roman" w:hAnsi="Times New Roman"/>
          <w:color w:val="auto"/>
          <w:sz w:val="28"/>
          <w:szCs w:val="28"/>
        </w:rPr>
        <w:t xml:space="preserve"> ініціатором і учасником написання якого було управління</w:t>
      </w:r>
      <w:r>
        <w:rPr>
          <w:rFonts w:ascii="Times New Roman" w:hAnsi="Times New Roman"/>
          <w:color w:val="auto"/>
          <w:spacing w:val="1"/>
          <w:sz w:val="28"/>
          <w:szCs w:val="28"/>
          <w:lang w:eastAsia="uk-UA"/>
        </w:rPr>
        <w:t>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започатковано і проводились у різні роки фестиваль «Князівський бенкет», артпроменад «Так звучить Луцьк», Луцька літературна резиденція «Місто натхнення», підтримуються інші популярні фестивалі та заходи, що залучають туристів до міста;</w:t>
      </w:r>
    </w:p>
    <w:p>
      <w:pPr>
        <w:pStyle w:val="Normal"/>
        <w:ind w:left="11" w:firstLine="556"/>
        <w:jc w:val="both"/>
        <w:rPr>
          <w:color w:val="auto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реалізується концепція «Луцьк — місто лицарів» шляхом підтримки клубів </w:t>
      </w:r>
      <w:r>
        <w:rPr>
          <w:rFonts w:ascii="Times New Roman" w:hAnsi="Times New Roman"/>
          <w:color w:val="auto"/>
          <w:sz w:val="28"/>
          <w:szCs w:val="28"/>
        </w:rPr>
        <w:t>історичної реконструкції та середньовічного бою;</w:t>
      </w:r>
    </w:p>
    <w:p>
      <w:pPr>
        <w:pStyle w:val="Normal"/>
        <w:ind w:left="11" w:firstLine="556"/>
        <w:jc w:val="both"/>
        <w:rPr>
          <w:color w:val="auto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підтримуються громадські ініціативи туристичного напряму;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здійснюється промоція заходів інших структурних підрозділів Луцької міської ради, які можуть сприяти залученню туристів до міста (культурно-мистецькі, спортивні, соціальні та інші);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надається сприяння реалізації інклюзивних проєктів, що роблять місто та інформацію про нього доступнішими для людей з вадами зору (створено тактильний макет Луцького замку, надруковано ряд видань шрифтом Брайля);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ініційовано створення Луцького туристичного альянсу, відбувається співпраця з готельно-ресторанним бізнесом, туристичними агентствами міста;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налагоджено співпрацю з Адміністрацією державного історико-культурного заповідника у місті Луцьку, Волинським краєзнавчим музеєм та його відділами, Музеєм сучасного українського мистецтва родини Корсаків; навчальними закладами міста;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початку повномасштабного вторгнення рф за підтримки міжнародного фонду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Aliph </w:t>
      </w:r>
      <w:r>
        <w:rPr>
          <w:rFonts w:ascii="Times New Roman" w:hAnsi="Times New Roman"/>
          <w:color w:val="000000"/>
          <w:sz w:val="28"/>
          <w:szCs w:val="28"/>
        </w:rPr>
        <w:t xml:space="preserve">у співпраці з компанією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Skeiron </w:t>
      </w:r>
      <w:r>
        <w:rPr>
          <w:rFonts w:ascii="Times New Roman" w:hAnsi="Times New Roman"/>
          <w:color w:val="000000"/>
          <w:sz w:val="28"/>
          <w:szCs w:val="28"/>
        </w:rPr>
        <w:t>здійснено оцифрування чотирьох найбільших пам'яток архітектури;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налагоджено співпрацю з польською організацією «Dom Odbudowy Ukrainy», завдяки чому три музеї міста отримали генератори;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проведено ряд престурів та фамтурів.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Завдяки наполегливій роботі управління у ковідний період та з початку повномасштабного вторгнення рф вдалось втримати від розпаду галузь туризму міста та забезпечити її функціонування.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Завдяки ініціативі та зусиллям управління було досягнуто порозуміння з найбільшим європейським автобусним перевізником FlixBus, завдяки чому Луцьк включено у мережу його транспортних маршрутів.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жаль, є проблеми, вирішити які не вдалося, і шляхів вирішення яких на даний час не знайдено. Це, в першу чергу, недостатньо оптимізована транспортна інфраструктура: незручні залізничні маршрути і недостатня їх кількість, відсутність прямих рейсів до багатьох обласних центрів та міст-мільйонників України, аеропортів Львова і Рівного; відсутність сполучення Intercity. Не зважаючи на ініціативи управління, Луцької міської ради, залучення депутатів усіх рівнів, включно з депутатами Верховної ради України, порозуміння з Укрзалізницею не знайдено.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Виконання попередніх Програм, а також розширення території міста завдяки входженню до його складу сільських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bidi="ar-SA"/>
        </w:rPr>
        <w:t>рад</w:t>
      </w:r>
      <w:r>
        <w:rPr>
          <w:rFonts w:ascii="Times New Roman" w:hAnsi="Times New Roman"/>
          <w:color w:val="000000"/>
          <w:sz w:val="28"/>
          <w:szCs w:val="28"/>
        </w:rPr>
        <w:t xml:space="preserve"> та створення  Луцької міської територіальної громади, запровадження воєнного стану поставило перед управлінням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низку проблем, вирішення яких необхідне для подальшого розвитку Луцька як туристичної дестинації, а саме: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відсутність стратегії розвитку галузі в нових умовах;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відсутність оновлених даних маркетингових досліджень;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відсутність рекомендацій для представників сфери гостинності та балансоутримувачів туристичних об'єктів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щодо покращення рівня доступності для маломобільних груп туристів та мешканців;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відсутність затверджених правил екскурсійної діяльності;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необхідність оптимізації транспортної інфраструктури;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незацікавленість туристичних фірм працювати у сфері в’їзного туризму;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недостатня інноваційність підходів використання потенціалу пам'яток архітектури та історії;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поява нових туристичних об'єктів, які потребують впорядкування, ознакування та промоції;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відсутність на території </w:t>
      </w:r>
      <w:r>
        <w:rPr>
          <w:rFonts w:ascii="Times New Roman" w:hAnsi="Times New Roman"/>
          <w:color w:val="auto"/>
          <w:sz w:val="28"/>
          <w:szCs w:val="28"/>
        </w:rPr>
        <w:t>Старого міста</w:t>
      </w:r>
      <w:r>
        <w:rPr>
          <w:rFonts w:ascii="Times New Roman" w:hAnsi="Times New Roman"/>
          <w:color w:val="000000"/>
          <w:sz w:val="28"/>
          <w:szCs w:val="28"/>
        </w:rPr>
        <w:t xml:space="preserve"> об’єктів готельно-ресторанного господарства, які б «оживили» цю територію, створили відповідну атмосферу і стали додатковим фактором приваблення та організації дозвілля туристів та лучан (готелів для проживання туристів, творчих кав’ярень, літніх майданчиків, сувенірних крамниць, майстерень народних промислів тощо);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потреба у підвищенні рівня послуг індустрії гостинності;</w:t>
      </w:r>
    </w:p>
    <w:p>
      <w:pPr>
        <w:pStyle w:val="Normal"/>
        <w:ind w:left="11" w:firstLine="556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недостатній рівень дослідження та популяризація історії міста Луцька та громади;</w:t>
      </w:r>
    </w:p>
    <w:p>
      <w:pPr>
        <w:pStyle w:val="Normal"/>
        <w:ind w:left="11" w:firstLine="556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відсутність комплексної програми виховання лучанина, недостатня поінформованість жителів міста про його історію, архітектуру, культуру тощо;</w:t>
      </w:r>
    </w:p>
    <w:p>
      <w:pPr>
        <w:pStyle w:val="Normal"/>
        <w:ind w:left="11" w:firstLine="556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недостатня доступність туристичних об'єктів для людей з інвалідністю;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застаріла система туристичного ознакування та необхідність посилення  історичної просвіти у зв'язку із перейменуванням багатьох вулиць;</w:t>
      </w:r>
    </w:p>
    <w:p>
      <w:pPr>
        <w:pStyle w:val="Normal"/>
        <w:ind w:left="11" w:firstLine="556"/>
        <w:jc w:val="both"/>
        <w:rPr>
          <w:highlight w:val="yellow"/>
        </w:rPr>
      </w:pPr>
      <w:r>
        <w:rPr>
          <w:rFonts w:ascii="Times New Roman" w:hAnsi="Times New Roman"/>
          <w:color w:val="000000"/>
          <w:sz w:val="28"/>
          <w:szCs w:val="28"/>
        </w:rPr>
        <w:t>недостатній розвиток зеленого туризму, необхідність популяризації  екологічних туристичних маршрутів та болотно-водних ландшафтів в контексті зелено-блакитної інфраструктури;</w:t>
      </w:r>
    </w:p>
    <w:p>
      <w:pPr>
        <w:pStyle w:val="Normal"/>
        <w:ind w:left="11" w:firstLine="556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  <w:t>недостатня видимість Луцька на міжнародному туристичному ринку.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Вирішення цих проблем позитивно вплине на підвищення туристичної привабливості і видимості на туристичному ринку Луцької міської територіальної громади. Оскільки ці проблеми є багато в чому взаємопов'язаними, то їх реалізація потребує комплексного підходу та затвердження Програми розвитку туризму Луцької міської територіальної громади на 2024–2025 роки (далі – Програма) з подальшою пролонгацією викладених у ній підходів та заходів на післявоєнний період. </w:t>
      </w:r>
    </w:p>
    <w:p>
      <w:pPr>
        <w:pStyle w:val="Normal"/>
        <w:ind w:left="11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11" w:firstLine="709"/>
        <w:jc w:val="center"/>
        <w:rPr>
          <w:b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2. Визначення мети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Метою Програми є забезпечення сталого і стійкого розвитку туристичної галузі Луцької міської територіальної громади. </w:t>
      </w:r>
    </w:p>
    <w:p>
      <w:pPr>
        <w:pStyle w:val="Style16"/>
        <w:spacing w:before="0" w:after="0"/>
        <w:ind w:left="11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11" w:firstLine="709"/>
        <w:jc w:val="center"/>
        <w:rPr>
          <w:b/>
          <w:b/>
          <w:color w:val="000000"/>
          <w:szCs w:val="28"/>
          <w:highlight w:val="darkGree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3. Засоби розв’язання проблеми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Для оптимального вирішення визначених проблем слід розробити та реалізувати низку заходів стратегічного й тактичного характеру: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продовжити лобіювання питань зміни графіків руху залізничного транспорту з метою оптимізації туристичних потоків до міста Луцька, введення нових залізничних та автобусних маршрутів;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впорядкувати, ознакувати та промувати об'єкти туристичного інтересу на території Луцької міської територіальної громади;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покращити рівень обслуговування громадян (в тому числі з інвалідністю) закладами індустрії гостинності шляхом організації та проведення семінарів, тренінгів, пізнавальних поїздок, програм з обміну досвідом для фахівців, залучених у туристичну сферу: готельєрів, рестораторів, гідів, турагентів;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підвищити ефективність використання туристичних об’єктів (включаючи туристичні об'єкти на новоприєднаних територіях Луцької міської територіальної громади) шляхом запровадження інноваційних підходів у використання, оптимізації графіків роботи, доступності для громадян з інвалідністю, створення нових туристичних маршрутів та продуктів;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сприяти вивченню Луцька як одного з найдавніших міських осередків України, міста з тривалим столичним статусом, центру багатокультурної та багатоетнічної спадщини, осередку численних архітектурних та містобудівних пам’яток, актуалізації малодосліджених періодів та подій міської історії, візуалізації просторової та містобудівної історії міста, в тому числі й на базі Музейного простору «Окольний замок»;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сприяти відповідальному використанню і розвитку болотно-водних ландшафтів громади у контексті зелено-блакитної міської інфраструктури та популяризувати екологічні туристичні маршрути;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використовувати рекреаційні та туристичні ресурси Волинської області для розвитку широкої сітки туристичних маршрутів, що включатимуть Луцьк та впроваджувати вже розроблені туристичні маршрути концепції «Луцьк +»;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брати участь у написанні проєктів для залучення додаткових донорських коштів у розвиток туризму в громаді;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підтримувати громадські ініціативи у галузі туризму і забезпечити їх фінансування та реалізацію;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забезпечити належний рівень промоції міста в Україні та за кордоном, в тому числі використовуючи потенціал міст-партнерів;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покращити  інформування громадськості в Україні та за кордоном про історико-культурну спадщину міста шляхом співпраці з місцевими, загальноукраїнськими та закордонними ЗМІ. </w:t>
      </w:r>
    </w:p>
    <w:p>
      <w:pPr>
        <w:pStyle w:val="Style24"/>
        <w:spacing w:before="0" w:after="0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Фінансування заходів Програми здійснюється за рахунок коштів  бюджету Луцької міської територіальної громади та інших джерел.</w:t>
      </w:r>
    </w:p>
    <w:p>
      <w:pPr>
        <w:pStyle w:val="Normal"/>
        <w:ind w:left="11" w:firstLine="556"/>
        <w:jc w:val="both"/>
        <w:rPr>
          <w:highlight w:val="darkGreen"/>
        </w:rPr>
      </w:pPr>
      <w:r>
        <w:rPr>
          <w:rFonts w:ascii="Times New Roman" w:hAnsi="Times New Roman"/>
          <w:color w:val="000000"/>
          <w:sz w:val="28"/>
          <w:szCs w:val="28"/>
        </w:rPr>
        <w:t>Ресурсне забезпечення Програми наведено у додатку 1 до Програми.</w:t>
      </w:r>
    </w:p>
    <w:p>
      <w:pPr>
        <w:pStyle w:val="Style24"/>
        <w:spacing w:before="0" w:after="0"/>
        <w:ind w:left="11" w:firstLine="556"/>
        <w:jc w:val="both"/>
        <w:rPr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Програма є короткостроковою та здійснюватиметься протягом 2024–2025 років. Коригування плану заходів Програми та термінів їх виконання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bidi="ar-SA"/>
        </w:rPr>
        <w:t>проводитиметься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 необхідністю.</w:t>
      </w:r>
    </w:p>
    <w:p>
      <w:pPr>
        <w:pStyle w:val="Style24"/>
        <w:spacing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11" w:firstLine="709"/>
        <w:jc w:val="center"/>
        <w:rPr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4. Перелік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завдань і заходів Програми. Результативні показники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Програма покликана реалізовувати такі заходи: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 популяризація бренду Луцька, проведення інформаційно-промоційної кампанії у Луцьку, регіоні, Україні та сусідніх країнах, спрямованої на популяризацію міста як туристичної дестинації;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2) розвиток й удосконалення туристичної інфраструктури;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3) створення конкурентоспроможних туристичних продуктів;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4) поглиблення зв’язків з містами-партнерами у галузі туризму, зокрема промоції громади;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sz w:val="28"/>
          <w:szCs w:val="28"/>
        </w:rPr>
        <w:t>5) забезпечення участі у міжнародних програмах і проєктах з розвитку туризму, організація міжнародної співпраці у сфері туризму;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6) розвиток та поглиблення співпраці місцевої влади, громадськості та туристичного бізнесу;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7) впровадження Луцького стандарту гостинності серед закладів гостинності;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sz w:val="28"/>
          <w:szCs w:val="28"/>
        </w:rPr>
        <w:t>8) поліпшення іміджу Луцька як туристичного центру та центру для проведення бізнес-подій;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9) підвищення якості обслуговування туристів (в тому числі й людей з інвалідністю);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10) проведення школи гідів;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11) розвиток зеленого туризму в громаді;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12) розвиток історико-пізнавального, подієвого та паломницького, а також ділового та корпоративного туризму;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13) підтримка клубів історичної реконструкції та середньовічного бою;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14) забезпечення доступності (повної або часткової) туристичних об'єктів для людей з інвалідністю;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15) оптимізація туристичних потоків і збільшення кількості туристів;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16) збільшення прибутковості галузі туризму.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Впровадження Програми передбачається за такими основними завданнями: </w:t>
      </w:r>
    </w:p>
    <w:p>
      <w:pPr>
        <w:pStyle w:val="Normal"/>
        <w:suppressAutoHyphens w:val="false"/>
        <w:snapToGrid w:val="false"/>
        <w:ind w:left="11" w:right="-97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 з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абезпечення ефективного управління туристичною  галуззю Луцької міської територіальної громади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2) маркетинг та промоція Луцької міської територіальної громади;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3) розвиток туристичної інфраструктури;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4) 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ідвищення професійного рівня працівників </w:t>
      </w:r>
      <w:r>
        <w:rPr>
          <w:rFonts w:ascii="Times New Roman" w:hAnsi="Times New Roman"/>
          <w:color w:val="000000"/>
          <w:sz w:val="28"/>
          <w:szCs w:val="28"/>
        </w:rPr>
        <w:t xml:space="preserve">сфери гостинності; </w:t>
      </w:r>
      <w:r>
        <w:rPr>
          <w:rFonts w:ascii="Times New Roman" w:hAnsi="Times New Roman"/>
          <w:sz w:val="28"/>
          <w:szCs w:val="28"/>
        </w:rPr>
        <w:t>поліпшення якості комунікацій в сфері туризму;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5) інші проєкти.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11" w:firstLine="556"/>
        <w:rPr>
          <w:highlight w:val="darkGreen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Виконання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bidi="ar-SA"/>
        </w:rPr>
        <w:t>Програми за</w:t>
      </w:r>
      <w:r>
        <w:rPr>
          <w:rFonts w:ascii="Times New Roman" w:hAnsi="Times New Roman"/>
          <w:color w:val="000000"/>
          <w:sz w:val="28"/>
          <w:szCs w:val="28"/>
        </w:rPr>
        <w:t>безпечить: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вивчення й оптимізацію туристичних потоків, коригування «профілю» луцького туриста;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sz w:val="28"/>
          <w:szCs w:val="28"/>
        </w:rPr>
        <w:t>розширення цільових аудиторій туристів;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створення якісного регіонального туристичного продукту; 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вдосконалення наявної туристичної інфраструктури та створення нових об’єктів інфраструктури;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розвиток у громаді «зеленого» туризму;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підвищення якості науково-методичного та кадрового забезпечення галузі;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збільшення показників в'їзного та внутрішнього туризму;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раціональне використання та розвиток наявних туристичних ресурсів громади;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підвищення рівня привабливості Луцька як туристичного центру Волині;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sz w:val="28"/>
          <w:szCs w:val="28"/>
        </w:rPr>
        <w:t>підвищення рівня задоволеності туристичними послугами;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збільшення обсягу і якості промоційних та презентаційних матеріалів про Луцьку міську територіальну громаду;</w:t>
      </w:r>
    </w:p>
    <w:p>
      <w:pPr>
        <w:pStyle w:val="Normal"/>
        <w:ind w:left="11" w:firstLine="556"/>
        <w:jc w:val="both"/>
        <w:rPr>
          <w:color w:val="FF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співучасть громадян та бізнесу у розвитку туристичного потенціалу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bidi="ar-SA"/>
        </w:rPr>
        <w:t>громади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створення високоприбуткової галузі економіки для задоволення потреб внутрішнього та міжнародного туриста;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створення передумов для залучення інвестицій у розвиток туристичної інфраструктури, в тому числі міжнародних;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створення позитивного іміджу міста та поліпшення його інвестиційної привабливості;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зростання обсягу реалізації туристичних і готельних послуг та підвищення їх якості;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збільшення кількості туристів, терміну перебування туриста у місті, суми їх витрат;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збільшення надходжень від галузі туризму до бюджету міської територіальної громади.</w:t>
      </w:r>
    </w:p>
    <w:p>
      <w:pPr>
        <w:pStyle w:val="Normal"/>
        <w:ind w:left="11" w:firstLine="556"/>
        <w:jc w:val="both"/>
        <w:rPr>
          <w:i/>
          <w:i/>
          <w:color w:val="000000"/>
          <w:szCs w:val="28"/>
          <w:highlight w:val="darkGreen"/>
        </w:rPr>
      </w:pPr>
      <w:r>
        <w:rPr>
          <w:rFonts w:ascii="Times New Roman" w:hAnsi="Times New Roman"/>
          <w:color w:val="000000"/>
          <w:sz w:val="28"/>
          <w:szCs w:val="28"/>
        </w:rPr>
        <w:t>Перелік завдань, заходів та результативні показники Програми наведено у додатку 2 до Програми.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11" w:firstLine="709"/>
        <w:jc w:val="center"/>
        <w:rPr>
          <w:b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5. Координація і контроль за ходом виконання Програми.</w:t>
      </w:r>
    </w:p>
    <w:p>
      <w:pPr>
        <w:pStyle w:val="Normal"/>
        <w:ind w:left="11" w:firstLine="709"/>
        <w:jc w:val="center"/>
        <w:rPr>
          <w:highlight w:val="darkGree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Звіт про виконання Програми</w:t>
      </w:r>
    </w:p>
    <w:p>
      <w:pPr>
        <w:pStyle w:val="Normal"/>
        <w:ind w:left="11" w:firstLine="556"/>
        <w:jc w:val="both"/>
        <w:rPr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Загальна координація та контроль за ходом виконання Програми покладені на заступника міського голови, відповідно до розподілу обов'язків. Відповідальним виконавцем Програми визначено управління туризму та промоції міста Луцької міської ради.</w:t>
      </w:r>
    </w:p>
    <w:p>
      <w:pPr>
        <w:pStyle w:val="Normal"/>
        <w:tabs>
          <w:tab w:val="clear" w:pos="709"/>
          <w:tab w:val="left" w:pos="5580" w:leader="none"/>
        </w:tabs>
        <w:ind w:left="11" w:firstLine="556"/>
        <w:jc w:val="both"/>
        <w:rPr>
          <w:b/>
          <w:b/>
          <w:color w:val="00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 метою дотримання принципу колегіальності, компетентності та прозорості управлінсько-організаційного і фінансового забезпечення реалізації Програми функції щодо здійснення систематичного моніторингу ходу її виконання покладаються на постійну комісію з питань міжнародного співробітництва, інформаційної політики, молоді, спорту та туризму Луцької міської ради</w:t>
      </w:r>
      <w:r>
        <w:rPr>
          <w:rFonts w:cs="Arial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ind w:left="11" w:firstLine="556"/>
        <w:jc w:val="both"/>
        <w:rPr>
          <w:color w:val="FF0000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Звіт про виконання Програми заслуховується на сесії міської ради після завершення її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bidi="ar-SA"/>
        </w:rPr>
        <w:t>дії</w:t>
      </w:r>
      <w:r>
        <w:rPr>
          <w:rFonts w:ascii="Times New Roman" w:hAnsi="Times New Roman"/>
          <w:color w:val="000000"/>
          <w:sz w:val="28"/>
          <w:szCs w:val="28"/>
        </w:rPr>
        <w:t xml:space="preserve"> н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bidi="ar-SA"/>
        </w:rPr>
        <w:t>а вимогу депутатів.</w:t>
      </w:r>
    </w:p>
    <w:p>
      <w:pPr>
        <w:pStyle w:val="Normal"/>
        <w:ind w:left="1080" w:hanging="1080"/>
        <w:jc w:val="both"/>
        <w:rPr>
          <w:b/>
          <w:b/>
          <w:color w:val="FF0000"/>
        </w:rPr>
      </w:pPr>
      <w:r>
        <w:rPr>
          <w:b/>
          <w:color w:val="FF0000"/>
        </w:rPr>
      </w:r>
    </w:p>
    <w:p>
      <w:pPr>
        <w:pStyle w:val="Normal"/>
        <w:ind w:left="1080" w:hanging="1080"/>
        <w:jc w:val="both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ind w:left="1080" w:hanging="1080"/>
        <w:jc w:val="both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ascii="Times New Roman" w:hAnsi="Times New Roman"/>
          <w:color w:val="00000A"/>
          <w:sz w:val="28"/>
          <w:szCs w:val="28"/>
        </w:rPr>
        <w:t xml:space="preserve">Секретар міської ради </w:t>
        <w:tab/>
        <w:tab/>
        <w:tab/>
        <w:tab/>
        <w:tab/>
        <w:tab/>
        <w:tab/>
        <w:t>Юрій БЕЗПЯТКО</w:t>
      </w:r>
    </w:p>
    <w:p>
      <w:pPr>
        <w:pStyle w:val="Normal"/>
        <w:ind w:left="1080" w:hanging="10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1080" w:hanging="108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</w:rPr>
        <w:t>Теліпська 777 924</w:t>
      </w:r>
    </w:p>
    <w:p>
      <w:pPr>
        <w:pStyle w:val="Normal"/>
        <w:ind w:left="1080" w:hanging="10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67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567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567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567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567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567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567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Додаток 1</w:t>
      </w:r>
    </w:p>
    <w:p>
      <w:pPr>
        <w:pStyle w:val="Normal"/>
        <w:rPr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ab/>
        <w:t xml:space="preserve">до Програми </w:t>
      </w:r>
      <w:r>
        <w:rPr>
          <w:rFonts w:ascii="Times New Roman" w:hAnsi="Times New Roman"/>
          <w:color w:val="000000"/>
          <w:sz w:val="28"/>
          <w:szCs w:val="28"/>
        </w:rPr>
        <w:t xml:space="preserve">розвитку туризму </w:t>
        <w:tab/>
        <w:tab/>
        <w:tab/>
        <w:tab/>
        <w:tab/>
        <w:tab/>
        <w:tab/>
        <w:tab/>
        <w:t xml:space="preserve">Луцької міської територіальної </w:t>
        <w:tab/>
        <w:tab/>
        <w:tab/>
        <w:tab/>
        <w:tab/>
        <w:tab/>
        <w:tab/>
        <w:tab/>
        <w:t>громади на 2024–2025 роки</w:t>
      </w:r>
    </w:p>
    <w:p>
      <w:pPr>
        <w:pStyle w:val="Normal"/>
        <w:tabs>
          <w:tab w:val="clear" w:pos="709"/>
          <w:tab w:val="left" w:pos="5580" w:leader="none"/>
        </w:tabs>
        <w:jc w:val="right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Ресурсне забезпечення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Програми розвитку туризму Луцької міської територіальної громади 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2024–2025 роки</w:t>
      </w:r>
    </w:p>
    <w:p>
      <w:pPr>
        <w:pStyle w:val="Normal"/>
        <w:jc w:val="center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rPr>
          <w:color w:val="000000"/>
          <w:szCs w:val="28"/>
        </w:rPr>
      </w:pPr>
      <w:r>
        <w:rPr>
          <w:color w:val="000000"/>
          <w:szCs w:val="28"/>
        </w:rPr>
      </w:r>
    </w:p>
    <w:tbl>
      <w:tblPr>
        <w:tblW w:w="9457" w:type="dxa"/>
        <w:jc w:val="left"/>
        <w:tblInd w:w="177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30"/>
        <w:gridCol w:w="4253"/>
        <w:gridCol w:w="1107"/>
        <w:gridCol w:w="1107"/>
        <w:gridCol w:w="2260"/>
      </w:tblGrid>
      <w:tr>
        <w:trPr>
          <w:cantSplit w:val="true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Обсяг коштів, які пропонується залучити на виконання Програми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(тис. грн)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color w:val="FF0000"/>
                <w:szCs w:val="28"/>
              </w:rPr>
            </w:pPr>
            <w:r>
              <w:rPr>
                <w:b/>
                <w:color w:val="FF0000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2024 рік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  <w:highlight w:val="red"/>
              </w:rPr>
            </w:pPr>
            <w:r>
              <w:rPr>
                <w:b/>
                <w:color w:val="000000"/>
                <w:highlight w:val="red"/>
              </w:rPr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2025 рік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"/>
              <w:widowControl w:val="false"/>
              <w:ind w:left="11" w:right="271" w:hanging="0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Загальний обсяг фінансування</w:t>
            </w:r>
          </w:p>
          <w:p>
            <w:pPr>
              <w:pStyle w:val="Normal"/>
              <w:widowControl w:val="false"/>
              <w:ind w:left="11" w:right="271" w:hanging="0"/>
              <w:jc w:val="center"/>
              <w:rPr>
                <w:b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(тис. грн)</w:t>
            </w:r>
          </w:p>
        </w:tc>
      </w:tr>
      <w:tr>
        <w:trPr/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Обсяг фінансових ресурсів всього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38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3035,0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415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</w:tr>
      <w:tr>
        <w:trPr/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  <w:highlight w:val="red"/>
              </w:rPr>
            </w:pPr>
            <w:r>
              <w:rPr>
                <w:color w:val="000000"/>
                <w:szCs w:val="28"/>
                <w:highlight w:val="red"/>
              </w:rPr>
            </w:r>
          </w:p>
        </w:tc>
        <w:tc>
          <w:tcPr>
            <w:tcW w:w="87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</w:tc>
      </w:tr>
      <w:tr>
        <w:trPr/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коштів бюджету громади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530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1845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375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</w:tr>
      <w:tr>
        <w:trPr/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850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1190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2040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sectPr>
          <w:headerReference w:type="default" r:id="rId3"/>
          <w:type w:val="nextPage"/>
          <w:pgSz w:w="11906" w:h="16838"/>
          <w:pgMar w:left="1701" w:right="566" w:header="567" w:top="1191" w:footer="0" w:bottom="1134" w:gutter="0"/>
          <w:pgNumType w:fmt="decimal"/>
          <w:formProt w:val="false"/>
          <w:textDirection w:val="lrTb"/>
          <w:docGrid w:type="default" w:linePitch="100" w:charSpace="8192"/>
        </w:sectPr>
        <w:pStyle w:val="Normal"/>
        <w:ind w:left="142" w:hanging="0"/>
        <w:jc w:val="both"/>
        <w:rPr/>
      </w:pPr>
      <w:r>
        <w:rPr>
          <w:rFonts w:ascii="Times New Roman" w:hAnsi="Times New Roman"/>
        </w:rPr>
        <w:t>Теліпська 777 924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val="en-US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Додаток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2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до Програми розвитку туризму </w:t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Луцької міської територіальної </w:t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>громади на 2024–2025 роки</w:t>
      </w:r>
    </w:p>
    <w:p>
      <w:pPr>
        <w:pStyle w:val="Normal"/>
        <w:jc w:val="center"/>
        <w:rPr>
          <w:b/>
          <w:b/>
          <w:bCs/>
          <w:highlight w:val="darkGreen"/>
        </w:rPr>
      </w:pPr>
      <w:r>
        <w:rPr>
          <w:b/>
          <w:bCs/>
          <w:highlight w:val="darkGreen"/>
        </w:rPr>
      </w:r>
    </w:p>
    <w:p>
      <w:pPr>
        <w:pStyle w:val="Normal"/>
        <w:jc w:val="center"/>
        <w:rPr>
          <w:b/>
          <w:b/>
          <w:bCs/>
          <w:highlight w:val="darkGree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Програми розвитку туризму Луцької міської територіальної громади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2024–2025 роки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3950" w:type="dxa"/>
        <w:jc w:val="left"/>
        <w:tblInd w:w="8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1841"/>
        <w:gridCol w:w="6"/>
        <w:gridCol w:w="2346"/>
        <w:gridCol w:w="25"/>
        <w:gridCol w:w="1433"/>
        <w:gridCol w:w="39"/>
        <w:gridCol w:w="2074"/>
        <w:gridCol w:w="17"/>
        <w:gridCol w:w="1737"/>
        <w:gridCol w:w="1014"/>
        <w:gridCol w:w="728"/>
        <w:gridCol w:w="2122"/>
      </w:tblGrid>
      <w:tr>
        <w:trPr/>
        <w:tc>
          <w:tcPr>
            <w:tcW w:w="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 xml:space="preserve">№ </w:t>
            </w:r>
            <w:r>
              <w:rPr>
                <w:rFonts w:ascii="Times New Roman" w:hAnsi="Times New Roman"/>
                <w:b/>
                <w:color w:val="000000"/>
                <w:lang w:eastAsia="uk-UA"/>
              </w:rPr>
              <w:t>з/п</w:t>
            </w:r>
          </w:p>
        </w:tc>
        <w:tc>
          <w:tcPr>
            <w:tcW w:w="18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highlight w:val="red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Назва завдання</w:t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highlight w:val="red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Назва заходів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Терміни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виконання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Виконавці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Джерела фінансування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Орієнтовні обсяги фінансування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(тис. грн)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b/>
                <w:bCs/>
              </w:rPr>
              <w:t>Результативні показники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eastAsia="uk-UA"/>
              </w:rPr>
              <w:t>1.</w:t>
            </w:r>
          </w:p>
        </w:tc>
        <w:tc>
          <w:tcPr>
            <w:tcW w:w="18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97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Забезпечення ефективного управління туристичною галуззю Луцької міської територіальної громади</w:t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1.1. Проведення маркетингових досліджень та моніторингу туристичних потоків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Отримання статистичних даних, які відображають стан галузі у Луцькій міській територіальній громаді: туристичні потоки та їх динаміку, профіль туриста, економічні показники діяльності галузі туризму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1.2. Створення Стратегії туристичного розвитку Луцька на 2026–2030 роки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профільні громадські організації,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фонди, окремі фахівці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Визначеність шляху розвитку Луцької міської територіальної громади  як туристичної дестинації, забезпечення системного розвитку туризму як її важливої стратегічної галузі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1.3. Проведення аудиту об'єктів туристичної сфери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0,00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Отримання достовірних актуальних даних про кількість об'єктів туристичного інтересу, їхній стан, та доступність для маломобільних груп населення; оновлений перелік закладів </w:t>
            </w:r>
            <w:r>
              <w:rPr>
                <w:rFonts w:ascii="Times New Roman" w:hAnsi="Times New Roman"/>
                <w:lang w:val="en-US"/>
              </w:rPr>
              <w:t>HORECA,</w:t>
            </w:r>
            <w:r>
              <w:rPr>
                <w:rFonts w:ascii="Times New Roman" w:hAnsi="Times New Roman"/>
              </w:rPr>
              <w:t xml:space="preserve"> моніторинг закладів розміщення, що сплачують туристичний збір,   туристичних агентств, що займаються внутрішнім туризмом тощо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1.4. Заходи з впорядкування туристично-екскурсійної діяльності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Затвердження єдиних правил ведення екскурсійної діяльності, видача ідентифікаційної професійної картки екскурсовода/гіда-перекладача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1.5. Створення рекомендацій для представників сфери гостинності та балансоутримувачів туристичних об'єктів  щодо покращення рівня доступності для маломобільних груп туристів та мешканців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профільні громадські організації,</w:t>
            </w:r>
          </w:p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фонди, окремі фахівці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Впровадження рекомендацій національної стратегії зі створення безбар'єрного простору у туристичну сферу громади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eastAsia="uk-UA"/>
              </w:rPr>
              <w:t>2.</w:t>
            </w:r>
          </w:p>
        </w:tc>
        <w:tc>
          <w:tcPr>
            <w:tcW w:w="18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Маркетинг та промоція Луцької міської територіальної громади</w:t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2.1. Цифрове просування дестинації із використанням таргетованої реклами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150,00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Збільшення видимості Луцької міської територіальної громади як туристичної дестинації на онлайн-ресурсах та в медійному просторі цільових аудиторій.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2.2. Створення та купівля якісного фото та відеоконтенту як ефективного способу промоції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Поширення промоційних фото та відеоматеріалів з позитивною інформацією про громаду, події, особистості, пов'язані з нею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2.3. Розробка, дизайн, виготовлення та придбання промоційної поліграфічної та сувенірної продукції українською та іноземними мовами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Підтримка єдиного стилю сувенірної та поліграфічної продукції, що сприятиме популяризації та впізнаваності бренду міста; друк туристичної карти-схеми Луцької територіальної громади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2.4. Організація та проведення престурів, презентацій для вітчизняних та закордонних ЗМІ,  блогерів, фамтурів для туристичних операторів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управління інформаційної роботи,  КП «Центр розвитку туризму», музеї міста,  Адміністрація державного історико-культурного заповідника у м. Луцьку (за згодою), заклади HoReCa (за згодою)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та поширення промоційних повідомлень в інформаційному просторі України та закордоном (ЗМІ, інтернет ресурси);</w:t>
            </w:r>
          </w:p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нових туристичних потоків та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2.5. Організація, проведення,  координація і участь у подіях (туристичних виставках, форумах, презентаціях, конференціях, круглих столах, майстер-класах, лекціях тощо) в Україні і за кордоном, спрямованих на поширення знань про громаду, її історико-культурну спадщину, туристичний потенціал тощо.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Оплата проїзду та відрядних витрат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сприятливого простору для пошуку партнерів, обміну досвідом та налагодження співпраці у туристичній сфері.</w:t>
            </w:r>
          </w:p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Формування позитивного іміджу громади у туристів, туропер</w:t>
            </w:r>
            <w:r>
              <w:rPr>
                <w:rFonts w:ascii="Times New Roman" w:hAnsi="Times New Roman"/>
                <w:color w:val="000000"/>
                <w:lang w:val="en-US"/>
              </w:rPr>
              <w:t>аторів</w:t>
            </w:r>
            <w:r>
              <w:rPr>
                <w:rFonts w:ascii="Times New Roman" w:hAnsi="Times New Roman"/>
                <w:color w:val="000000"/>
              </w:rPr>
              <w:t xml:space="preserve"> та турагентів, а також поширення інформації про її туристичні ресурси на внутрішньому та міжнародному туристичних ринках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2.6. Школа луцькознавства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департамент освіти,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департамент сім'ї, молоді і спорту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40,00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Виховання патріотизму, поширення знань про Луцьку міську територіальну громаду, виховання свідомих лучан, підготовка «амбасадорів Луцька»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2.7. Підтримка і розвиток проєкту «Луцький кликун»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135,00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/>
            </w:pPr>
            <w:r>
              <w:rPr>
                <w:rFonts w:ascii="Times New Roman" w:hAnsi="Times New Roman"/>
                <w:color w:val="000000"/>
              </w:rPr>
              <w:t>Популяризація образу міського героя – луцького кликуна. Оплата праці луцького кликуна.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П</w:t>
            </w:r>
            <w:r>
              <w:rPr>
                <w:rFonts w:ascii="Times New Roman" w:hAnsi="Times New Roman"/>
                <w:color w:val="000000"/>
              </w:rPr>
              <w:t>роведення Дня кликуна, виготовлення нового взуття, ремонт костюму. Встановлення нових скульптур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2.8. Проведення Луцької літературної  резиденції та заходів під її парасольковим брендом за участю популярних авторів. Забезпечення їх  перебування в місті (проживання, харчування)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заклади HoReCa (за згодою) та ін.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70,00</w:t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/>
            </w:pPr>
            <w:r>
              <w:rPr>
                <w:rFonts w:ascii="Times New Roman" w:hAnsi="Times New Roman"/>
                <w:color w:val="000000"/>
              </w:rPr>
              <w:t xml:space="preserve">Сприяння поширенню позитивної інформації про </w:t>
            </w:r>
            <w:r>
              <w:rPr>
                <w:rFonts w:ascii="Times New Roman" w:hAnsi="Times New Roman"/>
                <w:color w:val="000000"/>
                <w:lang w:eastAsia="uk-UA"/>
              </w:rPr>
              <w:t xml:space="preserve">Луцьку міську територіальну  громаду у творах сучасних популярних авторів. </w:t>
            </w:r>
            <w:r>
              <w:rPr>
                <w:rFonts w:ascii="Times New Roman" w:hAnsi="Times New Roman"/>
                <w:color w:val="000000"/>
              </w:rPr>
              <w:t>Створення низки творів різних жанрів про громаду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2.9. Проведення заходу «Артпроменад “Так звучить Луцьк”»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департамент культури, Волинська обласна філармонія, Волинський коледж культури і мистецтв імені І.Ф. Стравінського (за згодою)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Популяризація туристичного потенціалу Луцька, організація дозвілля лучан та туристів, популяризація мистецького потенціалу,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60,00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2.10. Відзначення Дня туризму (проведення інтелектуальних ігор для закладів освіти громади,  інших тематичних заходів, нагородження представників туристичного активу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департамент освіти,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громадські організації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Консолідація представників туристичного ринку, популяризація туристичного потенціалу громади, поширення знань про неї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2.11. Підтримка громадських ініціатив, спрямованих на підвищення туристичної привабливості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Участь громади у розвитку туристичної галузі. Створення у мешканців відчуття співучасті та відповідальності за розвиток громади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</w:t>
            </w:r>
          </w:p>
        </w:tc>
        <w:tc>
          <w:tcPr>
            <w:tcW w:w="18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Розвиток туристичної інфраструктури</w:t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3.1. Оновлення та вдосконалення системи туристичного ознакування. 3D сканування пам’яток архітектури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сприятливих умов для орієнтування  в межах Луцької міської територіальної громади (оновлення існуючої системи туристичного ознакування згідно з розробленою концепцією, встановлення нових туристичних знаків, вказівників, інформаційних таблиць)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60,00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3.2. Долучення до всеукраїнського проєкту «Стріткод»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Посилення  історичної просвіти, популяризація історії, декомунізація історичної свідомості</w:t>
            </w:r>
          </w:p>
        </w:tc>
      </w:tr>
      <w:tr>
        <w:trPr/>
        <w:tc>
          <w:tcPr>
            <w:tcW w:w="56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3.4. Підвищення рівня доступності туристичних об’єктів</w:t>
            </w:r>
          </w:p>
        </w:tc>
        <w:tc>
          <w:tcPr>
            <w:tcW w:w="1458" w:type="dxa"/>
            <w:gridSpan w:val="2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профільні громадські організації, фонди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0,00</w:t>
            </w:r>
          </w:p>
        </w:tc>
        <w:tc>
          <w:tcPr>
            <w:tcW w:w="2122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Створення об’ємних макетів туристичних об’єктів для незрячих і слабозорих, забезпечення сервісів на туристичних об’єктах для нечуючих та незрячих (аудіогіди, написи шрифтом Брайля)</w:t>
            </w:r>
          </w:p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Співпраця з експертами з доступності, представниками туристичного середовища, людьми з інвалідністю, втілення нових ініціатив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джерел,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Грантові кошти (УКФ, ЄС,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ООН)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3.4. Розвиток болотно-водних ландшафтів у контексті зелено-блакитної міської інфраструктури та популяризація екологічних туристичних маршрутів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відділ екології, КП «Парки і сквери м. Луцька», профільні громадські організації, фонди, окремі фахівці тощо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Створення ознакування, облаштування нових туристичних маршрутів по зелених зонах територіальної громади (Кічкарівські ставки, Гнідавське болото, річка Стир тощо)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250,00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3.5. Розвиток зеленого туризму в Луцькій міській територіальній громаді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старости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Проведення інформаційно-просвітницької роботи щодо створення зелених садиб у громаді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</w:t>
            </w:r>
          </w:p>
        </w:tc>
        <w:tc>
          <w:tcPr>
            <w:tcW w:w="18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Підвищення професійного рівня працівників  сфери гостинності;</w:t>
            </w:r>
          </w:p>
          <w:p>
            <w:pPr>
              <w:pStyle w:val="Normal"/>
              <w:widowControl w:val="false"/>
              <w:suppressLineNumbers/>
              <w:ind w:left="0" w:right="-5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поліпшення якості комунікацій у сфері туризму</w:t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4.1. Проведення заходів з підготовки, перепідготовки та підвищення кваліфікації  гідів.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Забезпечення функціонування школи гідів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вищі навчальні заклади міста, Луцький центр зайнятості (за згодою), профільні громадські організації,  окремі фахівці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Підготовка кваліфікованих гідів, підвищення якості надання екскурсійних послуг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4.2. Проведення зустрічей, семінарів, майстер-класів для представників готельного та ресторанного бізнесу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департамент економічної політики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Сприяння підвищенню рівня обслуговування туристів у закладах харчування, проживання тощо; створення нових туристичних продуктів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; </w:t>
            </w:r>
            <w:r>
              <w:rPr>
                <w:rFonts w:ascii="Times New Roman" w:hAnsi="Times New Roman"/>
                <w:color w:val="000000"/>
              </w:rPr>
              <w:t>підвищення свідомості  представників суб'єктів сфери гостинності щодо важливості створення фізичної безбар'єрності простору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4.3. Співпраця з  Адміністрацією державного історико-культурного заповідника у м. Луцьку, музеями, навчальними закладами Луцької міської територіальної громади, ГС «Туристичний альянс Луцька»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20,00</w:t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Налагодження діалогу з представниками туристичного ринку, створення нових туристичних продуктів; залучення науковців та студентів ВНЗ до розвитку туристичної галузі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78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4.4. Координація роботи з КП «Центр розвитку туризму». Проведення заходів з дослідження міського простору для різних цільових категорій. Проведення презентацій, виставок, пов'язаних із історією, культурою та розвитком громади.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0" w:right="-78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uk-UA"/>
              </w:rPr>
              <w:t xml:space="preserve">Створення історичної експозиції релігійних громад 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0" w:right="-198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Розробка туристичних маршрутів та продукції спільно з Центром туристичної інформації та послуг.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11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</w:t>
            </w:r>
            <w:r>
              <w:rPr>
                <w:rFonts w:eastAsia="Times New Roman" w:cs="Times New Roman" w:ascii="Times New Roman" w:hAnsi="Times New Roman"/>
                <w:bCs/>
                <w:kern w:val="0"/>
                <w:lang w:bidi="ar-SA"/>
              </w:rPr>
              <w:t>роведення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kern w:val="0"/>
                <w:lang w:bidi="ar-SA"/>
              </w:rPr>
              <w:t xml:space="preserve">тематичних </w:t>
            </w:r>
            <w:r>
              <w:rPr>
                <w:rFonts w:ascii="Times New Roman" w:hAnsi="Times New Roman"/>
                <w:color w:val="000000"/>
                <w:lang w:eastAsia="ru-RU"/>
              </w:rPr>
              <w:t>лекцій,</w:t>
            </w:r>
            <w:r>
              <w:rPr>
                <w:rFonts w:eastAsia="Times New Roman" w:cs="Times New Roman" w:ascii="Times New Roman" w:hAnsi="Times New Roman"/>
                <w:bCs/>
                <w:kern w:val="0"/>
                <w:lang w:bidi="ar-SA"/>
              </w:rPr>
              <w:t xml:space="preserve"> спрямованих на поширення знань про місто, його історико-культурну спадщину, локальну та національну ідентичність в Музейному просторі </w:t>
            </w:r>
            <w:r>
              <w:rPr>
                <w:rFonts w:ascii="Times New Roman" w:hAnsi="Times New Roman"/>
                <w:color w:val="000000"/>
                <w:lang w:eastAsia="uk-UA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kern w:val="0"/>
                <w:lang w:bidi="ar-SA"/>
              </w:rPr>
              <w:t>Окольний замок</w:t>
            </w:r>
            <w:r>
              <w:rPr>
                <w:rFonts w:ascii="Times New Roman" w:hAnsi="Times New Roman"/>
                <w:color w:val="000000"/>
                <w:lang w:eastAsia="uk-UA"/>
              </w:rPr>
              <w:t>».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11" w:right="-90" w:hanging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lang w:bidi="ar-SA"/>
              </w:rPr>
              <w:t>Поширення інформації про брендоутворюючу подію З'їзд європейських монархів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4.5. Розширення співпраці з містами-побратимами і партнерськими регіонами щодо реалізації туристичних проєктів та обмінів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Налагодження комунікації з містами-побратимами та партнерськими регіонами, визначення напрямків співпраці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5.</w:t>
            </w:r>
          </w:p>
        </w:tc>
        <w:tc>
          <w:tcPr>
            <w:tcW w:w="18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Інші проєкти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</w:tc>
        <w:tc>
          <w:tcPr>
            <w:tcW w:w="235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11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5.1. Проведення інших заходів, що сприятимуть підвищенню  туристичної привабливості дестинації; підготовка грантових проєктів пріоритетних для галузі туризму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міжнародного співробітництва та проектної діяльності,    громадські організації, фонди (за згодою)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70,00</w:t>
            </w:r>
          </w:p>
        </w:tc>
        <w:tc>
          <w:tcPr>
            <w:tcW w:w="21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rFonts w:ascii="Times New Roman" w:hAnsi="Times New Roman"/>
                <w:color w:val="000000"/>
              </w:rPr>
              <w:t>Залучення додаткових коштів для підвищення туристичної привабливості дестинації, залучення фахівців до написання грантових проєктів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8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</w:tc>
        <w:tc>
          <w:tcPr>
            <w:tcW w:w="235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30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2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left="-46" w:hanging="0"/>
              <w:rPr/>
            </w:pPr>
            <w:r>
              <w:rPr/>
            </w:r>
          </w:p>
        </w:tc>
      </w:tr>
      <w:tr>
        <w:trPr>
          <w:trHeight w:val="387" w:hRule="atLeast"/>
        </w:trPr>
        <w:tc>
          <w:tcPr>
            <w:tcW w:w="83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sz w:val="26"/>
                <w:szCs w:val="26"/>
                <w:lang w:eastAsia="uk-UA"/>
              </w:rPr>
              <w:t>Всього за роками:</w:t>
            </w:r>
          </w:p>
        </w:tc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false"/>
              <w:ind w:left="-40" w:hanging="0"/>
              <w:jc w:val="center"/>
              <w:rPr>
                <w:rFonts w:ascii="Times New Roman" w:hAnsi="Times New Roman"/>
                <w:b/>
                <w:b/>
                <w:color w:val="000000"/>
                <w:lang w:eastAsia="uk-UA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eastAsia="uk-UA"/>
              </w:rPr>
              <w:t>Кошти бюджету громади</w:t>
            </w:r>
          </w:p>
        </w:tc>
        <w:tc>
          <w:tcPr>
            <w:tcW w:w="2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sz w:val="26"/>
                <w:szCs w:val="26"/>
                <w:lang w:eastAsia="uk-UA"/>
              </w:rPr>
              <w:t>Кошти інших джерел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  <w:t>2024</w:t>
            </w:r>
          </w:p>
        </w:tc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bidi="ar-SA"/>
              </w:rPr>
              <w:t>3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val="en-US" w:bidi="ar-SA"/>
              </w:rPr>
              <w:t>530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val="en-US" w:eastAsia="uk-UA"/>
              </w:rPr>
              <w:t>850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  <w:t>2025</w:t>
            </w:r>
          </w:p>
        </w:tc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val="en-US" w:bidi="ar-SA"/>
              </w:rPr>
              <w:t>1845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val="en-US" w:eastAsia="uk-UA"/>
              </w:rPr>
              <w:t>1190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b/>
                <w:b/>
                <w:bCs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sz w:val="26"/>
                <w:szCs w:val="26"/>
                <w:lang w:eastAsia="uk-UA"/>
              </w:rPr>
              <w:t>РАЗОМ:</w:t>
            </w:r>
          </w:p>
        </w:tc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6"/>
                <w:szCs w:val="26"/>
                <w:lang w:bidi="ar-SA"/>
              </w:rPr>
              <w:t>5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6"/>
                <w:szCs w:val="26"/>
                <w:lang w:val="en-US" w:bidi="ar-SA"/>
              </w:rPr>
              <w:t>375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cs="Calibri" w:ascii="Times New Roman" w:hAnsi="Times New Roman"/>
                <w:b/>
                <w:bCs/>
                <w:color w:val="000000"/>
                <w:sz w:val="26"/>
                <w:szCs w:val="26"/>
                <w:lang w:val="en-US" w:eastAsia="uk-UA"/>
              </w:rPr>
              <w:t>2040</w:t>
            </w:r>
            <w:r>
              <w:rPr>
                <w:rFonts w:eastAsia="Times New Roman" w:cs="Calibri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</w:r>
    </w:p>
    <w:p>
      <w:pPr>
        <w:pStyle w:val="Normal"/>
        <w:ind w:left="142" w:hanging="0"/>
        <w:jc w:val="both"/>
        <w:rPr>
          <w:highlight w:val="darkCyan"/>
        </w:rPr>
      </w:pPr>
      <w:r>
        <w:rPr>
          <w:rFonts w:ascii="Times New Roman" w:hAnsi="Times New Roman"/>
          <w:color w:val="000000"/>
          <w:lang w:eastAsia="uk-UA"/>
        </w:rPr>
        <w:t>Теліпська 777 924</w:t>
      </w:r>
    </w:p>
    <w:sectPr>
      <w:headerReference w:type="default" r:id="rId4"/>
      <w:type w:val="nextPage"/>
      <w:pgSz w:orient="landscape" w:w="15840" w:h="12240"/>
      <w:pgMar w:left="1134" w:right="1134" w:header="680" w:top="1985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szCs w:val="28"/>
      </w:rPr>
    </w:pPr>
    <w:r>
      <w:rPr>
        <w:rFonts w:ascii="Times New Roman" w:hAnsi="Times New Roman"/>
        <w:szCs w:val="28"/>
      </w:rPr>
      <w:fldChar w:fldCharType="begin"/>
    </w:r>
    <w:r>
      <w:rPr>
        <w:szCs w:val="28"/>
        <w:rFonts w:ascii="Times New Roman" w:hAnsi="Times New Roman"/>
      </w:rPr>
      <w:instrText> PAGE </w:instrText>
    </w:r>
    <w:r>
      <w:rPr>
        <w:szCs w:val="28"/>
        <w:rFonts w:ascii="Times New Roman" w:hAnsi="Times New Roman"/>
      </w:rPr>
      <w:fldChar w:fldCharType="separate"/>
    </w:r>
    <w:r>
      <w:rPr>
        <w:szCs w:val="28"/>
        <w:rFonts w:ascii="Times New Roman" w:hAnsi="Times New Roman"/>
      </w:rPr>
      <w:t>8</w:t>
    </w:r>
    <w:r>
      <w:rPr>
        <w:szCs w:val="28"/>
        <w:rFonts w:ascii="Times New Roman" w:hAnsi="Times New Roman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 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21</w:t>
    </w:r>
    <w:r>
      <w:rPr>
        <w:rFonts w:ascii="Times New Roman" w:hAnsi="Times New Roman"/>
      </w:rPr>
      <w:fldChar w:fldCharType="end"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ind w:left="11" w:hanging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ій колонтитул Знак"/>
    <w:basedOn w:val="DefaultParagraphFont"/>
    <w:link w:val="ae"/>
    <w:uiPriority w:val="99"/>
    <w:qFormat/>
    <w:rsid w:val="007073de"/>
    <w:rPr>
      <w:color w:val="00000A"/>
      <w:sz w:val="24"/>
      <w:szCs w:val="21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 w:customStyle="1">
    <w:name w:val="Обычный (веб)"/>
    <w:basedOn w:val="Normal"/>
    <w:qFormat/>
    <w:pPr>
      <w:spacing w:before="280" w:after="280"/>
    </w:pPr>
    <w:rPr>
      <w:lang w:val="ru-RU"/>
    </w:rPr>
  </w:style>
  <w:style w:type="paragraph" w:styleId="Style25">
    <w:name w:val="Footer"/>
    <w:basedOn w:val="Normal"/>
    <w:link w:val="af"/>
    <w:uiPriority w:val="99"/>
    <w:unhideWhenUsed/>
    <w:rsid w:val="007073de"/>
    <w:pPr>
      <w:tabs>
        <w:tab w:val="clear" w:pos="709"/>
        <w:tab w:val="center" w:pos="4819" w:leader="none"/>
        <w:tab w:val="right" w:pos="9639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LibreOffice/6.4.1.2$Windows_X86_64 LibreOffice_project/4d224e95b98b138af42a64d84056446d09082932</Application>
  <Pages>21</Pages>
  <Words>18975</Words>
  <Characters>10817</Characters>
  <CharactersWithSpaces>29733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2023-11-28T10:08:00Z</dcterms:created>
  <dc:creator>Ірина Демидюк</dc:creator>
  <dc:description/>
  <dc:language>uk-UA</dc:language>
  <cp:lastModifiedBy/>
  <dcterms:modified xsi:type="dcterms:W3CDTF">2023-12-11T11:05:47Z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