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C67B" w14:textId="77777777" w:rsidR="00E0006A" w:rsidRDefault="00000000">
      <w:pPr>
        <w:jc w:val="center"/>
        <w:rPr>
          <w:b/>
          <w:bCs/>
          <w:sz w:val="28"/>
          <w:szCs w:val="28"/>
          <w:lang w:val="uk-UA"/>
        </w:rPr>
      </w:pPr>
      <w:r>
        <w:rPr>
          <w:b/>
          <w:bCs/>
          <w:sz w:val="28"/>
          <w:szCs w:val="28"/>
          <w:lang w:val="uk-UA"/>
        </w:rPr>
        <w:t xml:space="preserve">ЗВІТ </w:t>
      </w:r>
    </w:p>
    <w:p w14:paraId="197D1961" w14:textId="77777777" w:rsidR="00E0006A" w:rsidRDefault="00000000">
      <w:pPr>
        <w:jc w:val="center"/>
        <w:rPr>
          <w:b/>
          <w:bCs/>
          <w:sz w:val="28"/>
          <w:szCs w:val="28"/>
          <w:lang w:val="uk-UA"/>
        </w:rPr>
      </w:pPr>
      <w:r>
        <w:rPr>
          <w:b/>
          <w:bCs/>
          <w:sz w:val="28"/>
          <w:szCs w:val="28"/>
          <w:lang w:val="uk-UA"/>
        </w:rPr>
        <w:t>про роботу житлово-комунального підприємства № 2</w:t>
      </w:r>
    </w:p>
    <w:p w14:paraId="6F4356A8" w14:textId="77777777" w:rsidR="00E0006A" w:rsidRDefault="00E0006A">
      <w:pPr>
        <w:rPr>
          <w:b/>
          <w:sz w:val="28"/>
          <w:szCs w:val="28"/>
          <w:lang w:val="uk-UA"/>
        </w:rPr>
      </w:pPr>
    </w:p>
    <w:p w14:paraId="0560629F" w14:textId="77777777" w:rsidR="00E0006A" w:rsidRDefault="00000000">
      <w:pPr>
        <w:jc w:val="center"/>
        <w:rPr>
          <w:b/>
          <w:sz w:val="28"/>
          <w:szCs w:val="28"/>
          <w:lang w:val="uk-UA"/>
        </w:rPr>
      </w:pPr>
      <w:r>
        <w:rPr>
          <w:b/>
          <w:sz w:val="28"/>
          <w:szCs w:val="28"/>
          <w:lang w:val="uk-UA"/>
        </w:rPr>
        <w:t xml:space="preserve">Загальна характеристика підприємства </w:t>
      </w:r>
    </w:p>
    <w:p w14:paraId="5DB41D57" w14:textId="77777777" w:rsidR="00E0006A" w:rsidRDefault="00000000">
      <w:pPr>
        <w:spacing w:after="113"/>
        <w:jc w:val="center"/>
        <w:rPr>
          <w:b/>
          <w:sz w:val="28"/>
          <w:szCs w:val="28"/>
          <w:lang w:val="uk-UA"/>
        </w:rPr>
      </w:pPr>
      <w:r>
        <w:rPr>
          <w:b/>
          <w:sz w:val="28"/>
          <w:szCs w:val="28"/>
          <w:lang w:val="uk-UA"/>
        </w:rPr>
        <w:t xml:space="preserve">(техніко-економічні показники)  </w:t>
      </w:r>
    </w:p>
    <w:p w14:paraId="61D6798E" w14:textId="77777777" w:rsidR="00E0006A" w:rsidRDefault="00000000">
      <w:pPr>
        <w:ind w:firstLine="567"/>
        <w:jc w:val="both"/>
        <w:rPr>
          <w:sz w:val="28"/>
          <w:szCs w:val="28"/>
          <w:lang w:val="uk-UA"/>
        </w:rPr>
      </w:pPr>
      <w:r>
        <w:rPr>
          <w:sz w:val="28"/>
          <w:szCs w:val="28"/>
          <w:lang w:val="uk-UA"/>
        </w:rPr>
        <w:t>Житлово-комунальне підприємство № 2 (далі – ЖКП № 2) діє на підставі Статуту, затвердженого рішенням Луцької міської ради від 29.09.2021 № 19/96.</w:t>
      </w:r>
    </w:p>
    <w:p w14:paraId="7C022C73" w14:textId="77777777" w:rsidR="00E0006A" w:rsidRDefault="00000000">
      <w:pPr>
        <w:ind w:firstLine="567"/>
        <w:jc w:val="both"/>
        <w:rPr>
          <w:sz w:val="28"/>
          <w:szCs w:val="28"/>
          <w:lang w:val="uk-UA"/>
        </w:rPr>
      </w:pPr>
      <w:r>
        <w:rPr>
          <w:sz w:val="28"/>
          <w:szCs w:val="28"/>
          <w:lang w:val="uk-UA"/>
        </w:rPr>
        <w:t>ЖКП № 2 є юридичною особою, має самостійний баланс, поточний та інші рахунки в банківських установах, печатку, штампи та інші реквізити. Засновником (власником) підприємства є Луцька міська рада.</w:t>
      </w:r>
    </w:p>
    <w:p w14:paraId="7A703F3F" w14:textId="77777777" w:rsidR="00E0006A" w:rsidRDefault="00000000">
      <w:pPr>
        <w:ind w:firstLine="567"/>
        <w:jc w:val="both"/>
        <w:rPr>
          <w:sz w:val="28"/>
          <w:szCs w:val="28"/>
          <w:lang w:val="uk-UA"/>
        </w:rPr>
      </w:pPr>
      <w:r>
        <w:rPr>
          <w:sz w:val="28"/>
          <w:szCs w:val="28"/>
          <w:lang w:val="uk-UA"/>
        </w:rPr>
        <w:t>Основною функцією підприємства є управління об’єктами нерухомого майна та їх утримання, також ремонт, експлуатація та технічне обслуговування житлових будівель та споруд, в тому числі їх інженерного обладнання, санітарне очищення дворових територій, ремонт та очищення димових та вентиляційних каналів, перевірка протипожежного стану будинків.</w:t>
      </w:r>
    </w:p>
    <w:p w14:paraId="3F373D50" w14:textId="6D55C751" w:rsidR="00E0006A" w:rsidRDefault="00000000">
      <w:pPr>
        <w:ind w:firstLine="567"/>
        <w:jc w:val="both"/>
      </w:pPr>
      <w:r>
        <w:rPr>
          <w:sz w:val="28"/>
          <w:szCs w:val="28"/>
          <w:lang w:val="uk-UA"/>
        </w:rPr>
        <w:t>ЖКП № 2 станом на 01.12.2023 року обслуговує 105 будинків загальною площею житла 287,8 тис. м</w:t>
      </w:r>
      <w:r>
        <w:rPr>
          <w:sz w:val="28"/>
          <w:szCs w:val="28"/>
          <w:vertAlign w:val="superscript"/>
          <w:lang w:val="uk-UA"/>
        </w:rPr>
        <w:t>2</w:t>
      </w:r>
      <w:r>
        <w:rPr>
          <w:sz w:val="28"/>
          <w:szCs w:val="28"/>
          <w:lang w:val="uk-UA"/>
        </w:rPr>
        <w:t xml:space="preserve">. З них 28 будинків 9-поверхів, 35 будинків </w:t>
      </w:r>
      <w:r w:rsidR="00A502F6">
        <w:rPr>
          <w:sz w:val="28"/>
          <w:szCs w:val="28"/>
          <w:lang w:val="uk-UA"/>
        </w:rPr>
        <w:t xml:space="preserve">                       </w:t>
      </w:r>
      <w:r>
        <w:rPr>
          <w:sz w:val="28"/>
          <w:szCs w:val="28"/>
          <w:lang w:val="uk-UA"/>
        </w:rPr>
        <w:t xml:space="preserve">5-поверхів і вище (в т. ч. </w:t>
      </w:r>
      <w:r w:rsidR="00A502F6">
        <w:rPr>
          <w:sz w:val="28"/>
          <w:szCs w:val="28"/>
          <w:lang w:val="uk-UA"/>
        </w:rPr>
        <w:t>один</w:t>
      </w:r>
      <w:r>
        <w:rPr>
          <w:sz w:val="28"/>
          <w:szCs w:val="28"/>
          <w:lang w:val="uk-UA"/>
        </w:rPr>
        <w:t xml:space="preserve"> будинок – 7 поверхів), 42 будинки – 2</w:t>
      </w:r>
      <w:r w:rsidR="00A502F6">
        <w:rPr>
          <w:sz w:val="28"/>
          <w:szCs w:val="28"/>
          <w:lang w:val="uk-UA"/>
        </w:rPr>
        <w:t>–</w:t>
      </w:r>
      <w:r>
        <w:rPr>
          <w:sz w:val="28"/>
          <w:szCs w:val="28"/>
          <w:lang w:val="uk-UA"/>
        </w:rPr>
        <w:t>3-поверхи.</w:t>
      </w:r>
    </w:p>
    <w:p w14:paraId="4537EF6B" w14:textId="14AE171F" w:rsidR="00E0006A" w:rsidRDefault="00000000">
      <w:pPr>
        <w:ind w:firstLine="567"/>
        <w:jc w:val="both"/>
        <w:rPr>
          <w:sz w:val="28"/>
          <w:szCs w:val="28"/>
          <w:lang w:val="uk-UA"/>
        </w:rPr>
      </w:pPr>
      <w:r>
        <w:rPr>
          <w:sz w:val="28"/>
          <w:szCs w:val="28"/>
          <w:lang w:val="uk-UA"/>
        </w:rPr>
        <w:t>Кількість ліфтів</w:t>
      </w:r>
      <w:r w:rsidR="00A502F6">
        <w:rPr>
          <w:sz w:val="28"/>
          <w:szCs w:val="28"/>
          <w:lang w:val="uk-UA"/>
        </w:rPr>
        <w:t xml:space="preserve"> – </w:t>
      </w:r>
      <w:r>
        <w:rPr>
          <w:sz w:val="28"/>
          <w:szCs w:val="28"/>
          <w:lang w:val="uk-UA"/>
        </w:rPr>
        <w:t>88 шт. Кількість особових рахунків квартиронаймачів – 5 837.</w:t>
      </w:r>
    </w:p>
    <w:p w14:paraId="0DE8AF0B" w14:textId="77777777" w:rsidR="00E0006A" w:rsidRDefault="00000000">
      <w:pPr>
        <w:ind w:firstLine="567"/>
        <w:jc w:val="both"/>
      </w:pPr>
      <w:r>
        <w:rPr>
          <w:sz w:val="28"/>
          <w:szCs w:val="28"/>
          <w:lang w:val="uk-UA"/>
        </w:rPr>
        <w:t>Загальна площа прибудинкової території, що прибирається, складає 222,7 тис. м</w:t>
      </w:r>
      <w:r>
        <w:rPr>
          <w:sz w:val="28"/>
          <w:szCs w:val="28"/>
          <w:vertAlign w:val="superscript"/>
          <w:lang w:val="uk-UA"/>
        </w:rPr>
        <w:t>2</w:t>
      </w:r>
    </w:p>
    <w:p w14:paraId="3290044D" w14:textId="714DBE87" w:rsidR="00E0006A" w:rsidRDefault="00000000">
      <w:pPr>
        <w:ind w:firstLine="567"/>
        <w:jc w:val="both"/>
        <w:rPr>
          <w:sz w:val="28"/>
          <w:szCs w:val="28"/>
          <w:lang w:val="uk-UA"/>
        </w:rPr>
      </w:pPr>
      <w:r>
        <w:rPr>
          <w:sz w:val="28"/>
          <w:szCs w:val="28"/>
          <w:lang w:val="uk-UA"/>
        </w:rPr>
        <w:t>З метою контролю за доходами та витратами коштів ведеться побудинковий облік, який включає нараховані та сплачені кошти мешканцями та підприємцями в цілому у будинку та суми витрачених коштів на його обслуговування, та поточні ремонти згідно кошторисів, виконаних програмою АВК. Залишки невикористаних кошів накопичуються та можуть бути використані в наступному році.</w:t>
      </w:r>
    </w:p>
    <w:p w14:paraId="5A01C681" w14:textId="7E864A4F" w:rsidR="00E0006A" w:rsidRDefault="00000000">
      <w:pPr>
        <w:ind w:firstLine="567"/>
        <w:jc w:val="both"/>
      </w:pPr>
      <w:r>
        <w:rPr>
          <w:sz w:val="28"/>
          <w:szCs w:val="28"/>
          <w:lang w:val="uk-UA"/>
        </w:rPr>
        <w:t>Середній тариф на утримання будинку становить для 9-поверхового будинку з ліфтом – 5,1905 грн/м</w:t>
      </w:r>
      <w:r>
        <w:rPr>
          <w:sz w:val="28"/>
          <w:szCs w:val="28"/>
          <w:vertAlign w:val="superscript"/>
          <w:lang w:val="uk-UA"/>
        </w:rPr>
        <w:t>2</w:t>
      </w:r>
      <w:r>
        <w:rPr>
          <w:sz w:val="28"/>
          <w:szCs w:val="28"/>
          <w:lang w:val="uk-UA"/>
        </w:rPr>
        <w:t xml:space="preserve"> загальної площі; для будинків без ліфта </w:t>
      </w:r>
      <w:r w:rsidR="00A502F6">
        <w:rPr>
          <w:sz w:val="28"/>
          <w:szCs w:val="28"/>
          <w:lang w:val="uk-UA"/>
        </w:rPr>
        <w:t>–</w:t>
      </w:r>
      <w:r>
        <w:rPr>
          <w:sz w:val="28"/>
          <w:szCs w:val="28"/>
          <w:lang w:val="uk-UA"/>
        </w:rPr>
        <w:t xml:space="preserve"> 3,9743 грн/м</w:t>
      </w:r>
      <w:r>
        <w:rPr>
          <w:sz w:val="28"/>
          <w:szCs w:val="28"/>
          <w:vertAlign w:val="superscript"/>
          <w:lang w:val="uk-UA"/>
        </w:rPr>
        <w:t>2</w:t>
      </w:r>
      <w:r>
        <w:rPr>
          <w:sz w:val="28"/>
          <w:szCs w:val="28"/>
          <w:lang w:val="uk-UA"/>
        </w:rPr>
        <w:t>. Середній тариф на підприємстві – 4,655 грн/м</w:t>
      </w:r>
      <w:r>
        <w:rPr>
          <w:sz w:val="28"/>
          <w:szCs w:val="28"/>
          <w:vertAlign w:val="superscript"/>
          <w:lang w:val="uk-UA"/>
        </w:rPr>
        <w:t>2</w:t>
      </w:r>
      <w:r>
        <w:rPr>
          <w:sz w:val="28"/>
          <w:szCs w:val="28"/>
          <w:lang w:val="uk-UA"/>
        </w:rPr>
        <w:t>.</w:t>
      </w:r>
    </w:p>
    <w:p w14:paraId="1129161D" w14:textId="77777777" w:rsidR="00E0006A" w:rsidRDefault="00000000">
      <w:pPr>
        <w:ind w:firstLine="567"/>
        <w:jc w:val="both"/>
        <w:rPr>
          <w:sz w:val="28"/>
          <w:szCs w:val="28"/>
          <w:lang w:val="uk-UA"/>
        </w:rPr>
      </w:pPr>
      <w:r>
        <w:rPr>
          <w:sz w:val="28"/>
          <w:szCs w:val="28"/>
          <w:lang w:val="uk-UA"/>
        </w:rPr>
        <w:t>Для підтримання належного санітарного стану прибудинкових  територій, утримання зелених зон, підприємство має в наявності:</w:t>
      </w:r>
    </w:p>
    <w:p w14:paraId="70420271" w14:textId="00DDAA4B" w:rsidR="00E0006A" w:rsidRDefault="00000000">
      <w:pPr>
        <w:ind w:firstLine="567"/>
        <w:jc w:val="both"/>
        <w:rPr>
          <w:sz w:val="28"/>
          <w:szCs w:val="28"/>
          <w:lang w:val="uk-UA"/>
        </w:rPr>
      </w:pPr>
      <w:r>
        <w:rPr>
          <w:sz w:val="28"/>
          <w:szCs w:val="28"/>
          <w:lang w:val="uk-UA"/>
        </w:rPr>
        <w:t>вантажні автомобілі – 2 шт. (ЗІЛ ММЗ-55410-1991, ГАЗ-52-1978)</w:t>
      </w:r>
      <w:r w:rsidR="00A502F6">
        <w:rPr>
          <w:sz w:val="28"/>
          <w:szCs w:val="28"/>
          <w:lang w:val="uk-UA"/>
        </w:rPr>
        <w:t>;</w:t>
      </w:r>
    </w:p>
    <w:p w14:paraId="2F6493D3" w14:textId="77777777" w:rsidR="00E0006A" w:rsidRDefault="00000000">
      <w:pPr>
        <w:ind w:firstLine="567"/>
        <w:jc w:val="both"/>
        <w:rPr>
          <w:sz w:val="28"/>
          <w:szCs w:val="28"/>
          <w:lang w:val="uk-UA"/>
        </w:rPr>
      </w:pPr>
      <w:r>
        <w:rPr>
          <w:sz w:val="28"/>
          <w:szCs w:val="28"/>
          <w:lang w:val="uk-UA"/>
        </w:rPr>
        <w:t xml:space="preserve">трактор Т-30 – 1шт; </w:t>
      </w:r>
    </w:p>
    <w:p w14:paraId="4087D959" w14:textId="77777777" w:rsidR="00E0006A" w:rsidRDefault="00000000">
      <w:pPr>
        <w:ind w:firstLine="567"/>
        <w:jc w:val="both"/>
        <w:rPr>
          <w:sz w:val="28"/>
          <w:szCs w:val="28"/>
          <w:lang w:val="uk-UA"/>
        </w:rPr>
      </w:pPr>
      <w:r>
        <w:rPr>
          <w:sz w:val="28"/>
          <w:szCs w:val="28"/>
          <w:lang w:val="uk-UA"/>
        </w:rPr>
        <w:t xml:space="preserve">роторна косарка – 1шт; </w:t>
      </w:r>
    </w:p>
    <w:p w14:paraId="36AA010D" w14:textId="77777777" w:rsidR="00E0006A" w:rsidRDefault="00000000">
      <w:pPr>
        <w:ind w:firstLine="567"/>
        <w:jc w:val="both"/>
        <w:rPr>
          <w:sz w:val="28"/>
          <w:szCs w:val="28"/>
          <w:lang w:val="uk-UA"/>
        </w:rPr>
      </w:pPr>
      <w:r>
        <w:rPr>
          <w:sz w:val="28"/>
          <w:szCs w:val="28"/>
          <w:lang w:val="uk-UA"/>
        </w:rPr>
        <w:t>мотоножиці бензинові – 1шт;</w:t>
      </w:r>
    </w:p>
    <w:p w14:paraId="32F721C5" w14:textId="77777777" w:rsidR="00E0006A" w:rsidRDefault="00000000">
      <w:pPr>
        <w:ind w:firstLine="567"/>
        <w:jc w:val="both"/>
        <w:rPr>
          <w:sz w:val="28"/>
          <w:szCs w:val="28"/>
          <w:lang w:val="uk-UA"/>
        </w:rPr>
      </w:pPr>
      <w:r>
        <w:rPr>
          <w:sz w:val="28"/>
          <w:szCs w:val="28"/>
          <w:lang w:val="uk-UA"/>
        </w:rPr>
        <w:t>бензотримери – 4шт;</w:t>
      </w:r>
    </w:p>
    <w:p w14:paraId="4DD7586F" w14:textId="77777777" w:rsidR="00E0006A" w:rsidRDefault="00000000">
      <w:pPr>
        <w:ind w:firstLine="567"/>
        <w:jc w:val="both"/>
        <w:rPr>
          <w:sz w:val="28"/>
          <w:szCs w:val="28"/>
          <w:lang w:val="uk-UA"/>
        </w:rPr>
      </w:pPr>
      <w:r>
        <w:rPr>
          <w:sz w:val="28"/>
          <w:szCs w:val="28"/>
          <w:lang w:val="uk-UA"/>
        </w:rPr>
        <w:t>бензопили – 2шт.</w:t>
      </w:r>
    </w:p>
    <w:p w14:paraId="59687A4E" w14:textId="77777777" w:rsidR="00E0006A" w:rsidRDefault="00E0006A">
      <w:pPr>
        <w:jc w:val="both"/>
        <w:rPr>
          <w:sz w:val="28"/>
          <w:szCs w:val="28"/>
          <w:lang w:val="uk-UA"/>
        </w:rPr>
      </w:pPr>
    </w:p>
    <w:p w14:paraId="20FAB27D" w14:textId="77777777" w:rsidR="00215326" w:rsidRDefault="00215326">
      <w:pPr>
        <w:jc w:val="center"/>
        <w:rPr>
          <w:b/>
          <w:sz w:val="28"/>
          <w:szCs w:val="28"/>
          <w:lang w:val="uk-UA"/>
        </w:rPr>
      </w:pPr>
    </w:p>
    <w:p w14:paraId="68728B08" w14:textId="77777777" w:rsidR="00215326" w:rsidRDefault="00215326">
      <w:pPr>
        <w:jc w:val="center"/>
        <w:rPr>
          <w:b/>
          <w:sz w:val="28"/>
          <w:szCs w:val="28"/>
          <w:lang w:val="uk-UA"/>
        </w:rPr>
      </w:pPr>
    </w:p>
    <w:p w14:paraId="767EAEE2" w14:textId="4C9E1AAF" w:rsidR="00E0006A" w:rsidRDefault="00000000">
      <w:pPr>
        <w:jc w:val="center"/>
        <w:rPr>
          <w:b/>
          <w:sz w:val="28"/>
          <w:szCs w:val="28"/>
          <w:lang w:val="uk-UA"/>
        </w:rPr>
      </w:pPr>
      <w:r>
        <w:rPr>
          <w:b/>
          <w:sz w:val="28"/>
          <w:szCs w:val="28"/>
          <w:lang w:val="uk-UA"/>
        </w:rPr>
        <w:t>Фінансова діяльність підприємства</w:t>
      </w:r>
    </w:p>
    <w:p w14:paraId="7508010B" w14:textId="149C1961" w:rsidR="00E0006A" w:rsidRPr="00A502F6" w:rsidRDefault="00000000" w:rsidP="00A502F6">
      <w:pPr>
        <w:ind w:firstLine="567"/>
        <w:jc w:val="center"/>
        <w:rPr>
          <w:b/>
        </w:rPr>
      </w:pPr>
      <w:r w:rsidRPr="00A502F6">
        <w:rPr>
          <w:b/>
          <w:sz w:val="28"/>
          <w:szCs w:val="28"/>
          <w:lang w:val="uk-UA"/>
        </w:rPr>
        <w:t xml:space="preserve">Доходи </w:t>
      </w:r>
      <w:r w:rsidR="00A502F6" w:rsidRPr="00A502F6">
        <w:rPr>
          <w:b/>
          <w:sz w:val="28"/>
          <w:szCs w:val="28"/>
          <w:lang w:val="uk-UA"/>
        </w:rPr>
        <w:t xml:space="preserve">ЖКП </w:t>
      </w:r>
      <w:r w:rsidRPr="00A502F6">
        <w:rPr>
          <w:b/>
          <w:sz w:val="28"/>
          <w:szCs w:val="28"/>
          <w:lang w:val="uk-UA"/>
        </w:rPr>
        <w:t>№ 2 за 11 місяців 2023 року склали</w:t>
      </w:r>
    </w:p>
    <w:p w14:paraId="4F1D0765" w14:textId="77777777" w:rsidR="00E0006A" w:rsidRDefault="00000000" w:rsidP="00C752FC">
      <w:pPr>
        <w:ind w:firstLine="8080"/>
        <w:rPr>
          <w:lang w:val="uk-UA"/>
        </w:rPr>
      </w:pPr>
      <w:r>
        <w:rPr>
          <w:lang w:val="uk-UA"/>
        </w:rPr>
        <w:t>(тис. грн)</w:t>
      </w:r>
    </w:p>
    <w:tbl>
      <w:tblPr>
        <w:tblW w:w="9015" w:type="dxa"/>
        <w:tblInd w:w="20" w:type="dxa"/>
        <w:tblLayout w:type="fixed"/>
        <w:tblLook w:val="04A0" w:firstRow="1" w:lastRow="0" w:firstColumn="1" w:lastColumn="0" w:noHBand="0" w:noVBand="1"/>
      </w:tblPr>
      <w:tblGrid>
        <w:gridCol w:w="7050"/>
        <w:gridCol w:w="1965"/>
      </w:tblGrid>
      <w:tr w:rsidR="00E0006A" w14:paraId="3A3F18D8" w14:textId="77777777">
        <w:tc>
          <w:tcPr>
            <w:tcW w:w="7050" w:type="dxa"/>
            <w:tcBorders>
              <w:top w:val="single" w:sz="4" w:space="0" w:color="000000"/>
              <w:left w:val="single" w:sz="4" w:space="0" w:color="000000"/>
              <w:bottom w:val="single" w:sz="4" w:space="0" w:color="000000"/>
              <w:right w:val="single" w:sz="4" w:space="0" w:color="000000"/>
            </w:tcBorders>
          </w:tcPr>
          <w:p w14:paraId="27B18609" w14:textId="77777777" w:rsidR="00E0006A" w:rsidRDefault="00000000">
            <w:pPr>
              <w:jc w:val="both"/>
              <w:rPr>
                <w:sz w:val="28"/>
                <w:szCs w:val="28"/>
                <w:lang w:val="uk-UA"/>
              </w:rPr>
            </w:pPr>
            <w:r>
              <w:rPr>
                <w:sz w:val="28"/>
                <w:szCs w:val="28"/>
                <w:lang w:val="uk-UA"/>
              </w:rPr>
              <w:t>управління будинків</w:t>
            </w:r>
          </w:p>
        </w:tc>
        <w:tc>
          <w:tcPr>
            <w:tcW w:w="1965" w:type="dxa"/>
            <w:tcBorders>
              <w:top w:val="single" w:sz="4" w:space="0" w:color="000000"/>
              <w:left w:val="single" w:sz="4" w:space="0" w:color="000000"/>
              <w:bottom w:val="single" w:sz="4" w:space="0" w:color="000000"/>
              <w:right w:val="single" w:sz="4" w:space="0" w:color="000000"/>
            </w:tcBorders>
          </w:tcPr>
          <w:p w14:paraId="606FC0AA" w14:textId="77777777" w:rsidR="00E0006A" w:rsidRDefault="00000000">
            <w:pPr>
              <w:jc w:val="right"/>
              <w:rPr>
                <w:sz w:val="28"/>
                <w:szCs w:val="28"/>
                <w:lang w:val="uk-UA"/>
              </w:rPr>
            </w:pPr>
            <w:r>
              <w:rPr>
                <w:sz w:val="28"/>
                <w:szCs w:val="28"/>
                <w:lang w:val="uk-UA"/>
              </w:rPr>
              <w:t>1 4591,4</w:t>
            </w:r>
          </w:p>
        </w:tc>
      </w:tr>
      <w:tr w:rsidR="00E0006A" w14:paraId="7AB113C7" w14:textId="77777777">
        <w:tc>
          <w:tcPr>
            <w:tcW w:w="7050" w:type="dxa"/>
            <w:tcBorders>
              <w:top w:val="single" w:sz="4" w:space="0" w:color="000000"/>
              <w:left w:val="single" w:sz="4" w:space="0" w:color="000000"/>
              <w:bottom w:val="single" w:sz="4" w:space="0" w:color="000000"/>
              <w:right w:val="single" w:sz="4" w:space="0" w:color="000000"/>
            </w:tcBorders>
          </w:tcPr>
          <w:p w14:paraId="21A8DD34" w14:textId="77777777" w:rsidR="00E0006A" w:rsidRDefault="00000000">
            <w:pPr>
              <w:jc w:val="both"/>
              <w:rPr>
                <w:sz w:val="28"/>
                <w:szCs w:val="28"/>
                <w:lang w:val="uk-UA"/>
              </w:rPr>
            </w:pPr>
            <w:r>
              <w:rPr>
                <w:sz w:val="28"/>
                <w:szCs w:val="28"/>
                <w:lang w:val="uk-UA"/>
              </w:rPr>
              <w:t>послуги управління будинком, надані юридичним особам (викуплені приміщення)</w:t>
            </w:r>
          </w:p>
        </w:tc>
        <w:tc>
          <w:tcPr>
            <w:tcW w:w="1965" w:type="dxa"/>
            <w:tcBorders>
              <w:top w:val="single" w:sz="4" w:space="0" w:color="000000"/>
              <w:left w:val="single" w:sz="4" w:space="0" w:color="000000"/>
              <w:bottom w:val="single" w:sz="4" w:space="0" w:color="000000"/>
              <w:right w:val="single" w:sz="4" w:space="0" w:color="000000"/>
            </w:tcBorders>
          </w:tcPr>
          <w:p w14:paraId="663AD959" w14:textId="77777777" w:rsidR="00E0006A" w:rsidRDefault="00000000">
            <w:pPr>
              <w:jc w:val="right"/>
              <w:rPr>
                <w:sz w:val="28"/>
                <w:szCs w:val="28"/>
                <w:lang w:val="uk-UA"/>
              </w:rPr>
            </w:pPr>
            <w:r>
              <w:rPr>
                <w:sz w:val="28"/>
                <w:szCs w:val="28"/>
                <w:lang w:val="uk-UA"/>
              </w:rPr>
              <w:t>217,4</w:t>
            </w:r>
          </w:p>
        </w:tc>
      </w:tr>
      <w:tr w:rsidR="00E0006A" w14:paraId="5E14ACF1" w14:textId="77777777">
        <w:tc>
          <w:tcPr>
            <w:tcW w:w="7050" w:type="dxa"/>
            <w:tcBorders>
              <w:top w:val="single" w:sz="4" w:space="0" w:color="000000"/>
              <w:left w:val="single" w:sz="4" w:space="0" w:color="000000"/>
              <w:bottom w:val="single" w:sz="4" w:space="0" w:color="000000"/>
              <w:right w:val="single" w:sz="4" w:space="0" w:color="000000"/>
            </w:tcBorders>
          </w:tcPr>
          <w:p w14:paraId="7650C16F" w14:textId="77777777" w:rsidR="00E0006A" w:rsidRDefault="00000000">
            <w:pPr>
              <w:jc w:val="both"/>
              <w:rPr>
                <w:sz w:val="28"/>
                <w:szCs w:val="28"/>
                <w:lang w:val="uk-UA"/>
              </w:rPr>
            </w:pPr>
            <w:r>
              <w:rPr>
                <w:sz w:val="28"/>
                <w:szCs w:val="28"/>
                <w:lang w:val="uk-UA"/>
              </w:rPr>
              <w:t>фінансування з державного бюджету (пільги)</w:t>
            </w:r>
          </w:p>
        </w:tc>
        <w:tc>
          <w:tcPr>
            <w:tcW w:w="1965" w:type="dxa"/>
            <w:tcBorders>
              <w:top w:val="single" w:sz="4" w:space="0" w:color="000000"/>
              <w:left w:val="single" w:sz="4" w:space="0" w:color="000000"/>
              <w:bottom w:val="single" w:sz="4" w:space="0" w:color="000000"/>
              <w:right w:val="single" w:sz="4" w:space="0" w:color="000000"/>
            </w:tcBorders>
          </w:tcPr>
          <w:p w14:paraId="1319C12E" w14:textId="77777777" w:rsidR="00E0006A" w:rsidRDefault="00000000">
            <w:pPr>
              <w:jc w:val="right"/>
              <w:rPr>
                <w:sz w:val="28"/>
                <w:szCs w:val="28"/>
                <w:lang w:val="uk-UA"/>
              </w:rPr>
            </w:pPr>
            <w:r>
              <w:rPr>
                <w:sz w:val="28"/>
                <w:szCs w:val="28"/>
                <w:lang w:val="uk-UA"/>
              </w:rPr>
              <w:t>12,9</w:t>
            </w:r>
          </w:p>
        </w:tc>
      </w:tr>
      <w:tr w:rsidR="00E0006A" w14:paraId="05E7CF3D" w14:textId="77777777">
        <w:tc>
          <w:tcPr>
            <w:tcW w:w="7050" w:type="dxa"/>
            <w:tcBorders>
              <w:top w:val="single" w:sz="4" w:space="0" w:color="000000"/>
              <w:left w:val="single" w:sz="4" w:space="0" w:color="000000"/>
              <w:bottom w:val="single" w:sz="4" w:space="0" w:color="000000"/>
              <w:right w:val="single" w:sz="4" w:space="0" w:color="000000"/>
            </w:tcBorders>
          </w:tcPr>
          <w:p w14:paraId="5A3B9255" w14:textId="77777777" w:rsidR="00E0006A" w:rsidRDefault="00000000">
            <w:pPr>
              <w:jc w:val="both"/>
              <w:rPr>
                <w:sz w:val="28"/>
                <w:szCs w:val="28"/>
                <w:lang w:val="uk-UA"/>
              </w:rPr>
            </w:pPr>
            <w:r>
              <w:rPr>
                <w:sz w:val="28"/>
                <w:szCs w:val="28"/>
                <w:lang w:val="uk-UA"/>
              </w:rPr>
              <w:t>фінансування робіт з бюджету міста</w:t>
            </w:r>
          </w:p>
        </w:tc>
        <w:tc>
          <w:tcPr>
            <w:tcW w:w="1965" w:type="dxa"/>
            <w:tcBorders>
              <w:top w:val="single" w:sz="4" w:space="0" w:color="000000"/>
              <w:left w:val="single" w:sz="4" w:space="0" w:color="000000"/>
              <w:bottom w:val="single" w:sz="4" w:space="0" w:color="000000"/>
              <w:right w:val="single" w:sz="4" w:space="0" w:color="000000"/>
            </w:tcBorders>
          </w:tcPr>
          <w:p w14:paraId="3A69BF97" w14:textId="77777777" w:rsidR="00E0006A" w:rsidRDefault="00000000">
            <w:pPr>
              <w:jc w:val="right"/>
              <w:rPr>
                <w:sz w:val="28"/>
                <w:szCs w:val="28"/>
                <w:lang w:val="uk-UA"/>
              </w:rPr>
            </w:pPr>
            <w:r>
              <w:rPr>
                <w:sz w:val="28"/>
                <w:szCs w:val="28"/>
                <w:lang w:val="uk-UA"/>
              </w:rPr>
              <w:t>278,2</w:t>
            </w:r>
          </w:p>
        </w:tc>
      </w:tr>
      <w:tr w:rsidR="00E0006A" w14:paraId="2E1528F2" w14:textId="77777777">
        <w:tc>
          <w:tcPr>
            <w:tcW w:w="7050" w:type="dxa"/>
            <w:tcBorders>
              <w:top w:val="single" w:sz="4" w:space="0" w:color="000000"/>
              <w:left w:val="single" w:sz="4" w:space="0" w:color="000000"/>
              <w:bottom w:val="single" w:sz="4" w:space="0" w:color="000000"/>
              <w:right w:val="single" w:sz="4" w:space="0" w:color="000000"/>
            </w:tcBorders>
          </w:tcPr>
          <w:p w14:paraId="2906004C" w14:textId="039B9B13" w:rsidR="00E0006A" w:rsidRDefault="00000000">
            <w:pPr>
              <w:jc w:val="both"/>
              <w:rPr>
                <w:sz w:val="28"/>
                <w:szCs w:val="28"/>
                <w:lang w:val="uk-UA"/>
              </w:rPr>
            </w:pPr>
            <w:r>
              <w:rPr>
                <w:sz w:val="28"/>
                <w:szCs w:val="28"/>
                <w:lang w:val="uk-UA"/>
              </w:rPr>
              <w:t xml:space="preserve">електроенергія субабонентів (фабрика моди </w:t>
            </w:r>
            <w:r w:rsidR="00A502F6">
              <w:rPr>
                <w:sz w:val="28"/>
                <w:szCs w:val="28"/>
                <w:lang w:val="uk-UA"/>
              </w:rPr>
              <w:t>«</w:t>
            </w:r>
            <w:r>
              <w:rPr>
                <w:sz w:val="28"/>
                <w:szCs w:val="28"/>
                <w:lang w:val="uk-UA"/>
              </w:rPr>
              <w:t>Лілус</w:t>
            </w:r>
            <w:r w:rsidR="00A502F6">
              <w:rPr>
                <w:sz w:val="28"/>
                <w:szCs w:val="28"/>
                <w:lang w:val="uk-UA"/>
              </w:rPr>
              <w:t>» –</w:t>
            </w:r>
            <w:r>
              <w:rPr>
                <w:sz w:val="28"/>
                <w:szCs w:val="28"/>
                <w:lang w:val="uk-UA"/>
              </w:rPr>
              <w:t>200,6 тис. грн, ДКП Луцьктепло – 46,1 тис. грн)</w:t>
            </w:r>
          </w:p>
        </w:tc>
        <w:tc>
          <w:tcPr>
            <w:tcW w:w="1965" w:type="dxa"/>
            <w:tcBorders>
              <w:top w:val="single" w:sz="4" w:space="0" w:color="000000"/>
              <w:left w:val="single" w:sz="4" w:space="0" w:color="000000"/>
              <w:bottom w:val="single" w:sz="4" w:space="0" w:color="000000"/>
              <w:right w:val="single" w:sz="4" w:space="0" w:color="000000"/>
            </w:tcBorders>
          </w:tcPr>
          <w:p w14:paraId="664632BB" w14:textId="77777777" w:rsidR="00E0006A" w:rsidRDefault="00000000">
            <w:pPr>
              <w:jc w:val="right"/>
              <w:rPr>
                <w:sz w:val="28"/>
                <w:szCs w:val="28"/>
                <w:lang w:val="uk-UA"/>
              </w:rPr>
            </w:pPr>
            <w:r>
              <w:rPr>
                <w:sz w:val="28"/>
                <w:szCs w:val="28"/>
                <w:lang w:val="uk-UA"/>
              </w:rPr>
              <w:t>246,7</w:t>
            </w:r>
          </w:p>
        </w:tc>
      </w:tr>
      <w:tr w:rsidR="00E0006A" w14:paraId="5E6D70E4" w14:textId="77777777">
        <w:tc>
          <w:tcPr>
            <w:tcW w:w="7050" w:type="dxa"/>
            <w:tcBorders>
              <w:top w:val="single" w:sz="4" w:space="0" w:color="000000"/>
              <w:left w:val="single" w:sz="4" w:space="0" w:color="000000"/>
              <w:bottom w:val="single" w:sz="4" w:space="0" w:color="000000"/>
              <w:right w:val="single" w:sz="4" w:space="0" w:color="000000"/>
            </w:tcBorders>
          </w:tcPr>
          <w:p w14:paraId="7CD08CCC" w14:textId="77777777" w:rsidR="00E0006A" w:rsidRDefault="00000000">
            <w:pPr>
              <w:jc w:val="both"/>
              <w:rPr>
                <w:sz w:val="28"/>
                <w:szCs w:val="28"/>
                <w:lang w:val="uk-UA"/>
              </w:rPr>
            </w:pPr>
            <w:r>
              <w:rPr>
                <w:sz w:val="28"/>
                <w:szCs w:val="28"/>
                <w:lang w:val="uk-UA"/>
              </w:rPr>
              <w:t>відшкодування орендної плати</w:t>
            </w:r>
          </w:p>
        </w:tc>
        <w:tc>
          <w:tcPr>
            <w:tcW w:w="1965" w:type="dxa"/>
            <w:tcBorders>
              <w:top w:val="single" w:sz="4" w:space="0" w:color="000000"/>
              <w:left w:val="single" w:sz="4" w:space="0" w:color="000000"/>
              <w:bottom w:val="single" w:sz="4" w:space="0" w:color="000000"/>
              <w:right w:val="single" w:sz="4" w:space="0" w:color="000000"/>
            </w:tcBorders>
          </w:tcPr>
          <w:p w14:paraId="67B679D9" w14:textId="77777777" w:rsidR="00E0006A" w:rsidRDefault="00000000">
            <w:pPr>
              <w:jc w:val="right"/>
              <w:rPr>
                <w:sz w:val="28"/>
                <w:szCs w:val="28"/>
                <w:lang w:val="uk-UA"/>
              </w:rPr>
            </w:pPr>
            <w:r>
              <w:rPr>
                <w:sz w:val="28"/>
                <w:szCs w:val="28"/>
                <w:lang w:val="uk-UA"/>
              </w:rPr>
              <w:t>86,6</w:t>
            </w:r>
          </w:p>
        </w:tc>
      </w:tr>
      <w:tr w:rsidR="00E0006A" w14:paraId="24B46D0A" w14:textId="77777777">
        <w:tc>
          <w:tcPr>
            <w:tcW w:w="7050" w:type="dxa"/>
            <w:tcBorders>
              <w:top w:val="single" w:sz="4" w:space="0" w:color="000000"/>
              <w:left w:val="single" w:sz="4" w:space="0" w:color="000000"/>
              <w:bottom w:val="single" w:sz="4" w:space="0" w:color="000000"/>
              <w:right w:val="single" w:sz="4" w:space="0" w:color="000000"/>
            </w:tcBorders>
          </w:tcPr>
          <w:p w14:paraId="2790CCB9" w14:textId="77777777" w:rsidR="00E0006A" w:rsidRDefault="00000000">
            <w:pPr>
              <w:jc w:val="both"/>
              <w:rPr>
                <w:sz w:val="28"/>
                <w:szCs w:val="28"/>
                <w:lang w:val="uk-UA"/>
              </w:rPr>
            </w:pPr>
            <w:r>
              <w:rPr>
                <w:sz w:val="28"/>
                <w:szCs w:val="28"/>
                <w:lang w:val="uk-UA"/>
              </w:rPr>
              <w:t>платні послуги населенню</w:t>
            </w:r>
          </w:p>
        </w:tc>
        <w:tc>
          <w:tcPr>
            <w:tcW w:w="1965" w:type="dxa"/>
            <w:tcBorders>
              <w:top w:val="single" w:sz="4" w:space="0" w:color="000000"/>
              <w:left w:val="single" w:sz="4" w:space="0" w:color="000000"/>
              <w:bottom w:val="single" w:sz="4" w:space="0" w:color="000000"/>
              <w:right w:val="single" w:sz="4" w:space="0" w:color="000000"/>
            </w:tcBorders>
          </w:tcPr>
          <w:p w14:paraId="790A8C47" w14:textId="77777777" w:rsidR="00E0006A" w:rsidRDefault="00000000">
            <w:pPr>
              <w:jc w:val="right"/>
              <w:rPr>
                <w:sz w:val="28"/>
                <w:szCs w:val="28"/>
                <w:lang w:val="uk-UA"/>
              </w:rPr>
            </w:pPr>
            <w:r>
              <w:rPr>
                <w:sz w:val="28"/>
                <w:szCs w:val="28"/>
                <w:lang w:val="uk-UA"/>
              </w:rPr>
              <w:t>39,0</w:t>
            </w:r>
          </w:p>
        </w:tc>
      </w:tr>
      <w:tr w:rsidR="00E0006A" w14:paraId="1F018410" w14:textId="77777777">
        <w:tc>
          <w:tcPr>
            <w:tcW w:w="7050" w:type="dxa"/>
            <w:tcBorders>
              <w:top w:val="single" w:sz="4" w:space="0" w:color="000000"/>
              <w:left w:val="single" w:sz="4" w:space="0" w:color="000000"/>
              <w:bottom w:val="single" w:sz="4" w:space="0" w:color="000000"/>
              <w:right w:val="single" w:sz="4" w:space="0" w:color="000000"/>
            </w:tcBorders>
          </w:tcPr>
          <w:p w14:paraId="38C7EC2E" w14:textId="77777777" w:rsidR="00E0006A" w:rsidRDefault="00000000">
            <w:pPr>
              <w:jc w:val="both"/>
              <w:rPr>
                <w:sz w:val="28"/>
                <w:szCs w:val="28"/>
                <w:lang w:val="uk-UA"/>
              </w:rPr>
            </w:pPr>
            <w:r>
              <w:rPr>
                <w:sz w:val="28"/>
                <w:szCs w:val="28"/>
                <w:lang w:val="uk-UA"/>
              </w:rPr>
              <w:t>розміщення кабельних мереж (провайдери)</w:t>
            </w:r>
          </w:p>
        </w:tc>
        <w:tc>
          <w:tcPr>
            <w:tcW w:w="1965" w:type="dxa"/>
            <w:tcBorders>
              <w:top w:val="single" w:sz="4" w:space="0" w:color="000000"/>
              <w:left w:val="single" w:sz="4" w:space="0" w:color="000000"/>
              <w:bottom w:val="single" w:sz="4" w:space="0" w:color="000000"/>
              <w:right w:val="single" w:sz="4" w:space="0" w:color="000000"/>
            </w:tcBorders>
          </w:tcPr>
          <w:p w14:paraId="68BC687D" w14:textId="77777777" w:rsidR="00E0006A" w:rsidRDefault="00000000">
            <w:pPr>
              <w:jc w:val="right"/>
              <w:rPr>
                <w:sz w:val="28"/>
                <w:szCs w:val="28"/>
                <w:lang w:val="uk-UA"/>
              </w:rPr>
            </w:pPr>
            <w:r>
              <w:rPr>
                <w:sz w:val="28"/>
                <w:szCs w:val="28"/>
                <w:lang w:val="uk-UA"/>
              </w:rPr>
              <w:t>397,7</w:t>
            </w:r>
          </w:p>
        </w:tc>
      </w:tr>
      <w:tr w:rsidR="00E0006A" w14:paraId="0A3856E3" w14:textId="77777777">
        <w:tc>
          <w:tcPr>
            <w:tcW w:w="7050" w:type="dxa"/>
            <w:tcBorders>
              <w:top w:val="single" w:sz="4" w:space="0" w:color="000000"/>
              <w:left w:val="single" w:sz="4" w:space="0" w:color="000000"/>
              <w:bottom w:val="single" w:sz="4" w:space="0" w:color="000000"/>
              <w:right w:val="single" w:sz="4" w:space="0" w:color="000000"/>
            </w:tcBorders>
          </w:tcPr>
          <w:p w14:paraId="18342EEF" w14:textId="77777777" w:rsidR="00E0006A" w:rsidRDefault="00000000">
            <w:pPr>
              <w:jc w:val="both"/>
            </w:pPr>
            <w:r>
              <w:rPr>
                <w:sz w:val="28"/>
                <w:szCs w:val="28"/>
                <w:lang w:val="uk-UA"/>
              </w:rPr>
              <w:t>послуги, надані іншим організаціям</w:t>
            </w:r>
          </w:p>
        </w:tc>
        <w:tc>
          <w:tcPr>
            <w:tcW w:w="1965" w:type="dxa"/>
            <w:tcBorders>
              <w:top w:val="single" w:sz="4" w:space="0" w:color="000000"/>
              <w:left w:val="single" w:sz="4" w:space="0" w:color="000000"/>
              <w:bottom w:val="single" w:sz="4" w:space="0" w:color="000000"/>
              <w:right w:val="single" w:sz="4" w:space="0" w:color="000000"/>
            </w:tcBorders>
          </w:tcPr>
          <w:p w14:paraId="24F9477D" w14:textId="77777777" w:rsidR="00E0006A" w:rsidRDefault="00000000">
            <w:pPr>
              <w:jc w:val="right"/>
              <w:rPr>
                <w:sz w:val="28"/>
                <w:szCs w:val="28"/>
                <w:lang w:val="uk-UA"/>
              </w:rPr>
            </w:pPr>
            <w:r>
              <w:rPr>
                <w:sz w:val="28"/>
                <w:szCs w:val="28"/>
                <w:lang w:val="uk-UA"/>
              </w:rPr>
              <w:t>447,8</w:t>
            </w:r>
          </w:p>
        </w:tc>
      </w:tr>
      <w:tr w:rsidR="00E0006A" w14:paraId="4CF5F381" w14:textId="77777777">
        <w:tc>
          <w:tcPr>
            <w:tcW w:w="7050" w:type="dxa"/>
            <w:tcBorders>
              <w:top w:val="single" w:sz="4" w:space="0" w:color="000000"/>
              <w:left w:val="single" w:sz="4" w:space="0" w:color="000000"/>
              <w:bottom w:val="single" w:sz="4" w:space="0" w:color="000000"/>
              <w:right w:val="single" w:sz="4" w:space="0" w:color="000000"/>
            </w:tcBorders>
          </w:tcPr>
          <w:p w14:paraId="2E69F917" w14:textId="77777777" w:rsidR="00E0006A" w:rsidRDefault="00000000">
            <w:pPr>
              <w:jc w:val="both"/>
              <w:rPr>
                <w:sz w:val="28"/>
                <w:szCs w:val="28"/>
                <w:lang w:val="uk-UA"/>
              </w:rPr>
            </w:pPr>
            <w:r>
              <w:rPr>
                <w:sz w:val="28"/>
                <w:szCs w:val="28"/>
                <w:lang w:val="uk-UA"/>
              </w:rPr>
              <w:t>інші  операційні доходи</w:t>
            </w:r>
          </w:p>
        </w:tc>
        <w:tc>
          <w:tcPr>
            <w:tcW w:w="1965" w:type="dxa"/>
            <w:tcBorders>
              <w:top w:val="single" w:sz="4" w:space="0" w:color="000000"/>
              <w:left w:val="single" w:sz="4" w:space="0" w:color="000000"/>
              <w:bottom w:val="single" w:sz="4" w:space="0" w:color="000000"/>
              <w:right w:val="single" w:sz="4" w:space="0" w:color="000000"/>
            </w:tcBorders>
          </w:tcPr>
          <w:p w14:paraId="3285AACB" w14:textId="77777777" w:rsidR="00E0006A" w:rsidRDefault="00000000">
            <w:pPr>
              <w:jc w:val="right"/>
              <w:rPr>
                <w:sz w:val="28"/>
                <w:szCs w:val="28"/>
                <w:lang w:val="uk-UA"/>
              </w:rPr>
            </w:pPr>
            <w:r>
              <w:rPr>
                <w:sz w:val="28"/>
                <w:szCs w:val="28"/>
                <w:lang w:val="uk-UA"/>
              </w:rPr>
              <w:t>17,4</w:t>
            </w:r>
          </w:p>
        </w:tc>
      </w:tr>
      <w:tr w:rsidR="00E0006A" w14:paraId="61A69B30" w14:textId="77777777">
        <w:tc>
          <w:tcPr>
            <w:tcW w:w="7050" w:type="dxa"/>
            <w:tcBorders>
              <w:top w:val="single" w:sz="4" w:space="0" w:color="000000"/>
              <w:left w:val="single" w:sz="4" w:space="0" w:color="000000"/>
              <w:bottom w:val="single" w:sz="4" w:space="0" w:color="000000"/>
              <w:right w:val="single" w:sz="4" w:space="0" w:color="000000"/>
            </w:tcBorders>
          </w:tcPr>
          <w:p w14:paraId="128B79D4" w14:textId="77777777" w:rsidR="00E0006A" w:rsidRDefault="00000000">
            <w:pPr>
              <w:jc w:val="both"/>
              <w:rPr>
                <w:sz w:val="28"/>
                <w:szCs w:val="28"/>
                <w:lang w:val="uk-UA"/>
              </w:rPr>
            </w:pPr>
            <w:r>
              <w:rPr>
                <w:sz w:val="28"/>
                <w:szCs w:val="28"/>
                <w:lang w:val="uk-UA"/>
              </w:rPr>
              <w:t>Всього з ПДВ</w:t>
            </w:r>
          </w:p>
        </w:tc>
        <w:tc>
          <w:tcPr>
            <w:tcW w:w="1965" w:type="dxa"/>
            <w:tcBorders>
              <w:top w:val="single" w:sz="4" w:space="0" w:color="000000"/>
              <w:left w:val="single" w:sz="4" w:space="0" w:color="000000"/>
              <w:bottom w:val="single" w:sz="4" w:space="0" w:color="000000"/>
              <w:right w:val="single" w:sz="4" w:space="0" w:color="000000"/>
            </w:tcBorders>
          </w:tcPr>
          <w:p w14:paraId="0BCD64F4" w14:textId="77777777" w:rsidR="00E0006A" w:rsidRDefault="00000000">
            <w:pPr>
              <w:jc w:val="right"/>
              <w:rPr>
                <w:sz w:val="28"/>
                <w:szCs w:val="28"/>
                <w:lang w:val="uk-UA"/>
              </w:rPr>
            </w:pPr>
            <w:r>
              <w:rPr>
                <w:sz w:val="28"/>
                <w:szCs w:val="28"/>
                <w:lang w:val="uk-UA"/>
              </w:rPr>
              <w:t>16 335,1</w:t>
            </w:r>
          </w:p>
        </w:tc>
      </w:tr>
      <w:tr w:rsidR="00E0006A" w14:paraId="35387C80" w14:textId="77777777">
        <w:tc>
          <w:tcPr>
            <w:tcW w:w="7050" w:type="dxa"/>
            <w:tcBorders>
              <w:top w:val="single" w:sz="4" w:space="0" w:color="000000"/>
              <w:left w:val="single" w:sz="4" w:space="0" w:color="000000"/>
              <w:bottom w:val="single" w:sz="4" w:space="0" w:color="000000"/>
              <w:right w:val="single" w:sz="4" w:space="0" w:color="000000"/>
            </w:tcBorders>
          </w:tcPr>
          <w:p w14:paraId="4F9C6344" w14:textId="77777777" w:rsidR="00E0006A" w:rsidRDefault="00000000">
            <w:pPr>
              <w:jc w:val="both"/>
              <w:rPr>
                <w:sz w:val="28"/>
                <w:szCs w:val="28"/>
                <w:lang w:val="uk-UA"/>
              </w:rPr>
            </w:pPr>
            <w:r>
              <w:rPr>
                <w:sz w:val="28"/>
                <w:szCs w:val="28"/>
                <w:lang w:val="uk-UA"/>
              </w:rPr>
              <w:t>Податок на додану вартість</w:t>
            </w:r>
          </w:p>
        </w:tc>
        <w:tc>
          <w:tcPr>
            <w:tcW w:w="1965" w:type="dxa"/>
            <w:tcBorders>
              <w:top w:val="single" w:sz="4" w:space="0" w:color="000000"/>
              <w:left w:val="single" w:sz="4" w:space="0" w:color="000000"/>
              <w:bottom w:val="single" w:sz="4" w:space="0" w:color="000000"/>
              <w:right w:val="single" w:sz="4" w:space="0" w:color="000000"/>
            </w:tcBorders>
          </w:tcPr>
          <w:p w14:paraId="3D9917F2" w14:textId="77777777" w:rsidR="00E0006A" w:rsidRDefault="00000000">
            <w:pPr>
              <w:jc w:val="right"/>
              <w:rPr>
                <w:sz w:val="28"/>
                <w:szCs w:val="28"/>
                <w:lang w:val="uk-UA"/>
              </w:rPr>
            </w:pPr>
            <w:r>
              <w:rPr>
                <w:sz w:val="28"/>
                <w:szCs w:val="28"/>
                <w:lang w:val="uk-UA"/>
              </w:rPr>
              <w:t>1 913,2</w:t>
            </w:r>
          </w:p>
        </w:tc>
      </w:tr>
      <w:tr w:rsidR="00E0006A" w14:paraId="36990982" w14:textId="77777777">
        <w:tc>
          <w:tcPr>
            <w:tcW w:w="7050" w:type="dxa"/>
            <w:tcBorders>
              <w:top w:val="single" w:sz="4" w:space="0" w:color="000000"/>
              <w:left w:val="single" w:sz="4" w:space="0" w:color="000000"/>
              <w:bottom w:val="single" w:sz="4" w:space="0" w:color="000000"/>
              <w:right w:val="single" w:sz="4" w:space="0" w:color="000000"/>
            </w:tcBorders>
          </w:tcPr>
          <w:p w14:paraId="530D0F51" w14:textId="77777777" w:rsidR="00E0006A" w:rsidRDefault="00000000">
            <w:pPr>
              <w:jc w:val="both"/>
              <w:rPr>
                <w:sz w:val="28"/>
                <w:szCs w:val="28"/>
                <w:lang w:val="uk-UA"/>
              </w:rPr>
            </w:pPr>
            <w:r>
              <w:rPr>
                <w:sz w:val="28"/>
                <w:szCs w:val="28"/>
                <w:lang w:val="uk-UA"/>
              </w:rPr>
              <w:t>ВСЬОГО без ПДВ</w:t>
            </w:r>
          </w:p>
        </w:tc>
        <w:tc>
          <w:tcPr>
            <w:tcW w:w="1965" w:type="dxa"/>
            <w:tcBorders>
              <w:top w:val="single" w:sz="4" w:space="0" w:color="000000"/>
              <w:left w:val="single" w:sz="4" w:space="0" w:color="000000"/>
              <w:bottom w:val="single" w:sz="4" w:space="0" w:color="000000"/>
              <w:right w:val="single" w:sz="4" w:space="0" w:color="000000"/>
            </w:tcBorders>
          </w:tcPr>
          <w:p w14:paraId="371187F1" w14:textId="77777777" w:rsidR="00E0006A" w:rsidRDefault="00000000">
            <w:pPr>
              <w:jc w:val="right"/>
              <w:rPr>
                <w:sz w:val="28"/>
                <w:szCs w:val="28"/>
                <w:lang w:val="uk-UA"/>
              </w:rPr>
            </w:pPr>
            <w:r>
              <w:rPr>
                <w:sz w:val="28"/>
                <w:szCs w:val="28"/>
                <w:lang w:val="uk-UA"/>
              </w:rPr>
              <w:t>14 421,9</w:t>
            </w:r>
          </w:p>
        </w:tc>
      </w:tr>
    </w:tbl>
    <w:p w14:paraId="280E9BB7" w14:textId="77777777" w:rsidR="00E0006A" w:rsidRDefault="00E0006A">
      <w:pPr>
        <w:jc w:val="both"/>
        <w:rPr>
          <w:sz w:val="28"/>
          <w:szCs w:val="28"/>
          <w:lang w:val="uk-UA"/>
        </w:rPr>
      </w:pPr>
    </w:p>
    <w:p w14:paraId="53788D00" w14:textId="77777777" w:rsidR="00E0006A" w:rsidRDefault="00000000">
      <w:pPr>
        <w:ind w:firstLine="567"/>
        <w:jc w:val="both"/>
        <w:rPr>
          <w:sz w:val="28"/>
          <w:szCs w:val="28"/>
          <w:lang w:val="uk-UA"/>
        </w:rPr>
      </w:pPr>
      <w:r>
        <w:rPr>
          <w:sz w:val="28"/>
          <w:szCs w:val="28"/>
          <w:lang w:val="uk-UA"/>
        </w:rPr>
        <w:t>Порівняно з відповідним періодом минулого року, доходи зросли на 369,6 тис. грн (2,3%). Доходи з управління будинками є основним джерелом доходів підприємства і становлять 89,3% в загальній структурі доходів. Оплата мешканців за управління будинками становить 99,1% від нарахованої суми.</w:t>
      </w:r>
    </w:p>
    <w:p w14:paraId="52C62AD1" w14:textId="77777777" w:rsidR="00E0006A" w:rsidRDefault="00E0006A">
      <w:pPr>
        <w:ind w:firstLine="567"/>
        <w:jc w:val="both"/>
        <w:rPr>
          <w:sz w:val="28"/>
          <w:szCs w:val="28"/>
          <w:lang w:val="uk-UA"/>
        </w:rPr>
      </w:pPr>
    </w:p>
    <w:p w14:paraId="17656A65" w14:textId="77777777" w:rsidR="00E0006A" w:rsidRPr="00A502F6" w:rsidRDefault="00000000">
      <w:pPr>
        <w:ind w:firstLine="567"/>
        <w:jc w:val="both"/>
        <w:rPr>
          <w:b/>
        </w:rPr>
      </w:pPr>
      <w:r w:rsidRPr="00A502F6">
        <w:rPr>
          <w:b/>
          <w:sz w:val="28"/>
          <w:szCs w:val="28"/>
          <w:lang w:val="uk-UA"/>
        </w:rPr>
        <w:t xml:space="preserve">Витрати ЖКП № 2 склали </w:t>
      </w:r>
    </w:p>
    <w:p w14:paraId="28AF6FB2" w14:textId="77777777" w:rsidR="00E0006A" w:rsidRDefault="00000000" w:rsidP="00C752FC">
      <w:pPr>
        <w:ind w:firstLine="7088"/>
        <w:rPr>
          <w:lang w:val="uk-UA"/>
        </w:rPr>
      </w:pPr>
      <w:r>
        <w:rPr>
          <w:lang w:val="uk-UA"/>
        </w:rPr>
        <w:t>(тис. грн, без ПДВ)</w:t>
      </w:r>
    </w:p>
    <w:tbl>
      <w:tblPr>
        <w:tblW w:w="9015" w:type="dxa"/>
        <w:tblInd w:w="5" w:type="dxa"/>
        <w:tblLayout w:type="fixed"/>
        <w:tblLook w:val="04A0" w:firstRow="1" w:lastRow="0" w:firstColumn="1" w:lastColumn="0" w:noHBand="0" w:noVBand="1"/>
      </w:tblPr>
      <w:tblGrid>
        <w:gridCol w:w="7035"/>
        <w:gridCol w:w="1980"/>
      </w:tblGrid>
      <w:tr w:rsidR="00E0006A" w14:paraId="5986EC2F" w14:textId="77777777">
        <w:tc>
          <w:tcPr>
            <w:tcW w:w="7035" w:type="dxa"/>
            <w:tcBorders>
              <w:top w:val="single" w:sz="4" w:space="0" w:color="000000"/>
              <w:left w:val="single" w:sz="4" w:space="0" w:color="000000"/>
              <w:bottom w:val="single" w:sz="4" w:space="0" w:color="000000"/>
              <w:right w:val="single" w:sz="4" w:space="0" w:color="000000"/>
            </w:tcBorders>
          </w:tcPr>
          <w:p w14:paraId="6D5CD2AF" w14:textId="77777777" w:rsidR="00E0006A" w:rsidRDefault="00000000">
            <w:pPr>
              <w:jc w:val="both"/>
              <w:rPr>
                <w:sz w:val="28"/>
                <w:szCs w:val="28"/>
                <w:lang w:val="uk-UA"/>
              </w:rPr>
            </w:pPr>
            <w:r>
              <w:rPr>
                <w:sz w:val="28"/>
                <w:szCs w:val="28"/>
                <w:lang w:val="uk-UA"/>
              </w:rPr>
              <w:t xml:space="preserve">Витрати на оплату праці  </w:t>
            </w:r>
          </w:p>
        </w:tc>
        <w:tc>
          <w:tcPr>
            <w:tcW w:w="1980" w:type="dxa"/>
            <w:tcBorders>
              <w:top w:val="single" w:sz="4" w:space="0" w:color="000000"/>
              <w:left w:val="single" w:sz="4" w:space="0" w:color="000000"/>
              <w:bottom w:val="single" w:sz="4" w:space="0" w:color="000000"/>
              <w:right w:val="single" w:sz="4" w:space="0" w:color="000000"/>
            </w:tcBorders>
          </w:tcPr>
          <w:p w14:paraId="1D0B674E" w14:textId="77777777" w:rsidR="00E0006A" w:rsidRDefault="00000000">
            <w:pPr>
              <w:jc w:val="right"/>
              <w:rPr>
                <w:sz w:val="28"/>
                <w:szCs w:val="28"/>
                <w:lang w:val="uk-UA"/>
              </w:rPr>
            </w:pPr>
            <w:r>
              <w:rPr>
                <w:sz w:val="28"/>
                <w:szCs w:val="28"/>
                <w:lang w:val="uk-UA"/>
              </w:rPr>
              <w:t>8 236,9</w:t>
            </w:r>
          </w:p>
        </w:tc>
      </w:tr>
      <w:tr w:rsidR="00E0006A" w14:paraId="29AC9526" w14:textId="77777777">
        <w:tc>
          <w:tcPr>
            <w:tcW w:w="7035" w:type="dxa"/>
            <w:tcBorders>
              <w:top w:val="single" w:sz="4" w:space="0" w:color="000000"/>
              <w:left w:val="single" w:sz="4" w:space="0" w:color="000000"/>
              <w:bottom w:val="single" w:sz="4" w:space="0" w:color="000000"/>
              <w:right w:val="single" w:sz="4" w:space="0" w:color="000000"/>
            </w:tcBorders>
          </w:tcPr>
          <w:p w14:paraId="281FA08A" w14:textId="77777777" w:rsidR="00E0006A" w:rsidRDefault="00000000">
            <w:pPr>
              <w:jc w:val="both"/>
              <w:rPr>
                <w:sz w:val="28"/>
                <w:szCs w:val="28"/>
                <w:lang w:val="uk-UA"/>
              </w:rPr>
            </w:pPr>
            <w:r>
              <w:rPr>
                <w:sz w:val="28"/>
                <w:szCs w:val="28"/>
                <w:lang w:val="uk-UA"/>
              </w:rPr>
              <w:t>відрахування на соціальні заходи</w:t>
            </w:r>
          </w:p>
        </w:tc>
        <w:tc>
          <w:tcPr>
            <w:tcW w:w="1980" w:type="dxa"/>
            <w:tcBorders>
              <w:top w:val="single" w:sz="4" w:space="0" w:color="000000"/>
              <w:left w:val="single" w:sz="4" w:space="0" w:color="000000"/>
              <w:bottom w:val="single" w:sz="4" w:space="0" w:color="000000"/>
              <w:right w:val="single" w:sz="4" w:space="0" w:color="000000"/>
            </w:tcBorders>
          </w:tcPr>
          <w:p w14:paraId="605EA353" w14:textId="77777777" w:rsidR="00E0006A" w:rsidRDefault="00000000">
            <w:pPr>
              <w:jc w:val="right"/>
              <w:rPr>
                <w:sz w:val="28"/>
                <w:szCs w:val="28"/>
                <w:lang w:val="uk-UA"/>
              </w:rPr>
            </w:pPr>
            <w:r>
              <w:rPr>
                <w:sz w:val="28"/>
                <w:szCs w:val="28"/>
                <w:lang w:val="uk-UA"/>
              </w:rPr>
              <w:t>1 704,2</w:t>
            </w:r>
          </w:p>
        </w:tc>
      </w:tr>
      <w:tr w:rsidR="00E0006A" w14:paraId="1BDC771C" w14:textId="77777777">
        <w:tc>
          <w:tcPr>
            <w:tcW w:w="7035" w:type="dxa"/>
            <w:tcBorders>
              <w:top w:val="single" w:sz="4" w:space="0" w:color="000000"/>
              <w:left w:val="single" w:sz="4" w:space="0" w:color="000000"/>
              <w:bottom w:val="single" w:sz="4" w:space="0" w:color="000000"/>
              <w:right w:val="single" w:sz="4" w:space="0" w:color="000000"/>
            </w:tcBorders>
          </w:tcPr>
          <w:p w14:paraId="5CE29F28" w14:textId="77777777" w:rsidR="00E0006A" w:rsidRDefault="00000000">
            <w:pPr>
              <w:jc w:val="both"/>
              <w:rPr>
                <w:sz w:val="28"/>
                <w:szCs w:val="28"/>
                <w:lang w:val="uk-UA"/>
              </w:rPr>
            </w:pPr>
            <w:r>
              <w:rPr>
                <w:sz w:val="28"/>
                <w:szCs w:val="28"/>
                <w:lang w:val="uk-UA"/>
              </w:rPr>
              <w:t>матеріальні витрати</w:t>
            </w:r>
          </w:p>
        </w:tc>
        <w:tc>
          <w:tcPr>
            <w:tcW w:w="1980" w:type="dxa"/>
            <w:tcBorders>
              <w:top w:val="single" w:sz="4" w:space="0" w:color="000000"/>
              <w:left w:val="single" w:sz="4" w:space="0" w:color="000000"/>
              <w:bottom w:val="single" w:sz="4" w:space="0" w:color="000000"/>
              <w:right w:val="single" w:sz="4" w:space="0" w:color="000000"/>
            </w:tcBorders>
          </w:tcPr>
          <w:p w14:paraId="7D009EE3" w14:textId="77777777" w:rsidR="00E0006A" w:rsidRDefault="00000000">
            <w:pPr>
              <w:jc w:val="right"/>
              <w:rPr>
                <w:sz w:val="28"/>
                <w:szCs w:val="28"/>
                <w:lang w:val="uk-UA"/>
              </w:rPr>
            </w:pPr>
            <w:r>
              <w:rPr>
                <w:sz w:val="28"/>
                <w:szCs w:val="28"/>
                <w:lang w:val="uk-UA"/>
              </w:rPr>
              <w:t>4 468,3</w:t>
            </w:r>
          </w:p>
        </w:tc>
      </w:tr>
      <w:tr w:rsidR="00E0006A" w14:paraId="1584547E" w14:textId="77777777">
        <w:tc>
          <w:tcPr>
            <w:tcW w:w="7035" w:type="dxa"/>
            <w:tcBorders>
              <w:top w:val="single" w:sz="4" w:space="0" w:color="000000"/>
              <w:left w:val="single" w:sz="4" w:space="0" w:color="000000"/>
              <w:bottom w:val="single" w:sz="4" w:space="0" w:color="000000"/>
              <w:right w:val="single" w:sz="4" w:space="0" w:color="000000"/>
            </w:tcBorders>
          </w:tcPr>
          <w:p w14:paraId="73D21E66" w14:textId="77777777" w:rsidR="00E0006A" w:rsidRDefault="00000000">
            <w:pPr>
              <w:jc w:val="both"/>
              <w:rPr>
                <w:sz w:val="28"/>
                <w:szCs w:val="28"/>
                <w:lang w:val="uk-UA"/>
              </w:rPr>
            </w:pPr>
            <w:r>
              <w:rPr>
                <w:sz w:val="28"/>
                <w:szCs w:val="28"/>
                <w:lang w:val="uk-UA"/>
              </w:rPr>
              <w:t>амортизаційні відрахування</w:t>
            </w:r>
          </w:p>
        </w:tc>
        <w:tc>
          <w:tcPr>
            <w:tcW w:w="1980" w:type="dxa"/>
            <w:tcBorders>
              <w:top w:val="single" w:sz="4" w:space="0" w:color="000000"/>
              <w:left w:val="single" w:sz="4" w:space="0" w:color="000000"/>
              <w:bottom w:val="single" w:sz="4" w:space="0" w:color="000000"/>
              <w:right w:val="single" w:sz="4" w:space="0" w:color="000000"/>
            </w:tcBorders>
          </w:tcPr>
          <w:p w14:paraId="5EE515DB" w14:textId="77777777" w:rsidR="00E0006A" w:rsidRDefault="00000000">
            <w:pPr>
              <w:jc w:val="right"/>
              <w:rPr>
                <w:sz w:val="28"/>
                <w:szCs w:val="28"/>
                <w:lang w:val="uk-UA"/>
              </w:rPr>
            </w:pPr>
            <w:r>
              <w:rPr>
                <w:sz w:val="28"/>
                <w:szCs w:val="28"/>
                <w:lang w:val="uk-UA"/>
              </w:rPr>
              <w:t>49,0</w:t>
            </w:r>
          </w:p>
        </w:tc>
      </w:tr>
      <w:tr w:rsidR="00E0006A" w14:paraId="41B63F7E" w14:textId="77777777">
        <w:tc>
          <w:tcPr>
            <w:tcW w:w="7035" w:type="dxa"/>
            <w:tcBorders>
              <w:top w:val="single" w:sz="4" w:space="0" w:color="000000"/>
              <w:left w:val="single" w:sz="4" w:space="0" w:color="000000"/>
              <w:bottom w:val="single" w:sz="4" w:space="0" w:color="000000"/>
              <w:right w:val="single" w:sz="4" w:space="0" w:color="000000"/>
            </w:tcBorders>
          </w:tcPr>
          <w:p w14:paraId="10AA28C3" w14:textId="77777777" w:rsidR="00E0006A" w:rsidRDefault="00000000">
            <w:pPr>
              <w:jc w:val="both"/>
              <w:rPr>
                <w:sz w:val="28"/>
                <w:szCs w:val="28"/>
                <w:lang w:val="uk-UA"/>
              </w:rPr>
            </w:pPr>
            <w:r>
              <w:rPr>
                <w:sz w:val="28"/>
                <w:szCs w:val="28"/>
                <w:lang w:val="uk-UA"/>
              </w:rPr>
              <w:t>інші</w:t>
            </w:r>
          </w:p>
        </w:tc>
        <w:tc>
          <w:tcPr>
            <w:tcW w:w="1980" w:type="dxa"/>
            <w:tcBorders>
              <w:top w:val="single" w:sz="4" w:space="0" w:color="000000"/>
              <w:left w:val="single" w:sz="4" w:space="0" w:color="000000"/>
              <w:bottom w:val="single" w:sz="4" w:space="0" w:color="000000"/>
              <w:right w:val="single" w:sz="4" w:space="0" w:color="000000"/>
            </w:tcBorders>
          </w:tcPr>
          <w:p w14:paraId="6AEA8326" w14:textId="77777777" w:rsidR="00E0006A" w:rsidRDefault="00000000">
            <w:pPr>
              <w:jc w:val="right"/>
              <w:rPr>
                <w:sz w:val="28"/>
                <w:szCs w:val="28"/>
                <w:lang w:val="uk-UA"/>
              </w:rPr>
            </w:pPr>
            <w:r>
              <w:rPr>
                <w:sz w:val="28"/>
                <w:szCs w:val="28"/>
                <w:lang w:val="uk-UA"/>
              </w:rPr>
              <w:t>378,7</w:t>
            </w:r>
          </w:p>
        </w:tc>
      </w:tr>
      <w:tr w:rsidR="00E0006A" w14:paraId="29906EE4" w14:textId="77777777">
        <w:tc>
          <w:tcPr>
            <w:tcW w:w="7035" w:type="dxa"/>
            <w:tcBorders>
              <w:top w:val="single" w:sz="4" w:space="0" w:color="000000"/>
              <w:left w:val="single" w:sz="4" w:space="0" w:color="000000"/>
              <w:bottom w:val="single" w:sz="4" w:space="0" w:color="000000"/>
              <w:right w:val="single" w:sz="4" w:space="0" w:color="000000"/>
            </w:tcBorders>
          </w:tcPr>
          <w:p w14:paraId="07AE93D4" w14:textId="77777777" w:rsidR="00E0006A" w:rsidRDefault="00000000">
            <w:pPr>
              <w:jc w:val="both"/>
              <w:rPr>
                <w:sz w:val="28"/>
                <w:szCs w:val="28"/>
                <w:lang w:val="uk-UA"/>
              </w:rPr>
            </w:pPr>
            <w:r>
              <w:rPr>
                <w:sz w:val="28"/>
                <w:szCs w:val="28"/>
                <w:lang w:val="uk-UA"/>
              </w:rPr>
              <w:t>Всього</w:t>
            </w:r>
          </w:p>
        </w:tc>
        <w:tc>
          <w:tcPr>
            <w:tcW w:w="1980" w:type="dxa"/>
            <w:tcBorders>
              <w:top w:val="single" w:sz="4" w:space="0" w:color="000000"/>
              <w:left w:val="single" w:sz="4" w:space="0" w:color="000000"/>
              <w:bottom w:val="single" w:sz="4" w:space="0" w:color="000000"/>
              <w:right w:val="single" w:sz="4" w:space="0" w:color="000000"/>
            </w:tcBorders>
          </w:tcPr>
          <w:p w14:paraId="4F69D154" w14:textId="77777777" w:rsidR="00E0006A" w:rsidRDefault="00000000">
            <w:pPr>
              <w:jc w:val="right"/>
              <w:rPr>
                <w:sz w:val="28"/>
                <w:szCs w:val="28"/>
                <w:lang w:val="uk-UA"/>
              </w:rPr>
            </w:pPr>
            <w:r>
              <w:rPr>
                <w:sz w:val="28"/>
                <w:szCs w:val="28"/>
                <w:lang w:val="uk-UA"/>
              </w:rPr>
              <w:t>14 837,1</w:t>
            </w:r>
          </w:p>
        </w:tc>
      </w:tr>
    </w:tbl>
    <w:p w14:paraId="24FADF78" w14:textId="77777777" w:rsidR="00E0006A" w:rsidRDefault="00000000">
      <w:pPr>
        <w:spacing w:before="170"/>
        <w:ind w:firstLine="567"/>
        <w:jc w:val="both"/>
        <w:rPr>
          <w:sz w:val="28"/>
          <w:szCs w:val="28"/>
          <w:lang w:val="uk-UA"/>
        </w:rPr>
      </w:pPr>
      <w:r>
        <w:rPr>
          <w:sz w:val="28"/>
          <w:szCs w:val="28"/>
          <w:lang w:val="uk-UA"/>
        </w:rPr>
        <w:t>З врахуванням переплати податку на прибуток (121,4 тис. грн), збитки за 11 місяців становлять 293,8 тис. грн.</w:t>
      </w:r>
    </w:p>
    <w:p w14:paraId="28B075D4" w14:textId="0AFBF293" w:rsidR="00E0006A" w:rsidRDefault="00000000">
      <w:pPr>
        <w:ind w:firstLine="567"/>
        <w:jc w:val="both"/>
        <w:rPr>
          <w:sz w:val="28"/>
          <w:szCs w:val="28"/>
          <w:lang w:val="uk-UA"/>
        </w:rPr>
      </w:pPr>
      <w:r>
        <w:rPr>
          <w:sz w:val="28"/>
          <w:szCs w:val="28"/>
          <w:lang w:val="uk-UA"/>
        </w:rPr>
        <w:t xml:space="preserve">За </w:t>
      </w:r>
      <w:r w:rsidR="00A502F6">
        <w:rPr>
          <w:sz w:val="28"/>
          <w:szCs w:val="28"/>
          <w:lang w:val="uk-UA"/>
        </w:rPr>
        <w:t>цей</w:t>
      </w:r>
      <w:r>
        <w:rPr>
          <w:sz w:val="28"/>
          <w:szCs w:val="28"/>
          <w:lang w:val="uk-UA"/>
        </w:rPr>
        <w:t xml:space="preserve"> період підприємством сплачено до бюджету 4 469,6 тис. грн податків, у тому числі:</w:t>
      </w:r>
    </w:p>
    <w:p w14:paraId="14A4FF57" w14:textId="77777777" w:rsidR="00E0006A" w:rsidRDefault="00000000">
      <w:pPr>
        <w:ind w:firstLine="567"/>
        <w:jc w:val="both"/>
        <w:rPr>
          <w:sz w:val="28"/>
          <w:szCs w:val="28"/>
          <w:lang w:val="uk-UA"/>
        </w:rPr>
      </w:pPr>
      <w:r>
        <w:rPr>
          <w:sz w:val="28"/>
          <w:szCs w:val="28"/>
          <w:lang w:val="uk-UA"/>
        </w:rPr>
        <w:t>ПДВ – 814,9 тис. грн;</w:t>
      </w:r>
    </w:p>
    <w:p w14:paraId="18E45E5C" w14:textId="77777777" w:rsidR="00E0006A" w:rsidRDefault="00000000">
      <w:pPr>
        <w:ind w:firstLine="567"/>
        <w:jc w:val="both"/>
        <w:rPr>
          <w:sz w:val="28"/>
          <w:szCs w:val="28"/>
          <w:lang w:val="uk-UA"/>
        </w:rPr>
      </w:pPr>
      <w:r>
        <w:rPr>
          <w:sz w:val="28"/>
          <w:szCs w:val="28"/>
          <w:lang w:val="uk-UA"/>
        </w:rPr>
        <w:t>єдиний податок – 197,9 тис. грн;</w:t>
      </w:r>
    </w:p>
    <w:p w14:paraId="0C04BA47" w14:textId="77777777" w:rsidR="00E0006A" w:rsidRDefault="00000000">
      <w:pPr>
        <w:ind w:firstLine="567"/>
        <w:jc w:val="both"/>
        <w:rPr>
          <w:sz w:val="28"/>
          <w:szCs w:val="28"/>
          <w:lang w:val="uk-UA"/>
        </w:rPr>
      </w:pPr>
      <w:r>
        <w:rPr>
          <w:sz w:val="28"/>
          <w:szCs w:val="28"/>
          <w:lang w:val="uk-UA"/>
        </w:rPr>
        <w:t>земельний податок – 4,2 тис. грн;</w:t>
      </w:r>
    </w:p>
    <w:p w14:paraId="2C6AFAE1" w14:textId="77777777" w:rsidR="00E0006A" w:rsidRDefault="00000000">
      <w:pPr>
        <w:ind w:firstLine="567"/>
        <w:jc w:val="both"/>
      </w:pPr>
      <w:r>
        <w:rPr>
          <w:sz w:val="28"/>
          <w:szCs w:val="28"/>
          <w:lang w:val="uk-UA"/>
        </w:rPr>
        <w:t>податок з доходів фізичних осіб – 1 532,3 тис. грн;</w:t>
      </w:r>
    </w:p>
    <w:p w14:paraId="1F274F59" w14:textId="77777777" w:rsidR="00E0006A" w:rsidRDefault="00000000">
      <w:pPr>
        <w:ind w:firstLine="567"/>
        <w:jc w:val="both"/>
        <w:rPr>
          <w:sz w:val="28"/>
          <w:szCs w:val="28"/>
          <w:lang w:val="uk-UA"/>
        </w:rPr>
      </w:pPr>
      <w:r>
        <w:rPr>
          <w:sz w:val="28"/>
          <w:szCs w:val="28"/>
          <w:lang w:val="uk-UA"/>
        </w:rPr>
        <w:lastRenderedPageBreak/>
        <w:t>військовий збір – 127,7 тис. грн;</w:t>
      </w:r>
    </w:p>
    <w:p w14:paraId="421BD95B" w14:textId="77777777" w:rsidR="00E0006A" w:rsidRDefault="00000000">
      <w:pPr>
        <w:ind w:firstLine="567"/>
        <w:jc w:val="both"/>
        <w:rPr>
          <w:sz w:val="28"/>
          <w:szCs w:val="28"/>
          <w:lang w:val="uk-UA"/>
        </w:rPr>
      </w:pPr>
      <w:r>
        <w:rPr>
          <w:sz w:val="28"/>
          <w:szCs w:val="28"/>
          <w:lang w:val="uk-UA"/>
        </w:rPr>
        <w:t>єдиний соціальний внесок – 1 792,6 тис. грн.</w:t>
      </w:r>
    </w:p>
    <w:p w14:paraId="416E5199" w14:textId="77777777" w:rsidR="00E0006A" w:rsidRDefault="00000000">
      <w:pPr>
        <w:ind w:firstLine="567"/>
        <w:jc w:val="both"/>
      </w:pPr>
      <w:r>
        <w:rPr>
          <w:b/>
          <w:sz w:val="28"/>
          <w:szCs w:val="28"/>
          <w:lang w:val="uk-UA"/>
        </w:rPr>
        <w:t xml:space="preserve">Статутний капітал </w:t>
      </w:r>
      <w:r>
        <w:rPr>
          <w:sz w:val="28"/>
          <w:szCs w:val="28"/>
          <w:lang w:val="uk-UA"/>
        </w:rPr>
        <w:t xml:space="preserve">станом на 01.12.2023 року становить 445,8 тис. грн. </w:t>
      </w:r>
    </w:p>
    <w:p w14:paraId="403D36BF" w14:textId="77777777" w:rsidR="00E0006A" w:rsidRDefault="00000000">
      <w:pPr>
        <w:ind w:firstLine="567"/>
        <w:jc w:val="both"/>
      </w:pPr>
      <w:r>
        <w:rPr>
          <w:b/>
          <w:sz w:val="28"/>
          <w:szCs w:val="28"/>
          <w:lang w:val="uk-UA"/>
        </w:rPr>
        <w:t>Дебіторська</w:t>
      </w:r>
      <w:r>
        <w:rPr>
          <w:sz w:val="28"/>
          <w:szCs w:val="28"/>
          <w:lang w:val="uk-UA"/>
        </w:rPr>
        <w:t xml:space="preserve"> заборгованість зменшилась на 849,5 тис. грн за період з початку року та станом на 01.12.2023 становить 4 139,5 тис. грн . 90,9% від усієї заборгованості становить борг населення за послуги з утримання та управління будинками: 1 099,9 та 2 664,9 тис. грн відповідно.</w:t>
      </w:r>
    </w:p>
    <w:p w14:paraId="076A00E7" w14:textId="77777777" w:rsidR="00E0006A" w:rsidRDefault="00000000">
      <w:pPr>
        <w:ind w:firstLine="567"/>
        <w:jc w:val="both"/>
      </w:pPr>
      <w:r>
        <w:rPr>
          <w:b/>
          <w:sz w:val="28"/>
          <w:szCs w:val="28"/>
          <w:lang w:val="uk-UA"/>
        </w:rPr>
        <w:t>Кредиторська</w:t>
      </w:r>
      <w:r>
        <w:rPr>
          <w:sz w:val="28"/>
          <w:szCs w:val="28"/>
          <w:lang w:val="uk-UA"/>
        </w:rPr>
        <w:t xml:space="preserve"> заборгованість зменшилась на 590,8 тис. грн. за поточний період з початку року та станом на 01.12.2023 становить 1 960,2 тис. грн.</w:t>
      </w:r>
    </w:p>
    <w:p w14:paraId="08B14449" w14:textId="77777777" w:rsidR="00E0006A" w:rsidRDefault="00E0006A">
      <w:pPr>
        <w:ind w:firstLine="567"/>
        <w:jc w:val="both"/>
        <w:rPr>
          <w:sz w:val="28"/>
          <w:szCs w:val="28"/>
          <w:lang w:val="uk-UA"/>
        </w:rPr>
      </w:pPr>
    </w:p>
    <w:p w14:paraId="13955800" w14:textId="77777777" w:rsidR="00E0006A" w:rsidRDefault="00000000">
      <w:pPr>
        <w:jc w:val="center"/>
        <w:rPr>
          <w:b/>
          <w:sz w:val="28"/>
          <w:szCs w:val="28"/>
          <w:lang w:val="uk-UA"/>
        </w:rPr>
      </w:pPr>
      <w:r>
        <w:rPr>
          <w:b/>
          <w:sz w:val="28"/>
          <w:szCs w:val="28"/>
          <w:lang w:val="uk-UA"/>
        </w:rPr>
        <w:t>Претензійно-позовна робота</w:t>
      </w:r>
    </w:p>
    <w:p w14:paraId="635DA34F" w14:textId="77777777" w:rsidR="00E0006A" w:rsidRDefault="00000000">
      <w:pPr>
        <w:ind w:firstLine="567"/>
        <w:jc w:val="both"/>
        <w:rPr>
          <w:sz w:val="28"/>
          <w:szCs w:val="28"/>
          <w:lang w:val="uk-UA"/>
        </w:rPr>
      </w:pPr>
      <w:r>
        <w:rPr>
          <w:sz w:val="28"/>
          <w:szCs w:val="28"/>
          <w:lang w:val="uk-UA"/>
        </w:rPr>
        <w:t xml:space="preserve">У 2023 році житлово-комунальним підприємством № 2 проводилася робота, спрямована на зменшення дебіторської заборгованості мешканців, підприємств, установ, організацій за надані послуги з утримання та управління багатоквартирними будинками. </w:t>
      </w:r>
    </w:p>
    <w:p w14:paraId="1A4EE717" w14:textId="77777777" w:rsidR="00E0006A" w:rsidRDefault="00E0006A">
      <w:pPr>
        <w:ind w:firstLine="567"/>
        <w:jc w:val="both"/>
        <w:rPr>
          <w:sz w:val="28"/>
          <w:szCs w:val="28"/>
          <w:lang w:val="uk-UA"/>
        </w:rPr>
      </w:pPr>
    </w:p>
    <w:p w14:paraId="60042B94" w14:textId="77777777" w:rsidR="00E0006A" w:rsidRDefault="00000000">
      <w:pPr>
        <w:ind w:firstLine="567"/>
        <w:jc w:val="both"/>
        <w:rPr>
          <w:sz w:val="28"/>
          <w:szCs w:val="28"/>
          <w:lang w:val="uk-UA"/>
        </w:rPr>
      </w:pPr>
      <w:r>
        <w:rPr>
          <w:sz w:val="28"/>
          <w:szCs w:val="28"/>
          <w:lang w:val="uk-UA"/>
        </w:rPr>
        <w:t xml:space="preserve">Протягом 2023 року виконано </w:t>
      </w:r>
    </w:p>
    <w:p w14:paraId="1B08BEE2" w14:textId="77777777" w:rsidR="00E0006A" w:rsidRDefault="00000000" w:rsidP="00C752FC">
      <w:pPr>
        <w:ind w:firstLine="8080"/>
        <w:rPr>
          <w:lang w:val="uk-UA"/>
        </w:rPr>
      </w:pPr>
      <w:r>
        <w:rPr>
          <w:lang w:val="uk-UA"/>
        </w:rPr>
        <w:t>(тис. грн)</w:t>
      </w:r>
    </w:p>
    <w:tbl>
      <w:tblPr>
        <w:tblW w:w="8955" w:type="dxa"/>
        <w:tblInd w:w="80" w:type="dxa"/>
        <w:tblLayout w:type="fixed"/>
        <w:tblLook w:val="04A0" w:firstRow="1" w:lastRow="0" w:firstColumn="1" w:lastColumn="0" w:noHBand="0" w:noVBand="1"/>
      </w:tblPr>
      <w:tblGrid>
        <w:gridCol w:w="7260"/>
        <w:gridCol w:w="1695"/>
      </w:tblGrid>
      <w:tr w:rsidR="00E0006A" w14:paraId="61D81652" w14:textId="77777777">
        <w:tc>
          <w:tcPr>
            <w:tcW w:w="7260" w:type="dxa"/>
            <w:tcBorders>
              <w:top w:val="single" w:sz="4" w:space="0" w:color="000000"/>
              <w:left w:val="single" w:sz="4" w:space="0" w:color="000000"/>
              <w:bottom w:val="single" w:sz="4" w:space="0" w:color="000000"/>
              <w:right w:val="single" w:sz="4" w:space="0" w:color="000000"/>
            </w:tcBorders>
          </w:tcPr>
          <w:p w14:paraId="398FB014" w14:textId="77777777" w:rsidR="00E0006A" w:rsidRDefault="00000000">
            <w:pPr>
              <w:jc w:val="both"/>
              <w:rPr>
                <w:sz w:val="28"/>
                <w:szCs w:val="28"/>
                <w:lang w:val="uk-UA"/>
              </w:rPr>
            </w:pPr>
            <w:r>
              <w:rPr>
                <w:sz w:val="28"/>
                <w:szCs w:val="28"/>
                <w:lang w:val="uk-UA"/>
              </w:rPr>
              <w:t>Подано претензій на суму</w:t>
            </w:r>
          </w:p>
        </w:tc>
        <w:tc>
          <w:tcPr>
            <w:tcW w:w="1695" w:type="dxa"/>
            <w:tcBorders>
              <w:top w:val="single" w:sz="4" w:space="0" w:color="000000"/>
              <w:left w:val="single" w:sz="4" w:space="0" w:color="000000"/>
              <w:bottom w:val="single" w:sz="4" w:space="0" w:color="000000"/>
              <w:right w:val="single" w:sz="4" w:space="0" w:color="000000"/>
            </w:tcBorders>
          </w:tcPr>
          <w:p w14:paraId="5862D026" w14:textId="77777777" w:rsidR="00E0006A" w:rsidRDefault="00000000">
            <w:pPr>
              <w:jc w:val="right"/>
              <w:rPr>
                <w:sz w:val="28"/>
                <w:szCs w:val="28"/>
                <w:lang w:val="uk-UA"/>
              </w:rPr>
            </w:pPr>
            <w:r>
              <w:rPr>
                <w:sz w:val="28"/>
                <w:szCs w:val="28"/>
                <w:lang w:val="uk-UA"/>
              </w:rPr>
              <w:t>0,0</w:t>
            </w:r>
          </w:p>
        </w:tc>
      </w:tr>
      <w:tr w:rsidR="00E0006A" w14:paraId="2FD36F6D" w14:textId="77777777">
        <w:tc>
          <w:tcPr>
            <w:tcW w:w="7260" w:type="dxa"/>
            <w:tcBorders>
              <w:top w:val="single" w:sz="4" w:space="0" w:color="000000"/>
              <w:left w:val="single" w:sz="4" w:space="0" w:color="000000"/>
              <w:bottom w:val="single" w:sz="4" w:space="0" w:color="000000"/>
              <w:right w:val="single" w:sz="4" w:space="0" w:color="000000"/>
            </w:tcBorders>
          </w:tcPr>
          <w:p w14:paraId="39DD43CC" w14:textId="77777777" w:rsidR="00E0006A" w:rsidRDefault="00000000">
            <w:pPr>
              <w:jc w:val="both"/>
              <w:rPr>
                <w:sz w:val="28"/>
                <w:szCs w:val="28"/>
                <w:lang w:val="uk-UA"/>
              </w:rPr>
            </w:pPr>
            <w:r>
              <w:rPr>
                <w:sz w:val="28"/>
                <w:szCs w:val="28"/>
                <w:lang w:val="uk-UA"/>
              </w:rPr>
              <w:t>Стягнено безнадійну дебіторську заборгованість з мешканців</w:t>
            </w:r>
          </w:p>
        </w:tc>
        <w:tc>
          <w:tcPr>
            <w:tcW w:w="1695" w:type="dxa"/>
            <w:tcBorders>
              <w:top w:val="single" w:sz="4" w:space="0" w:color="000000"/>
              <w:left w:val="single" w:sz="4" w:space="0" w:color="000000"/>
              <w:bottom w:val="single" w:sz="4" w:space="0" w:color="000000"/>
              <w:right w:val="single" w:sz="4" w:space="0" w:color="000000"/>
            </w:tcBorders>
          </w:tcPr>
          <w:p w14:paraId="787EB42F" w14:textId="77777777" w:rsidR="00E0006A" w:rsidRDefault="00000000">
            <w:pPr>
              <w:jc w:val="right"/>
              <w:rPr>
                <w:sz w:val="28"/>
                <w:szCs w:val="28"/>
                <w:lang w:val="uk-UA"/>
              </w:rPr>
            </w:pPr>
            <w:r>
              <w:rPr>
                <w:sz w:val="28"/>
                <w:szCs w:val="28"/>
                <w:lang w:val="uk-UA"/>
              </w:rPr>
              <w:t>285,8</w:t>
            </w:r>
          </w:p>
        </w:tc>
      </w:tr>
      <w:tr w:rsidR="00E0006A" w14:paraId="74A1EA48" w14:textId="77777777">
        <w:tc>
          <w:tcPr>
            <w:tcW w:w="7260" w:type="dxa"/>
            <w:tcBorders>
              <w:top w:val="single" w:sz="4" w:space="0" w:color="000000"/>
              <w:left w:val="single" w:sz="4" w:space="0" w:color="000000"/>
              <w:bottom w:val="single" w:sz="4" w:space="0" w:color="000000"/>
              <w:right w:val="single" w:sz="4" w:space="0" w:color="000000"/>
            </w:tcBorders>
          </w:tcPr>
          <w:p w14:paraId="5D668848" w14:textId="77777777" w:rsidR="00E0006A" w:rsidRDefault="00000000">
            <w:pPr>
              <w:jc w:val="both"/>
              <w:rPr>
                <w:sz w:val="28"/>
                <w:szCs w:val="28"/>
                <w:lang w:val="uk-UA"/>
              </w:rPr>
            </w:pPr>
            <w:r>
              <w:rPr>
                <w:sz w:val="28"/>
                <w:szCs w:val="28"/>
                <w:lang w:val="uk-UA"/>
              </w:rPr>
              <w:t>Укладено договорів реструктуризації боргу, одиниць</w:t>
            </w:r>
          </w:p>
        </w:tc>
        <w:tc>
          <w:tcPr>
            <w:tcW w:w="1695" w:type="dxa"/>
            <w:tcBorders>
              <w:top w:val="single" w:sz="4" w:space="0" w:color="000000"/>
              <w:left w:val="single" w:sz="4" w:space="0" w:color="000000"/>
              <w:bottom w:val="single" w:sz="4" w:space="0" w:color="000000"/>
              <w:right w:val="single" w:sz="4" w:space="0" w:color="000000"/>
            </w:tcBorders>
          </w:tcPr>
          <w:p w14:paraId="41870A46" w14:textId="77777777" w:rsidR="00E0006A" w:rsidRDefault="00000000">
            <w:pPr>
              <w:jc w:val="right"/>
              <w:rPr>
                <w:sz w:val="28"/>
                <w:szCs w:val="28"/>
                <w:lang w:val="uk-UA"/>
              </w:rPr>
            </w:pPr>
            <w:r>
              <w:rPr>
                <w:sz w:val="28"/>
                <w:szCs w:val="28"/>
                <w:lang w:val="uk-UA"/>
              </w:rPr>
              <w:t>7,0</w:t>
            </w:r>
          </w:p>
        </w:tc>
      </w:tr>
    </w:tbl>
    <w:p w14:paraId="02A5B79C" w14:textId="77777777" w:rsidR="00E0006A" w:rsidRDefault="00E0006A">
      <w:pPr>
        <w:ind w:firstLine="567"/>
        <w:jc w:val="both"/>
        <w:rPr>
          <w:sz w:val="28"/>
          <w:szCs w:val="28"/>
          <w:lang w:val="uk-UA"/>
        </w:rPr>
      </w:pPr>
    </w:p>
    <w:p w14:paraId="2A817B12" w14:textId="77777777" w:rsidR="00E0006A" w:rsidRDefault="00000000">
      <w:pPr>
        <w:jc w:val="center"/>
        <w:rPr>
          <w:b/>
          <w:sz w:val="28"/>
          <w:szCs w:val="28"/>
          <w:lang w:val="uk-UA"/>
        </w:rPr>
      </w:pPr>
      <w:r>
        <w:rPr>
          <w:b/>
          <w:sz w:val="28"/>
          <w:szCs w:val="28"/>
          <w:lang w:val="uk-UA"/>
        </w:rPr>
        <w:t>Чисельність працівників</w:t>
      </w:r>
    </w:p>
    <w:p w14:paraId="445B1923" w14:textId="058E0CBF" w:rsidR="00E0006A" w:rsidRDefault="00000000">
      <w:pPr>
        <w:ind w:firstLine="567"/>
        <w:jc w:val="both"/>
        <w:rPr>
          <w:sz w:val="28"/>
          <w:szCs w:val="28"/>
          <w:lang w:val="uk-UA"/>
        </w:rPr>
      </w:pPr>
      <w:r>
        <w:rPr>
          <w:sz w:val="28"/>
          <w:szCs w:val="28"/>
          <w:lang w:val="uk-UA"/>
        </w:rPr>
        <w:t>Облікова чисельність працівників станом на 01.12.2023 становила 68 </w:t>
      </w:r>
      <w:r w:rsidR="00A502F6">
        <w:rPr>
          <w:sz w:val="28"/>
          <w:szCs w:val="28"/>
          <w:lang w:val="uk-UA"/>
        </w:rPr>
        <w:t>осіб</w:t>
      </w:r>
      <w:r>
        <w:rPr>
          <w:sz w:val="28"/>
          <w:szCs w:val="28"/>
          <w:lang w:val="uk-UA"/>
        </w:rPr>
        <w:t>. Кількість адміністративного та адміністративно-виробничого персоналу становить 13 </w:t>
      </w:r>
      <w:r w:rsidR="00A502F6">
        <w:rPr>
          <w:sz w:val="28"/>
          <w:szCs w:val="28"/>
          <w:lang w:val="uk-UA"/>
        </w:rPr>
        <w:t>осіб</w:t>
      </w:r>
      <w:r>
        <w:rPr>
          <w:sz w:val="28"/>
          <w:szCs w:val="28"/>
          <w:lang w:val="uk-UA"/>
        </w:rPr>
        <w:t xml:space="preserve">, що становить 19,1% до загальної кількості працівників. </w:t>
      </w:r>
    </w:p>
    <w:p w14:paraId="75E03C03" w14:textId="77777777" w:rsidR="00E0006A" w:rsidRDefault="00E0006A">
      <w:pPr>
        <w:jc w:val="both"/>
        <w:rPr>
          <w:sz w:val="28"/>
          <w:szCs w:val="28"/>
          <w:lang w:val="uk-UA"/>
        </w:rPr>
      </w:pPr>
    </w:p>
    <w:p w14:paraId="366B394C" w14:textId="77777777" w:rsidR="00E0006A" w:rsidRDefault="00000000">
      <w:pPr>
        <w:jc w:val="center"/>
        <w:rPr>
          <w:b/>
          <w:sz w:val="28"/>
          <w:szCs w:val="28"/>
          <w:lang w:val="uk-UA"/>
        </w:rPr>
      </w:pPr>
      <w:r>
        <w:rPr>
          <w:b/>
          <w:sz w:val="28"/>
          <w:szCs w:val="28"/>
          <w:lang w:val="uk-UA"/>
        </w:rPr>
        <w:t>Виконання ремонтних робіт</w:t>
      </w:r>
    </w:p>
    <w:p w14:paraId="4A81FC57" w14:textId="32438593" w:rsidR="00E0006A" w:rsidRDefault="00000000">
      <w:pPr>
        <w:ind w:firstLine="567"/>
        <w:jc w:val="both"/>
        <w:rPr>
          <w:sz w:val="28"/>
          <w:szCs w:val="28"/>
          <w:lang w:val="uk-UA"/>
        </w:rPr>
      </w:pPr>
      <w:r>
        <w:rPr>
          <w:sz w:val="28"/>
          <w:szCs w:val="28"/>
          <w:lang w:val="uk-UA"/>
        </w:rPr>
        <w:t xml:space="preserve">Для попередження передчасного зносу, відвернення аварій і  підтримання будинків в технічно справному стані, інженерно-технічними  працівниками ЖКП № 2 щорічно проводяться весняно-літні та осінньо-зимові обходи. За результатами </w:t>
      </w:r>
      <w:r w:rsidR="00A502F6">
        <w:rPr>
          <w:sz w:val="28"/>
          <w:szCs w:val="28"/>
          <w:lang w:val="uk-UA"/>
        </w:rPr>
        <w:t>цих</w:t>
      </w:r>
      <w:r>
        <w:rPr>
          <w:sz w:val="28"/>
          <w:szCs w:val="28"/>
          <w:lang w:val="uk-UA"/>
        </w:rPr>
        <w:t xml:space="preserve"> обходів на підприємстві розробляються заходи </w:t>
      </w:r>
      <w:r w:rsidR="00A502F6">
        <w:rPr>
          <w:sz w:val="28"/>
          <w:szCs w:val="28"/>
          <w:lang w:val="uk-UA"/>
        </w:rPr>
        <w:t>з</w:t>
      </w:r>
      <w:r>
        <w:rPr>
          <w:sz w:val="28"/>
          <w:szCs w:val="28"/>
          <w:lang w:val="uk-UA"/>
        </w:rPr>
        <w:t xml:space="preserve"> підготов</w:t>
      </w:r>
      <w:r w:rsidR="00A502F6">
        <w:rPr>
          <w:sz w:val="28"/>
          <w:szCs w:val="28"/>
          <w:lang w:val="uk-UA"/>
        </w:rPr>
        <w:t>ки</w:t>
      </w:r>
      <w:r>
        <w:rPr>
          <w:sz w:val="28"/>
          <w:szCs w:val="28"/>
          <w:lang w:val="uk-UA"/>
        </w:rPr>
        <w:t xml:space="preserve"> житлового фонду до роботи в  осінньо-зимовий період, складаються плани, графіки робіт на рік.</w:t>
      </w:r>
    </w:p>
    <w:p w14:paraId="77BA6660" w14:textId="77777777" w:rsidR="00E0006A" w:rsidRDefault="00000000">
      <w:pPr>
        <w:ind w:firstLine="567"/>
        <w:jc w:val="both"/>
        <w:rPr>
          <w:sz w:val="28"/>
          <w:szCs w:val="28"/>
          <w:lang w:val="uk-UA"/>
        </w:rPr>
      </w:pPr>
      <w:r>
        <w:rPr>
          <w:sz w:val="28"/>
          <w:szCs w:val="28"/>
          <w:lang w:val="uk-UA"/>
        </w:rPr>
        <w:t>Проводяться роботи з поточного ремонту шатрових та рубероїдних покрівель із ремонтом або заміною водовідвідних пристроїв, ремонтом  димовентиляційних каналів та оголовків димарів, скління вікон, ремонту  вхідних дверей. Здійснюються роботи із заміни зношених водовідвідних та водостічних стояків.</w:t>
      </w:r>
    </w:p>
    <w:p w14:paraId="567A4711" w14:textId="26A0958D" w:rsidR="00A502F6" w:rsidRPr="00A502F6" w:rsidRDefault="00000000">
      <w:pPr>
        <w:ind w:firstLine="567"/>
        <w:jc w:val="both"/>
        <w:rPr>
          <w:b/>
          <w:bCs/>
          <w:sz w:val="28"/>
          <w:szCs w:val="28"/>
          <w:lang w:val="uk-UA"/>
        </w:rPr>
      </w:pPr>
      <w:r w:rsidRPr="00A502F6">
        <w:rPr>
          <w:b/>
          <w:bCs/>
          <w:sz w:val="28"/>
          <w:szCs w:val="28"/>
          <w:lang w:val="uk-UA"/>
        </w:rPr>
        <w:t>Проведені роботи по підготовці будинків в комплексі</w:t>
      </w:r>
    </w:p>
    <w:p w14:paraId="05E0C704" w14:textId="7A489189" w:rsidR="00E0006A" w:rsidRDefault="00C752FC" w:rsidP="00C752FC">
      <w:pPr>
        <w:ind w:firstLine="7938"/>
        <w:rPr>
          <w:sz w:val="28"/>
          <w:szCs w:val="28"/>
          <w:lang w:val="uk-UA"/>
        </w:rPr>
      </w:pPr>
      <w:r>
        <w:rPr>
          <w:lang w:val="uk-UA"/>
        </w:rPr>
        <w:t>(тис. грн)</w:t>
      </w:r>
    </w:p>
    <w:tbl>
      <w:tblPr>
        <w:tblW w:w="9014" w:type="dxa"/>
        <w:tblInd w:w="-25" w:type="dxa"/>
        <w:tblLayout w:type="fixed"/>
        <w:tblLook w:val="04A0" w:firstRow="1" w:lastRow="0" w:firstColumn="1" w:lastColumn="0" w:noHBand="0" w:noVBand="1"/>
      </w:tblPr>
      <w:tblGrid>
        <w:gridCol w:w="7215"/>
        <w:gridCol w:w="1799"/>
      </w:tblGrid>
      <w:tr w:rsidR="00E0006A" w14:paraId="6BE370DB" w14:textId="77777777">
        <w:tc>
          <w:tcPr>
            <w:tcW w:w="7215" w:type="dxa"/>
            <w:tcBorders>
              <w:top w:val="single" w:sz="4" w:space="0" w:color="000000"/>
              <w:left w:val="single" w:sz="4" w:space="0" w:color="000000"/>
              <w:bottom w:val="single" w:sz="4" w:space="0" w:color="000000"/>
              <w:right w:val="single" w:sz="4" w:space="0" w:color="000000"/>
            </w:tcBorders>
          </w:tcPr>
          <w:p w14:paraId="1B3F8A25" w14:textId="77777777" w:rsidR="00E0006A" w:rsidRDefault="00000000">
            <w:pPr>
              <w:jc w:val="center"/>
              <w:rPr>
                <w:b/>
                <w:sz w:val="28"/>
                <w:szCs w:val="28"/>
                <w:lang w:val="uk-UA"/>
              </w:rPr>
            </w:pPr>
            <w:r>
              <w:rPr>
                <w:b/>
                <w:sz w:val="28"/>
                <w:szCs w:val="28"/>
                <w:lang w:val="uk-UA"/>
              </w:rPr>
              <w:t>Виконані роботи</w:t>
            </w:r>
          </w:p>
        </w:tc>
        <w:tc>
          <w:tcPr>
            <w:tcW w:w="1799" w:type="dxa"/>
            <w:tcBorders>
              <w:top w:val="single" w:sz="4" w:space="0" w:color="000000"/>
              <w:left w:val="single" w:sz="4" w:space="0" w:color="000000"/>
              <w:bottom w:val="single" w:sz="4" w:space="0" w:color="000000"/>
              <w:right w:val="single" w:sz="4" w:space="0" w:color="000000"/>
            </w:tcBorders>
          </w:tcPr>
          <w:p w14:paraId="6FA36EED" w14:textId="77777777" w:rsidR="00E0006A" w:rsidRDefault="00000000">
            <w:pPr>
              <w:jc w:val="center"/>
              <w:rPr>
                <w:b/>
                <w:sz w:val="28"/>
                <w:szCs w:val="28"/>
                <w:lang w:val="uk-UA"/>
              </w:rPr>
            </w:pPr>
            <w:r>
              <w:rPr>
                <w:b/>
                <w:sz w:val="28"/>
                <w:szCs w:val="28"/>
                <w:lang w:val="uk-UA"/>
              </w:rPr>
              <w:t>2023 рік</w:t>
            </w:r>
          </w:p>
        </w:tc>
      </w:tr>
      <w:tr w:rsidR="00E0006A" w14:paraId="615B9751" w14:textId="77777777">
        <w:tc>
          <w:tcPr>
            <w:tcW w:w="7215" w:type="dxa"/>
            <w:tcBorders>
              <w:top w:val="single" w:sz="4" w:space="0" w:color="000000"/>
              <w:left w:val="single" w:sz="4" w:space="0" w:color="000000"/>
              <w:bottom w:val="single" w:sz="4" w:space="0" w:color="000000"/>
              <w:right w:val="single" w:sz="4" w:space="0" w:color="000000"/>
            </w:tcBorders>
          </w:tcPr>
          <w:p w14:paraId="0F6D7E05" w14:textId="77777777" w:rsidR="00E0006A" w:rsidRDefault="00000000">
            <w:r>
              <w:rPr>
                <w:sz w:val="28"/>
                <w:szCs w:val="28"/>
                <w:lang w:val="uk-UA"/>
              </w:rPr>
              <w:lastRenderedPageBreak/>
              <w:t>ремонт покрівель, м</w:t>
            </w:r>
            <w:r>
              <w:rPr>
                <w:sz w:val="28"/>
                <w:szCs w:val="28"/>
                <w:vertAlign w:val="superscript"/>
                <w:lang w:val="uk-UA"/>
              </w:rPr>
              <w:t>2</w:t>
            </w:r>
          </w:p>
        </w:tc>
        <w:tc>
          <w:tcPr>
            <w:tcW w:w="1799" w:type="dxa"/>
            <w:tcBorders>
              <w:top w:val="single" w:sz="4" w:space="0" w:color="000000"/>
              <w:left w:val="single" w:sz="4" w:space="0" w:color="000000"/>
              <w:bottom w:val="single" w:sz="4" w:space="0" w:color="000000"/>
              <w:right w:val="single" w:sz="4" w:space="0" w:color="000000"/>
            </w:tcBorders>
          </w:tcPr>
          <w:p w14:paraId="76882E0D" w14:textId="77777777" w:rsidR="00E0006A" w:rsidRDefault="00000000">
            <w:pPr>
              <w:jc w:val="right"/>
              <w:rPr>
                <w:sz w:val="28"/>
                <w:szCs w:val="28"/>
                <w:lang w:val="uk-UA"/>
              </w:rPr>
            </w:pPr>
            <w:r>
              <w:rPr>
                <w:sz w:val="28"/>
                <w:szCs w:val="28"/>
                <w:lang w:val="uk-UA"/>
              </w:rPr>
              <w:t>2 154,0</w:t>
            </w:r>
          </w:p>
        </w:tc>
      </w:tr>
      <w:tr w:rsidR="00E0006A" w14:paraId="293A1095" w14:textId="77777777">
        <w:tc>
          <w:tcPr>
            <w:tcW w:w="7215" w:type="dxa"/>
            <w:tcBorders>
              <w:top w:val="single" w:sz="4" w:space="0" w:color="000000"/>
              <w:left w:val="single" w:sz="4" w:space="0" w:color="000000"/>
              <w:bottom w:val="single" w:sz="4" w:space="0" w:color="000000"/>
              <w:right w:val="single" w:sz="4" w:space="0" w:color="000000"/>
            </w:tcBorders>
          </w:tcPr>
          <w:p w14:paraId="11C8DC2A" w14:textId="77777777" w:rsidR="00E0006A" w:rsidRDefault="00000000">
            <w:pPr>
              <w:rPr>
                <w:sz w:val="28"/>
                <w:szCs w:val="28"/>
                <w:lang w:val="uk-UA"/>
              </w:rPr>
            </w:pPr>
            <w:r>
              <w:rPr>
                <w:sz w:val="28"/>
                <w:szCs w:val="28"/>
                <w:lang w:val="uk-UA"/>
              </w:rPr>
              <w:t>ремонт систем водовідведення покрівлі, м/п</w:t>
            </w:r>
          </w:p>
        </w:tc>
        <w:tc>
          <w:tcPr>
            <w:tcW w:w="1799" w:type="dxa"/>
            <w:tcBorders>
              <w:top w:val="single" w:sz="4" w:space="0" w:color="000000"/>
              <w:left w:val="single" w:sz="4" w:space="0" w:color="000000"/>
              <w:bottom w:val="single" w:sz="4" w:space="0" w:color="000000"/>
              <w:right w:val="single" w:sz="4" w:space="0" w:color="000000"/>
            </w:tcBorders>
          </w:tcPr>
          <w:p w14:paraId="61B2F3A6" w14:textId="77777777" w:rsidR="00E0006A" w:rsidRDefault="00000000">
            <w:pPr>
              <w:jc w:val="right"/>
              <w:rPr>
                <w:sz w:val="28"/>
                <w:szCs w:val="28"/>
                <w:lang w:val="uk-UA"/>
              </w:rPr>
            </w:pPr>
            <w:r>
              <w:rPr>
                <w:sz w:val="28"/>
                <w:szCs w:val="28"/>
                <w:lang w:val="uk-UA"/>
              </w:rPr>
              <w:t>71,0</w:t>
            </w:r>
          </w:p>
        </w:tc>
      </w:tr>
      <w:tr w:rsidR="00E0006A" w14:paraId="4A1BB318" w14:textId="77777777">
        <w:tc>
          <w:tcPr>
            <w:tcW w:w="7215" w:type="dxa"/>
            <w:tcBorders>
              <w:top w:val="single" w:sz="4" w:space="0" w:color="000000"/>
              <w:left w:val="single" w:sz="4" w:space="0" w:color="000000"/>
              <w:bottom w:val="single" w:sz="4" w:space="0" w:color="000000"/>
              <w:right w:val="single" w:sz="4" w:space="0" w:color="000000"/>
            </w:tcBorders>
          </w:tcPr>
          <w:p w14:paraId="339ADF79" w14:textId="77777777" w:rsidR="00E0006A" w:rsidRDefault="00000000">
            <w:pPr>
              <w:rPr>
                <w:sz w:val="28"/>
                <w:szCs w:val="28"/>
                <w:lang w:val="uk-UA"/>
              </w:rPr>
            </w:pPr>
            <w:r>
              <w:rPr>
                <w:sz w:val="28"/>
                <w:szCs w:val="28"/>
                <w:lang w:val="uk-UA"/>
              </w:rPr>
              <w:t>ремонт під’їздів, од.</w:t>
            </w:r>
          </w:p>
        </w:tc>
        <w:tc>
          <w:tcPr>
            <w:tcW w:w="1799" w:type="dxa"/>
            <w:tcBorders>
              <w:top w:val="single" w:sz="4" w:space="0" w:color="000000"/>
              <w:left w:val="single" w:sz="4" w:space="0" w:color="000000"/>
              <w:bottom w:val="single" w:sz="4" w:space="0" w:color="000000"/>
              <w:right w:val="single" w:sz="4" w:space="0" w:color="000000"/>
            </w:tcBorders>
          </w:tcPr>
          <w:p w14:paraId="577BF966" w14:textId="77777777" w:rsidR="00E0006A" w:rsidRDefault="00000000">
            <w:pPr>
              <w:jc w:val="right"/>
              <w:rPr>
                <w:sz w:val="28"/>
                <w:szCs w:val="28"/>
                <w:lang w:val="uk-UA"/>
              </w:rPr>
            </w:pPr>
            <w:r>
              <w:rPr>
                <w:sz w:val="28"/>
                <w:szCs w:val="28"/>
                <w:lang w:val="uk-UA"/>
              </w:rPr>
              <w:t>15,0</w:t>
            </w:r>
          </w:p>
        </w:tc>
      </w:tr>
      <w:tr w:rsidR="00E0006A" w14:paraId="7256D4AD" w14:textId="77777777">
        <w:tc>
          <w:tcPr>
            <w:tcW w:w="7215" w:type="dxa"/>
            <w:tcBorders>
              <w:top w:val="single" w:sz="4" w:space="0" w:color="000000"/>
              <w:left w:val="single" w:sz="4" w:space="0" w:color="000000"/>
              <w:bottom w:val="single" w:sz="4" w:space="0" w:color="000000"/>
              <w:right w:val="single" w:sz="4" w:space="0" w:color="000000"/>
            </w:tcBorders>
          </w:tcPr>
          <w:p w14:paraId="23B26EEC" w14:textId="77777777" w:rsidR="00E0006A" w:rsidRDefault="00000000">
            <w:pPr>
              <w:rPr>
                <w:sz w:val="28"/>
                <w:szCs w:val="28"/>
                <w:lang w:val="uk-UA"/>
              </w:rPr>
            </w:pPr>
            <w:r>
              <w:rPr>
                <w:sz w:val="28"/>
                <w:szCs w:val="28"/>
                <w:lang w:val="uk-UA"/>
              </w:rPr>
              <w:t>відремонтовано оголовки димовентиляційних каналів, од.</w:t>
            </w:r>
          </w:p>
        </w:tc>
        <w:tc>
          <w:tcPr>
            <w:tcW w:w="1799" w:type="dxa"/>
            <w:tcBorders>
              <w:top w:val="single" w:sz="4" w:space="0" w:color="000000"/>
              <w:left w:val="single" w:sz="4" w:space="0" w:color="000000"/>
              <w:bottom w:val="single" w:sz="4" w:space="0" w:color="000000"/>
              <w:right w:val="single" w:sz="4" w:space="0" w:color="000000"/>
            </w:tcBorders>
          </w:tcPr>
          <w:p w14:paraId="0F5606FD" w14:textId="77777777" w:rsidR="00E0006A" w:rsidRDefault="00000000">
            <w:pPr>
              <w:jc w:val="right"/>
              <w:rPr>
                <w:sz w:val="28"/>
                <w:szCs w:val="28"/>
                <w:lang w:val="uk-UA"/>
              </w:rPr>
            </w:pPr>
            <w:r>
              <w:rPr>
                <w:sz w:val="28"/>
                <w:szCs w:val="28"/>
                <w:lang w:val="uk-UA"/>
              </w:rPr>
              <w:t>30,0</w:t>
            </w:r>
          </w:p>
        </w:tc>
      </w:tr>
      <w:tr w:rsidR="00E0006A" w14:paraId="405A256B" w14:textId="77777777">
        <w:tc>
          <w:tcPr>
            <w:tcW w:w="7215" w:type="dxa"/>
            <w:tcBorders>
              <w:top w:val="single" w:sz="4" w:space="0" w:color="000000"/>
              <w:left w:val="single" w:sz="4" w:space="0" w:color="000000"/>
              <w:bottom w:val="single" w:sz="4" w:space="0" w:color="000000"/>
              <w:right w:val="single" w:sz="4" w:space="0" w:color="000000"/>
            </w:tcBorders>
          </w:tcPr>
          <w:p w14:paraId="0829D69B" w14:textId="77777777" w:rsidR="00E0006A" w:rsidRDefault="00000000">
            <w:pPr>
              <w:rPr>
                <w:sz w:val="28"/>
                <w:szCs w:val="28"/>
                <w:lang w:val="uk-UA"/>
              </w:rPr>
            </w:pPr>
            <w:r>
              <w:rPr>
                <w:sz w:val="28"/>
                <w:szCs w:val="28"/>
                <w:lang w:val="uk-UA"/>
              </w:rPr>
              <w:t>проведено поточний ремонт щитових, од.</w:t>
            </w:r>
          </w:p>
        </w:tc>
        <w:tc>
          <w:tcPr>
            <w:tcW w:w="1799" w:type="dxa"/>
            <w:tcBorders>
              <w:top w:val="single" w:sz="4" w:space="0" w:color="000000"/>
              <w:left w:val="single" w:sz="4" w:space="0" w:color="000000"/>
              <w:bottom w:val="single" w:sz="4" w:space="0" w:color="000000"/>
              <w:right w:val="single" w:sz="4" w:space="0" w:color="000000"/>
            </w:tcBorders>
          </w:tcPr>
          <w:p w14:paraId="481A9F32" w14:textId="77777777" w:rsidR="00E0006A" w:rsidRDefault="00000000">
            <w:pPr>
              <w:jc w:val="right"/>
              <w:rPr>
                <w:sz w:val="28"/>
                <w:szCs w:val="28"/>
                <w:lang w:val="uk-UA"/>
              </w:rPr>
            </w:pPr>
            <w:r>
              <w:rPr>
                <w:sz w:val="28"/>
                <w:szCs w:val="28"/>
                <w:lang w:val="uk-UA"/>
              </w:rPr>
              <w:t>5,0</w:t>
            </w:r>
          </w:p>
        </w:tc>
      </w:tr>
      <w:tr w:rsidR="00E0006A" w14:paraId="154B16CF" w14:textId="77777777">
        <w:tc>
          <w:tcPr>
            <w:tcW w:w="7215" w:type="dxa"/>
            <w:tcBorders>
              <w:top w:val="single" w:sz="4" w:space="0" w:color="000000"/>
              <w:left w:val="single" w:sz="4" w:space="0" w:color="000000"/>
              <w:bottom w:val="single" w:sz="4" w:space="0" w:color="000000"/>
              <w:right w:val="single" w:sz="4" w:space="0" w:color="000000"/>
            </w:tcBorders>
          </w:tcPr>
          <w:p w14:paraId="5D5A550F" w14:textId="77777777" w:rsidR="00E0006A" w:rsidRDefault="00000000">
            <w:pPr>
              <w:rPr>
                <w:sz w:val="28"/>
                <w:szCs w:val="28"/>
                <w:lang w:val="uk-UA"/>
              </w:rPr>
            </w:pPr>
            <w:r>
              <w:rPr>
                <w:sz w:val="28"/>
                <w:szCs w:val="28"/>
                <w:lang w:val="uk-UA"/>
              </w:rPr>
              <w:t>замінено засувок, од.</w:t>
            </w:r>
          </w:p>
        </w:tc>
        <w:tc>
          <w:tcPr>
            <w:tcW w:w="1799" w:type="dxa"/>
            <w:tcBorders>
              <w:top w:val="single" w:sz="4" w:space="0" w:color="000000"/>
              <w:left w:val="single" w:sz="4" w:space="0" w:color="000000"/>
              <w:bottom w:val="single" w:sz="4" w:space="0" w:color="000000"/>
              <w:right w:val="single" w:sz="4" w:space="0" w:color="000000"/>
            </w:tcBorders>
          </w:tcPr>
          <w:p w14:paraId="6D7DFC75" w14:textId="77777777" w:rsidR="00E0006A" w:rsidRDefault="00000000">
            <w:pPr>
              <w:jc w:val="right"/>
              <w:rPr>
                <w:sz w:val="28"/>
                <w:szCs w:val="28"/>
                <w:lang w:val="uk-UA"/>
              </w:rPr>
            </w:pPr>
            <w:r>
              <w:rPr>
                <w:sz w:val="28"/>
                <w:szCs w:val="28"/>
                <w:lang w:val="uk-UA"/>
              </w:rPr>
              <w:t>18,0</w:t>
            </w:r>
          </w:p>
        </w:tc>
      </w:tr>
      <w:tr w:rsidR="00E0006A" w14:paraId="40A03ADB" w14:textId="77777777">
        <w:tc>
          <w:tcPr>
            <w:tcW w:w="7215" w:type="dxa"/>
            <w:tcBorders>
              <w:top w:val="single" w:sz="4" w:space="0" w:color="000000"/>
              <w:left w:val="single" w:sz="4" w:space="0" w:color="000000"/>
              <w:bottom w:val="single" w:sz="4" w:space="0" w:color="000000"/>
              <w:right w:val="single" w:sz="4" w:space="0" w:color="000000"/>
            </w:tcBorders>
          </w:tcPr>
          <w:p w14:paraId="7CB6B1E0" w14:textId="77777777" w:rsidR="00E0006A" w:rsidRDefault="00000000">
            <w:pPr>
              <w:rPr>
                <w:sz w:val="28"/>
                <w:szCs w:val="28"/>
                <w:lang w:val="uk-UA"/>
              </w:rPr>
            </w:pPr>
            <w:r>
              <w:rPr>
                <w:sz w:val="28"/>
                <w:szCs w:val="28"/>
                <w:lang w:val="uk-UA"/>
              </w:rPr>
              <w:t>замінено вентилів, од.</w:t>
            </w:r>
          </w:p>
        </w:tc>
        <w:tc>
          <w:tcPr>
            <w:tcW w:w="1799" w:type="dxa"/>
            <w:tcBorders>
              <w:top w:val="single" w:sz="4" w:space="0" w:color="000000"/>
              <w:left w:val="single" w:sz="4" w:space="0" w:color="000000"/>
              <w:bottom w:val="single" w:sz="4" w:space="0" w:color="000000"/>
              <w:right w:val="single" w:sz="4" w:space="0" w:color="000000"/>
            </w:tcBorders>
          </w:tcPr>
          <w:p w14:paraId="07D2E4CD" w14:textId="77777777" w:rsidR="00E0006A" w:rsidRDefault="00000000">
            <w:pPr>
              <w:jc w:val="right"/>
              <w:rPr>
                <w:sz w:val="28"/>
                <w:szCs w:val="28"/>
                <w:lang w:val="uk-UA"/>
              </w:rPr>
            </w:pPr>
            <w:r>
              <w:rPr>
                <w:sz w:val="28"/>
                <w:szCs w:val="28"/>
                <w:lang w:val="uk-UA"/>
              </w:rPr>
              <w:t>55,0</w:t>
            </w:r>
          </w:p>
        </w:tc>
      </w:tr>
    </w:tbl>
    <w:p w14:paraId="5DFEA7BE" w14:textId="77777777" w:rsidR="00E0006A" w:rsidRDefault="00E0006A">
      <w:pPr>
        <w:ind w:firstLine="720"/>
        <w:jc w:val="both"/>
        <w:rPr>
          <w:sz w:val="28"/>
          <w:szCs w:val="28"/>
          <w:lang w:val="uk-UA"/>
        </w:rPr>
      </w:pPr>
    </w:p>
    <w:p w14:paraId="0D76091B" w14:textId="77777777" w:rsidR="00E0006A" w:rsidRDefault="00E0006A">
      <w:pPr>
        <w:jc w:val="both"/>
        <w:rPr>
          <w:sz w:val="28"/>
          <w:szCs w:val="28"/>
          <w:lang w:val="uk-UA"/>
        </w:rPr>
      </w:pPr>
    </w:p>
    <w:p w14:paraId="04480590" w14:textId="77777777" w:rsidR="00E0006A" w:rsidRDefault="00E0006A">
      <w:pPr>
        <w:jc w:val="both"/>
        <w:rPr>
          <w:sz w:val="28"/>
          <w:szCs w:val="28"/>
          <w:lang w:val="uk-UA"/>
        </w:rPr>
      </w:pPr>
    </w:p>
    <w:p w14:paraId="5A0A13FE" w14:textId="77777777" w:rsidR="00E0006A" w:rsidRDefault="00000000">
      <w:pPr>
        <w:jc w:val="both"/>
        <w:rPr>
          <w:sz w:val="28"/>
          <w:szCs w:val="28"/>
          <w:lang w:val="uk-UA"/>
        </w:rPr>
      </w:pPr>
      <w:r>
        <w:rPr>
          <w:sz w:val="28"/>
          <w:szCs w:val="28"/>
          <w:lang w:val="uk-UA"/>
        </w:rPr>
        <w:t>Директор ЖКП № 2</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Микола РОМАНЮК</w:t>
      </w:r>
    </w:p>
    <w:sectPr w:rsidR="00E0006A" w:rsidSect="00556579">
      <w:headerReference w:type="default" r:id="rId6"/>
      <w:headerReference w:type="first" r:id="rId7"/>
      <w:pgSz w:w="11906" w:h="16838"/>
      <w:pgMar w:top="1134" w:right="567" w:bottom="1701"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D871" w14:textId="77777777" w:rsidR="00556579" w:rsidRDefault="00556579">
      <w:r>
        <w:separator/>
      </w:r>
    </w:p>
  </w:endnote>
  <w:endnote w:type="continuationSeparator" w:id="0">
    <w:p w14:paraId="13C6C223" w14:textId="77777777" w:rsidR="00556579" w:rsidRDefault="0055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CC"/>
    <w:family w:val="swiss"/>
    <w:pitch w:val="variable"/>
  </w:font>
  <w:font w:name="Verdana">
    <w:panose1 w:val="020B0604030504040204"/>
    <w:charset w:val="CC"/>
    <w:family w:val="swiss"/>
    <w:pitch w:val="variable"/>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CB8F" w14:textId="77777777" w:rsidR="00556579" w:rsidRDefault="00556579">
      <w:r>
        <w:separator/>
      </w:r>
    </w:p>
  </w:footnote>
  <w:footnote w:type="continuationSeparator" w:id="0">
    <w:p w14:paraId="55593CB8" w14:textId="77777777" w:rsidR="00556579" w:rsidRDefault="0055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A209" w14:textId="77777777" w:rsidR="00E0006A" w:rsidRDefault="00000000">
    <w:pPr>
      <w:pStyle w:val="ad"/>
    </w:pPr>
    <w:r>
      <w:rPr>
        <w:noProof/>
      </w:rPr>
      <mc:AlternateContent>
        <mc:Choice Requires="wps">
          <w:drawing>
            <wp:anchor distT="0" distB="0" distL="0" distR="0" simplePos="0" relativeHeight="4" behindDoc="0" locked="0" layoutInCell="0" allowOverlap="1" wp14:anchorId="275FDFDF" wp14:editId="241C3738">
              <wp:simplePos x="0" y="0"/>
              <wp:positionH relativeFrom="margin">
                <wp:align>center</wp:align>
              </wp:positionH>
              <wp:positionV relativeFrom="paragraph">
                <wp:posOffset>635</wp:posOffset>
              </wp:positionV>
              <wp:extent cx="74930" cy="173355"/>
              <wp:effectExtent l="0" t="0" r="0" b="0"/>
              <wp:wrapSquare wrapText="largest"/>
              <wp:docPr id="1" name="Рамка1"/>
              <wp:cNvGraphicFramePr/>
              <a:graphic xmlns:a="http://schemas.openxmlformats.org/drawingml/2006/main">
                <a:graphicData uri="http://schemas.microsoft.com/office/word/2010/wordprocessingShape">
                  <wps:wsp>
                    <wps:cNvSpPr txBox="1"/>
                    <wps:spPr>
                      <a:xfrm>
                        <a:off x="0" y="0"/>
                        <a:ext cx="74930" cy="173355"/>
                      </a:xfrm>
                      <a:prstGeom prst="rect">
                        <a:avLst/>
                      </a:prstGeom>
                      <a:solidFill>
                        <a:srgbClr val="FFFFFF">
                          <a:alpha val="0"/>
                        </a:srgbClr>
                      </a:solidFill>
                    </wps:spPr>
                    <wps:txbx>
                      <w:txbxContent>
                        <w:p w14:paraId="697F2493" w14:textId="77777777" w:rsidR="00E0006A" w:rsidRDefault="00000000">
                          <w:pPr>
                            <w:pStyle w:val="ad"/>
                            <w:rPr>
                              <w:rStyle w:val="a4"/>
                            </w:rPr>
                          </w:pPr>
                          <w:r>
                            <w:rPr>
                              <w:rStyle w:val="a4"/>
                            </w:rPr>
                            <w:fldChar w:fldCharType="begin"/>
                          </w:r>
                          <w:r>
                            <w:rPr>
                              <w:rStyle w:val="a4"/>
                            </w:rPr>
                            <w:instrText>PAGE</w:instrText>
                          </w:r>
                          <w:r>
                            <w:rPr>
                              <w:rStyle w:val="a4"/>
                            </w:rPr>
                            <w:fldChar w:fldCharType="separate"/>
                          </w:r>
                          <w:r>
                            <w:rPr>
                              <w:rStyle w:val="a4"/>
                            </w:rPr>
                            <w:t>4</w:t>
                          </w:r>
                          <w:r>
                            <w:rPr>
                              <w:rStyle w:val="a4"/>
                            </w:rPr>
                            <w:fldChar w:fldCharType="end"/>
                          </w:r>
                        </w:p>
                      </w:txbxContent>
                    </wps:txbx>
                    <wps:bodyPr lIns="1905" tIns="1905" rIns="1905" bIns="1905" anchor="t">
                      <a:noAutofit/>
                    </wps:bodyPr>
                  </wps:wsp>
                </a:graphicData>
              </a:graphic>
            </wp:anchor>
          </w:drawing>
        </mc:Choice>
        <mc:Fallback>
          <w:pict>
            <v:shapetype w14:anchorId="275FDFDF" id="_x0000_t202" coordsize="21600,21600" o:spt="202" path="m,l,21600r21600,l21600,xe">
              <v:stroke joinstyle="miter"/>
              <v:path gradientshapeok="t" o:connecttype="rect"/>
            </v:shapetype>
            <v:shape id="Рамка1" o:spid="_x0000_s1026" type="#_x0000_t202" style="position:absolute;margin-left:0;margin-top:.05pt;width:5.9pt;height:13.65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" o:allowincell="f" stroked="f">
              <v:fill opacity="0"/>
              <v:textbox inset=".15pt,.15pt,.15pt,.15pt">
                <w:txbxContent>
                  <w:p w14:paraId="697F2493" w14:textId="77777777" w:rsidR="00E0006A" w:rsidRDefault="00000000">
                    <w:pPr>
                      <w:pStyle w:val="ad"/>
                      <w:rPr>
                        <w:rStyle w:val="a4"/>
                      </w:rPr>
                    </w:pPr>
                    <w:r>
                      <w:rPr>
                        <w:rStyle w:val="a4"/>
                      </w:rPr>
                      <w:fldChar w:fldCharType="begin"/>
                    </w:r>
                    <w:r>
                      <w:rPr>
                        <w:rStyle w:val="a4"/>
                      </w:rPr>
                      <w:instrText>PAGE</w:instrText>
                    </w:r>
                    <w:r>
                      <w:rPr>
                        <w:rStyle w:val="a4"/>
                      </w:rPr>
                      <w:fldChar w:fldCharType="separate"/>
                    </w:r>
                    <w:r>
                      <w:rPr>
                        <w:rStyle w:val="a4"/>
                      </w:rPr>
                      <w:t>4</w:t>
                    </w:r>
                    <w:r>
                      <w:rPr>
                        <w:rStyle w:val="a4"/>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0130" w14:textId="77777777" w:rsidR="00E0006A" w:rsidRDefault="00E0006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6A"/>
    <w:rsid w:val="00215326"/>
    <w:rsid w:val="00556579"/>
    <w:rsid w:val="006D6A9F"/>
    <w:rsid w:val="00A502F6"/>
    <w:rsid w:val="00AE6EC0"/>
    <w:rsid w:val="00B07132"/>
    <w:rsid w:val="00C752FC"/>
    <w:rsid w:val="00D010EF"/>
    <w:rsid w:val="00E0006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8C98"/>
  <w15:docId w15:val="{716F4AAE-BB31-433F-B670-6D44E5EC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sz w:val="28"/>
      <w:szCs w:val="28"/>
      <w:lang w:val="uk-UA"/>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a3">
    <w:name w:val="Основной шрифт абзаца"/>
    <w:qFormat/>
  </w:style>
  <w:style w:type="character" w:styleId="a4">
    <w:name w:val="page number"/>
    <w:basedOn w:val="a3"/>
  </w:style>
  <w:style w:type="paragraph" w:customStyle="1" w:styleId="a5">
    <w:name w:val="Заголовок"/>
    <w:basedOn w:val="a"/>
    <w:next w:val="a6"/>
    <w:qFormat/>
    <w:pPr>
      <w:keepNext/>
      <w:spacing w:before="240" w:after="120"/>
    </w:pPr>
    <w:rPr>
      <w:rFonts w:ascii="Liberation Sans;Arial" w:eastAsia="Microsoft YaHei" w:hAnsi="Liberation Sans;Arial"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Arial"/>
    </w:rPr>
  </w:style>
  <w:style w:type="paragraph" w:customStyle="1" w:styleId="aa">
    <w:name w:val="Текст выноски"/>
    <w:basedOn w:val="a"/>
    <w:qFormat/>
    <w:rPr>
      <w:rFonts w:ascii="Tahoma" w:hAnsi="Tahoma" w:cs="Tahoma"/>
      <w:sz w:val="16"/>
      <w:szCs w:val="16"/>
    </w:rPr>
  </w:style>
  <w:style w:type="paragraph" w:customStyle="1" w:styleId="ab">
    <w:name w:val="Знак Знак Знак Знак Знак"/>
    <w:basedOn w:val="a"/>
    <w:qFormat/>
    <w:rPr>
      <w:rFonts w:ascii="Verdana" w:hAnsi="Verdana" w:cs="Verdana"/>
      <w:sz w:val="20"/>
      <w:szCs w:val="20"/>
      <w:lang w:val="en-US"/>
    </w:rPr>
  </w:style>
  <w:style w:type="paragraph" w:customStyle="1" w:styleId="ac">
    <w:name w:val="Верхній і нижній колонтитули"/>
    <w:basedOn w:val="a"/>
    <w:qFormat/>
    <w:pPr>
      <w:suppressLineNumbers/>
      <w:tabs>
        <w:tab w:val="center" w:pos="4819"/>
        <w:tab w:val="right" w:pos="9638"/>
      </w:tabs>
    </w:p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4</Pages>
  <Words>3807</Words>
  <Characters>2170</Characters>
  <Application>Microsoft Office Word</Application>
  <DocSecurity>0</DocSecurity>
  <Lines>18</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Доходи по утриманню будинку за 1 півріччя 2013р</dc:title>
  <dc:subject/>
  <dc:creator>User</dc:creator>
  <dc:description/>
  <cp:lastModifiedBy>Ірина Демидюк</cp:lastModifiedBy>
  <cp:revision>36</cp:revision>
  <cp:lastPrinted>2023-12-28T12:42:00Z</cp:lastPrinted>
  <dcterms:created xsi:type="dcterms:W3CDTF">2023-11-24T08:58:00Z</dcterms:created>
  <dcterms:modified xsi:type="dcterms:W3CDTF">2024-01-10T13:46:00Z</dcterms:modified>
  <dc:language>uk-UA</dc:language>
</cp:coreProperties>
</file>