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before="0" w:after="0"/>
        <w:ind w:left="12529" w:right="0" w:hanging="0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szCs w:val="28"/>
        </w:rPr>
        <w:t>Додаток 1</w:t>
      </w:r>
    </w:p>
    <w:p>
      <w:pPr>
        <w:pStyle w:val="Normal"/>
        <w:widowControl/>
        <w:suppressAutoHyphens w:val="true"/>
        <w:bidi w:val="0"/>
        <w:spacing w:before="0" w:after="0"/>
        <w:ind w:left="12529" w:right="0" w:hanging="0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szCs w:val="28"/>
        </w:rPr>
        <w:t xml:space="preserve">до рішення міської ради </w:t>
      </w:r>
    </w:p>
    <w:p>
      <w:pPr>
        <w:pStyle w:val="Normal"/>
        <w:widowControl/>
        <w:suppressAutoHyphens w:val="true"/>
        <w:bidi w:val="0"/>
        <w:spacing w:before="0" w:after="0"/>
        <w:ind w:left="12529" w:right="0" w:hanging="0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szCs w:val="28"/>
        </w:rPr>
        <w:t>______________ № ____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Перелік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земельних ділянок комунальної власності несільськогосподарського призначення Луцької міської територіальної громади,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право оренди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яких</w:t>
      </w:r>
      <w:r>
        <w:rPr>
          <w:szCs w:val="28"/>
        </w:rPr>
        <w:t xml:space="preserve"> виставля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Cs w:val="28"/>
        </w:rPr>
        <w:t>ться на земельні торги (аукціон) на території міста Луцька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tbl>
      <w:tblPr>
        <w:tblW w:w="1570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"/>
        <w:gridCol w:w="1646"/>
        <w:gridCol w:w="779"/>
        <w:gridCol w:w="2265"/>
        <w:gridCol w:w="1695"/>
        <w:gridCol w:w="1695"/>
        <w:gridCol w:w="4653"/>
        <w:gridCol w:w="1694"/>
        <w:gridCol w:w="855"/>
      </w:tblGrid>
      <w:tr>
        <w:trPr>
          <w:trHeight w:val="645" w:hRule="atLeas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-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 xml:space="preserve">№ </w:t>
            </w:r>
            <w:r>
              <w:rPr>
                <w:sz w:val="20"/>
                <w:szCs w:val="20"/>
                <w:lang w:val="uk-UA" w:eastAsia="zh-CN" w:bidi="ar-SA"/>
              </w:rPr>
              <w:t>лоту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Адреса</w:t>
            </w:r>
          </w:p>
          <w:p>
            <w:pPr>
              <w:pStyle w:val="Normal"/>
              <w:widowControl w:val="false"/>
              <w:tabs>
                <w:tab w:val="clear" w:pos="408"/>
                <w:tab w:val="left" w:pos="2850" w:leader="none"/>
              </w:tabs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 xml:space="preserve">земельної ділянки, </w:t>
              <w:br/>
              <w:t>м. Луцьк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ind w:left="0" w:right="-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Площа (га)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Кадастровий номер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uk-UA" w:eastAsia="zh-CN" w:bidi="ar-SA"/>
              </w:rPr>
              <w:t>Вид цільов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ого</w:t>
            </w:r>
            <w:r>
              <w:rPr>
                <w:sz w:val="20"/>
                <w:szCs w:val="20"/>
                <w:lang w:val="uk-UA" w:eastAsia="zh-CN" w:bidi="ar-SA"/>
              </w:rPr>
              <w:t xml:space="preserve"> призначення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uk-UA" w:eastAsia="zh-CN" w:bidi="ar-SA"/>
              </w:rPr>
              <w:t xml:space="preserve">Вид 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використання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</w:t>
            </w:r>
          </w:p>
        </w:tc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 xml:space="preserve">Відомості про обмеження (безстрокові) у використанні земельної ділянки, 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що внесені до Державного земельного кадастру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Стартов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ий</w:t>
            </w:r>
            <w:r>
              <w:rPr>
                <w:sz w:val="20"/>
                <w:szCs w:val="20"/>
                <w:lang w:val="uk-UA" w:eastAsia="zh-CN" w:bidi="ar-SA"/>
              </w:rPr>
              <w:t xml:space="preserve"> 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розмір річної орендної плати</w:t>
            </w:r>
            <w:r>
              <w:rPr>
                <w:sz w:val="20"/>
                <w:szCs w:val="20"/>
                <w:lang w:val="uk-UA" w:eastAsia="zh-CN" w:bidi="ar-SA"/>
              </w:rPr>
              <w:t xml:space="preserve"> (грн) (без ПДВ) (стартова ціна лоту)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Умови прода-жу</w:t>
            </w:r>
          </w:p>
        </w:tc>
      </w:tr>
      <w:tr>
        <w:trPr>
          <w:trHeight w:val="989" w:hRule="atLeas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вул. Дубнівська (біля будинку № 81)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0,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en-US" w:eastAsia="zh-CN" w:bidi="ar-SA"/>
              </w:rPr>
              <w:t>1800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-57" w:hanging="0"/>
              <w:jc w:val="center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u w:val="none"/>
                <w:lang w:val="uk-UA" w:eastAsia="zh-CN" w:bidi="ar-SA"/>
              </w:rPr>
              <w:t>22:128:00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u w:val="none"/>
                <w:lang w:val="en-US" w:eastAsia="zh-CN" w:bidi="ar-SA"/>
              </w:rPr>
              <w:t>76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9" w:leader="none"/>
              </w:tabs>
              <w:suppressAutoHyphens w:val="true"/>
              <w:bidi w:val="0"/>
              <w:spacing w:before="0" w:after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03.</w:t>
            </w:r>
            <w:r>
              <w:rPr>
                <w:rFonts w:eastAsia="SimSun" w:cs="Times New Roman"/>
                <w:b w:val="false"/>
                <w:bCs w:val="false"/>
                <w:i w:val="false"/>
                <w:caps w:val="false"/>
                <w:smallCaps w:val="false"/>
                <w:color w:val="00000A"/>
                <w:spacing w:val="0"/>
                <w:kern w:val="2"/>
                <w:sz w:val="20"/>
                <w:szCs w:val="20"/>
                <w:lang w:val="uk-UA" w:eastAsia="zh-CN" w:bidi="hi-IN"/>
              </w:rPr>
              <w:t>07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00000A"/>
                <w:spacing w:val="0"/>
                <w:kern w:val="2"/>
                <w:sz w:val="20"/>
                <w:szCs w:val="20"/>
                <w:lang w:val="uk-UA" w:eastAsia="zh-CN" w:bidi="hi-IN"/>
              </w:rPr>
              <w:t>‒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 xml:space="preserve"> для будівництва та обслуговування будівель </w:t>
            </w:r>
            <w:r>
              <w:rPr>
                <w:rFonts w:eastAsia="SimSun" w:cs="Times New Roman"/>
                <w:b w:val="false"/>
                <w:bCs w:val="false"/>
                <w:i w:val="false"/>
                <w:caps w:val="false"/>
                <w:smallCaps w:val="false"/>
                <w:color w:val="00000A"/>
                <w:spacing w:val="0"/>
                <w:kern w:val="2"/>
                <w:sz w:val="20"/>
                <w:szCs w:val="20"/>
                <w:lang w:val="uk-UA" w:eastAsia="zh-CN" w:bidi="hi-IN"/>
              </w:rPr>
              <w:t>торгівлі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9" w:leader="none"/>
              </w:tabs>
              <w:suppressAutoHyphens w:val="true"/>
              <w:bidi w:val="0"/>
              <w:spacing w:before="0" w:after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для будівництва та обслуговуван-ня аптеки</w:t>
            </w:r>
          </w:p>
        </w:tc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Санітарно-захисна зона навколо (уздовж) об’єкта транспорту (01.03.1) площею 0,1800 га; другий по-яс зони санітарної охорони джерел та об’єктів цен-тралізованого питного водопостачання (обмежен-ня) (02.01.2) площею 0,1800 га.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before="0" w:after="0"/>
              <w:ind w:left="0" w:right="283" w:hanging="0"/>
              <w:jc w:val="right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93 382,74</w:t>
            </w:r>
          </w:p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before="0" w:after="0"/>
              <w:ind w:left="0" w:right="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(3% від норма-тивної грошової оцінки земель-ної ділянки)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 xml:space="preserve">Право оренди (на 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en-US" w:eastAsia="zh-CN" w:bidi="ar-SA"/>
              </w:rPr>
              <w:t>10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 xml:space="preserve"> років)</w:t>
            </w:r>
          </w:p>
        </w:tc>
      </w:tr>
      <w:tr>
        <w:trPr>
          <w:trHeight w:val="1414" w:hRule="atLeast"/>
        </w:trPr>
        <w:tc>
          <w:tcPr>
            <w:tcW w:w="42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2</w:t>
            </w:r>
          </w:p>
        </w:tc>
        <w:tc>
          <w:tcPr>
            <w:tcW w:w="164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вул. 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Рівненська (поруч з будин-ком № 154)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0,07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en-US" w:eastAsia="zh-CN" w:bidi="ar-SA"/>
              </w:rPr>
              <w:t>80</w:t>
            </w: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before="0" w:after="0"/>
              <w:ind w:left="0" w:right="-57" w:hanging="0"/>
              <w:jc w:val="center"/>
              <w:rPr>
                <w:rFonts w:eastAsia="Times New Roman" w:cs="Times New Roman"/>
                <w:bCs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u w:val="none"/>
                <w:lang w:val="uk-UA" w:eastAsia="zh-CN" w:bidi="ar-SA"/>
              </w:rPr>
              <w:t>0710100000: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34:069:0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en-US" w:eastAsia="zh-CN" w:bidi="ar-SA"/>
              </w:rPr>
              <w:t>163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12.11 ‒ для роз-міщення та екс-плуатації об’єк-тів дорожнього сервісу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для розміщення та експлуатації об’єктів дорож-нього сервісу</w:t>
            </w:r>
          </w:p>
        </w:tc>
        <w:tc>
          <w:tcPr>
            <w:tcW w:w="46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Охоронна зона навколо інженерних комунікацій (01.08) площею 0,0997 га; охоронна зона навколо (уздовж) об’єкта енергетичної системи (01.05) пло-щею 0,0256 га; охоронна зона навколо (уздовж) об’єкта зв’язку (01.04) площею 0,0289 га; території в червоних лініях (06.01.1) площею 0,0587 га.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38 675,29</w:t>
            </w:r>
          </w:p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before="0" w:after="0"/>
              <w:ind w:left="0" w:right="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(3% від норма-тивної грошової оцінки земель-ної ділянки)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Право оренди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 xml:space="preserve">(на 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en-US" w:eastAsia="zh-CN" w:bidi="ar-SA"/>
              </w:rPr>
              <w:t>10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 xml:space="preserve"> років)</w:t>
            </w:r>
          </w:p>
        </w:tc>
      </w:tr>
      <w:tr>
        <w:trPr>
          <w:trHeight w:val="1706" w:hRule="atLeast"/>
        </w:trPr>
        <w:tc>
          <w:tcPr>
            <w:tcW w:w="42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3</w:t>
            </w:r>
          </w:p>
        </w:tc>
        <w:tc>
          <w:tcPr>
            <w:tcW w:w="164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-57" w:hanging="0"/>
              <w:jc w:val="both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вул. Задворецька (поруч з будин-ком № 5)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0,0452</w:t>
            </w: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before="0" w:after="0"/>
              <w:ind w:left="0" w:right="-57" w:hanging="0"/>
              <w:jc w:val="center"/>
              <w:rPr/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u w:val="none"/>
                <w:lang w:val="uk-UA" w:eastAsia="zh-CN" w:bidi="ar-SA"/>
              </w:rPr>
              <w:t>0710100000: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11:091:00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en-US" w:eastAsia="zh-CN" w:bidi="ar-SA"/>
              </w:rPr>
              <w:t>21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 xml:space="preserve">02.09 ‒ для будівництва та обслуговування 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auto"/>
                <w:spacing w:val="0"/>
                <w:kern w:val="0"/>
                <w:sz w:val="20"/>
                <w:szCs w:val="20"/>
                <w:u w:val="none"/>
                <w:lang w:val="uk-UA" w:eastAsia="zh-CN" w:bidi="ar-SA"/>
              </w:rPr>
              <w:t>паркінгів та автостоянок на землях житлової та громадської забудови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 xml:space="preserve">для будівництва та обслуговуван-ня 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auto"/>
                <w:spacing w:val="0"/>
                <w:kern w:val="0"/>
                <w:sz w:val="20"/>
                <w:szCs w:val="20"/>
                <w:u w:val="none"/>
                <w:lang w:val="uk-UA" w:eastAsia="zh-CN" w:bidi="ar-SA"/>
              </w:rPr>
              <w:t>автостоянки</w:t>
            </w:r>
          </w:p>
        </w:tc>
        <w:tc>
          <w:tcPr>
            <w:tcW w:w="46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Охоронна зона навколо інженерних комунікацій (01.08) площею 0,0052 га; охоронна зона навколо (уздовж) об’єкта енергетичної системи (01.05) пло-щею 0,0160 га; охоронна зона навколо (уздовж) об’єкта зв’язку (01.04) площею 0,0078 га; території в червоних лініях (06.01.1) площею 0,0168 га; зона охорони археологічного культурного шару (01.02.4) площею 0,0452 га.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19 398,39</w:t>
            </w:r>
          </w:p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before="0" w:after="0"/>
              <w:ind w:left="0" w:right="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(4% від норма-тивної грошової оцінки земель-ної ділянки)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Право оренди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 xml:space="preserve">(на 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en-US" w:eastAsia="zh-CN" w:bidi="ar-SA"/>
              </w:rPr>
              <w:t>10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 xml:space="preserve"> років)</w:t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tabs>
          <w:tab w:val="clear" w:pos="408"/>
          <w:tab w:val="left" w:pos="13380" w:leader="none"/>
        </w:tabs>
        <w:suppressAutoHyphens w:val="true"/>
        <w:bidi w:val="0"/>
        <w:spacing w:before="0" w:after="0"/>
        <w:ind w:left="113" w:right="0" w:hanging="0"/>
        <w:jc w:val="left"/>
        <w:rPr/>
      </w:pPr>
      <w:r>
        <w:rPr>
          <w:szCs w:val="28"/>
        </w:rPr>
        <w:t>Секретар міської ради</w:t>
      </w:r>
      <w:r>
        <w:rPr>
          <w:szCs w:val="28"/>
          <w:lang w:val="en-US"/>
        </w:rPr>
        <w:t xml:space="preserve"> </w:t>
        <w:tab/>
      </w:r>
      <w:r>
        <w:rPr>
          <w:szCs w:val="28"/>
          <w:lang w:val="uk-UA"/>
        </w:rPr>
        <w:t>Юрій БЕЗПЯТКО</w:t>
      </w:r>
    </w:p>
    <w:sectPr>
      <w:type w:val="nextPage"/>
      <w:pgSz w:orient="landscape" w:w="16838" w:h="11906"/>
      <w:pgMar w:left="567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Гіперпосилання"/>
    <w:basedOn w:val="Style12"/>
    <w:rPr>
      <w:color w:val="0000FF"/>
      <w:u w:val="single"/>
    </w:rPr>
  </w:style>
  <w:style w:type="character" w:styleId="Style14">
    <w:name w:val="Відвідане гіперпосилання"/>
    <w:rPr>
      <w:color w:val="800000"/>
      <w:u w:val="single"/>
      <w:lang w:val="zxx" w:eastAsia="zxx" w:bidi="zxx"/>
    </w:rPr>
  </w:style>
  <w:style w:type="character" w:styleId="Style15">
    <w:name w:val="Символ нумерації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Style26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7">
    <w:name w:val="Содержимое таблицы"/>
    <w:basedOn w:val="Normal"/>
    <w:qFormat/>
    <w:pPr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Style29">
    <w:name w:val="Вміст таблиці"/>
    <w:basedOn w:val="Normal"/>
    <w:qFormat/>
    <w:pPr>
      <w:suppressLineNumbers/>
    </w:pPr>
    <w:rPr/>
  </w:style>
  <w:style w:type="paragraph" w:styleId="Style30">
    <w:name w:val="Заголовок таблиці"/>
    <w:basedOn w:val="Style29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Application>LibreOffice/7.0.0.3$Windows_X86_64 LibreOffice_project/8061b3e9204bef6b321a21033174034a5e2ea88e</Application>
  <Pages>1</Pages>
  <Words>317</Words>
  <Characters>2120</Characters>
  <CharactersWithSpaces>2390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2013-01-02T11:05:00Z</dcterms:created>
  <dc:creator>nkhmel</dc:creator>
  <dc:description/>
  <dc:language>uk-UA</dc:language>
  <cp:lastModifiedBy>Василь Демчук</cp:lastModifiedBy>
  <cp:lastPrinted>2024-02-05T11:26:39Z</cp:lastPrinted>
  <dcterms:modified xsi:type="dcterms:W3CDTF">2024-02-21T12:29:09Z</dcterms:modified>
  <cp:revision>96</cp:revision>
  <dc:subject/>
  <dc:title> </dc:title>
</cp:coreProperties>
</file>