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  <w:lang w:val="uk-UA"/>
        </w:rPr>
        <w:t>Додаток 5</w:t>
      </w:r>
    </w:p>
    <w:p>
      <w:pPr>
        <w:pStyle w:val="Normal"/>
        <w:jc w:val="right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  <w:lang w:val="uk-UA"/>
        </w:rPr>
        <w:t>Виготовлено проєктно-кошторисн</w:t>
      </w:r>
      <w:r>
        <w:rPr>
          <w:b/>
          <w:bCs/>
          <w:sz w:val="28"/>
          <w:szCs w:val="28"/>
          <w:lang w:val="uk-UA"/>
        </w:rPr>
        <w:t>ої</w:t>
      </w:r>
      <w:r>
        <w:rPr>
          <w:b/>
          <w:bCs/>
          <w:sz w:val="28"/>
          <w:szCs w:val="28"/>
          <w:lang w:val="uk-UA"/>
        </w:rPr>
        <w:t xml:space="preserve"> документаці</w:t>
      </w:r>
      <w:r>
        <w:rPr>
          <w:b/>
          <w:bCs/>
          <w:sz w:val="28"/>
          <w:szCs w:val="28"/>
          <w:lang w:val="uk-UA"/>
        </w:rPr>
        <w:t>ї</w:t>
      </w:r>
      <w:r>
        <w:rPr>
          <w:b/>
          <w:bCs/>
          <w:sz w:val="28"/>
          <w:szCs w:val="28"/>
          <w:lang w:val="uk-UA"/>
        </w:rPr>
        <w:t xml:space="preserve"> у 2023 році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tbl>
      <w:tblPr>
        <w:tblW w:w="9360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4"/>
        <w:gridCol w:w="7152"/>
        <w:gridCol w:w="1594"/>
      </w:tblGrid>
      <w:tr>
        <w:trPr>
          <w:trHeight w:val="322" w:hRule="atLeast"/>
        </w:trPr>
        <w:tc>
          <w:tcPr>
            <w:tcW w:w="6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 xml:space="preserve">№ </w:t>
            </w: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з/п</w:t>
            </w:r>
          </w:p>
        </w:tc>
        <w:tc>
          <w:tcPr>
            <w:tcW w:w="7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Назва об’єкта</w:t>
            </w:r>
          </w:p>
        </w:tc>
        <w:tc>
          <w:tcPr>
            <w:tcW w:w="1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Виконання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тис. грн</w:t>
            </w:r>
          </w:p>
        </w:tc>
      </w:tr>
      <w:tr>
        <w:trPr>
          <w:trHeight w:val="469" w:hRule="atLeast"/>
        </w:trPr>
        <w:tc>
          <w:tcPr>
            <w:tcW w:w="61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71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15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Кошторисна документація 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«</w:t>
            </w:r>
            <w:r>
              <w:rPr>
                <w:sz w:val="26"/>
                <w:szCs w:val="26"/>
                <w:lang w:val="uk-UA"/>
              </w:rPr>
              <w:t>Поточний ремонт об’єкта благоустрою (сходи на просп. Соборності, 14) в м. Луцьку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5,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uk-UA" w:eastAsia="zh-CN" w:bidi="ar-SA"/>
              </w:rPr>
              <w:t>1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Кошторисна документація «Поточний ремонт сходів біля будинку № 14 на вул. П’ятницька 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uk-UA" w:eastAsia="zh-CN" w:bidi="ar-SA"/>
              </w:rPr>
              <w:t>г</w:t>
            </w:r>
            <w:r>
              <w:rPr>
                <w:sz w:val="26"/>
                <w:szCs w:val="26"/>
                <w:lang w:val="uk-UA"/>
              </w:rPr>
              <w:t>ірка (аварійно-відновлювальні роботи) в м. Луцьку Волинської області»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4,3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</w:t>
            </w:r>
          </w:p>
        </w:tc>
        <w:tc>
          <w:tcPr>
            <w:tcW w:w="7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Кошторисна документація «Поточний ремонт під’їзної дороги для розвантаження твердих побутових відходів на міському полігоні в с. Брище Луцької міської територіальної громади»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11,3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</w:t>
            </w:r>
          </w:p>
        </w:tc>
        <w:tc>
          <w:tcPr>
            <w:tcW w:w="7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Кошторисна документація «Поточний ремонт сходів біля будинку № 14 на вул. П’ятницька 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uk-UA" w:eastAsia="zh-CN" w:bidi="ar-SA"/>
              </w:rPr>
              <w:t>г</w:t>
            </w:r>
            <w:r>
              <w:rPr>
                <w:sz w:val="26"/>
                <w:szCs w:val="26"/>
                <w:lang w:val="uk-UA"/>
              </w:rPr>
              <w:t>ірка (аварійно-відновлювальні роботи) в м. Луцьку Волинської області (додаткові роботи)»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4,3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5</w:t>
            </w:r>
          </w:p>
        </w:tc>
        <w:tc>
          <w:tcPr>
            <w:tcW w:w="7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Кошторисна документація 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«</w:t>
            </w:r>
            <w:r>
              <w:rPr>
                <w:sz w:val="26"/>
                <w:szCs w:val="26"/>
                <w:lang w:val="uk-UA"/>
              </w:rPr>
              <w:t>Поточний ремонт території (планування грунтового покриву сектору №175) на міському кладовищі в с. Гаразджа Луцької ОТГ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3,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uk-UA" w:eastAsia="zh-CN" w:bidi="ar-SA"/>
              </w:rPr>
              <w:t>6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6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Кошторисна документація 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«</w:t>
            </w:r>
            <w:r>
              <w:rPr>
                <w:sz w:val="26"/>
                <w:szCs w:val="26"/>
                <w:lang w:val="uk-UA"/>
              </w:rPr>
              <w:t>Поточний ремонт обєкту благоустрою (сходи на вул. Світлій, 3 в м. Луцьку)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3,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uk-UA" w:eastAsia="zh-CN" w:bidi="ar-SA"/>
              </w:rPr>
              <w:t>4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7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Робочий проєкт 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«</w:t>
            </w:r>
            <w:r>
              <w:rPr>
                <w:sz w:val="26"/>
                <w:szCs w:val="26"/>
                <w:lang w:val="uk-UA"/>
              </w:rPr>
              <w:t>Поточний ремонт системи водовідведення за адресою: вул. Глушець, 37а в м. Луцьк Волинської області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25,0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8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Робочий проєкт Реконструкція Алеї почесних поховань (встановлення 75 пам'ятників) на міському кладовищі в с. Гаразджа Луцького району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49,8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9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uppressAutoHyphens w:val="true"/>
              <w:jc w:val="both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Проєктна документація 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«</w:t>
            </w:r>
            <w:r>
              <w:rPr>
                <w:sz w:val="26"/>
                <w:szCs w:val="26"/>
                <w:lang w:val="uk-UA"/>
              </w:rPr>
              <w:t>Реконструкція мереж зовнішнього освітлення на полігоні твердих побутових відходів в с. Брище Луцької міської територіальної громади</w:t>
            </w:r>
            <w:r>
              <w:rPr>
                <w:rFonts w:eastAsia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28,8</w:t>
            </w:r>
          </w:p>
        </w:tc>
      </w:tr>
      <w:tr>
        <w:trPr>
          <w:trHeight w:val="31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right"/>
              <w:rPr>
                <w:b/>
                <w:b/>
                <w:bCs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Всього: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135,6</w:t>
            </w:r>
          </w:p>
        </w:tc>
      </w:tr>
    </w:tbl>
    <w:p>
      <w:pPr>
        <w:pStyle w:val="Normal"/>
        <w:jc w:val="both"/>
        <w:rPr>
          <w:sz w:val="20"/>
          <w:szCs w:val="17"/>
          <w:lang w:val="uk-UA"/>
        </w:rPr>
      </w:pPr>
      <w:r>
        <w:rPr>
          <w:sz w:val="20"/>
          <w:szCs w:val="17"/>
          <w:lang w:val="uk-UA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  <w:lang w:val="uk-UA"/>
        </w:rPr>
        <w:t>Поточний ремонт об’єктів та елементів благоустрою міста в 2023 році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347" w:type="dxa"/>
        <w:jc w:val="left"/>
        <w:tblInd w:w="1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9"/>
        <w:gridCol w:w="7141"/>
        <w:gridCol w:w="1577"/>
      </w:tblGrid>
      <w:tr>
        <w:trPr>
          <w:trHeight w:val="322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 xml:space="preserve">№ </w:t>
            </w: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з/п</w:t>
            </w:r>
          </w:p>
        </w:tc>
        <w:tc>
          <w:tcPr>
            <w:tcW w:w="7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/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Назва об’єкта</w:t>
            </w:r>
          </w:p>
        </w:tc>
        <w:tc>
          <w:tcPr>
            <w:tcW w:w="1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/>
              </w:rPr>
              <w:t>Виконання тис. грн</w:t>
            </w:r>
          </w:p>
        </w:tc>
      </w:tr>
      <w:tr>
        <w:trPr>
          <w:trHeight w:val="310" w:hRule="atLeast"/>
        </w:trPr>
        <w:tc>
          <w:tcPr>
            <w:tcW w:w="62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71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5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  <w:tr>
        <w:trPr>
          <w:trHeight w:val="41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1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Благоустрій майдану Братський міст (поточний ремонт туристичного ознакування міста)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24,7</w:t>
            </w:r>
          </w:p>
        </w:tc>
      </w:tr>
      <w:tr>
        <w:trPr>
          <w:trHeight w:val="35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color w:val="000000"/>
                <w:sz w:val="26"/>
                <w:szCs w:val="26"/>
                <w:highlight w:val="white"/>
                <w:lang w:val="uk-UA"/>
              </w:rPr>
            </w:pP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2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Благоустрій території навколо фонтану на вул. Глушець в м. Луцьку (поточний ремонт лавок і підпірних стінок)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199,5</w:t>
            </w:r>
          </w:p>
        </w:tc>
      </w:tr>
      <w:tr>
        <w:trPr>
          <w:trHeight w:val="310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color w:val="000000"/>
                <w:sz w:val="26"/>
                <w:szCs w:val="26"/>
                <w:highlight w:val="white"/>
                <w:lang w:val="uk-UA"/>
              </w:rPr>
            </w:pPr>
            <w:r>
              <w:rPr>
                <w:color w:val="000000"/>
                <w:sz w:val="26"/>
                <w:szCs w:val="26"/>
                <w:highlight w:val="white"/>
                <w:lang w:val="uk-UA"/>
              </w:rPr>
              <w:t>3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громадської вбиральні в Центральному парку культури та відпочинку ім. Лесі Українки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14,4</w:t>
            </w:r>
          </w:p>
        </w:tc>
      </w:tr>
      <w:tr>
        <w:trPr>
          <w:trHeight w:val="310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4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об'єкту благоустрою (сходи на просп. Соборності, 14) в м. Луцьку)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57,3</w:t>
            </w:r>
          </w:p>
        </w:tc>
      </w:tr>
      <w:tr>
        <w:trPr>
          <w:trHeight w:val="310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5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Поточний ремонт сходів біля будинку № 14 на вул. П’ятницька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г</w:t>
            </w:r>
            <w:r>
              <w:rPr>
                <w:sz w:val="24"/>
                <w:szCs w:val="24"/>
                <w:lang w:val="uk-UA"/>
              </w:rPr>
              <w:t>ірка (аварійно-відновлювальні роботи)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59,6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6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Благоустрій біля фонтанів в м. Луцьку (поточний ремонт гранітного покриття підпірних стінок біля фонтану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Квітка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 xml:space="preserve"> та гранітного покриття фонтану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Каскад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>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164,6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7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Благоустрій на вул. Рівненській в м. Луцьку (поточний ремонт в’їзного монументального знаку «Луцьк»)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121,3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8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Благоустрій на меморіалі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Вічна слава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 xml:space="preserve"> в м. Луцьку (поточний ремонт гранітного покриття Шпиля)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16,4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9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Благоустрій на вул. Володимирській в м. Луцьку (поточний ремонт в'їзного монументального знаку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Луцьк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34,9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10</w:t>
            </w:r>
          </w:p>
        </w:tc>
        <w:tc>
          <w:tcPr>
            <w:tcW w:w="7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Благоустрій на вул. П’ятницька гірка (поточний ремонт елементів благоустрою)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45,0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11</w:t>
            </w:r>
          </w:p>
        </w:tc>
        <w:tc>
          <w:tcPr>
            <w:tcW w:w="7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сходів біля будинку № 4 на вул. П’ятницька гірка (аварійно-відновлювальні роботи)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59,6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12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Благоустрій біля фонтанів в м. Луцьку (поточний ремонт гранітного покриття підпірних стінок біля фонтану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Квітка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 xml:space="preserve"> та гранітного покриття фонтану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Каскад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>) (додаткові роботи)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34,1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13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дитячих майданчиків на території Луцької міської територіальної громади Жидичинського округу (поточний ремонт дитячого обладнання)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141,3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14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(поточний ремонт сходів в Центральному парку культури і відпочинку ім. Лесі Українки)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159,5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15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на меморіалі Вічна слава» в м. Луцьку (фарбування елементів благоустрою)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10,9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16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міста (поточний ремонт скульптури «Братська могила» на вул. Теремнівській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38,1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17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Послуги з поточного ремонту гранітного облицювання фонтану в Центральному парку культури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і</w:t>
            </w:r>
            <w:r>
              <w:rPr>
                <w:sz w:val="24"/>
                <w:szCs w:val="24"/>
                <w:lang w:val="uk-UA"/>
              </w:rPr>
              <w:t xml:space="preserve"> відпочинку імені Лесі Українки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110,4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(фарбування елементів благоустрою на Театральному майдані, перетині вулиць Лесі Українки та Кривий Вал, вул. Кафедральній)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86,9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19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оглядового майданчика на вул. Гірній у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11,1</w:t>
            </w:r>
          </w:p>
        </w:tc>
      </w:tr>
      <w:tr>
        <w:trPr>
          <w:trHeight w:val="667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20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поточного ремонту контейнерного майданчика для збору ТПВ по вул. Кравчука 36, 38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99,9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21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Послуги з благоустрою (поточний ремонт сходинок спуску до води в місці масового відпочинку громадян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Теремнівські ставки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 xml:space="preserve">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67,4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22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на вул. Львівській в м. Луцьку (поточний ремонт в’їзного монументального знаку «Луцьк»)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49,0</w:t>
            </w:r>
          </w:p>
        </w:tc>
      </w:tr>
      <w:tr>
        <w:trPr>
          <w:trHeight w:val="640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23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Послуги з поточного ремонту гранітного облицювання пам'ятника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Борцям за Волю та Незалежність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11,5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24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Послуги з благоустрою (відновлення парапету, сходів та тротуару поруч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Кафедрального костелу святих апостолів Петра і Павла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 xml:space="preserve"> м. Луцьку)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144,4</w:t>
            </w:r>
          </w:p>
        </w:tc>
      </w:tr>
      <w:tr>
        <w:trPr>
          <w:trHeight w:val="650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25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мереж зливової каналізації на вул. Сапалаївській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53,3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26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Послуги з поточного ремонту пляжного обладнання місця масового відпочинку громадян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Теремнівські ставки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  <w:r>
              <w:rPr>
                <w:sz w:val="24"/>
                <w:szCs w:val="24"/>
                <w:lang w:val="uk-UA"/>
              </w:rPr>
              <w:t xml:space="preserve"> на вул. Теремнівській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59,4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27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поточного ремонту пляжного обладнання пляжу на р. Стир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81,9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28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поточного ремонту громадських вбиралень на кладовищах Луцької міської територіальної громади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199,0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29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Поточний ремонт сходів біля будинку № 14 на вул. П’ятницька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uk-UA" w:eastAsia="zh-CN" w:bidi="ar-SA"/>
              </w:rPr>
              <w:t>г</w:t>
            </w:r>
            <w:r>
              <w:rPr>
                <w:sz w:val="24"/>
                <w:szCs w:val="24"/>
                <w:lang w:val="uk-UA"/>
              </w:rPr>
              <w:t>ірка (аварійно-відновлювальні роботи) в м. Луцьку (додаткові роботи)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49,6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30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дитячих майданчиків на території Луцької міської територіальної громади Княгининівського старостинського округу (поточний ремонт дитячого обладнання)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72,9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31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дитячих майданчиків на території Заборольського старостинського округу Луцької міської територіальної громади (поточний ремонт дитячого обладнання)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94,1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32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громадської вбиральні в Центральному парку культури і відпочинку ім. Лесі Українки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48,5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33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на вул. Дубнівській в м. Луцьку (поточний ремонт в’їзного монументального знаку «Луцьк»)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49,0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34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сходів між будинками 33-35 на вул. Лесі Українки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34,9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35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Поточний ремонт 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«</w:t>
            </w:r>
            <w:r>
              <w:rPr>
                <w:sz w:val="24"/>
                <w:szCs w:val="24"/>
                <w:lang w:val="uk-UA"/>
              </w:rPr>
              <w:t>Пам'ятника землякам в с. Прилуцьке Луцької міської територіальної громади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49,5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36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контейнерних майданчиків для збору ТПВ на просп. Волі, 15 в м .Луцьку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96,3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37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огородження на вул. Шкільній в с. Тарасове Луцької ОТГ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30,7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38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місця розстрілу членів Луцького антифашистського підпілля на вул. Кафедральна, 16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32,8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39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поточного ремонту елементів благоустрою парків міста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262,8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40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благоустрою скверу на розі вулиць Даньшина-Львівська (поточний ремонт елементів благоустрою) в м. Луцьку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8,5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41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дитячого майданчика та елементів благоустрою на вул. Наливайка, 8, 8а м. Луцька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140,3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42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поточного ремонту об'єкту благоустрою (сходи на вул. Світлій, 3) в м. Луцьку)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17,1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43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колодязя та інженерних мереж на просп. Соборності, 18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20,3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44</w:t>
            </w:r>
          </w:p>
        </w:tc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поточного ремонту контейнерних майданчиків для збору твердих побутових відходів у м. Луцьку Волинської області (вул. Іови Кондзелевича, 2-10)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97,9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45</w:t>
            </w:r>
          </w:p>
        </w:tc>
        <w:tc>
          <w:tcPr>
            <w:tcW w:w="7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Послуги з поточного ремонту контейнерних майданчиків для збору твердих побутових відходів у м. Луцьку Волинської області (просп. Волі, 49; вул. Спокійна, 4)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97,8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46</w:t>
            </w:r>
          </w:p>
        </w:tc>
        <w:tc>
          <w:tcPr>
            <w:tcW w:w="7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Поточний ремонт системи водовідведення за адресою: вул. Глушець, 37а в м. Луцьк Волинської області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144,2</w:t>
            </w:r>
          </w:p>
        </w:tc>
      </w:tr>
      <w:tr>
        <w:trPr>
          <w:trHeight w:val="125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7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right"/>
              <w:rPr>
                <w:rFonts w:ascii="Times New Roman" w:hAnsi="Times New Roman"/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Всього: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/>
                <w:b/>
                <w:b/>
                <w:bCs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uk-UA"/>
              </w:rPr>
              <w:t>3 502,3</w:t>
            </w:r>
          </w:p>
        </w:tc>
      </w:tr>
    </w:tbl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/>
        <w:t xml:space="preserve">Смаль </w:t>
      </w:r>
      <w:r>
        <w:rPr>
          <w:lang w:val="uk-UA"/>
        </w:rPr>
        <w:t>777 955</w:t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Arial Narro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ntiqu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промовчанням1"/>
    <w:qFormat/>
    <w:rPr/>
  </w:style>
  <w:style w:type="character" w:styleId="Style14" w:customStyle="1">
    <w:name w:val="Текст у виносці Знак"/>
    <w:link w:val="a9"/>
    <w:uiPriority w:val="99"/>
    <w:semiHidden/>
    <w:qFormat/>
    <w:rsid w:val="00a666b4"/>
    <w:rPr>
      <w:rFonts w:ascii="Segoe UI" w:hAnsi="Segoe UI" w:cs="Segoe UI"/>
      <w:sz w:val="18"/>
      <w:szCs w:val="18"/>
      <w:lang w:eastAsia="zh-CN"/>
    </w:rPr>
  </w:style>
  <w:style w:type="character" w:styleId="Style15">
    <w:name w:val="Текст выноски Знак"/>
    <w:qFormat/>
    <w:rPr>
      <w:sz w:val="0"/>
      <w:szCs w:val="0"/>
    </w:rPr>
  </w:style>
  <w:style w:type="character" w:styleId="Style16">
    <w:name w:val="Текст Знак"/>
    <w:qFormat/>
    <w:rPr>
      <w:rFonts w:ascii="Courier New" w:hAnsi="Courier New" w:cs="Courier New"/>
    </w:rPr>
  </w:style>
  <w:style w:type="character" w:styleId="Style17">
    <w:name w:val="Заголовок Знак"/>
    <w:qFormat/>
    <w:rPr>
      <w:rFonts w:ascii="Cambria" w:hAnsi="Cambria" w:cs="Cambria"/>
      <w:b/>
      <w:bCs/>
      <w:kern w:val="2"/>
      <w:sz w:val="32"/>
      <w:szCs w:val="32"/>
    </w:rPr>
  </w:style>
  <w:style w:type="character" w:styleId="3">
    <w:name w:val="Основной текст с отступом 3 Знак"/>
    <w:qFormat/>
    <w:rPr>
      <w:rFonts w:ascii="Arial Narrow" w:hAnsi="Arial Narrow" w:cs="Arial Narrow"/>
      <w:sz w:val="28"/>
      <w:szCs w:val="28"/>
      <w:lang w:val="en-US"/>
    </w:rPr>
  </w:style>
  <w:style w:type="character" w:styleId="Style18">
    <w:name w:val="Интернет-ссылка"/>
    <w:qFormat/>
    <w:rPr>
      <w:color w:val="0000FF"/>
      <w:u w:val="single"/>
    </w:rPr>
  </w:style>
  <w:style w:type="character" w:styleId="11">
    <w:name w:val="Заголовок 1 Знак"/>
    <w:qFormat/>
    <w:rPr>
      <w:rFonts w:ascii="Cambria" w:hAnsi="Cambria" w:cs="Cambria"/>
      <w:b/>
      <w:bCs/>
      <w:kern w:val="2"/>
      <w:sz w:val="32"/>
      <w:szCs w:val="32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 w:customStyle="1">
    <w:name w:val="Покажчик"/>
    <w:basedOn w:val="Normal"/>
    <w:qFormat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20"/>
    <w:qFormat/>
    <w:pPr>
      <w:keepNext w:val="true"/>
      <w:spacing w:before="240" w:after="120"/>
    </w:pPr>
    <w:rPr>
      <w:rFonts w:eastAsia="Microsoft YaHei" w:cs="Arial"/>
      <w:sz w:val="32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a666b4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508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PlainText">
    <w:name w:val="Plain Text"/>
    <w:basedOn w:val="Normal"/>
    <w:qFormat/>
    <w:pPr/>
    <w:rPr>
      <w:rFonts w:ascii="Courier New" w:hAnsi="Courier New" w:cs="Courier New"/>
      <w:sz w:val="20"/>
      <w:szCs w:val="20"/>
      <w:lang w:val="en-US"/>
    </w:rPr>
  </w:style>
  <w:style w:type="paragraph" w:styleId="13">
    <w:name w:val="Без інтервалів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uk-UA" w:bidi="ar-SA"/>
    </w:rPr>
  </w:style>
  <w:style w:type="paragraph" w:styleId="BodyTextIndent3">
    <w:name w:val="Body Text Indent 3"/>
    <w:basedOn w:val="Normal"/>
    <w:qFormat/>
    <w:pPr>
      <w:ind w:left="-709" w:firstLine="709"/>
      <w:jc w:val="both"/>
    </w:pPr>
    <w:rPr>
      <w:rFonts w:ascii="Arial Narrow" w:hAnsi="Arial Narrow" w:cs="Arial Narrow"/>
      <w:sz w:val="28"/>
      <w:szCs w:val="28"/>
      <w:lang w:val="en-US" w:eastAsia="uk-UA"/>
    </w:rPr>
  </w:style>
  <w:style w:type="paragraph" w:styleId="Style26">
    <w:name w:val="без абзаца"/>
    <w:basedOn w:val="Normal"/>
    <w:qFormat/>
    <w:pPr>
      <w:widowControl w:val="false"/>
    </w:pPr>
    <w:rPr>
      <w:kern w:val="2"/>
      <w:lang w:val="uk-UA" w:eastAsia="ar-SA"/>
    </w:rPr>
  </w:style>
  <w:style w:type="paragraph" w:styleId="Style27">
    <w:name w:val="Назва документа"/>
    <w:basedOn w:val="Normal"/>
    <w:qFormat/>
    <w:pPr>
      <w:keepNext w:val="true"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Style28">
    <w:name w:val="заголов"/>
    <w:basedOn w:val="Normal"/>
    <w:qFormat/>
    <w:pPr>
      <w:widowControl w:val="false"/>
      <w:jc w:val="center"/>
    </w:pPr>
    <w:rPr>
      <w:b/>
      <w:bCs/>
      <w:kern w:val="2"/>
      <w:lang w:val="uk-UA" w:eastAsia="ar-SA"/>
    </w:rPr>
  </w:style>
  <w:style w:type="paragraph" w:styleId="Style29">
    <w:name w:val="Кому"/>
    <w:basedOn w:val="Normal"/>
    <w:qFormat/>
    <w:pPr>
      <w:widowControl w:val="false"/>
      <w:ind w:left="5954" w:hanging="0"/>
    </w:pPr>
    <w:rPr>
      <w:b/>
      <w:bCs/>
      <w:kern w:val="2"/>
      <w:sz w:val="28"/>
      <w:szCs w:val="28"/>
      <w:lang w:val="uk-UA" w:eastAsia="ar-SA"/>
    </w:rPr>
  </w:style>
  <w:style w:type="paragraph" w:styleId="ShapkaDocumentu">
    <w:name w:val="Shapka Documentu"/>
    <w:basedOn w:val="Normal"/>
    <w:qFormat/>
    <w:pPr>
      <w:keepNext w:val="true"/>
      <w:keepLines/>
      <w:spacing w:before="0" w:after="240"/>
      <w:ind w:left="3969" w:hanging="0"/>
      <w:jc w:val="center"/>
    </w:pPr>
    <w:rPr>
      <w:rFonts w:ascii="Antiqua" w:hAnsi="Antiqua" w:cs="Antiqua"/>
      <w:sz w:val="26"/>
      <w:szCs w:val="26"/>
      <w:lang w:val="uk-UA"/>
    </w:rPr>
  </w:style>
  <w:style w:type="paragraph" w:styleId="Indexheading">
    <w:name w:val="index heading"/>
    <w:basedOn w:val="Normal"/>
    <w:qFormat/>
    <w:pPr/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0d1c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17355-C5D3-4693-A0D8-7D26CDCF9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Application>LibreOffice/7.1.3.2$Windows_X86_64 LibreOffice_project/47f78053abe362b9384784d31a6e56f8511eb1c1</Application>
  <AppVersion>15.0000</AppVersion>
  <Pages>3</Pages>
  <Words>993</Words>
  <Characters>6021</Characters>
  <CharactersWithSpaces>6834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2024-01-22T11:49:09Z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