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4DBB" w14:textId="77777777" w:rsidR="008B6ED9" w:rsidRDefault="008B6ED9">
      <w:pPr>
        <w:spacing w:line="276" w:lineRule="auto"/>
        <w:jc w:val="center"/>
      </w:pPr>
      <w:r>
        <w:rPr>
          <w:b/>
          <w:sz w:val="28"/>
          <w:szCs w:val="28"/>
          <w:lang w:val="uk-UA"/>
        </w:rPr>
        <w:t>Звіт</w:t>
      </w:r>
    </w:p>
    <w:p w14:paraId="6DDCDFAA" w14:textId="77777777" w:rsidR="008B6ED9" w:rsidRDefault="008B6ED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роботу комунального підприємства «Луцькі ринки» за 2023 рік</w:t>
      </w:r>
    </w:p>
    <w:p w14:paraId="4D7D69B4" w14:textId="77777777" w:rsidR="008B6ED9" w:rsidRDefault="008B6ED9">
      <w:pPr>
        <w:rPr>
          <w:b/>
          <w:sz w:val="28"/>
          <w:szCs w:val="28"/>
          <w:lang w:val="uk-UA"/>
        </w:rPr>
      </w:pPr>
    </w:p>
    <w:p w14:paraId="5F4CFC6D" w14:textId="77777777" w:rsidR="008B6ED9" w:rsidRPr="009A7EEA" w:rsidRDefault="008B6ED9">
      <w:pPr>
        <w:spacing w:after="113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Загальна інформація </w:t>
      </w:r>
    </w:p>
    <w:p w14:paraId="277CB9DD" w14:textId="32B87A6F" w:rsidR="008B6ED9" w:rsidRPr="009A7EEA" w:rsidRDefault="008B6ED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Комунальне підприємство «Луцькі ринки» створене рішенням міської ради від 31.01.2018 № 37/26 «</w:t>
      </w:r>
      <w:r w:rsidRPr="009A7EEA">
        <w:rPr>
          <w:spacing w:val="3"/>
          <w:sz w:val="28"/>
          <w:szCs w:val="28"/>
          <w:shd w:val="clear" w:color="auto" w:fill="FFFFFF"/>
          <w:lang w:val="uk-UA"/>
        </w:rPr>
        <w:t xml:space="preserve">Про створення комунального підприємства </w:t>
      </w:r>
      <w:r w:rsidR="002002D2">
        <w:rPr>
          <w:spacing w:val="3"/>
          <w:sz w:val="28"/>
          <w:szCs w:val="28"/>
          <w:shd w:val="clear" w:color="auto" w:fill="FFFFFF"/>
          <w:lang w:val="en-US"/>
        </w:rPr>
        <w:t>“</w:t>
      </w:r>
      <w:r w:rsidRPr="009A7EEA">
        <w:rPr>
          <w:spacing w:val="3"/>
          <w:sz w:val="28"/>
          <w:szCs w:val="28"/>
          <w:shd w:val="clear" w:color="auto" w:fill="FFFFFF"/>
          <w:lang w:val="uk-UA"/>
        </w:rPr>
        <w:t>Луцькі ринки</w:t>
      </w:r>
      <w:r w:rsidR="002002D2">
        <w:rPr>
          <w:spacing w:val="3"/>
          <w:sz w:val="28"/>
          <w:szCs w:val="28"/>
          <w:shd w:val="clear" w:color="auto" w:fill="FFFFFF"/>
          <w:lang w:val="en-US"/>
        </w:rPr>
        <w:t>”</w:t>
      </w:r>
      <w:r w:rsidRPr="009A7EEA">
        <w:rPr>
          <w:spacing w:val="3"/>
          <w:sz w:val="28"/>
          <w:szCs w:val="28"/>
          <w:shd w:val="clear" w:color="auto" w:fill="FFFFFF"/>
          <w:lang w:val="uk-UA"/>
        </w:rPr>
        <w:t xml:space="preserve"> та затвердження його Статуту</w:t>
      </w:r>
      <w:r>
        <w:rPr>
          <w:sz w:val="28"/>
          <w:szCs w:val="28"/>
          <w:lang w:val="uk-UA"/>
        </w:rPr>
        <w:t>».</w:t>
      </w:r>
    </w:p>
    <w:p w14:paraId="76F32C12" w14:textId="691C8C0D" w:rsidR="008B6ED9" w:rsidRDefault="008B6ED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Мета діяльності підприємства:</w:t>
      </w:r>
      <w:r w:rsidR="00F203B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упорядкування діяльності ринків м. Луцька; надання в оренду й експлуатацію власного чи орендованого нерухомого майна.</w:t>
      </w:r>
    </w:p>
    <w:p w14:paraId="69EEB81B" w14:textId="520534C2" w:rsidR="008B6ED9" w:rsidRPr="009A7EEA" w:rsidRDefault="008B6ED9">
      <w:pPr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Протягом 2023 року КП «Луцькі ринки»</w:t>
      </w:r>
      <w:r>
        <w:rPr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свою господарську діяльність з надання місць в оренду для торгівлі продовольчими та непродовольчими товарами здійснювало </w:t>
      </w:r>
      <w:r>
        <w:rPr>
          <w:sz w:val="28"/>
          <w:szCs w:val="28"/>
          <w:lang w:val="uk-UA"/>
        </w:rPr>
        <w:t xml:space="preserve">на торгових рядах ринку «Шанс» </w:t>
      </w:r>
      <w:r w:rsidRPr="002D7C5C">
        <w:rPr>
          <w:sz w:val="28"/>
          <w:szCs w:val="28"/>
          <w:lang w:val="uk-UA"/>
        </w:rPr>
        <w:t>на вул. Кравчука</w:t>
      </w:r>
      <w:r w:rsidR="003563A5" w:rsidRPr="002D7C5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0,1457 га"/>
        </w:smartTagPr>
        <w:r>
          <w:rPr>
            <w:sz w:val="28"/>
            <w:szCs w:val="28"/>
            <w:lang w:val="uk-UA"/>
          </w:rPr>
          <w:t>0,1457 га</w:t>
        </w:r>
      </w:smartTag>
      <w:r w:rsidR="003563A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на торговому ряді вул. Кравчука, 31, площею 0,0760 га. Відповідно, загальна площа земельних ділянок, на яких здійснюється господарська діяльність підприємства, складає 0,2217 га, що є найменшим показником серед ринкових площ на території міста.</w:t>
      </w:r>
    </w:p>
    <w:p w14:paraId="0619D089" w14:textId="09685469" w:rsidR="008B6ED9" w:rsidRPr="009A7EEA" w:rsidRDefault="008B6ED9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У своїй роботі КП «Луцькі ринки» керується ст. 30 Закону України «Про місцеве самоврядування в Україні», рішенням міської ради від 26.05.2010 № 60/1 «Про Правила торгівлі на ринках міста Луцька» та іншими нормативно-правовими актами чинного законодавства України.</w:t>
      </w:r>
    </w:p>
    <w:p w14:paraId="2761BA63" w14:textId="77777777" w:rsidR="008B6ED9" w:rsidRDefault="008B6ED9">
      <w:pPr>
        <w:ind w:firstLine="708"/>
        <w:jc w:val="both"/>
        <w:rPr>
          <w:sz w:val="28"/>
          <w:szCs w:val="28"/>
          <w:lang w:val="uk-UA"/>
        </w:rPr>
      </w:pPr>
    </w:p>
    <w:p w14:paraId="6B383EA8" w14:textId="77777777" w:rsidR="008B6ED9" w:rsidRDefault="008B6ED9">
      <w:pPr>
        <w:spacing w:after="113"/>
        <w:jc w:val="center"/>
      </w:pPr>
      <w:r>
        <w:rPr>
          <w:b/>
          <w:sz w:val="28"/>
          <w:szCs w:val="28"/>
          <w:lang w:val="uk-UA"/>
        </w:rPr>
        <w:t>Інформація про фінансово-господарську діяльність підприємства</w:t>
      </w:r>
    </w:p>
    <w:p w14:paraId="67C892F0" w14:textId="415D4A62" w:rsidR="008B6ED9" w:rsidRPr="009A7EEA" w:rsidRDefault="008B6ED9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Дохідна частина підприємства формується на підставі пункту 3.2. Статуту – надання послуг суб’єктам господарювання для гуртової та роздрібної торгівлі на ринках. Також в дохід підприємства зараховуються кошти з відшкодування електроенергії, яка подається суб’єктам господарювання на ринку «Шанс» та торговельному ряді на вул.</w:t>
      </w:r>
      <w:r w:rsidR="003563A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Кравчука, 31.</w:t>
      </w:r>
    </w:p>
    <w:p w14:paraId="14B9EE36" w14:textId="4CAEBFA8" w:rsidR="008B6ED9" w:rsidRPr="009A7EEA" w:rsidRDefault="008B6ED9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Для забезпечення господарської діяльності вартість послуги з надання в оренду торгових площ на ринках міста Луцька для КП «Луцькі ринки» встановлено 119,0 грн за 1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 w:rsidR="003563A5">
        <w:rPr>
          <w:sz w:val="28"/>
          <w:szCs w:val="28"/>
          <w:lang w:val="uk-UA"/>
        </w:rPr>
        <w:t>. м</w:t>
      </w:r>
      <w:r>
        <w:rPr>
          <w:sz w:val="28"/>
          <w:szCs w:val="28"/>
          <w:lang w:val="uk-UA"/>
        </w:rPr>
        <w:t xml:space="preserve"> торгової площі в місяць (згідно з рішенням виконавчого комітету </w:t>
      </w:r>
      <w:r w:rsidR="003563A5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іської ради від 03.03.2021 № 158-1), що є найменшою вартістю за 1 </w:t>
      </w:r>
      <w:proofErr w:type="spellStart"/>
      <w:r w:rsidR="003563A5">
        <w:rPr>
          <w:sz w:val="28"/>
          <w:szCs w:val="28"/>
          <w:lang w:val="uk-UA"/>
        </w:rPr>
        <w:t>кв</w:t>
      </w:r>
      <w:proofErr w:type="spellEnd"/>
      <w:r w:rsidR="003563A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м торгової площі серед усіх ринків територіальної громади.</w:t>
      </w:r>
    </w:p>
    <w:p w14:paraId="3BF44C1C" w14:textId="77777777" w:rsidR="008B6ED9" w:rsidRDefault="008B6ED9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Загальні доходи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у звітному періоді склали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2 367,0  тис. грн, що на 37,4 тис</w:t>
      </w:r>
      <w:r>
        <w:rPr>
          <w:rFonts w:ascii="Times New Roman" w:hAnsi="Times New Roman" w:cs="Times New Roman"/>
          <w:sz w:val="28"/>
          <w:szCs w:val="28"/>
          <w:lang w:val="uk-UA"/>
        </w:rPr>
        <w:t>. грн більше, ніж за 2022 рік. Сума витрат господарської діяльності за підсумками 2023 року становила 2 276,9 тис.</w:t>
      </w:r>
      <w:r>
        <w:rPr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грн, </w:t>
      </w:r>
      <w:r>
        <w:rPr>
          <w:rFonts w:ascii="Times New Roman" w:hAnsi="Times New Roman"/>
          <w:sz w:val="28"/>
          <w:szCs w:val="28"/>
          <w:lang w:val="uk-UA"/>
        </w:rPr>
        <w:t>що у порівнянні з 2022 роком більше на 162,6 тис. грн або на 7,7 %. Таке відхилення обумовлено зростанням вартості на послуги постачальників та вартості послуги з поводження ТВП, зростанням вартості електричної енергії, інших матеріальних витрат.</w:t>
      </w:r>
    </w:p>
    <w:p w14:paraId="26189462" w14:textId="58E8015A" w:rsidR="008B6ED9" w:rsidRDefault="008B6ED9">
      <w:pPr>
        <w:ind w:firstLine="567"/>
        <w:jc w:val="both"/>
      </w:pPr>
      <w:r>
        <w:rPr>
          <w:sz w:val="28"/>
          <w:szCs w:val="28"/>
          <w:lang w:val="uk-UA"/>
        </w:rPr>
        <w:lastRenderedPageBreak/>
        <w:t>Фінансовим результатом господарювання КП «Луцькі ринки» у 2023</w:t>
      </w:r>
      <w:r w:rsidR="003563A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році став прибуток у розмірі 90,1 тис. грн.</w:t>
      </w:r>
    </w:p>
    <w:p w14:paraId="18012EA6" w14:textId="77777777" w:rsidR="008B6ED9" w:rsidRDefault="008B6ED9">
      <w:pPr>
        <w:spacing w:after="113"/>
        <w:jc w:val="center"/>
        <w:rPr>
          <w:color w:val="000000"/>
          <w:sz w:val="28"/>
          <w:szCs w:val="28"/>
          <w:lang w:val="uk-UA"/>
        </w:rPr>
      </w:pPr>
    </w:p>
    <w:p w14:paraId="00674EE1" w14:textId="77777777" w:rsidR="008B6ED9" w:rsidRDefault="008B6ED9">
      <w:pPr>
        <w:spacing w:after="113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Основні показники фінансово-господарської діяльності</w:t>
      </w:r>
    </w:p>
    <w:p w14:paraId="1649C689" w14:textId="77777777" w:rsidR="008B6ED9" w:rsidRDefault="008B6ED9">
      <w:pPr>
        <w:jc w:val="right"/>
        <w:rPr>
          <w:sz w:val="16"/>
          <w:szCs w:val="1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710"/>
        <w:gridCol w:w="4247"/>
        <w:gridCol w:w="1416"/>
        <w:gridCol w:w="1560"/>
        <w:gridCol w:w="1673"/>
      </w:tblGrid>
      <w:tr w:rsidR="008B6ED9" w14:paraId="473DC9F3" w14:textId="77777777" w:rsidTr="0079207D">
        <w:trPr>
          <w:trHeight w:val="6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4379" w14:textId="77777777" w:rsidR="008B6ED9" w:rsidRDefault="008B6ED9">
            <w:pPr>
              <w:widowControl w:val="0"/>
              <w:jc w:val="center"/>
            </w:pPr>
            <w:r>
              <w:rPr>
                <w:lang w:val="uk-UA"/>
              </w:rPr>
              <w:t>№ з/п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48AA" w14:textId="77777777" w:rsidR="008B6ED9" w:rsidRDefault="008B6ED9">
            <w:pPr>
              <w:widowControl w:val="0"/>
              <w:jc w:val="center"/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674B" w14:textId="77777777" w:rsidR="008B6ED9" w:rsidRDefault="008B6ED9">
            <w:pPr>
              <w:widowControl w:val="0"/>
              <w:ind w:left="-124" w:right="-108"/>
              <w:jc w:val="center"/>
            </w:pPr>
            <w:r>
              <w:rPr>
                <w:color w:val="000000"/>
                <w:lang w:val="uk-UA" w:eastAsia="ru-RU"/>
              </w:rPr>
              <w:t>2022 рік,</w:t>
            </w:r>
          </w:p>
          <w:p w14:paraId="5982714D" w14:textId="77777777" w:rsidR="008B6ED9" w:rsidRDefault="008B6ED9">
            <w:pPr>
              <w:widowControl w:val="0"/>
              <w:ind w:left="-124" w:right="-108"/>
              <w:jc w:val="center"/>
            </w:pPr>
            <w:r>
              <w:rPr>
                <w:color w:val="000000"/>
                <w:lang w:val="uk-UA" w:eastAsia="ru-RU"/>
              </w:rPr>
              <w:t>тис. 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74A1" w14:textId="77777777" w:rsidR="008B6ED9" w:rsidRDefault="008B6ED9">
            <w:pPr>
              <w:widowControl w:val="0"/>
              <w:ind w:left="-108" w:right="-108"/>
              <w:jc w:val="center"/>
            </w:pPr>
            <w:r>
              <w:rPr>
                <w:color w:val="000000"/>
                <w:lang w:val="uk-UA" w:eastAsia="ru-RU"/>
              </w:rPr>
              <w:t>2023 рік, тис. грн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46A3" w14:textId="77777777" w:rsidR="008B6ED9" w:rsidRDefault="008B6ED9">
            <w:pPr>
              <w:widowControl w:val="0"/>
              <w:ind w:left="-108"/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Відхилення (+/-),</w:t>
            </w:r>
          </w:p>
          <w:p w14:paraId="68B6C8AF" w14:textId="77777777" w:rsidR="008B6ED9" w:rsidRDefault="008B6ED9">
            <w:pPr>
              <w:widowControl w:val="0"/>
              <w:ind w:left="-108"/>
              <w:jc w:val="center"/>
            </w:pPr>
            <w:r>
              <w:rPr>
                <w:color w:val="000000"/>
                <w:lang w:val="uk-UA" w:eastAsia="ru-RU"/>
              </w:rPr>
              <w:t>тис. грн</w:t>
            </w:r>
          </w:p>
        </w:tc>
      </w:tr>
      <w:tr w:rsidR="008B6ED9" w14:paraId="64EC138F" w14:textId="77777777" w:rsidTr="0079207D">
        <w:trPr>
          <w:trHeight w:val="4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4A18" w14:textId="77777777" w:rsidR="008B6ED9" w:rsidRDefault="008B6ED9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33E3" w14:textId="77777777" w:rsidR="008B6ED9" w:rsidRDefault="008B6ED9">
            <w:pPr>
              <w:widowControl w:val="0"/>
            </w:pPr>
            <w:r>
              <w:rPr>
                <w:color w:val="000000"/>
                <w:lang w:val="uk-UA"/>
              </w:rPr>
              <w:t>Нараховано доходів (з ПДВ) з основної діяльності (оренда торговельної площі)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7C01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2 212,2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2BD3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2 204,3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01FC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-7,9</w:t>
            </w:r>
          </w:p>
        </w:tc>
      </w:tr>
      <w:tr w:rsidR="008B6ED9" w14:paraId="46FA36E4" w14:textId="77777777" w:rsidTr="0079207D">
        <w:trPr>
          <w:trHeight w:val="4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4E2F" w14:textId="77777777" w:rsidR="008B6ED9" w:rsidRDefault="008B6ED9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2.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36DE" w14:textId="77777777" w:rsidR="008B6ED9" w:rsidRDefault="008B6ED9">
            <w:pPr>
              <w:widowControl w:val="0"/>
            </w:pPr>
            <w:r>
              <w:rPr>
                <w:color w:val="000000"/>
                <w:lang w:val="uk-UA"/>
              </w:rPr>
              <w:t>Інші доходи (з ПДВ) відшкодування електроенергії орендарями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BBAB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516,7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3A81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636,2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4739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119,5</w:t>
            </w:r>
          </w:p>
        </w:tc>
      </w:tr>
      <w:tr w:rsidR="008B6ED9" w14:paraId="4A373A82" w14:textId="77777777" w:rsidTr="0079207D">
        <w:trPr>
          <w:trHeight w:val="4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92F0" w14:textId="77777777" w:rsidR="008B6ED9" w:rsidRDefault="008B6ED9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3.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A6F4" w14:textId="7BA99431" w:rsidR="008B6ED9" w:rsidRDefault="008B6ED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Безоплатно отримані МНМА (металеві стелажі)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A719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365C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3DD0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</w:p>
          <w:p w14:paraId="0AF73EF7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</w:p>
        </w:tc>
      </w:tr>
      <w:tr w:rsidR="008B6ED9" w14:paraId="06910CDD" w14:textId="77777777" w:rsidTr="0079207D">
        <w:trPr>
          <w:trHeight w:val="2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7095" w14:textId="77777777" w:rsidR="008B6ED9" w:rsidRDefault="008B6ED9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4.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86D" w14:textId="77777777" w:rsidR="008B6ED9" w:rsidRDefault="008B6ED9">
            <w:pPr>
              <w:widowControl w:val="0"/>
            </w:pPr>
            <w:r>
              <w:rPr>
                <w:color w:val="000000"/>
                <w:lang w:val="uk-UA"/>
              </w:rPr>
              <w:t>ПДВ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8E55" w14:textId="77777777" w:rsidR="008B6ED9" w:rsidRPr="0079207D" w:rsidRDefault="008B6ED9">
            <w:pPr>
              <w:widowControl w:val="0"/>
              <w:jc w:val="right"/>
              <w:rPr>
                <w:lang w:val="uk-UA"/>
              </w:rPr>
            </w:pPr>
            <w:r w:rsidRPr="0079207D">
              <w:rPr>
                <w:lang w:val="uk-UA"/>
              </w:rPr>
              <w:t>454,8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50AF" w14:textId="77777777" w:rsidR="008B6ED9" w:rsidRPr="0079207D" w:rsidRDefault="008B6ED9">
            <w:pPr>
              <w:widowControl w:val="0"/>
              <w:jc w:val="right"/>
              <w:rPr>
                <w:lang w:val="uk-UA"/>
              </w:rPr>
            </w:pPr>
            <w:r w:rsidRPr="0079207D">
              <w:rPr>
                <w:lang w:val="uk-UA"/>
              </w:rPr>
              <w:t>473,5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2271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18,7</w:t>
            </w:r>
          </w:p>
        </w:tc>
      </w:tr>
      <w:tr w:rsidR="008B6ED9" w14:paraId="0F84EDF7" w14:textId="77777777" w:rsidTr="0079207D">
        <w:trPr>
          <w:trHeight w:val="2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3C87" w14:textId="77777777" w:rsidR="008B6ED9" w:rsidRDefault="008B6ED9">
            <w:pPr>
              <w:widowControl w:val="0"/>
              <w:snapToGrid w:val="0"/>
              <w:jc w:val="center"/>
            </w:pPr>
            <w:r>
              <w:rPr>
                <w:color w:val="000000"/>
                <w:lang w:val="uk-UA"/>
              </w:rPr>
              <w:t>5.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AA08" w14:textId="77777777" w:rsidR="008B6ED9" w:rsidRDefault="008B6ED9">
            <w:pPr>
              <w:widowControl w:val="0"/>
            </w:pPr>
            <w:r>
              <w:rPr>
                <w:color w:val="000000"/>
                <w:lang w:val="uk-UA"/>
              </w:rPr>
              <w:t>Всього доходів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CEE72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2 329,6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43080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2 367,0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59B54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37,4</w:t>
            </w:r>
          </w:p>
        </w:tc>
      </w:tr>
      <w:tr w:rsidR="008B6ED9" w14:paraId="50139779" w14:textId="77777777" w:rsidTr="0079207D">
        <w:trPr>
          <w:trHeight w:val="3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C75D" w14:textId="77777777" w:rsidR="008B6ED9" w:rsidRDefault="008B6ED9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6.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2231" w14:textId="77777777" w:rsidR="008B6ED9" w:rsidRDefault="008B6ED9">
            <w:pPr>
              <w:widowControl w:val="0"/>
            </w:pPr>
            <w:r>
              <w:rPr>
                <w:color w:val="000000"/>
                <w:lang w:val="uk-UA"/>
              </w:rPr>
              <w:t>Витрати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5864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2 114,3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BCB5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2 276,9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62E4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162,6</w:t>
            </w:r>
          </w:p>
        </w:tc>
      </w:tr>
      <w:tr w:rsidR="008B6ED9" w14:paraId="79B7681D" w14:textId="77777777" w:rsidTr="0079207D">
        <w:trPr>
          <w:trHeight w:val="3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E436" w14:textId="77777777" w:rsidR="008B6ED9" w:rsidRDefault="008B6ED9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7.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AAA3" w14:textId="77777777" w:rsidR="008B6ED9" w:rsidRDefault="008B6ED9">
            <w:pPr>
              <w:widowControl w:val="0"/>
            </w:pPr>
            <w:r>
              <w:rPr>
                <w:color w:val="000000"/>
                <w:lang w:val="uk-UA"/>
              </w:rPr>
              <w:t>Прибутки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D979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215,3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E1E2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90,1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564D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-125,2</w:t>
            </w:r>
          </w:p>
        </w:tc>
      </w:tr>
    </w:tbl>
    <w:p w14:paraId="0C221DD2" w14:textId="77777777" w:rsidR="008B6ED9" w:rsidRDefault="008B6ED9">
      <w:pPr>
        <w:ind w:firstLine="540"/>
        <w:jc w:val="both"/>
        <w:rPr>
          <w:sz w:val="28"/>
          <w:szCs w:val="28"/>
          <w:lang w:val="uk-UA"/>
        </w:rPr>
      </w:pPr>
    </w:p>
    <w:p w14:paraId="13DEA961" w14:textId="77777777" w:rsidR="008B6ED9" w:rsidRDefault="008B6ED9">
      <w:pPr>
        <w:pStyle w:val="af6"/>
        <w:spacing w:after="113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та порівняльна характеристика витрат підприємств</w:t>
      </w:r>
    </w:p>
    <w:tbl>
      <w:tblPr>
        <w:tblW w:w="9604" w:type="dxa"/>
        <w:jc w:val="right"/>
        <w:tblLayout w:type="fixed"/>
        <w:tblLook w:val="0000" w:firstRow="0" w:lastRow="0" w:firstColumn="0" w:lastColumn="0" w:noHBand="0" w:noVBand="0"/>
      </w:tblPr>
      <w:tblGrid>
        <w:gridCol w:w="5848"/>
        <w:gridCol w:w="1276"/>
        <w:gridCol w:w="1161"/>
        <w:gridCol w:w="1319"/>
      </w:tblGrid>
      <w:tr w:rsidR="008B6ED9" w14:paraId="14F6B7C8" w14:textId="77777777" w:rsidTr="00707EF6">
        <w:trPr>
          <w:trHeight w:val="322"/>
          <w:jc w:val="right"/>
        </w:trPr>
        <w:tc>
          <w:tcPr>
            <w:tcW w:w="5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4A888" w14:textId="77777777" w:rsidR="008B6ED9" w:rsidRDefault="008B6ED9">
            <w:pPr>
              <w:widowControl w:val="0"/>
              <w:jc w:val="center"/>
            </w:pPr>
            <w:r>
              <w:rPr>
                <w:bCs/>
                <w:lang w:val="uk-UA" w:eastAsia="ru-RU"/>
              </w:rPr>
              <w:t xml:space="preserve">Фактичні показники звітного періоду 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24F63" w14:textId="77777777" w:rsidR="008B6ED9" w:rsidRDefault="008B6ED9">
            <w:pPr>
              <w:widowControl w:val="0"/>
              <w:ind w:left="-124" w:right="-108"/>
              <w:jc w:val="center"/>
            </w:pPr>
            <w:r>
              <w:rPr>
                <w:lang w:val="uk-UA" w:eastAsia="ru-RU"/>
              </w:rPr>
              <w:t>2022 рік,</w:t>
            </w:r>
          </w:p>
          <w:p w14:paraId="6EFC449B" w14:textId="77777777" w:rsidR="008B6ED9" w:rsidRDefault="008B6ED9">
            <w:pPr>
              <w:widowControl w:val="0"/>
              <w:ind w:left="-124" w:right="-108"/>
              <w:jc w:val="center"/>
            </w:pPr>
            <w:r>
              <w:rPr>
                <w:lang w:val="uk-UA" w:eastAsia="ru-RU"/>
              </w:rPr>
              <w:t>тис. грн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0DEA0" w14:textId="77777777" w:rsidR="008B6ED9" w:rsidRDefault="008B6ED9">
            <w:pPr>
              <w:widowControl w:val="0"/>
              <w:ind w:left="-108" w:right="-108"/>
              <w:jc w:val="center"/>
            </w:pPr>
            <w:r>
              <w:rPr>
                <w:lang w:val="uk-UA" w:eastAsia="ru-RU"/>
              </w:rPr>
              <w:t>2023 рік, тис. грн</w:t>
            </w:r>
          </w:p>
        </w:tc>
        <w:tc>
          <w:tcPr>
            <w:tcW w:w="13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984C0" w14:textId="77777777" w:rsidR="008B6ED9" w:rsidRDefault="008B6ED9">
            <w:pPr>
              <w:widowControl w:val="0"/>
              <w:ind w:left="-108"/>
              <w:jc w:val="center"/>
            </w:pPr>
            <w:r>
              <w:rPr>
                <w:lang w:val="uk-UA" w:eastAsia="ru-RU"/>
              </w:rPr>
              <w:t>Відхилення (+/-) тис. грн</w:t>
            </w:r>
          </w:p>
        </w:tc>
      </w:tr>
      <w:tr w:rsidR="008B6ED9" w14:paraId="27DC4638" w14:textId="77777777" w:rsidTr="00707EF6">
        <w:trPr>
          <w:trHeight w:val="504"/>
          <w:jc w:val="right"/>
        </w:trPr>
        <w:tc>
          <w:tcPr>
            <w:tcW w:w="5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53B36" w14:textId="77777777" w:rsidR="008B6ED9" w:rsidRDefault="008B6ED9">
            <w:pPr>
              <w:widowControl w:val="0"/>
              <w:snapToGrid w:val="0"/>
              <w:rPr>
                <w:bCs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D725C" w14:textId="77777777" w:rsidR="008B6ED9" w:rsidRDefault="008B6ED9">
            <w:pPr>
              <w:widowControl w:val="0"/>
              <w:snapToGrid w:val="0"/>
              <w:jc w:val="center"/>
              <w:rPr>
                <w:bCs/>
                <w:lang w:val="uk-UA"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93B45" w14:textId="77777777" w:rsidR="008B6ED9" w:rsidRDefault="008B6ED9">
            <w:pPr>
              <w:widowControl w:val="0"/>
              <w:snapToGrid w:val="0"/>
              <w:jc w:val="center"/>
              <w:rPr>
                <w:bCs/>
                <w:lang w:val="uk-UA" w:eastAsia="ru-RU"/>
              </w:rPr>
            </w:pPr>
          </w:p>
        </w:tc>
        <w:tc>
          <w:tcPr>
            <w:tcW w:w="131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385AE" w14:textId="77777777" w:rsidR="008B6ED9" w:rsidRDefault="008B6ED9">
            <w:pPr>
              <w:widowControl w:val="0"/>
              <w:snapToGrid w:val="0"/>
              <w:jc w:val="center"/>
              <w:rPr>
                <w:lang w:val="uk-UA" w:eastAsia="ru-RU"/>
              </w:rPr>
            </w:pPr>
          </w:p>
        </w:tc>
      </w:tr>
      <w:tr w:rsidR="008B6ED9" w14:paraId="4F336FD7" w14:textId="77777777" w:rsidTr="00707EF6">
        <w:trPr>
          <w:trHeight w:val="420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9C4C" w14:textId="77777777" w:rsidR="008B6ED9" w:rsidRDefault="008B6ED9">
            <w:pPr>
              <w:widowControl w:val="0"/>
            </w:pPr>
            <w:r>
              <w:rPr>
                <w:bCs/>
                <w:lang w:val="uk-UA" w:eastAsia="ru-RU"/>
              </w:rPr>
              <w:t>Витрати всього, у тому числі: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3EF42A" w14:textId="77777777" w:rsidR="008B6ED9" w:rsidRDefault="008B6ED9">
            <w:pPr>
              <w:widowControl w:val="0"/>
              <w:snapToGrid w:val="0"/>
              <w:jc w:val="right"/>
              <w:rPr>
                <w:bCs/>
                <w:lang w:val="uk-UA" w:eastAsia="ru-RU"/>
              </w:rPr>
            </w:pP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29BFF4" w14:textId="77777777" w:rsidR="008B6ED9" w:rsidRDefault="008B6ED9">
            <w:pPr>
              <w:widowControl w:val="0"/>
              <w:snapToGrid w:val="0"/>
              <w:jc w:val="right"/>
              <w:rPr>
                <w:bCs/>
                <w:lang w:val="uk-UA" w:eastAsia="ru-RU"/>
              </w:rPr>
            </w:pPr>
          </w:p>
        </w:tc>
        <w:tc>
          <w:tcPr>
            <w:tcW w:w="131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AB5E589" w14:textId="77777777" w:rsidR="008B6ED9" w:rsidRDefault="008B6ED9">
            <w:pPr>
              <w:widowControl w:val="0"/>
              <w:snapToGrid w:val="0"/>
              <w:jc w:val="right"/>
              <w:rPr>
                <w:bCs/>
                <w:lang w:val="uk-UA" w:eastAsia="ru-RU"/>
              </w:rPr>
            </w:pPr>
          </w:p>
        </w:tc>
      </w:tr>
      <w:tr w:rsidR="008B6ED9" w14:paraId="1873FAD7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785B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53E818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1 183,5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B9A90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1 278,1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68D8" w14:textId="77777777" w:rsidR="008B6ED9" w:rsidRDefault="008B6ED9">
            <w:pPr>
              <w:widowControl w:val="0"/>
              <w:suppressAutoHyphens w:val="0"/>
              <w:jc w:val="right"/>
            </w:pPr>
            <w:r>
              <w:t>94,6</w:t>
            </w:r>
          </w:p>
        </w:tc>
      </w:tr>
      <w:tr w:rsidR="008B6ED9" w14:paraId="50833982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D1D0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FFEBE3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249,1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091657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275,2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EE41" w14:textId="77777777" w:rsidR="008B6ED9" w:rsidRDefault="008B6ED9">
            <w:pPr>
              <w:widowControl w:val="0"/>
              <w:jc w:val="right"/>
            </w:pPr>
            <w:r>
              <w:t>26,1</w:t>
            </w:r>
          </w:p>
        </w:tc>
      </w:tr>
      <w:tr w:rsidR="008B6ED9" w14:paraId="0EEB1DC1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20D8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витрати на послуги зв'язку (інтернет)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F2D888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9,2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69BFFB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F393" w14:textId="77777777" w:rsidR="008B6ED9" w:rsidRDefault="008B6ED9">
            <w:pPr>
              <w:widowControl w:val="0"/>
              <w:jc w:val="right"/>
            </w:pPr>
            <w:r>
              <w:t>0,2</w:t>
            </w:r>
          </w:p>
        </w:tc>
      </w:tr>
      <w:tr w:rsidR="008B6ED9" w14:paraId="4D1B9164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364C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витрати на матеріали, послуги оренди та ком. послуги офісного приміщення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ED02DD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29,8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939880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28,0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3387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-1,8</w:t>
            </w:r>
          </w:p>
        </w:tc>
      </w:tr>
      <w:tr w:rsidR="008B6ED9" w14:paraId="4414A654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90E1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витрати на послуги електропостачання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B3E2A1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453,2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09FAA1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548,8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B88C" w14:textId="77777777" w:rsidR="008B6ED9" w:rsidRDefault="008B6ED9">
            <w:pPr>
              <w:widowControl w:val="0"/>
              <w:jc w:val="right"/>
            </w:pPr>
            <w:r>
              <w:t>95,6</w:t>
            </w:r>
          </w:p>
        </w:tc>
      </w:tr>
      <w:tr w:rsidR="008B6ED9" w14:paraId="5E0913D2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CBB1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витрати на вивіз та утилізацію сміття, послуги на обслуговування ринків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BC23B6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56,8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B2D1DC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52,2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CF79" w14:textId="77777777" w:rsidR="008B6ED9" w:rsidRDefault="008B6ED9">
            <w:pPr>
              <w:widowControl w:val="0"/>
              <w:jc w:val="right"/>
            </w:pPr>
            <w:r>
              <w:t>-4,6</w:t>
            </w:r>
          </w:p>
        </w:tc>
      </w:tr>
      <w:tr w:rsidR="008B6ED9" w14:paraId="7514018B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4857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 xml:space="preserve">касове, банківське </w:t>
            </w:r>
            <w:proofErr w:type="spellStart"/>
            <w:r>
              <w:rPr>
                <w:lang w:val="uk-UA" w:eastAsia="ru-RU"/>
              </w:rPr>
              <w:t>обсл</w:t>
            </w:r>
            <w:proofErr w:type="spellEnd"/>
            <w:r>
              <w:rPr>
                <w:lang w:val="uk-UA" w:eastAsia="ru-RU"/>
              </w:rPr>
              <w:t>-ня, канцтовари тощо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C5FE68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BDBC96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8,7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BA69" w14:textId="77777777" w:rsidR="008B6ED9" w:rsidRDefault="008B6ED9">
            <w:pPr>
              <w:widowControl w:val="0"/>
              <w:jc w:val="right"/>
            </w:pPr>
            <w:r>
              <w:rPr>
                <w:lang w:val="uk-UA"/>
              </w:rPr>
              <w:t>2</w:t>
            </w:r>
            <w:r>
              <w:t>,</w:t>
            </w:r>
            <w:r>
              <w:rPr>
                <w:lang w:val="uk-UA"/>
              </w:rPr>
              <w:t>7</w:t>
            </w:r>
          </w:p>
        </w:tc>
      </w:tr>
      <w:tr w:rsidR="008B6ED9" w14:paraId="260A4681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2291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придбання необоротних матеріальних активів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16CBE5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990B61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2D08" w14:textId="77777777" w:rsidR="008B6ED9" w:rsidRDefault="008B6ED9">
            <w:pPr>
              <w:widowControl w:val="0"/>
              <w:jc w:val="right"/>
            </w:pPr>
            <w:r>
              <w:t>-3,3</w:t>
            </w:r>
          </w:p>
        </w:tc>
      </w:tr>
      <w:tr w:rsidR="008B6ED9" w14:paraId="6FF36ED7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77FC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витрати з охорони праці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F66E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CBC7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67C3" w14:textId="77777777" w:rsidR="008B6ED9" w:rsidRDefault="008B6ED9">
            <w:pPr>
              <w:widowControl w:val="0"/>
              <w:jc w:val="right"/>
            </w:pPr>
            <w:r>
              <w:t>-0,7</w:t>
            </w:r>
          </w:p>
        </w:tc>
      </w:tr>
      <w:tr w:rsidR="008B6ED9" w14:paraId="6D3F57B0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277D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амортизація основних засобів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27CA23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65,5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8297D9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8,8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58B1" w14:textId="77777777" w:rsidR="008B6ED9" w:rsidRDefault="008B6ED9">
            <w:pPr>
              <w:widowControl w:val="0"/>
              <w:jc w:val="right"/>
            </w:pPr>
            <w:r>
              <w:t>-56,7</w:t>
            </w:r>
          </w:p>
        </w:tc>
      </w:tr>
      <w:tr w:rsidR="008B6ED9" w14:paraId="5FCD6CE4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EF87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інші адміністративні витрати (періодика, бухгалтерські програми тощо)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D9CC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10,6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3316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13,9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B3E1" w14:textId="77777777" w:rsidR="008B6ED9" w:rsidRDefault="008B6ED9">
            <w:pPr>
              <w:widowControl w:val="0"/>
              <w:jc w:val="right"/>
            </w:pPr>
            <w:r>
              <w:t>3,3</w:t>
            </w:r>
          </w:p>
        </w:tc>
      </w:tr>
      <w:tr w:rsidR="008B6ED9" w14:paraId="7277676F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62D5" w14:textId="77777777" w:rsidR="008B6ED9" w:rsidRDefault="008B6ED9">
            <w:pPr>
              <w:widowControl w:val="0"/>
            </w:pPr>
            <w:r>
              <w:rPr>
                <w:bCs/>
                <w:lang w:val="uk-UA" w:eastAsia="ru-RU"/>
              </w:rPr>
              <w:t>оплата лікарняних за рахунок підприємства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F776D1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963048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F37A" w14:textId="77777777" w:rsidR="008B6ED9" w:rsidRDefault="008B6ED9">
            <w:pPr>
              <w:widowControl w:val="0"/>
              <w:jc w:val="right"/>
            </w:pPr>
            <w:r>
              <w:t>0,8</w:t>
            </w:r>
          </w:p>
        </w:tc>
      </w:tr>
      <w:tr w:rsidR="008B6ED9" w14:paraId="6C1CB950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FE8A" w14:textId="77777777" w:rsidR="008B6ED9" w:rsidRDefault="008B6ED9">
            <w:pPr>
              <w:widowControl w:val="0"/>
            </w:pPr>
            <w:r>
              <w:rPr>
                <w:lang w:val="uk-UA" w:eastAsia="ru-RU"/>
              </w:rPr>
              <w:t>податок за землю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7CDFA8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43,0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9CFC9C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49,4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B894" w14:textId="77777777" w:rsidR="008B6ED9" w:rsidRDefault="008B6ED9">
            <w:pPr>
              <w:widowControl w:val="0"/>
              <w:jc w:val="right"/>
            </w:pPr>
            <w:r>
              <w:t>6,4</w:t>
            </w:r>
          </w:p>
        </w:tc>
      </w:tr>
      <w:tr w:rsidR="008B6ED9" w14:paraId="7DD38E95" w14:textId="77777777" w:rsidTr="00707EF6">
        <w:trPr>
          <w:trHeight w:val="264"/>
          <w:jc w:val="right"/>
        </w:trPr>
        <w:tc>
          <w:tcPr>
            <w:tcW w:w="5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3111" w14:textId="77777777" w:rsidR="008B6ED9" w:rsidRDefault="008B6ED9">
            <w:pPr>
              <w:widowControl w:val="0"/>
            </w:pPr>
            <w:r>
              <w:rPr>
                <w:bCs/>
                <w:lang w:val="uk-UA" w:eastAsia="ru-RU"/>
              </w:rPr>
              <w:t>Всього витрати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AD2E85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2 114,3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E79E2" w14:textId="77777777" w:rsidR="008B6ED9" w:rsidRDefault="008B6ED9">
            <w:pPr>
              <w:widowControl w:val="0"/>
              <w:jc w:val="right"/>
              <w:rPr>
                <w:lang w:val="uk-UA"/>
              </w:rPr>
            </w:pPr>
            <w:r>
              <w:rPr>
                <w:lang w:val="uk-UA"/>
              </w:rPr>
              <w:t>2 276,9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BD92" w14:textId="77777777" w:rsidR="008B6ED9" w:rsidRDefault="008B6ED9">
            <w:pPr>
              <w:widowControl w:val="0"/>
              <w:jc w:val="right"/>
            </w:pPr>
            <w:r>
              <w:t>162,6</w:t>
            </w:r>
          </w:p>
        </w:tc>
      </w:tr>
    </w:tbl>
    <w:p w14:paraId="3811F6C5" w14:textId="77777777" w:rsidR="008B6ED9" w:rsidRDefault="008B6ED9">
      <w:pPr>
        <w:jc w:val="center"/>
        <w:rPr>
          <w:color w:val="000000"/>
          <w:sz w:val="28"/>
          <w:szCs w:val="28"/>
          <w:lang w:val="uk-UA" w:eastAsia="ru-RU"/>
        </w:rPr>
      </w:pPr>
    </w:p>
    <w:p w14:paraId="2434BB29" w14:textId="77777777" w:rsidR="0079207D" w:rsidRDefault="0079207D" w:rsidP="0079207D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бюджетів усіх рівнів КП «Луцькі ринки» у 2023 році сплачено 918,8 тис. грн податків, зборів та обов’язкових платежів, в тому числі </w:t>
      </w:r>
      <w:r>
        <w:rPr>
          <w:sz w:val="28"/>
          <w:szCs w:val="28"/>
          <w:lang w:val="uk-UA"/>
        </w:rPr>
        <w:lastRenderedPageBreak/>
        <w:t>236,1</w:t>
      </w:r>
      <w:r w:rsidR="008A613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тис. грн ПДФО, 31,9 тис. грн частини чистого прибутку, 34,8 тис. грн податку на прибуток та інші.</w:t>
      </w:r>
    </w:p>
    <w:p w14:paraId="15FCD456" w14:textId="59A38483" w:rsidR="008B6ED9" w:rsidRDefault="008B6ED9" w:rsidP="0079207D">
      <w:pPr>
        <w:ind w:left="-142" w:firstLine="709"/>
        <w:jc w:val="both"/>
      </w:pPr>
      <w:r>
        <w:rPr>
          <w:sz w:val="28"/>
          <w:szCs w:val="28"/>
          <w:lang w:val="uk-UA"/>
        </w:rPr>
        <w:t xml:space="preserve">Станом на </w:t>
      </w:r>
      <w:r>
        <w:rPr>
          <w:bCs/>
          <w:sz w:val="28"/>
          <w:szCs w:val="28"/>
          <w:lang w:val="uk-UA"/>
        </w:rPr>
        <w:t xml:space="preserve">01.01.2024 середньооблікова чисельність штатних працівників на підприємстві становила </w:t>
      </w:r>
      <w:r w:rsidR="008D59CD">
        <w:rPr>
          <w:bCs/>
          <w:sz w:val="28"/>
          <w:szCs w:val="28"/>
          <w:lang w:val="uk-UA"/>
        </w:rPr>
        <w:t>сім</w:t>
      </w:r>
      <w:r>
        <w:rPr>
          <w:bCs/>
          <w:sz w:val="28"/>
          <w:szCs w:val="28"/>
          <w:lang w:val="uk-UA"/>
        </w:rPr>
        <w:t xml:space="preserve"> одиниць. </w:t>
      </w:r>
      <w:r>
        <w:rPr>
          <w:sz w:val="28"/>
          <w:szCs w:val="28"/>
          <w:lang w:val="uk-UA"/>
        </w:rPr>
        <w:t>Середньомісячна заробітна плата штатних працівників склала 15 215,7 грн.</w:t>
      </w:r>
    </w:p>
    <w:p w14:paraId="58F4C88C" w14:textId="5ED3D53D" w:rsidR="008B6ED9" w:rsidRPr="009A7EEA" w:rsidRDefault="008B6ED9" w:rsidP="0079207D">
      <w:pPr>
        <w:ind w:left="-142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У зв’язку із введенням воєнного стану в Україні, з метою </w:t>
      </w:r>
      <w:r>
        <w:rPr>
          <w:sz w:val="28"/>
          <w:szCs w:val="28"/>
          <w:lang w:val="uk-UA" w:eastAsia="uk-UA"/>
        </w:rPr>
        <w:t xml:space="preserve">полегшення фінансового навантаження на суб’єктів господарювання, що здійснюють торгівельну діяльність на ринках, для підтримки малого і середнього підприємництва, </w:t>
      </w:r>
      <w:r>
        <w:rPr>
          <w:sz w:val="28"/>
          <w:szCs w:val="28"/>
          <w:lang w:val="uk-UA"/>
        </w:rPr>
        <w:t xml:space="preserve">з ініціативи комунального підприємства «Луцькі ринки» у 2022 році на підставі рішень виконавчого </w:t>
      </w:r>
      <w:r w:rsidR="008D59CD"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>військовослужбовцям</w:t>
      </w:r>
      <w:r w:rsidR="008D59C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призваним на військову службу</w:t>
      </w:r>
      <w:r w:rsidR="008D59C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було надано пільги зі сплати орендної плати та звільнено від сплати орендної плати торгових площ. </w:t>
      </w:r>
      <w:r w:rsidR="008D59CD">
        <w:rPr>
          <w:sz w:val="28"/>
          <w:szCs w:val="28"/>
          <w:lang w:val="uk-UA"/>
        </w:rPr>
        <w:t>Така</w:t>
      </w:r>
      <w:r>
        <w:rPr>
          <w:sz w:val="28"/>
          <w:szCs w:val="28"/>
          <w:lang w:val="uk-UA"/>
        </w:rPr>
        <w:t xml:space="preserve"> практика з надання пільг продовжилася у 2023 році: від сплати орендної плати торгової площі звільнений військовослужбовець, який був призваний на військову службу (рішення виконавчого комітету</w:t>
      </w:r>
      <w:r w:rsidR="008D59CD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від 07.12.2022 року № 652-1) та надано пільги при сплаті орендної плати торгової площі військовослужбовцю, який був призваний на військову службу, але продовжує підприємницьку діяльність (рішення виконавчого комітету від 07.12.2022 року № 651-1).</w:t>
      </w:r>
    </w:p>
    <w:p w14:paraId="697782C4" w14:textId="77777777" w:rsidR="00707EF6" w:rsidRDefault="00707EF6">
      <w:pPr>
        <w:spacing w:after="113"/>
        <w:jc w:val="center"/>
        <w:rPr>
          <w:b/>
          <w:sz w:val="28"/>
          <w:szCs w:val="28"/>
          <w:lang w:val="uk-UA"/>
        </w:rPr>
      </w:pPr>
    </w:p>
    <w:p w14:paraId="28E08B3F" w14:textId="77777777" w:rsidR="008B6ED9" w:rsidRDefault="008B6ED9">
      <w:pPr>
        <w:spacing w:after="113"/>
        <w:jc w:val="center"/>
      </w:pPr>
      <w:r>
        <w:rPr>
          <w:b/>
          <w:sz w:val="28"/>
          <w:szCs w:val="28"/>
          <w:lang w:val="uk-UA"/>
        </w:rPr>
        <w:t>Перспективи розвитку підприємства</w:t>
      </w:r>
    </w:p>
    <w:p w14:paraId="494AB4E5" w14:textId="77777777" w:rsidR="008B6ED9" w:rsidRDefault="008B6ED9">
      <w:pPr>
        <w:spacing w:line="276" w:lineRule="auto"/>
        <w:ind w:firstLine="708"/>
        <w:jc w:val="center"/>
        <w:rPr>
          <w:sz w:val="16"/>
          <w:szCs w:val="16"/>
          <w:vertAlign w:val="subscript"/>
          <w:lang w:val="uk-UA"/>
        </w:rPr>
      </w:pPr>
    </w:p>
    <w:p w14:paraId="520A9A32" w14:textId="40F235BE" w:rsidR="008B6ED9" w:rsidRPr="009A7EEA" w:rsidRDefault="008B6ED9" w:rsidP="00770189">
      <w:pPr>
        <w:ind w:firstLine="568"/>
        <w:jc w:val="both"/>
        <w:rPr>
          <w:lang w:val="uk-UA"/>
        </w:rPr>
      </w:pPr>
      <w:r>
        <w:rPr>
          <w:sz w:val="28"/>
          <w:szCs w:val="28"/>
          <w:lang w:val="uk-UA"/>
        </w:rPr>
        <w:t>У 2024 році КП</w:t>
      </w:r>
      <w:r w:rsidR="00C043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«Луцькі ринки» заплановано ріст доходів на 354,8 тис. грн. Від надання послуг із оренди торгових площ фізичним особам підприємство планує отримати 2 176,8 тис. грн. Інші доходи (компенсація за використану електроенергію) складуть 1 018,5 тис. грн, що на 382,3 тис. грн більше, ніж факт 2023 року (ріст планової суми пов'язаний із збільшенням вартості електроенергії). </w:t>
      </w:r>
    </w:p>
    <w:p w14:paraId="7BCA444E" w14:textId="77777777" w:rsidR="008B6ED9" w:rsidRDefault="008B6ED9" w:rsidP="00770189">
      <w:pPr>
        <w:ind w:firstLine="709"/>
        <w:jc w:val="both"/>
      </w:pPr>
      <w:r>
        <w:rPr>
          <w:sz w:val="28"/>
          <w:szCs w:val="28"/>
          <w:lang w:val="uk-UA"/>
        </w:rPr>
        <w:t>Планові витрати комунального підприємства зростуть на 365,1 тис. грн, в порівнянні з фактичними витратами 2023 року, та у підсумку складуть 2 642,0 тис. грн.</w:t>
      </w:r>
    </w:p>
    <w:p w14:paraId="19AB63DE" w14:textId="77777777" w:rsidR="008B6ED9" w:rsidRDefault="008B6ED9" w:rsidP="00770189">
      <w:pPr>
        <w:ind w:firstLine="709"/>
        <w:jc w:val="both"/>
      </w:pPr>
      <w:r>
        <w:rPr>
          <w:sz w:val="28"/>
          <w:szCs w:val="28"/>
          <w:lang w:val="uk-UA"/>
        </w:rPr>
        <w:t>У 2024 році КП «Луцькі ринки» заплановано отримати 20,7 тис. грн прибутку</w:t>
      </w:r>
      <w:r>
        <w:rPr>
          <w:color w:val="000000"/>
          <w:sz w:val="28"/>
          <w:szCs w:val="28"/>
          <w:lang w:val="uk-UA"/>
        </w:rPr>
        <w:t>.</w:t>
      </w:r>
    </w:p>
    <w:p w14:paraId="5F22F51E" w14:textId="09CC989D" w:rsidR="008B6ED9" w:rsidRDefault="008B6ED9" w:rsidP="00770189">
      <w:pPr>
        <w:ind w:firstLine="709"/>
        <w:jc w:val="both"/>
      </w:pPr>
      <w:r>
        <w:rPr>
          <w:color w:val="000000"/>
          <w:sz w:val="28"/>
          <w:szCs w:val="28"/>
          <w:lang w:val="uk-UA"/>
        </w:rPr>
        <w:t>Оскільки джерелом отримання доходів КП</w:t>
      </w:r>
      <w:r w:rsidR="006211DB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uk-UA"/>
        </w:rPr>
        <w:t>«Луцькі ринки» залишається плата за послуги з надання в оренду торгової площі, то актуальними залишаються дії зі збільшенням торгових площ, пошуку нових сфер розвитку підприємства.</w:t>
      </w:r>
    </w:p>
    <w:p w14:paraId="5B2265F3" w14:textId="4AF5453E" w:rsidR="008B6ED9" w:rsidRDefault="008B6ED9" w:rsidP="002D7C5C">
      <w:pPr>
        <w:pStyle w:val="af5"/>
        <w:spacing w:after="0" w:line="240" w:lineRule="auto"/>
        <w:ind w:left="0" w:firstLine="567"/>
        <w:contextualSpacing w:val="0"/>
        <w:jc w:val="both"/>
      </w:pPr>
      <w:r>
        <w:rPr>
          <w:color w:val="000000"/>
          <w:sz w:val="28"/>
          <w:szCs w:val="28"/>
          <w:lang w:eastAsia="ru-RU"/>
        </w:rPr>
        <w:t>Також варто зазначити, що п</w:t>
      </w:r>
      <w:r>
        <w:rPr>
          <w:sz w:val="28"/>
          <w:szCs w:val="28"/>
        </w:rPr>
        <w:t xml:space="preserve">ровівши моніторинг вартості оренди торговельної площі на приватних ринках міста, яка становить понад 230 грн за </w:t>
      </w:r>
      <w:r w:rsidR="00770189">
        <w:rPr>
          <w:sz w:val="28"/>
          <w:szCs w:val="28"/>
        </w:rPr>
        <w:t xml:space="preserve">1 </w:t>
      </w:r>
      <w:proofErr w:type="spellStart"/>
      <w:r w:rsidR="00770189">
        <w:rPr>
          <w:sz w:val="28"/>
          <w:szCs w:val="28"/>
        </w:rPr>
        <w:t>к</w:t>
      </w:r>
      <w:r>
        <w:rPr>
          <w:sz w:val="28"/>
          <w:szCs w:val="28"/>
        </w:rPr>
        <w:t>в</w:t>
      </w:r>
      <w:proofErr w:type="spellEnd"/>
      <w:r w:rsidR="00770189">
        <w:rPr>
          <w:sz w:val="28"/>
          <w:szCs w:val="28"/>
        </w:rPr>
        <w:t>. м</w:t>
      </w:r>
      <w:r>
        <w:rPr>
          <w:sz w:val="28"/>
          <w:szCs w:val="28"/>
        </w:rPr>
        <w:t xml:space="preserve"> і враховуючи зростання витрат підприємства, які пов’язані з обслуговуванням торгових рядів впродовж останніх трьох років (останнє підняття вартості послуги з надання в оренду торгової площі на ринках міста Луцька для КП «Луцькі ринки» відбулося ще у 2021 році) з метою </w:t>
      </w:r>
      <w:r>
        <w:rPr>
          <w:sz w:val="28"/>
          <w:szCs w:val="28"/>
        </w:rPr>
        <w:lastRenderedPageBreak/>
        <w:t xml:space="preserve">підвищення рівня прибутковості підприємства, у 2024 році планується підняття вартості  послуги (тарифу) з надання в оренду торгових площ. </w:t>
      </w:r>
    </w:p>
    <w:p w14:paraId="51AE0440" w14:textId="77777777" w:rsidR="008B6ED9" w:rsidRDefault="008B6ED9">
      <w:pPr>
        <w:ind w:firstLine="567"/>
        <w:jc w:val="center"/>
        <w:rPr>
          <w:sz w:val="28"/>
          <w:szCs w:val="28"/>
          <w:lang w:val="uk-UA"/>
        </w:rPr>
      </w:pPr>
    </w:p>
    <w:p w14:paraId="1BE5F773" w14:textId="77777777" w:rsidR="008B6ED9" w:rsidRDefault="008B6ED9">
      <w:pPr>
        <w:ind w:firstLine="567"/>
        <w:jc w:val="center"/>
        <w:rPr>
          <w:sz w:val="28"/>
          <w:szCs w:val="28"/>
          <w:lang w:val="uk-UA"/>
        </w:rPr>
      </w:pPr>
    </w:p>
    <w:p w14:paraId="6052B557" w14:textId="77777777" w:rsidR="008B6ED9" w:rsidRDefault="008B6ED9">
      <w:pPr>
        <w:spacing w:line="276" w:lineRule="auto"/>
        <w:jc w:val="center"/>
        <w:rPr>
          <w:sz w:val="28"/>
          <w:szCs w:val="28"/>
          <w:lang w:val="uk-UA"/>
        </w:rPr>
      </w:pPr>
    </w:p>
    <w:p w14:paraId="6003BE25" w14:textId="77777777" w:rsidR="008B6ED9" w:rsidRDefault="008B6ED9">
      <w:r>
        <w:rPr>
          <w:sz w:val="28"/>
          <w:szCs w:val="28"/>
          <w:lang w:val="uk-UA"/>
        </w:rPr>
        <w:t xml:space="preserve">Директор КП «Луцькі ринки»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Ігор КОРОЛЬЧУК</w:t>
      </w:r>
    </w:p>
    <w:sectPr w:rsidR="008B6ED9" w:rsidSect="004D6E69">
      <w:headerReference w:type="default" r:id="rId6"/>
      <w:headerReference w:type="first" r:id="rId7"/>
      <w:pgSz w:w="11906" w:h="16838"/>
      <w:pgMar w:top="1134" w:right="567" w:bottom="1560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563C" w14:textId="77777777" w:rsidR="004D6E69" w:rsidRDefault="004D6E69" w:rsidP="00E30AFB">
      <w:r>
        <w:separator/>
      </w:r>
    </w:p>
  </w:endnote>
  <w:endnote w:type="continuationSeparator" w:id="0">
    <w:p w14:paraId="562FB24E" w14:textId="77777777" w:rsidR="004D6E69" w:rsidRDefault="004D6E69" w:rsidP="00E3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131B" w14:textId="77777777" w:rsidR="004D6E69" w:rsidRDefault="004D6E69" w:rsidP="00E30AFB">
      <w:r>
        <w:separator/>
      </w:r>
    </w:p>
  </w:footnote>
  <w:footnote w:type="continuationSeparator" w:id="0">
    <w:p w14:paraId="030603C8" w14:textId="77777777" w:rsidR="004D6E69" w:rsidRDefault="004D6E69" w:rsidP="00E3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881E" w14:textId="77777777" w:rsidR="00F203B6" w:rsidRPr="00F203B6" w:rsidRDefault="00F203B6">
    <w:pPr>
      <w:pStyle w:val="ae"/>
      <w:jc w:val="center"/>
      <w:rPr>
        <w:sz w:val="28"/>
        <w:szCs w:val="28"/>
      </w:rPr>
    </w:pPr>
    <w:r w:rsidRPr="00F203B6">
      <w:rPr>
        <w:sz w:val="28"/>
        <w:szCs w:val="28"/>
      </w:rPr>
      <w:fldChar w:fldCharType="begin"/>
    </w:r>
    <w:r w:rsidRPr="00F203B6">
      <w:rPr>
        <w:sz w:val="28"/>
        <w:szCs w:val="28"/>
      </w:rPr>
      <w:instrText>PAGE   \* MERGEFORMAT</w:instrText>
    </w:r>
    <w:r w:rsidRPr="00F203B6">
      <w:rPr>
        <w:sz w:val="28"/>
        <w:szCs w:val="28"/>
      </w:rPr>
      <w:fldChar w:fldCharType="separate"/>
    </w:r>
    <w:r w:rsidRPr="00F203B6">
      <w:rPr>
        <w:sz w:val="28"/>
        <w:szCs w:val="28"/>
        <w:lang w:val="uk-UA"/>
      </w:rPr>
      <w:t>2</w:t>
    </w:r>
    <w:r w:rsidRPr="00F203B6">
      <w:rPr>
        <w:sz w:val="28"/>
        <w:szCs w:val="28"/>
      </w:rPr>
      <w:fldChar w:fldCharType="end"/>
    </w:r>
  </w:p>
  <w:p w14:paraId="588A3B27" w14:textId="77777777" w:rsidR="00F203B6" w:rsidRDefault="00F203B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2520" w14:textId="21DC9B6D" w:rsidR="00F203B6" w:rsidRDefault="00F203B6">
    <w:pPr>
      <w:pStyle w:val="ae"/>
      <w:jc w:val="center"/>
    </w:pPr>
  </w:p>
  <w:p w14:paraId="4690018D" w14:textId="77777777" w:rsidR="00F203B6" w:rsidRDefault="00F203B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oNotTrackMove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AFB"/>
    <w:rsid w:val="00140CB8"/>
    <w:rsid w:val="002002D2"/>
    <w:rsid w:val="002D7C5C"/>
    <w:rsid w:val="003563A5"/>
    <w:rsid w:val="003623E1"/>
    <w:rsid w:val="003848B0"/>
    <w:rsid w:val="004D6E69"/>
    <w:rsid w:val="006211DB"/>
    <w:rsid w:val="00707EF6"/>
    <w:rsid w:val="00770189"/>
    <w:rsid w:val="0079207D"/>
    <w:rsid w:val="00844711"/>
    <w:rsid w:val="008A6132"/>
    <w:rsid w:val="008B6ED9"/>
    <w:rsid w:val="008D59CD"/>
    <w:rsid w:val="009A7EEA"/>
    <w:rsid w:val="00C0437D"/>
    <w:rsid w:val="00E30AFB"/>
    <w:rsid w:val="00EA473A"/>
    <w:rsid w:val="00F2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CF8589"/>
  <w15:docId w15:val="{C050A029-90A2-42F4-8AAC-C7713D0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AFB"/>
    <w:pPr>
      <w:suppressAutoHyphens/>
    </w:pPr>
    <w:rPr>
      <w:rFonts w:ascii="Times New Roman" w:hAnsi="Times New Roman" w:cs="Times New Roman"/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E30AFB"/>
    <w:rPr>
      <w:rFonts w:ascii="Times New Roman" w:hAnsi="Times New Roman"/>
      <w:sz w:val="28"/>
      <w:lang w:val="uk-UA"/>
    </w:rPr>
  </w:style>
  <w:style w:type="character" w:customStyle="1" w:styleId="WW8Num2z0">
    <w:name w:val="WW8Num2z0"/>
    <w:uiPriority w:val="99"/>
    <w:rsid w:val="00E30AFB"/>
  </w:style>
  <w:style w:type="character" w:customStyle="1" w:styleId="WW8Num2z1">
    <w:name w:val="WW8Num2z1"/>
    <w:uiPriority w:val="99"/>
    <w:rsid w:val="00E30AFB"/>
  </w:style>
  <w:style w:type="character" w:customStyle="1" w:styleId="WW8Num2z2">
    <w:name w:val="WW8Num2z2"/>
    <w:uiPriority w:val="99"/>
    <w:rsid w:val="00E30AFB"/>
  </w:style>
  <w:style w:type="character" w:customStyle="1" w:styleId="WW8Num2z3">
    <w:name w:val="WW8Num2z3"/>
    <w:uiPriority w:val="99"/>
    <w:rsid w:val="00E30AFB"/>
  </w:style>
  <w:style w:type="character" w:customStyle="1" w:styleId="WW8Num2z4">
    <w:name w:val="WW8Num2z4"/>
    <w:uiPriority w:val="99"/>
    <w:rsid w:val="00E30AFB"/>
  </w:style>
  <w:style w:type="character" w:customStyle="1" w:styleId="WW8Num2z5">
    <w:name w:val="WW8Num2z5"/>
    <w:uiPriority w:val="99"/>
    <w:rsid w:val="00E30AFB"/>
  </w:style>
  <w:style w:type="character" w:customStyle="1" w:styleId="WW8Num2z6">
    <w:name w:val="WW8Num2z6"/>
    <w:uiPriority w:val="99"/>
    <w:rsid w:val="00E30AFB"/>
  </w:style>
  <w:style w:type="character" w:customStyle="1" w:styleId="WW8Num2z7">
    <w:name w:val="WW8Num2z7"/>
    <w:uiPriority w:val="99"/>
    <w:rsid w:val="00E30AFB"/>
  </w:style>
  <w:style w:type="character" w:customStyle="1" w:styleId="WW8Num2z8">
    <w:name w:val="WW8Num2z8"/>
    <w:uiPriority w:val="99"/>
    <w:rsid w:val="00E30AFB"/>
  </w:style>
  <w:style w:type="character" w:customStyle="1" w:styleId="WW8Num1z1">
    <w:name w:val="WW8Num1z1"/>
    <w:uiPriority w:val="99"/>
    <w:rsid w:val="00E30AFB"/>
    <w:rPr>
      <w:rFonts w:ascii="Courier New" w:hAnsi="Courier New"/>
    </w:rPr>
  </w:style>
  <w:style w:type="character" w:customStyle="1" w:styleId="WW8Num1z2">
    <w:name w:val="WW8Num1z2"/>
    <w:uiPriority w:val="99"/>
    <w:rsid w:val="00E30AFB"/>
    <w:rPr>
      <w:rFonts w:ascii="Wingdings" w:hAnsi="Wingdings"/>
    </w:rPr>
  </w:style>
  <w:style w:type="character" w:customStyle="1" w:styleId="WW8Num1z3">
    <w:name w:val="WW8Num1z3"/>
    <w:uiPriority w:val="99"/>
    <w:rsid w:val="00E30AFB"/>
    <w:rPr>
      <w:rFonts w:ascii="Symbol" w:hAnsi="Symbol"/>
    </w:rPr>
  </w:style>
  <w:style w:type="character" w:customStyle="1" w:styleId="WW8Num3z0">
    <w:name w:val="WW8Num3z0"/>
    <w:uiPriority w:val="99"/>
    <w:rsid w:val="00E30AFB"/>
    <w:rPr>
      <w:rFonts w:ascii="Times New Roman" w:hAnsi="Times New Roman"/>
    </w:rPr>
  </w:style>
  <w:style w:type="character" w:customStyle="1" w:styleId="WW8Num3z1">
    <w:name w:val="WW8Num3z1"/>
    <w:uiPriority w:val="99"/>
    <w:rsid w:val="00E30AFB"/>
    <w:rPr>
      <w:rFonts w:ascii="Courier New" w:hAnsi="Courier New"/>
    </w:rPr>
  </w:style>
  <w:style w:type="character" w:customStyle="1" w:styleId="WW8Num3z2">
    <w:name w:val="WW8Num3z2"/>
    <w:uiPriority w:val="99"/>
    <w:rsid w:val="00E30AFB"/>
    <w:rPr>
      <w:rFonts w:ascii="Wingdings" w:hAnsi="Wingdings"/>
    </w:rPr>
  </w:style>
  <w:style w:type="character" w:customStyle="1" w:styleId="WW8Num3z3">
    <w:name w:val="WW8Num3z3"/>
    <w:uiPriority w:val="99"/>
    <w:rsid w:val="00E30AFB"/>
    <w:rPr>
      <w:rFonts w:ascii="Symbol" w:hAnsi="Symbol"/>
    </w:rPr>
  </w:style>
  <w:style w:type="character" w:customStyle="1" w:styleId="WW8Num4z0">
    <w:name w:val="WW8Num4z0"/>
    <w:uiPriority w:val="99"/>
    <w:rsid w:val="00E30AFB"/>
    <w:rPr>
      <w:rFonts w:ascii="Times New Roman" w:hAnsi="Times New Roman"/>
    </w:rPr>
  </w:style>
  <w:style w:type="character" w:customStyle="1" w:styleId="WW8Num4z1">
    <w:name w:val="WW8Num4z1"/>
    <w:uiPriority w:val="99"/>
    <w:rsid w:val="00E30AFB"/>
    <w:rPr>
      <w:rFonts w:ascii="Courier New" w:hAnsi="Courier New"/>
    </w:rPr>
  </w:style>
  <w:style w:type="character" w:customStyle="1" w:styleId="WW8Num4z2">
    <w:name w:val="WW8Num4z2"/>
    <w:uiPriority w:val="99"/>
    <w:rsid w:val="00E30AFB"/>
    <w:rPr>
      <w:rFonts w:ascii="Wingdings" w:hAnsi="Wingdings"/>
    </w:rPr>
  </w:style>
  <w:style w:type="character" w:customStyle="1" w:styleId="WW8Num4z3">
    <w:name w:val="WW8Num4z3"/>
    <w:uiPriority w:val="99"/>
    <w:rsid w:val="00E30AFB"/>
    <w:rPr>
      <w:rFonts w:ascii="Symbol" w:hAnsi="Symbol"/>
    </w:rPr>
  </w:style>
  <w:style w:type="character" w:customStyle="1" w:styleId="WW8Num5z0">
    <w:name w:val="WW8Num5z0"/>
    <w:uiPriority w:val="99"/>
    <w:rsid w:val="00E30AFB"/>
    <w:rPr>
      <w:rFonts w:ascii="Times New Roman" w:hAnsi="Times New Roman"/>
    </w:rPr>
  </w:style>
  <w:style w:type="character" w:customStyle="1" w:styleId="WW8Num5z1">
    <w:name w:val="WW8Num5z1"/>
    <w:uiPriority w:val="99"/>
    <w:rsid w:val="00E30AFB"/>
    <w:rPr>
      <w:rFonts w:ascii="Courier New" w:hAnsi="Courier New"/>
    </w:rPr>
  </w:style>
  <w:style w:type="character" w:customStyle="1" w:styleId="WW8Num5z2">
    <w:name w:val="WW8Num5z2"/>
    <w:uiPriority w:val="99"/>
    <w:rsid w:val="00E30AFB"/>
    <w:rPr>
      <w:rFonts w:ascii="Wingdings" w:hAnsi="Wingdings"/>
    </w:rPr>
  </w:style>
  <w:style w:type="character" w:customStyle="1" w:styleId="WW8Num5z3">
    <w:name w:val="WW8Num5z3"/>
    <w:uiPriority w:val="99"/>
    <w:rsid w:val="00E30AFB"/>
    <w:rPr>
      <w:rFonts w:ascii="Symbol" w:hAnsi="Symbol"/>
    </w:rPr>
  </w:style>
  <w:style w:type="character" w:styleId="a3">
    <w:name w:val="page number"/>
    <w:uiPriority w:val="99"/>
    <w:rsid w:val="00E30AFB"/>
    <w:rPr>
      <w:rFonts w:cs="Times New Roman"/>
    </w:rPr>
  </w:style>
  <w:style w:type="character" w:customStyle="1" w:styleId="1">
    <w:name w:val="Шрифт абзацу за промовчанням1"/>
    <w:uiPriority w:val="99"/>
    <w:rsid w:val="00E30AFB"/>
  </w:style>
  <w:style w:type="character" w:customStyle="1" w:styleId="h1">
    <w:name w:val="h1"/>
    <w:uiPriority w:val="99"/>
    <w:rsid w:val="00E30AF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E30AFB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E30AFB"/>
    <w:pPr>
      <w:spacing w:after="140" w:line="276" w:lineRule="auto"/>
    </w:pPr>
  </w:style>
  <w:style w:type="character" w:customStyle="1" w:styleId="a6">
    <w:name w:val="Основний текст Знак"/>
    <w:link w:val="a5"/>
    <w:uiPriority w:val="99"/>
    <w:semiHidden/>
    <w:rsid w:val="005425BD"/>
    <w:rPr>
      <w:rFonts w:ascii="Times New Roman" w:hAnsi="Times New Roman" w:cs="Times New Roman"/>
      <w:sz w:val="24"/>
      <w:szCs w:val="24"/>
      <w:lang w:val="ru-RU" w:eastAsia="zh-CN"/>
    </w:rPr>
  </w:style>
  <w:style w:type="paragraph" w:styleId="a7">
    <w:name w:val="List"/>
    <w:basedOn w:val="a5"/>
    <w:uiPriority w:val="99"/>
    <w:rsid w:val="00E30AFB"/>
    <w:rPr>
      <w:rFonts w:cs="Arial"/>
    </w:rPr>
  </w:style>
  <w:style w:type="paragraph" w:styleId="a8">
    <w:name w:val="caption"/>
    <w:basedOn w:val="a"/>
    <w:uiPriority w:val="99"/>
    <w:qFormat/>
    <w:rsid w:val="00E30AF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E30AFB"/>
    <w:pPr>
      <w:suppressLineNumbers/>
    </w:pPr>
    <w:rPr>
      <w:rFonts w:cs="Arial"/>
    </w:rPr>
  </w:style>
  <w:style w:type="paragraph" w:styleId="aa">
    <w:name w:val="Balloon Text"/>
    <w:basedOn w:val="a"/>
    <w:link w:val="ab"/>
    <w:uiPriority w:val="99"/>
    <w:rsid w:val="00E30AFB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5425B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ac">
    <w:name w:val="Знак Знак Знак Знак Знак"/>
    <w:basedOn w:val="a"/>
    <w:uiPriority w:val="99"/>
    <w:rsid w:val="00E30AFB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uiPriority w:val="99"/>
    <w:rsid w:val="00E30AFB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rsid w:val="00E30AFB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rsid w:val="005425BD"/>
    <w:rPr>
      <w:rFonts w:ascii="Times New Roman" w:hAnsi="Times New Roman" w:cs="Times New Roman"/>
      <w:sz w:val="24"/>
      <w:szCs w:val="24"/>
      <w:lang w:val="ru-RU" w:eastAsia="zh-CN"/>
    </w:rPr>
  </w:style>
  <w:style w:type="paragraph" w:styleId="af0">
    <w:name w:val="footer"/>
    <w:basedOn w:val="a"/>
    <w:link w:val="af1"/>
    <w:uiPriority w:val="99"/>
    <w:rsid w:val="00E30AF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5425BD"/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f2">
    <w:name w:val="Вміст таблиці"/>
    <w:basedOn w:val="a"/>
    <w:uiPriority w:val="99"/>
    <w:rsid w:val="00E30AFB"/>
    <w:pPr>
      <w:widowControl w:val="0"/>
      <w:suppressLineNumbers/>
    </w:pPr>
  </w:style>
  <w:style w:type="paragraph" w:customStyle="1" w:styleId="af3">
    <w:name w:val="Заголовок таблиці"/>
    <w:basedOn w:val="af2"/>
    <w:uiPriority w:val="99"/>
    <w:rsid w:val="00E30AFB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rsid w:val="00E30AFB"/>
  </w:style>
  <w:style w:type="paragraph" w:styleId="af5">
    <w:name w:val="List Paragraph"/>
    <w:basedOn w:val="a"/>
    <w:uiPriority w:val="99"/>
    <w:qFormat/>
    <w:rsid w:val="00E30AFB"/>
    <w:pPr>
      <w:spacing w:after="200" w:line="276" w:lineRule="auto"/>
      <w:ind w:left="720"/>
      <w:contextualSpacing/>
    </w:pPr>
    <w:rPr>
      <w:lang w:val="uk-UA"/>
    </w:rPr>
  </w:style>
  <w:style w:type="paragraph" w:styleId="af6">
    <w:name w:val="No Spacing"/>
    <w:uiPriority w:val="99"/>
    <w:qFormat/>
    <w:rsid w:val="00E30AFB"/>
    <w:pPr>
      <w:suppressAutoHyphens/>
    </w:pPr>
    <w:rPr>
      <w:rFonts w:ascii="Calibri" w:hAnsi="Calibri"/>
      <w:sz w:val="22"/>
      <w:szCs w:val="22"/>
      <w:lang w:val="ru-RU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4359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Доходи по утриманню будинку за 1 півріччя 2013р</vt:lpstr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Доходи по утриманню будинку за 1 півріччя 2013р</dc:title>
  <dc:subject/>
  <dc:creator>User</dc:creator>
  <cp:keywords/>
  <dc:description/>
  <cp:lastModifiedBy>Ірина Демидюк</cp:lastModifiedBy>
  <cp:revision>51</cp:revision>
  <cp:lastPrinted>2023-12-28T12:42:00Z</cp:lastPrinted>
  <dcterms:created xsi:type="dcterms:W3CDTF">2023-11-24T08:58:00Z</dcterms:created>
  <dcterms:modified xsi:type="dcterms:W3CDTF">2024-02-05T12:51:00Z</dcterms:modified>
</cp:coreProperties>
</file>