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943D8" w14:textId="77777777" w:rsidR="00AD0C90" w:rsidRDefault="00000000">
      <w:pPr>
        <w:jc w:val="center"/>
        <w:rPr>
          <w:b/>
          <w:sz w:val="28"/>
          <w:szCs w:val="28"/>
          <w:lang w:val="uk-UA"/>
        </w:rPr>
      </w:pPr>
      <w:r>
        <w:rPr>
          <w:b/>
          <w:sz w:val="28"/>
          <w:szCs w:val="28"/>
          <w:lang w:val="uk-UA"/>
        </w:rPr>
        <w:t xml:space="preserve">Звіт про роботу </w:t>
      </w:r>
      <w:r w:rsidR="00AD0C90">
        <w:rPr>
          <w:b/>
          <w:sz w:val="28"/>
          <w:szCs w:val="28"/>
          <w:lang w:val="uk-UA"/>
        </w:rPr>
        <w:t xml:space="preserve">комунального підприємства </w:t>
      </w:r>
    </w:p>
    <w:p w14:paraId="4BFFBC6B" w14:textId="13FC6E44" w:rsidR="0025043F" w:rsidRDefault="00000000" w:rsidP="00AD0C90">
      <w:pPr>
        <w:jc w:val="center"/>
        <w:rPr>
          <w:b/>
          <w:sz w:val="28"/>
          <w:szCs w:val="28"/>
          <w:lang w:val="uk-UA"/>
        </w:rPr>
      </w:pPr>
      <w:r>
        <w:rPr>
          <w:b/>
          <w:sz w:val="28"/>
          <w:szCs w:val="28"/>
          <w:lang w:val="uk-UA"/>
        </w:rPr>
        <w:t xml:space="preserve">«Парки та сквери м. Луцька» </w:t>
      </w:r>
      <w:r>
        <w:rPr>
          <w:b/>
          <w:bCs/>
          <w:sz w:val="28"/>
          <w:szCs w:val="28"/>
          <w:lang w:val="uk-UA"/>
        </w:rPr>
        <w:t>за 2023 рік</w:t>
      </w:r>
    </w:p>
    <w:p w14:paraId="2CEC44BE" w14:textId="77777777" w:rsidR="0025043F" w:rsidRDefault="0025043F">
      <w:pPr>
        <w:jc w:val="center"/>
        <w:rPr>
          <w:sz w:val="28"/>
          <w:szCs w:val="28"/>
          <w:lang w:val="uk-UA"/>
        </w:rPr>
      </w:pPr>
    </w:p>
    <w:p w14:paraId="7F15F33A" w14:textId="77777777" w:rsidR="0025043F" w:rsidRDefault="00000000">
      <w:pPr>
        <w:spacing w:after="113"/>
        <w:jc w:val="center"/>
      </w:pPr>
      <w:r>
        <w:rPr>
          <w:b/>
          <w:sz w:val="28"/>
          <w:szCs w:val="28"/>
          <w:lang w:val="uk-UA"/>
        </w:rPr>
        <w:t>Господарська діяльність</w:t>
      </w:r>
    </w:p>
    <w:p w14:paraId="0820FFD8" w14:textId="71ACBCFF" w:rsidR="0025043F" w:rsidRDefault="00000000">
      <w:pPr>
        <w:ind w:firstLine="567"/>
        <w:jc w:val="both"/>
        <w:rPr>
          <w:lang w:val="uk-UA"/>
        </w:rPr>
      </w:pPr>
      <w:r>
        <w:rPr>
          <w:sz w:val="28"/>
          <w:szCs w:val="28"/>
          <w:lang w:val="uk-UA"/>
        </w:rPr>
        <w:t>Комунальне підприємство «Парки та сквери м. Луцька» створен</w:t>
      </w:r>
      <w:r w:rsidR="00AD0C90">
        <w:rPr>
          <w:sz w:val="28"/>
          <w:szCs w:val="28"/>
          <w:lang w:val="uk-UA"/>
        </w:rPr>
        <w:t>е</w:t>
      </w:r>
      <w:r>
        <w:rPr>
          <w:sz w:val="28"/>
          <w:szCs w:val="28"/>
          <w:lang w:val="uk-UA"/>
        </w:rPr>
        <w:t xml:space="preserve"> згідно</w:t>
      </w:r>
      <w:r w:rsidR="00AD0C90">
        <w:rPr>
          <w:sz w:val="28"/>
          <w:szCs w:val="28"/>
          <w:lang w:val="uk-UA"/>
        </w:rPr>
        <w:t xml:space="preserve"> з</w:t>
      </w:r>
      <w:r>
        <w:rPr>
          <w:sz w:val="28"/>
          <w:szCs w:val="28"/>
          <w:lang w:val="uk-UA"/>
        </w:rPr>
        <w:t xml:space="preserve"> рішення</w:t>
      </w:r>
      <w:r w:rsidR="00AD0C90">
        <w:rPr>
          <w:sz w:val="28"/>
          <w:szCs w:val="28"/>
          <w:lang w:val="uk-UA"/>
        </w:rPr>
        <w:t>м</w:t>
      </w:r>
      <w:r>
        <w:rPr>
          <w:sz w:val="28"/>
          <w:szCs w:val="28"/>
          <w:lang w:val="uk-UA"/>
        </w:rPr>
        <w:t xml:space="preserve"> Луцької міської ради від 28.09.2011 № 14/6 «Про створення комунального підприємства «Парки та сквери м. Луцька».</w:t>
      </w:r>
    </w:p>
    <w:p w14:paraId="7503BA09" w14:textId="43FD8B6E" w:rsidR="0025043F" w:rsidRDefault="00000000">
      <w:pPr>
        <w:ind w:firstLine="567"/>
        <w:jc w:val="both"/>
        <w:rPr>
          <w:sz w:val="28"/>
          <w:szCs w:val="28"/>
          <w:lang w:val="uk-UA"/>
        </w:rPr>
      </w:pPr>
      <w:r>
        <w:rPr>
          <w:sz w:val="28"/>
          <w:szCs w:val="28"/>
          <w:lang w:val="uk-UA"/>
        </w:rPr>
        <w:t>Основними видами діяльності КП «Парки та сквери м. Луцька» згідно</w:t>
      </w:r>
      <w:r w:rsidR="00AD0C90">
        <w:rPr>
          <w:sz w:val="28"/>
          <w:szCs w:val="28"/>
          <w:lang w:val="uk-UA"/>
        </w:rPr>
        <w:t xml:space="preserve"> з</w:t>
      </w:r>
      <w:r>
        <w:rPr>
          <w:sz w:val="28"/>
          <w:szCs w:val="28"/>
          <w:lang w:val="uk-UA"/>
        </w:rPr>
        <w:t xml:space="preserve"> Статут</w:t>
      </w:r>
      <w:r w:rsidR="00AD0C90">
        <w:rPr>
          <w:sz w:val="28"/>
          <w:szCs w:val="28"/>
          <w:lang w:val="uk-UA"/>
        </w:rPr>
        <w:t>ом</w:t>
      </w:r>
      <w:r>
        <w:rPr>
          <w:sz w:val="28"/>
          <w:szCs w:val="28"/>
          <w:lang w:val="uk-UA"/>
        </w:rPr>
        <w:t xml:space="preserve"> є: виконання робіт зі створення нових зелених насаджень, їх ландшафтної реконструкції, впорядкування парків та скверів; експлуатація та утримання в належному санітарному стані парків культури та відпочинку, територій, що знаходяться в міській комунальній власності; надання послуг із видалення дерев, із косіння газонів та стрижки живоплоту тощо. Також із 2022 року підприємство забезпечує належне утримання лісових насаджень Луцької міської територіальної громади, їх збереження та відновлення.</w:t>
      </w:r>
    </w:p>
    <w:p w14:paraId="2B04F0CB" w14:textId="3CDE1D0F" w:rsidR="0025043F" w:rsidRDefault="00000000">
      <w:pPr>
        <w:ind w:firstLine="567"/>
        <w:jc w:val="both"/>
        <w:rPr>
          <w:sz w:val="28"/>
          <w:szCs w:val="28"/>
          <w:lang w:val="uk-UA"/>
        </w:rPr>
      </w:pPr>
      <w:r>
        <w:rPr>
          <w:sz w:val="28"/>
          <w:szCs w:val="28"/>
          <w:lang w:val="uk-UA"/>
        </w:rPr>
        <w:t>Відповідно до Програми розвитку та утримання парків та скверів, інших озеленених територій Луцької міської територіальної громади на</w:t>
      </w:r>
      <w:r w:rsidR="00AD0C90">
        <w:rPr>
          <w:sz w:val="28"/>
          <w:szCs w:val="28"/>
          <w:lang w:val="uk-UA"/>
        </w:rPr>
        <w:t xml:space="preserve">                </w:t>
      </w:r>
      <w:r>
        <w:rPr>
          <w:sz w:val="28"/>
          <w:szCs w:val="28"/>
          <w:lang w:val="uk-UA"/>
        </w:rPr>
        <w:t xml:space="preserve"> 2022</w:t>
      </w:r>
      <w:r w:rsidR="00AD0C90">
        <w:rPr>
          <w:sz w:val="28"/>
          <w:szCs w:val="28"/>
          <w:lang w:val="uk-UA"/>
        </w:rPr>
        <w:t>–</w:t>
      </w:r>
      <w:r>
        <w:rPr>
          <w:sz w:val="28"/>
          <w:szCs w:val="28"/>
          <w:lang w:val="uk-UA"/>
        </w:rPr>
        <w:t xml:space="preserve">2024 роки, у 2023 році підприємством виконані роботи із забезпечення належного догляду та санітарного утримання територій парків міста Луцька (Центральний парк культури та відпочинку імені Лесі Українки, Парк імені 900-річчя м. Луцька, парк </w:t>
      </w:r>
      <w:r w:rsidRPr="00D50A14">
        <w:rPr>
          <w:sz w:val="28"/>
          <w:szCs w:val="28"/>
          <w:lang w:val="uk-UA"/>
        </w:rPr>
        <w:t>на вул. </w:t>
      </w:r>
      <w:proofErr w:type="spellStart"/>
      <w:r w:rsidRPr="00D50A14">
        <w:rPr>
          <w:sz w:val="28"/>
          <w:szCs w:val="28"/>
          <w:lang w:val="uk-UA"/>
        </w:rPr>
        <w:t>Конякіна</w:t>
      </w:r>
      <w:proofErr w:type="spellEnd"/>
      <w:r w:rsidR="00AD0C90" w:rsidRPr="00D50A14">
        <w:rPr>
          <w:sz w:val="28"/>
          <w:szCs w:val="28"/>
          <w:lang w:val="uk-UA"/>
        </w:rPr>
        <w:t xml:space="preserve"> – </w:t>
      </w:r>
      <w:r w:rsidR="00D50A14" w:rsidRPr="00D50A14">
        <w:rPr>
          <w:sz w:val="28"/>
          <w:szCs w:val="28"/>
          <w:lang w:val="uk-UA"/>
        </w:rPr>
        <w:t>Захисників України</w:t>
      </w:r>
      <w:r w:rsidRPr="00D50A14">
        <w:rPr>
          <w:sz w:val="28"/>
          <w:szCs w:val="28"/>
          <w:lang w:val="uk-UA"/>
        </w:rPr>
        <w:t>,</w:t>
      </w:r>
      <w:r>
        <w:rPr>
          <w:sz w:val="28"/>
          <w:szCs w:val="28"/>
          <w:lang w:val="uk-UA"/>
        </w:rPr>
        <w:t xml:space="preserve"> парк на вул. Боженка), а саме: </w:t>
      </w:r>
      <w:proofErr w:type="spellStart"/>
      <w:r>
        <w:rPr>
          <w:sz w:val="28"/>
          <w:szCs w:val="28"/>
          <w:lang w:val="uk-UA"/>
        </w:rPr>
        <w:t>викошено</w:t>
      </w:r>
      <w:proofErr w:type="spellEnd"/>
      <w:r>
        <w:rPr>
          <w:sz w:val="28"/>
          <w:szCs w:val="28"/>
          <w:lang w:val="uk-UA"/>
        </w:rPr>
        <w:t xml:space="preserve"> газонів різних типів на площі 258,0 га, проведено санітарну обрізку гілок із застосуванням </w:t>
      </w:r>
      <w:proofErr w:type="spellStart"/>
      <w:r>
        <w:rPr>
          <w:sz w:val="28"/>
          <w:szCs w:val="28"/>
          <w:lang w:val="uk-UA"/>
        </w:rPr>
        <w:t>автогідропідіймача</w:t>
      </w:r>
      <w:proofErr w:type="spellEnd"/>
      <w:r>
        <w:rPr>
          <w:sz w:val="28"/>
          <w:szCs w:val="28"/>
          <w:lang w:val="uk-UA"/>
        </w:rPr>
        <w:t xml:space="preserve"> на 16 деревах, обрізку нижнього ярусу гілок </w:t>
      </w:r>
      <w:proofErr w:type="spellStart"/>
      <w:r>
        <w:rPr>
          <w:sz w:val="28"/>
          <w:szCs w:val="28"/>
          <w:lang w:val="uk-UA"/>
        </w:rPr>
        <w:t>висоторізом</w:t>
      </w:r>
      <w:proofErr w:type="spellEnd"/>
      <w:r>
        <w:rPr>
          <w:sz w:val="28"/>
          <w:szCs w:val="28"/>
          <w:lang w:val="uk-UA"/>
        </w:rPr>
        <w:t xml:space="preserve"> на 670 деревах, видалено 234 аварійних, сухостійних дерев, здійснено підстригання живих огорож 8 100 метрів погонних, 90 кущів; замін</w:t>
      </w:r>
      <w:r w:rsidR="00AD0C90">
        <w:rPr>
          <w:sz w:val="28"/>
          <w:szCs w:val="28"/>
          <w:lang w:val="uk-UA"/>
        </w:rPr>
        <w:t xml:space="preserve">ено </w:t>
      </w:r>
      <w:r>
        <w:rPr>
          <w:sz w:val="28"/>
          <w:szCs w:val="28"/>
          <w:lang w:val="uk-UA"/>
        </w:rPr>
        <w:t>пошкоджен</w:t>
      </w:r>
      <w:r w:rsidR="00AD0C90">
        <w:rPr>
          <w:sz w:val="28"/>
          <w:szCs w:val="28"/>
          <w:lang w:val="uk-UA"/>
        </w:rPr>
        <w:t>і</w:t>
      </w:r>
      <w:r>
        <w:rPr>
          <w:sz w:val="28"/>
          <w:szCs w:val="28"/>
          <w:lang w:val="uk-UA"/>
        </w:rPr>
        <w:t>/знищен</w:t>
      </w:r>
      <w:r w:rsidR="00AD0C90">
        <w:rPr>
          <w:sz w:val="28"/>
          <w:szCs w:val="28"/>
          <w:lang w:val="uk-UA"/>
        </w:rPr>
        <w:t>і</w:t>
      </w:r>
      <w:r>
        <w:rPr>
          <w:sz w:val="28"/>
          <w:szCs w:val="28"/>
          <w:lang w:val="uk-UA"/>
        </w:rPr>
        <w:t xml:space="preserve"> людьми та тваринами дерев</w:t>
      </w:r>
      <w:r w:rsidR="00AD0C90">
        <w:rPr>
          <w:sz w:val="28"/>
          <w:szCs w:val="28"/>
          <w:lang w:val="uk-UA"/>
        </w:rPr>
        <w:t>а</w:t>
      </w:r>
      <w:r>
        <w:rPr>
          <w:sz w:val="28"/>
          <w:szCs w:val="28"/>
          <w:lang w:val="uk-UA"/>
        </w:rPr>
        <w:t xml:space="preserve"> і кущі у кількості 105 шт</w:t>
      </w:r>
      <w:r w:rsidR="00AD0C90">
        <w:rPr>
          <w:sz w:val="28"/>
          <w:szCs w:val="28"/>
          <w:lang w:val="uk-UA"/>
        </w:rPr>
        <w:t>.</w:t>
      </w:r>
      <w:r>
        <w:rPr>
          <w:sz w:val="28"/>
          <w:szCs w:val="28"/>
          <w:lang w:val="uk-UA"/>
        </w:rPr>
        <w:t xml:space="preserve">; проведено роботи з відновлення водозбірних кюветів протяжністю близько 150 метрів погонних. </w:t>
      </w:r>
    </w:p>
    <w:p w14:paraId="77966998" w14:textId="07295F76" w:rsidR="0025043F" w:rsidRDefault="00000000">
      <w:pPr>
        <w:ind w:firstLine="567"/>
        <w:jc w:val="both"/>
        <w:rPr>
          <w:sz w:val="28"/>
          <w:szCs w:val="28"/>
          <w:lang w:val="uk-UA"/>
        </w:rPr>
      </w:pPr>
      <w:r>
        <w:rPr>
          <w:sz w:val="28"/>
          <w:szCs w:val="28"/>
          <w:lang w:val="uk-UA"/>
        </w:rPr>
        <w:t>Протягом 2023 року КП «Парки та сквери м. Луцька» виконан</w:t>
      </w:r>
      <w:r w:rsidR="00AD0C90">
        <w:rPr>
          <w:sz w:val="28"/>
          <w:szCs w:val="28"/>
          <w:lang w:val="uk-UA"/>
        </w:rPr>
        <w:t>о</w:t>
      </w:r>
      <w:r>
        <w:rPr>
          <w:sz w:val="28"/>
          <w:szCs w:val="28"/>
          <w:lang w:val="uk-UA"/>
        </w:rPr>
        <w:t xml:space="preserve"> роботи із посадки кущів, дерев та квітів, їх прополювання та догляду на суму 8 624,9 тис. грн; надані послуги із видалення дерев на території Луцької міської територіальної громади на суму 1 045,5 тис. грн; надані послуг</w:t>
      </w:r>
      <w:r w:rsidR="00AD0C90">
        <w:rPr>
          <w:sz w:val="28"/>
          <w:szCs w:val="28"/>
          <w:lang w:val="uk-UA"/>
        </w:rPr>
        <w:t>и</w:t>
      </w:r>
      <w:r>
        <w:rPr>
          <w:sz w:val="28"/>
          <w:szCs w:val="28"/>
          <w:lang w:val="uk-UA"/>
        </w:rPr>
        <w:t xml:space="preserve"> із садіння дерев та кущів, видалення сухостійних та аварійних дерев на проспекті Василя Мойсея («Меморіал») на суму 99,4 тис. грн; надані послуги з розчищення від самосіву та порослі прибережної смуги та водоохоронної зони річки </w:t>
      </w:r>
      <w:proofErr w:type="spellStart"/>
      <w:r>
        <w:rPr>
          <w:sz w:val="28"/>
          <w:szCs w:val="28"/>
          <w:lang w:val="uk-UA"/>
        </w:rPr>
        <w:t>Сапалаївка</w:t>
      </w:r>
      <w:proofErr w:type="spellEnd"/>
      <w:r>
        <w:rPr>
          <w:sz w:val="28"/>
          <w:szCs w:val="28"/>
          <w:lang w:val="uk-UA"/>
        </w:rPr>
        <w:t>, на суму 198,4 тис. грн.</w:t>
      </w:r>
    </w:p>
    <w:p w14:paraId="605DE1DB" w14:textId="77777777" w:rsidR="0025043F" w:rsidRDefault="00000000">
      <w:pPr>
        <w:ind w:firstLine="567"/>
        <w:jc w:val="both"/>
        <w:rPr>
          <w:sz w:val="28"/>
          <w:szCs w:val="28"/>
          <w:lang w:val="uk-UA"/>
        </w:rPr>
      </w:pPr>
      <w:r>
        <w:rPr>
          <w:sz w:val="28"/>
          <w:szCs w:val="28"/>
          <w:lang w:val="uk-UA"/>
        </w:rPr>
        <w:t>Всього у звітному році було висаджено 143 262 шт. квіткової продукції на загальній площі 4 116,6 м</w:t>
      </w:r>
      <w:r>
        <w:rPr>
          <w:sz w:val="28"/>
          <w:szCs w:val="28"/>
          <w:vertAlign w:val="superscript"/>
          <w:lang w:val="uk-UA"/>
        </w:rPr>
        <w:t>2</w:t>
      </w:r>
      <w:r>
        <w:rPr>
          <w:sz w:val="28"/>
          <w:szCs w:val="28"/>
          <w:lang w:val="uk-UA"/>
        </w:rPr>
        <w:t>, 41 дерево, 215 кущів та створено 137 метрів погонних живої однорядної огорожі.</w:t>
      </w:r>
    </w:p>
    <w:p w14:paraId="0CAE6F4B" w14:textId="6DA4DDC6" w:rsidR="0025043F" w:rsidRDefault="00000000">
      <w:pPr>
        <w:ind w:firstLine="567"/>
        <w:jc w:val="both"/>
        <w:rPr>
          <w:sz w:val="28"/>
          <w:szCs w:val="28"/>
          <w:lang w:val="uk-UA"/>
        </w:rPr>
      </w:pPr>
      <w:r>
        <w:rPr>
          <w:sz w:val="28"/>
          <w:szCs w:val="28"/>
          <w:lang w:val="uk-UA"/>
        </w:rPr>
        <w:t>Протягом звітного періоду на території Луцької міської територіальної громади підприємством видалено 1 066 сухостійних, аварійних, фаутних дерев. Отримано 258 м</w:t>
      </w:r>
      <w:r>
        <w:rPr>
          <w:sz w:val="28"/>
          <w:szCs w:val="28"/>
          <w:vertAlign w:val="superscript"/>
          <w:lang w:val="uk-UA"/>
        </w:rPr>
        <w:t>3</w:t>
      </w:r>
      <w:r>
        <w:rPr>
          <w:sz w:val="28"/>
          <w:szCs w:val="28"/>
          <w:lang w:val="uk-UA"/>
        </w:rPr>
        <w:t xml:space="preserve"> дров’яної продукції, якою безкоштовно забезпечено одиноких, малозабезпечених мешканців міської територіальної громади </w:t>
      </w:r>
      <w:r>
        <w:rPr>
          <w:sz w:val="28"/>
          <w:szCs w:val="28"/>
          <w:lang w:val="uk-UA"/>
        </w:rPr>
        <w:lastRenderedPageBreak/>
        <w:t>відповідно до розпорядження міського голови від 02.08.2023 № 244 «Про безкоштовне забезпечення дров’яною продукцією мешканців Луцької міської територіальної громади на опалювальний сезон 2023</w:t>
      </w:r>
      <w:r w:rsidR="00A8061A">
        <w:rPr>
          <w:sz w:val="28"/>
          <w:szCs w:val="28"/>
          <w:lang w:val="uk-UA"/>
        </w:rPr>
        <w:t>/</w:t>
      </w:r>
      <w:r>
        <w:rPr>
          <w:sz w:val="28"/>
          <w:szCs w:val="28"/>
          <w:lang w:val="uk-UA"/>
        </w:rPr>
        <w:t>2024 років»</w:t>
      </w:r>
      <w:r w:rsidR="00973841">
        <w:rPr>
          <w:sz w:val="28"/>
          <w:szCs w:val="28"/>
          <w:lang w:val="uk-UA"/>
        </w:rPr>
        <w:t xml:space="preserve"> </w:t>
      </w:r>
      <w:r>
        <w:rPr>
          <w:sz w:val="28"/>
          <w:szCs w:val="28"/>
          <w:lang w:val="uk-UA"/>
        </w:rPr>
        <w:t>зі змінами.</w:t>
      </w:r>
    </w:p>
    <w:p w14:paraId="1AF056D5" w14:textId="77777777" w:rsidR="0025043F" w:rsidRDefault="00000000">
      <w:pPr>
        <w:ind w:firstLine="567"/>
        <w:jc w:val="both"/>
        <w:rPr>
          <w:sz w:val="28"/>
          <w:szCs w:val="28"/>
          <w:lang w:val="uk-UA"/>
        </w:rPr>
      </w:pPr>
      <w:r>
        <w:rPr>
          <w:sz w:val="28"/>
          <w:szCs w:val="28"/>
          <w:lang w:val="uk-UA"/>
        </w:rPr>
        <w:t xml:space="preserve">Для здійснення робіт з благоустрою територій у звітному періоді підприємством було придбано основних засобів на суму 349,1 тис. грн (трицикл електричний вантажний, подрібнювач гілок, садовий </w:t>
      </w:r>
      <w:proofErr w:type="spellStart"/>
      <w:r>
        <w:rPr>
          <w:sz w:val="28"/>
          <w:szCs w:val="28"/>
          <w:lang w:val="uk-UA"/>
        </w:rPr>
        <w:t>мінітрактор</w:t>
      </w:r>
      <w:proofErr w:type="spellEnd"/>
      <w:r>
        <w:rPr>
          <w:sz w:val="28"/>
          <w:szCs w:val="28"/>
          <w:lang w:val="uk-UA"/>
        </w:rPr>
        <w:t xml:space="preserve">, </w:t>
      </w:r>
      <w:proofErr w:type="spellStart"/>
      <w:r>
        <w:rPr>
          <w:sz w:val="28"/>
          <w:szCs w:val="28"/>
          <w:lang w:val="uk-UA"/>
        </w:rPr>
        <w:t>мотокосу</w:t>
      </w:r>
      <w:proofErr w:type="spellEnd"/>
      <w:r>
        <w:rPr>
          <w:sz w:val="28"/>
          <w:szCs w:val="28"/>
          <w:lang w:val="uk-UA"/>
        </w:rPr>
        <w:t xml:space="preserve"> та бензопилу).</w:t>
      </w:r>
    </w:p>
    <w:p w14:paraId="113FE0E7" w14:textId="2717770A" w:rsidR="0025043F" w:rsidRDefault="00000000">
      <w:pPr>
        <w:ind w:firstLine="567"/>
        <w:jc w:val="both"/>
        <w:rPr>
          <w:sz w:val="28"/>
          <w:szCs w:val="28"/>
          <w:lang w:val="uk-UA"/>
        </w:rPr>
      </w:pPr>
      <w:r>
        <w:rPr>
          <w:sz w:val="28"/>
          <w:szCs w:val="28"/>
          <w:lang w:val="uk-UA"/>
        </w:rPr>
        <w:t xml:space="preserve">В рамках реалізації Програми розвитку та утримання комунального лісового господарства Луцької міської територіальної громади  на </w:t>
      </w:r>
      <w:r w:rsidR="00A8061A">
        <w:rPr>
          <w:sz w:val="28"/>
          <w:szCs w:val="28"/>
          <w:lang w:val="uk-UA"/>
        </w:rPr>
        <w:t xml:space="preserve">                    </w:t>
      </w:r>
      <w:r>
        <w:rPr>
          <w:sz w:val="28"/>
          <w:szCs w:val="28"/>
          <w:lang w:val="uk-UA"/>
        </w:rPr>
        <w:t>2022</w:t>
      </w:r>
      <w:r w:rsidR="00A8061A">
        <w:rPr>
          <w:sz w:val="28"/>
          <w:szCs w:val="28"/>
          <w:lang w:val="uk-UA"/>
        </w:rPr>
        <w:t>–</w:t>
      </w:r>
      <w:r>
        <w:rPr>
          <w:sz w:val="28"/>
          <w:szCs w:val="28"/>
          <w:lang w:val="uk-UA"/>
        </w:rPr>
        <w:t>2024 роки було проведено наукове обстеження лісових масивів загальною площею 8,7 га, в межах території КПП «</w:t>
      </w:r>
      <w:proofErr w:type="spellStart"/>
      <w:r>
        <w:rPr>
          <w:sz w:val="28"/>
          <w:szCs w:val="28"/>
          <w:lang w:val="uk-UA"/>
        </w:rPr>
        <w:t>Цуманська</w:t>
      </w:r>
      <w:proofErr w:type="spellEnd"/>
      <w:r>
        <w:rPr>
          <w:sz w:val="28"/>
          <w:szCs w:val="28"/>
          <w:lang w:val="uk-UA"/>
        </w:rPr>
        <w:t xml:space="preserve"> пуща», на предмет використання природних ресурсів та проведено інші узгоджувальні дії для отримання лімітів на право проведення об’єму робіт з оздоровлення лісів. Також виконані роботи із формування та оздоровлення лісів: прочищення на площі 0,4 га, дві прохідні рубки на площі 7,6 га з запасом деревини 163 м</w:t>
      </w:r>
      <w:r>
        <w:rPr>
          <w:sz w:val="28"/>
          <w:szCs w:val="28"/>
          <w:vertAlign w:val="superscript"/>
          <w:lang w:val="uk-UA"/>
        </w:rPr>
        <w:t>3</w:t>
      </w:r>
      <w:r>
        <w:rPr>
          <w:sz w:val="28"/>
          <w:szCs w:val="28"/>
          <w:lang w:val="uk-UA"/>
        </w:rPr>
        <w:t>, з них ділової деревини 126 м</w:t>
      </w:r>
      <w:r>
        <w:rPr>
          <w:sz w:val="28"/>
          <w:szCs w:val="28"/>
          <w:vertAlign w:val="superscript"/>
          <w:lang w:val="uk-UA"/>
        </w:rPr>
        <w:t>3</w:t>
      </w:r>
      <w:r>
        <w:rPr>
          <w:sz w:val="28"/>
          <w:szCs w:val="28"/>
          <w:lang w:val="uk-UA"/>
        </w:rPr>
        <w:t>, інші рубки на площі 0,7 га. Проведено благоустрій рекреаційної зони, організовано пункт зосередження протипожежного інвентарю, розчищено окружну межу з вирубуванням хмизу, створено мінералізовану смугу та здійснено догляд за нею.</w:t>
      </w:r>
    </w:p>
    <w:p w14:paraId="5AA3C83F" w14:textId="77777777" w:rsidR="0025043F" w:rsidRDefault="00000000">
      <w:pPr>
        <w:ind w:firstLine="567"/>
        <w:jc w:val="both"/>
        <w:rPr>
          <w:sz w:val="28"/>
          <w:szCs w:val="28"/>
          <w:lang w:val="uk-UA"/>
        </w:rPr>
      </w:pPr>
      <w:r>
        <w:rPr>
          <w:sz w:val="28"/>
          <w:szCs w:val="28"/>
          <w:lang w:val="uk-UA"/>
        </w:rPr>
        <w:t>Проводилось щоденне патрулювання та охорона лісових масивів у с. Кульчин засобами та силами спеціалізованої лісогосподарської дільниці підприємства.</w:t>
      </w:r>
    </w:p>
    <w:p w14:paraId="5845F9EB" w14:textId="4A3E845D" w:rsidR="0025043F" w:rsidRDefault="00000000">
      <w:pPr>
        <w:ind w:firstLine="567"/>
        <w:jc w:val="both"/>
        <w:rPr>
          <w:sz w:val="28"/>
          <w:szCs w:val="28"/>
          <w:lang w:val="uk-UA"/>
        </w:rPr>
      </w:pPr>
      <w:r>
        <w:rPr>
          <w:sz w:val="28"/>
          <w:szCs w:val="28"/>
          <w:lang w:val="uk-UA"/>
        </w:rPr>
        <w:t>Крім цього, у звітному періоді виконані роботи із виготовлення технічної документації із землеустрою щодо встановлення (відновлення) меж земельної ділянки в натурі (на місцевості) та топографо-геодезичної зйомки земельних ділянок лісогосподарського призначення площею 86,65 га, 91,35 га та 0,11 га, що перебувають в постійному користуванні комунального підприємства «Парки та сквери м. Луцька»</w:t>
      </w:r>
      <w:r w:rsidR="00A8061A">
        <w:rPr>
          <w:sz w:val="28"/>
          <w:szCs w:val="28"/>
          <w:lang w:val="uk-UA"/>
        </w:rPr>
        <w:t>,</w:t>
      </w:r>
      <w:r>
        <w:rPr>
          <w:sz w:val="28"/>
          <w:szCs w:val="28"/>
          <w:lang w:val="uk-UA"/>
        </w:rPr>
        <w:t xml:space="preserve"> в с. Кульчин.</w:t>
      </w:r>
    </w:p>
    <w:p w14:paraId="0F918ED5" w14:textId="77777777" w:rsidR="0025043F" w:rsidRDefault="0025043F">
      <w:pPr>
        <w:jc w:val="center"/>
        <w:rPr>
          <w:b/>
          <w:sz w:val="28"/>
          <w:szCs w:val="28"/>
          <w:lang w:val="uk-UA"/>
        </w:rPr>
      </w:pPr>
    </w:p>
    <w:p w14:paraId="5E21286A" w14:textId="77777777" w:rsidR="0025043F" w:rsidRDefault="00000000">
      <w:pPr>
        <w:spacing w:after="113"/>
        <w:jc w:val="center"/>
      </w:pPr>
      <w:r>
        <w:rPr>
          <w:b/>
          <w:sz w:val="28"/>
          <w:szCs w:val="28"/>
          <w:lang w:val="uk-UA"/>
        </w:rPr>
        <w:t>Фінансова діяльність</w:t>
      </w:r>
    </w:p>
    <w:p w14:paraId="39185CB3" w14:textId="5B68B36F" w:rsidR="0025043F" w:rsidRDefault="00000000">
      <w:pPr>
        <w:ind w:firstLine="567"/>
        <w:jc w:val="both"/>
        <w:rPr>
          <w:lang w:val="uk-UA"/>
        </w:rPr>
      </w:pPr>
      <w:r>
        <w:rPr>
          <w:sz w:val="28"/>
          <w:szCs w:val="28"/>
          <w:lang w:val="uk-UA"/>
        </w:rPr>
        <w:t xml:space="preserve">За оперативними даними бухгалтерської та фінансової звітності сума загальних доходів КП «Парки та сквери м. Луцька» за 2023 рік склала 20 022,0 тис. грн (з ПДВ). Від реалізації товарів, робіт та послуг фізичним особам (продаж рослин, санітарне прибирання тощо) отримано  43,7 тис. грн,  юридичним особам (обрізка дерев, послуги автотранспорту тощо) – 1 138,8 тис. грн;  від надання послуг із благоустрою (озеленення територій та утримання зелених насаджень, обрізка та знесення дерев, благоустрій парків та скверів тощо) сума доходів склала 10 128,6 тис. грн. Розмір отриманої дотації із бюджету – 8 585,0 тис. грн (цільове фінансування на благоустрій та утримання територій парків і скверів, розвиток та утримання комунального лісового господарства). Від здачі нерухомого майна в оренду підприємство отримало 125,9 тис. грн доходів. </w:t>
      </w:r>
    </w:p>
    <w:p w14:paraId="76A911F8" w14:textId="5AB88662" w:rsidR="0025043F" w:rsidRDefault="00000000">
      <w:pPr>
        <w:ind w:firstLine="567"/>
        <w:jc w:val="both"/>
        <w:rPr>
          <w:sz w:val="28"/>
          <w:szCs w:val="28"/>
          <w:lang w:val="uk-UA"/>
        </w:rPr>
      </w:pPr>
      <w:r>
        <w:rPr>
          <w:sz w:val="28"/>
          <w:szCs w:val="28"/>
          <w:lang w:val="uk-UA"/>
        </w:rPr>
        <w:lastRenderedPageBreak/>
        <w:t xml:space="preserve">Витрати господарської діяльності КП «Парки та сквери м. Луцька»  за 2023 рік становлять 18 535,0 тис. грн, в тому числі: 12 456,2 тис. грн – витрати на оплату праці із нарахуваннями, 5 536,8 тис. грн – матеріальні витрати, 542,0 тис. грн – амортизаційні відрахування. </w:t>
      </w:r>
    </w:p>
    <w:p w14:paraId="4F235A38" w14:textId="77777777" w:rsidR="0025043F" w:rsidRDefault="00000000">
      <w:pPr>
        <w:ind w:firstLine="567"/>
        <w:jc w:val="both"/>
      </w:pPr>
      <w:r>
        <w:rPr>
          <w:sz w:val="28"/>
          <w:szCs w:val="28"/>
          <w:lang w:val="uk-UA"/>
        </w:rPr>
        <w:t>Дебіторська заборгованість підприємства станом на 31.12.2023 року складала 54,8 тис. грн, кредиторська заборгованість – 15,0 тис. грн.</w:t>
      </w:r>
    </w:p>
    <w:p w14:paraId="1A48EB64" w14:textId="77777777" w:rsidR="0025043F" w:rsidRDefault="00000000">
      <w:pPr>
        <w:ind w:firstLine="567"/>
        <w:jc w:val="both"/>
      </w:pPr>
      <w:r>
        <w:rPr>
          <w:sz w:val="28"/>
          <w:szCs w:val="28"/>
          <w:lang w:val="uk-UA"/>
        </w:rPr>
        <w:t>Середньооблікова кількість штатних працівників КП «Парки та сквери м. Луцька» станом на 31.12.2023 року складала 66 </w:t>
      </w:r>
      <w:proofErr w:type="spellStart"/>
      <w:r>
        <w:rPr>
          <w:sz w:val="28"/>
          <w:szCs w:val="28"/>
          <w:lang w:val="uk-UA"/>
        </w:rPr>
        <w:t>чол</w:t>
      </w:r>
      <w:proofErr w:type="spellEnd"/>
      <w:r>
        <w:rPr>
          <w:sz w:val="28"/>
          <w:szCs w:val="28"/>
          <w:lang w:val="uk-UA"/>
        </w:rPr>
        <w:t xml:space="preserve">., розмір середньомісячної заробітної плати – 13 132,0 гривень. </w:t>
      </w:r>
    </w:p>
    <w:p w14:paraId="7A7B1505" w14:textId="77777777" w:rsidR="0025043F" w:rsidRDefault="0025043F">
      <w:pPr>
        <w:spacing w:after="113"/>
        <w:jc w:val="center"/>
        <w:rPr>
          <w:lang w:val="uk-UA"/>
        </w:rPr>
      </w:pPr>
    </w:p>
    <w:p w14:paraId="5EE25BC6" w14:textId="77777777" w:rsidR="0025043F" w:rsidRDefault="00000000">
      <w:pPr>
        <w:spacing w:after="113"/>
        <w:jc w:val="center"/>
        <w:rPr>
          <w:lang w:val="uk-UA"/>
        </w:rPr>
      </w:pPr>
      <w:r>
        <w:rPr>
          <w:b/>
          <w:sz w:val="28"/>
          <w:szCs w:val="28"/>
          <w:lang w:val="uk-UA"/>
        </w:rPr>
        <w:t>Плани розвитку на 2024 рік</w:t>
      </w:r>
    </w:p>
    <w:p w14:paraId="2CE7979E" w14:textId="66304778" w:rsidR="0025043F" w:rsidRDefault="00000000">
      <w:pPr>
        <w:ind w:firstLine="567"/>
        <w:jc w:val="both"/>
        <w:rPr>
          <w:sz w:val="28"/>
          <w:szCs w:val="28"/>
          <w:lang w:val="uk-UA"/>
        </w:rPr>
      </w:pPr>
      <w:r>
        <w:rPr>
          <w:sz w:val="28"/>
          <w:szCs w:val="28"/>
          <w:lang w:val="uk-UA"/>
        </w:rPr>
        <w:t>Виготовити землевпорядні документи та розпочати реконструкцію приміщення для обслуговуючого персоналу дільниці утримання парків, обладнати складські приміщення та навіси для зберігання нової техніки та інструментів в Центральному парку культури та відпочинку ім</w:t>
      </w:r>
      <w:r w:rsidR="00A8061A">
        <w:rPr>
          <w:sz w:val="28"/>
          <w:szCs w:val="28"/>
          <w:lang w:val="uk-UA"/>
        </w:rPr>
        <w:t>ені</w:t>
      </w:r>
      <w:r>
        <w:rPr>
          <w:sz w:val="28"/>
          <w:szCs w:val="28"/>
          <w:lang w:val="uk-UA"/>
        </w:rPr>
        <w:t> Л</w:t>
      </w:r>
      <w:r w:rsidR="00A8061A">
        <w:rPr>
          <w:sz w:val="28"/>
          <w:szCs w:val="28"/>
          <w:lang w:val="uk-UA"/>
        </w:rPr>
        <w:t>есі</w:t>
      </w:r>
      <w:r>
        <w:rPr>
          <w:sz w:val="28"/>
          <w:szCs w:val="28"/>
          <w:lang w:val="uk-UA"/>
        </w:rPr>
        <w:t> Українки з метою забезпечення комфортних умов для працівників та для комфортного ведення господарської діяльності.</w:t>
      </w:r>
    </w:p>
    <w:p w14:paraId="4BB05653" w14:textId="77777777" w:rsidR="0025043F" w:rsidRDefault="00000000">
      <w:pPr>
        <w:ind w:firstLine="567"/>
        <w:jc w:val="both"/>
        <w:rPr>
          <w:sz w:val="28"/>
          <w:szCs w:val="28"/>
          <w:lang w:val="uk-UA"/>
        </w:rPr>
      </w:pPr>
      <w:r>
        <w:rPr>
          <w:sz w:val="28"/>
          <w:szCs w:val="28"/>
          <w:lang w:val="uk-UA"/>
        </w:rPr>
        <w:t>Підвищити рівень безпеки та охорони праці на підприємстві шляхом забезпечення працівників засобами індивідуального захисту.</w:t>
      </w:r>
    </w:p>
    <w:p w14:paraId="46EC8465" w14:textId="77777777" w:rsidR="0025043F" w:rsidRDefault="00000000">
      <w:pPr>
        <w:ind w:firstLine="567"/>
        <w:jc w:val="both"/>
        <w:rPr>
          <w:sz w:val="28"/>
          <w:szCs w:val="28"/>
          <w:lang w:val="uk-UA"/>
        </w:rPr>
      </w:pPr>
      <w:r>
        <w:rPr>
          <w:sz w:val="28"/>
          <w:szCs w:val="28"/>
          <w:lang w:val="uk-UA"/>
        </w:rPr>
        <w:t>Подальшим етапом роботи з розвитку парків та скверів міста має стати: остаточне визначення меж парків та скверів; виготовлення усієї необхідної документації; інвентаризація матеріальних цінностей; інвентаризація зелених насаджень із застосуванням спеціального програмного забезпечення та спеціального пристрою –</w:t>
      </w:r>
      <w:r>
        <w:rPr>
          <w:sz w:val="28"/>
          <w:szCs w:val="28"/>
          <w:lang w:val="uk-UA" w:eastAsia="uk-UA"/>
        </w:rPr>
        <w:t> геометра; о</w:t>
      </w:r>
      <w:r>
        <w:rPr>
          <w:sz w:val="28"/>
          <w:szCs w:val="28"/>
          <w:lang w:val="uk-UA"/>
        </w:rPr>
        <w:t>формлення правовстановлюючих документів на земельні ділянки під парками та скверами м. Луцька.</w:t>
      </w:r>
    </w:p>
    <w:p w14:paraId="7A9FF326" w14:textId="77777777" w:rsidR="0025043F" w:rsidRDefault="00000000">
      <w:pPr>
        <w:ind w:firstLine="567"/>
        <w:jc w:val="both"/>
        <w:rPr>
          <w:sz w:val="28"/>
          <w:szCs w:val="28"/>
          <w:lang w:val="uk-UA"/>
        </w:rPr>
      </w:pPr>
      <w:r>
        <w:rPr>
          <w:sz w:val="28"/>
          <w:szCs w:val="28"/>
          <w:lang w:val="uk-UA"/>
        </w:rPr>
        <w:t>У 2024 році планується значний обсяг робіт для перетворення зовнішнього вигляду рекреаційних зон міських парків та скверів, зокрема:</w:t>
      </w:r>
    </w:p>
    <w:p w14:paraId="653FFE8D" w14:textId="77777777" w:rsidR="0025043F" w:rsidRDefault="00000000">
      <w:pPr>
        <w:ind w:firstLine="567"/>
        <w:jc w:val="both"/>
        <w:rPr>
          <w:sz w:val="28"/>
          <w:szCs w:val="28"/>
          <w:lang w:val="uk-UA"/>
        </w:rPr>
      </w:pPr>
      <w:r>
        <w:rPr>
          <w:sz w:val="28"/>
          <w:szCs w:val="28"/>
          <w:lang w:val="uk-UA"/>
        </w:rPr>
        <w:t>обстежити всі сквери м. Луцька та провести фінансовий розрахунок комплексного обслуговування таких скверів комунальним підприємством. На основі виявлених потреб, при обстеженні скверів, розробити план їх розвитку – конкретні заходи, що мають бути вжиті для поліпшення стану скверів, вирішення проблем та вдосконалення обслуговування;</w:t>
      </w:r>
    </w:p>
    <w:p w14:paraId="631549E7" w14:textId="4ACB41A9" w:rsidR="0025043F" w:rsidRDefault="00000000">
      <w:pPr>
        <w:ind w:firstLine="567"/>
        <w:jc w:val="both"/>
        <w:rPr>
          <w:sz w:val="28"/>
          <w:szCs w:val="28"/>
          <w:lang w:val="uk-UA"/>
        </w:rPr>
      </w:pPr>
      <w:r>
        <w:rPr>
          <w:sz w:val="28"/>
          <w:szCs w:val="28"/>
          <w:lang w:val="uk-UA"/>
        </w:rPr>
        <w:t xml:space="preserve">організувати та облаштувати </w:t>
      </w:r>
      <w:proofErr w:type="spellStart"/>
      <w:r>
        <w:rPr>
          <w:sz w:val="28"/>
          <w:szCs w:val="28"/>
          <w:lang w:val="uk-UA"/>
        </w:rPr>
        <w:t>освітньо</w:t>
      </w:r>
      <w:proofErr w:type="spellEnd"/>
      <w:r>
        <w:rPr>
          <w:sz w:val="28"/>
          <w:szCs w:val="28"/>
          <w:lang w:val="uk-UA"/>
        </w:rPr>
        <w:t>-виховну зону у Центральному парку культури та відпочинку ім</w:t>
      </w:r>
      <w:r w:rsidR="00A8061A">
        <w:rPr>
          <w:sz w:val="28"/>
          <w:szCs w:val="28"/>
          <w:lang w:val="uk-UA"/>
        </w:rPr>
        <w:t>ені</w:t>
      </w:r>
      <w:r>
        <w:rPr>
          <w:sz w:val="28"/>
          <w:szCs w:val="28"/>
          <w:lang w:val="uk-UA"/>
        </w:rPr>
        <w:t> Л</w:t>
      </w:r>
      <w:r w:rsidR="00A8061A">
        <w:rPr>
          <w:sz w:val="28"/>
          <w:szCs w:val="28"/>
          <w:lang w:val="uk-UA"/>
        </w:rPr>
        <w:t>есі</w:t>
      </w:r>
      <w:r>
        <w:rPr>
          <w:sz w:val="28"/>
          <w:szCs w:val="28"/>
          <w:lang w:val="uk-UA"/>
        </w:rPr>
        <w:t> Українки (територія ПЗФ «Пташиний гай»);</w:t>
      </w:r>
    </w:p>
    <w:p w14:paraId="42C10539" w14:textId="77777777" w:rsidR="0025043F" w:rsidRDefault="00000000">
      <w:pPr>
        <w:ind w:firstLine="567"/>
        <w:jc w:val="both"/>
        <w:rPr>
          <w:sz w:val="28"/>
          <w:szCs w:val="28"/>
          <w:lang w:val="uk-UA"/>
        </w:rPr>
      </w:pPr>
      <w:r>
        <w:rPr>
          <w:sz w:val="28"/>
          <w:szCs w:val="28"/>
          <w:lang w:val="uk-UA"/>
        </w:rPr>
        <w:t>винести в натуру та відмежувати території парків від суміжних землекористувачів, розмежувати окремі функціональні зони парків мінералізованими смугами, рядами живоплоту тощо;</w:t>
      </w:r>
    </w:p>
    <w:p w14:paraId="01F2418A" w14:textId="77777777" w:rsidR="0025043F" w:rsidRDefault="00000000">
      <w:pPr>
        <w:ind w:firstLine="567"/>
        <w:jc w:val="both"/>
        <w:rPr>
          <w:sz w:val="28"/>
          <w:szCs w:val="28"/>
          <w:lang w:val="uk-UA"/>
        </w:rPr>
      </w:pPr>
      <w:r>
        <w:rPr>
          <w:sz w:val="28"/>
          <w:szCs w:val="28"/>
          <w:lang w:val="uk-UA"/>
        </w:rPr>
        <w:t>проводити постійне озеленення та догляд за насадженнями об’єктів, що обслуговуються;</w:t>
      </w:r>
    </w:p>
    <w:p w14:paraId="45C8F8D7" w14:textId="1D75B194" w:rsidR="0025043F" w:rsidRDefault="00000000">
      <w:pPr>
        <w:ind w:firstLine="567"/>
        <w:jc w:val="both"/>
        <w:rPr>
          <w:sz w:val="28"/>
          <w:szCs w:val="28"/>
          <w:lang w:val="uk-UA"/>
        </w:rPr>
      </w:pPr>
      <w:r>
        <w:rPr>
          <w:sz w:val="28"/>
          <w:szCs w:val="28"/>
          <w:lang w:val="uk-UA"/>
        </w:rPr>
        <w:t xml:space="preserve">відповідно до Програми розвитку та утримання парків та скверів, інших озеленених територій Луцької міської територіальної громади на </w:t>
      </w:r>
      <w:r w:rsidR="00A8061A">
        <w:rPr>
          <w:sz w:val="28"/>
          <w:szCs w:val="28"/>
          <w:lang w:val="uk-UA"/>
        </w:rPr>
        <w:t xml:space="preserve">                         </w:t>
      </w:r>
      <w:r>
        <w:rPr>
          <w:sz w:val="28"/>
          <w:szCs w:val="28"/>
          <w:lang w:val="uk-UA"/>
        </w:rPr>
        <w:t>2022</w:t>
      </w:r>
      <w:r w:rsidR="00A8061A">
        <w:rPr>
          <w:sz w:val="28"/>
          <w:szCs w:val="28"/>
          <w:lang w:val="uk-UA"/>
        </w:rPr>
        <w:t>–</w:t>
      </w:r>
      <w:r>
        <w:rPr>
          <w:sz w:val="28"/>
          <w:szCs w:val="28"/>
          <w:lang w:val="uk-UA"/>
        </w:rPr>
        <w:t xml:space="preserve">2024 роки, у 2024 році підприємство планує викосити газонів різних </w:t>
      </w:r>
      <w:r>
        <w:rPr>
          <w:sz w:val="28"/>
          <w:szCs w:val="28"/>
          <w:lang w:val="uk-UA"/>
        </w:rPr>
        <w:lastRenderedPageBreak/>
        <w:t xml:space="preserve">типів на площі 250,0 га, провести санітарну обрізку гілок із застосуванням </w:t>
      </w:r>
      <w:proofErr w:type="spellStart"/>
      <w:r>
        <w:rPr>
          <w:sz w:val="28"/>
          <w:szCs w:val="28"/>
          <w:lang w:val="uk-UA"/>
        </w:rPr>
        <w:t>автогідропідіймача</w:t>
      </w:r>
      <w:proofErr w:type="spellEnd"/>
      <w:r>
        <w:rPr>
          <w:sz w:val="28"/>
          <w:szCs w:val="28"/>
          <w:lang w:val="uk-UA"/>
        </w:rPr>
        <w:t xml:space="preserve"> та обрізку нижнього ярусу гілок </w:t>
      </w:r>
      <w:proofErr w:type="spellStart"/>
      <w:r>
        <w:rPr>
          <w:sz w:val="28"/>
          <w:szCs w:val="28"/>
          <w:lang w:val="uk-UA"/>
        </w:rPr>
        <w:t>висоторізом</w:t>
      </w:r>
      <w:proofErr w:type="spellEnd"/>
      <w:r>
        <w:rPr>
          <w:sz w:val="28"/>
          <w:szCs w:val="28"/>
          <w:lang w:val="uk-UA"/>
        </w:rPr>
        <w:t xml:space="preserve"> приблизно на 500 деревах, видалити 200 аварійних, сухостійних дерев, здійснити підстригання 6 000 метрів погонних живих огорож, організувати розсадник саджанців дерев та кущів для висадки у парках міста; </w:t>
      </w:r>
    </w:p>
    <w:p w14:paraId="49FF224E" w14:textId="77777777" w:rsidR="0025043F" w:rsidRDefault="00000000">
      <w:pPr>
        <w:ind w:firstLine="567"/>
        <w:jc w:val="both"/>
        <w:rPr>
          <w:sz w:val="28"/>
          <w:szCs w:val="28"/>
          <w:lang w:val="uk-UA"/>
        </w:rPr>
      </w:pPr>
      <w:r>
        <w:rPr>
          <w:sz w:val="28"/>
          <w:szCs w:val="28"/>
          <w:lang w:val="uk-UA"/>
        </w:rPr>
        <w:t>подальше відновлення водозбірних кюветів у Центральному парку культури та відпочинку імені Лесі Українки.</w:t>
      </w:r>
    </w:p>
    <w:p w14:paraId="5BD3DEC7" w14:textId="3AB535BF" w:rsidR="0025043F" w:rsidRDefault="00000000">
      <w:pPr>
        <w:ind w:firstLine="567"/>
        <w:jc w:val="both"/>
        <w:rPr>
          <w:sz w:val="28"/>
          <w:szCs w:val="28"/>
          <w:lang w:val="uk-UA"/>
        </w:rPr>
      </w:pPr>
      <w:r>
        <w:rPr>
          <w:sz w:val="28"/>
          <w:szCs w:val="28"/>
          <w:lang w:val="uk-UA"/>
        </w:rPr>
        <w:t>У 2024 році підприємством буде продовжена реалізація заходів відповідно до Програми розвитку та утримання комунального лісового господарства Луцької міської територіальної громади на 2022</w:t>
      </w:r>
      <w:r w:rsidR="00A8061A">
        <w:rPr>
          <w:sz w:val="28"/>
          <w:szCs w:val="28"/>
          <w:lang w:val="uk-UA"/>
        </w:rPr>
        <w:t>–</w:t>
      </w:r>
      <w:r>
        <w:rPr>
          <w:sz w:val="28"/>
          <w:szCs w:val="28"/>
          <w:lang w:val="uk-UA"/>
        </w:rPr>
        <w:t>2024 роки, а саме:</w:t>
      </w:r>
    </w:p>
    <w:p w14:paraId="6A166D54" w14:textId="77777777" w:rsidR="0025043F" w:rsidRDefault="00000000">
      <w:pPr>
        <w:ind w:firstLine="567"/>
        <w:jc w:val="both"/>
        <w:rPr>
          <w:sz w:val="28"/>
          <w:szCs w:val="28"/>
          <w:lang w:val="uk-UA"/>
        </w:rPr>
      </w:pPr>
      <w:r>
        <w:rPr>
          <w:sz w:val="28"/>
          <w:szCs w:val="28"/>
          <w:lang w:val="uk-UA"/>
        </w:rPr>
        <w:t>здійснення постійного патрулювання для забезпечення належної охорони та захисту лісів від самовільних рубок;</w:t>
      </w:r>
    </w:p>
    <w:p w14:paraId="796D2513" w14:textId="77777777" w:rsidR="0025043F" w:rsidRDefault="00000000">
      <w:pPr>
        <w:ind w:firstLine="567"/>
        <w:jc w:val="both"/>
        <w:rPr>
          <w:sz w:val="28"/>
          <w:szCs w:val="28"/>
          <w:lang w:val="uk-UA"/>
        </w:rPr>
      </w:pPr>
      <w:r>
        <w:rPr>
          <w:sz w:val="28"/>
          <w:szCs w:val="28"/>
          <w:lang w:val="uk-UA"/>
        </w:rPr>
        <w:t>відведення вибірково-санітарної рубки на площі 45 га, із загальною масою деревини 200 м</w:t>
      </w:r>
      <w:r>
        <w:rPr>
          <w:sz w:val="28"/>
          <w:szCs w:val="28"/>
          <w:vertAlign w:val="superscript"/>
          <w:lang w:val="uk-UA"/>
        </w:rPr>
        <w:t xml:space="preserve">3 </w:t>
      </w:r>
      <w:r>
        <w:rPr>
          <w:sz w:val="28"/>
          <w:szCs w:val="28"/>
          <w:lang w:val="uk-UA"/>
        </w:rPr>
        <w:t>відповідно до санітарного стану лісів та таксаційних матеріалів;</w:t>
      </w:r>
    </w:p>
    <w:p w14:paraId="6B3449E1" w14:textId="77777777" w:rsidR="0025043F" w:rsidRDefault="00000000">
      <w:pPr>
        <w:ind w:firstLine="567"/>
        <w:jc w:val="both"/>
        <w:rPr>
          <w:sz w:val="28"/>
          <w:szCs w:val="28"/>
          <w:lang w:val="uk-UA"/>
        </w:rPr>
      </w:pPr>
      <w:r>
        <w:rPr>
          <w:sz w:val="28"/>
          <w:szCs w:val="28"/>
          <w:lang w:val="uk-UA"/>
        </w:rPr>
        <w:t>проведення прохідної рубки на площі 2 га із загальною масою деревини 50 м</w:t>
      </w:r>
      <w:r>
        <w:rPr>
          <w:sz w:val="28"/>
          <w:szCs w:val="28"/>
          <w:vertAlign w:val="superscript"/>
          <w:lang w:val="uk-UA"/>
        </w:rPr>
        <w:t>3</w:t>
      </w:r>
      <w:r>
        <w:rPr>
          <w:sz w:val="28"/>
          <w:szCs w:val="28"/>
          <w:lang w:val="uk-UA"/>
        </w:rPr>
        <w:t>;</w:t>
      </w:r>
    </w:p>
    <w:p w14:paraId="50031FDE" w14:textId="77777777" w:rsidR="0025043F" w:rsidRDefault="00000000">
      <w:pPr>
        <w:ind w:firstLine="567"/>
        <w:jc w:val="both"/>
        <w:rPr>
          <w:sz w:val="28"/>
          <w:szCs w:val="28"/>
          <w:lang w:val="uk-UA"/>
        </w:rPr>
      </w:pPr>
      <w:r>
        <w:rPr>
          <w:sz w:val="28"/>
          <w:szCs w:val="28"/>
          <w:lang w:val="uk-UA"/>
        </w:rPr>
        <w:t>проведення прочищення на площі 1 га із загальною масою неліквідної деревини 10 м</w:t>
      </w:r>
      <w:r>
        <w:rPr>
          <w:sz w:val="28"/>
          <w:szCs w:val="28"/>
          <w:vertAlign w:val="superscript"/>
          <w:lang w:val="uk-UA"/>
        </w:rPr>
        <w:t>3</w:t>
      </w:r>
      <w:r>
        <w:rPr>
          <w:sz w:val="28"/>
          <w:szCs w:val="28"/>
          <w:lang w:val="uk-UA"/>
        </w:rPr>
        <w:t>;</w:t>
      </w:r>
    </w:p>
    <w:p w14:paraId="22EA6D7A" w14:textId="77777777" w:rsidR="0025043F" w:rsidRDefault="00000000">
      <w:pPr>
        <w:ind w:firstLine="567"/>
        <w:jc w:val="both"/>
        <w:rPr>
          <w:sz w:val="28"/>
          <w:szCs w:val="28"/>
          <w:lang w:val="uk-UA"/>
        </w:rPr>
      </w:pPr>
      <w:r>
        <w:rPr>
          <w:sz w:val="28"/>
          <w:szCs w:val="28"/>
          <w:lang w:val="uk-UA"/>
        </w:rPr>
        <w:t>створення мінералізованих смуг загальною протяжністю 15 км та догляд за ними для уникнення лісових пожеж.</w:t>
      </w:r>
    </w:p>
    <w:p w14:paraId="1676B565" w14:textId="77777777" w:rsidR="0025043F" w:rsidRDefault="0025043F">
      <w:pPr>
        <w:jc w:val="center"/>
        <w:rPr>
          <w:sz w:val="28"/>
          <w:szCs w:val="28"/>
          <w:lang w:val="uk-UA"/>
        </w:rPr>
      </w:pPr>
    </w:p>
    <w:p w14:paraId="63198F86" w14:textId="77777777" w:rsidR="0025043F" w:rsidRDefault="0025043F">
      <w:pPr>
        <w:jc w:val="center"/>
        <w:rPr>
          <w:sz w:val="28"/>
          <w:szCs w:val="28"/>
          <w:lang w:val="uk-UA"/>
        </w:rPr>
      </w:pPr>
    </w:p>
    <w:p w14:paraId="66A3EB7B" w14:textId="77777777" w:rsidR="0025043F" w:rsidRDefault="0025043F">
      <w:pPr>
        <w:jc w:val="center"/>
        <w:rPr>
          <w:sz w:val="28"/>
          <w:szCs w:val="28"/>
          <w:lang w:val="uk-UA"/>
        </w:rPr>
      </w:pPr>
    </w:p>
    <w:p w14:paraId="398DCBCA" w14:textId="77777777" w:rsidR="0025043F" w:rsidRDefault="00000000">
      <w:pPr>
        <w:rPr>
          <w:lang w:val="uk-UA"/>
        </w:rPr>
      </w:pPr>
      <w:r>
        <w:rPr>
          <w:sz w:val="28"/>
          <w:szCs w:val="28"/>
          <w:lang w:val="uk-UA"/>
        </w:rPr>
        <w:t>Директор</w:t>
      </w:r>
    </w:p>
    <w:p w14:paraId="0FCFD2C3" w14:textId="77777777" w:rsidR="0025043F" w:rsidRDefault="00000000">
      <w:pPr>
        <w:spacing w:after="113"/>
        <w:rPr>
          <w:lang w:val="uk-UA"/>
        </w:rPr>
      </w:pPr>
      <w:r>
        <w:rPr>
          <w:sz w:val="28"/>
          <w:szCs w:val="28"/>
          <w:lang w:val="uk-UA"/>
        </w:rPr>
        <w:t>КП «Парки та сквери м. Луцька»</w:t>
      </w:r>
      <w:r>
        <w:rPr>
          <w:sz w:val="28"/>
          <w:szCs w:val="28"/>
          <w:lang w:val="uk-UA"/>
        </w:rPr>
        <w:tab/>
      </w:r>
      <w:r>
        <w:rPr>
          <w:sz w:val="28"/>
          <w:szCs w:val="28"/>
          <w:lang w:val="uk-UA"/>
        </w:rPr>
        <w:tab/>
      </w:r>
      <w:r>
        <w:rPr>
          <w:sz w:val="28"/>
          <w:szCs w:val="28"/>
          <w:lang w:val="uk-UA"/>
        </w:rPr>
        <w:tab/>
      </w:r>
      <w:r>
        <w:rPr>
          <w:sz w:val="28"/>
          <w:szCs w:val="28"/>
          <w:lang w:val="uk-UA"/>
        </w:rPr>
        <w:tab/>
        <w:t>Олександр МИХАЛУСЬ</w:t>
      </w:r>
    </w:p>
    <w:sectPr w:rsidR="0025043F">
      <w:headerReference w:type="default" r:id="rId6"/>
      <w:headerReference w:type="first" r:id="rId7"/>
      <w:pgSz w:w="11906" w:h="16838"/>
      <w:pgMar w:top="1134" w:right="566" w:bottom="1560" w:left="1985" w:header="709" w:footer="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91473" w14:textId="77777777" w:rsidR="007971A7" w:rsidRDefault="007971A7">
      <w:r>
        <w:separator/>
      </w:r>
    </w:p>
  </w:endnote>
  <w:endnote w:type="continuationSeparator" w:id="0">
    <w:p w14:paraId="2D2590C4" w14:textId="77777777" w:rsidR="007971A7" w:rsidRDefault="00797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roman"/>
    <w:pitch w:val="variable"/>
  </w:font>
  <w:font w:name="Wingdings">
    <w:panose1 w:val="05000000000000000000"/>
    <w:charset w:val="CC"/>
    <w:family w:val="roman"/>
    <w:pitch w:val="variable"/>
  </w:font>
  <w:font w:name="Symbol">
    <w:panose1 w:val="05050102010706020507"/>
    <w:charset w:val="02"/>
    <w:family w:val="roman"/>
    <w:pitch w:val="variable"/>
    <w:sig w:usb0="00000000" w:usb1="10000000" w:usb2="00000000" w:usb3="00000000" w:csb0="80000000" w:csb1="00000000"/>
  </w:font>
  <w:font w:name="Liberation Sans;Arial">
    <w:panose1 w:val="00000000000000000000"/>
    <w:charset w:val="00"/>
    <w:family w:val="roman"/>
    <w:notTrueType/>
    <w:pitch w:val="default"/>
  </w:font>
  <w:font w:name="Microsoft YaHei">
    <w:panose1 w:val="020B0503020204020204"/>
    <w:charset w:val="00"/>
    <w:family w:val="roman"/>
    <w:notTrueType/>
    <w:pitch w:val="default"/>
  </w:font>
  <w:font w:name="Tahoma">
    <w:panose1 w:val="020B0604030504040204"/>
    <w:charset w:val="CC"/>
    <w:family w:val="roman"/>
    <w:pitch w:val="variable"/>
  </w:font>
  <w:font w:name="Verdana">
    <w:panose1 w:val="020B0604030504040204"/>
    <w:charset w:val="CC"/>
    <w:family w:val="roman"/>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5707E" w14:textId="77777777" w:rsidR="007971A7" w:rsidRDefault="007971A7">
      <w:r>
        <w:separator/>
      </w:r>
    </w:p>
  </w:footnote>
  <w:footnote w:type="continuationSeparator" w:id="0">
    <w:p w14:paraId="74042938" w14:textId="77777777" w:rsidR="007971A7" w:rsidRDefault="00797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E30A4" w14:textId="77777777" w:rsidR="0025043F" w:rsidRDefault="00000000">
    <w:pPr>
      <w:pStyle w:val="a9"/>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4</w:t>
    </w:r>
    <w:r>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A3D94" w14:textId="77777777" w:rsidR="0025043F" w:rsidRDefault="0025043F">
    <w:pPr>
      <w:pStyle w:val="a9"/>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5043F"/>
    <w:rsid w:val="0025043F"/>
    <w:rsid w:val="00425CAD"/>
    <w:rsid w:val="00626717"/>
    <w:rsid w:val="007971A7"/>
    <w:rsid w:val="00973841"/>
    <w:rsid w:val="00A8061A"/>
    <w:rsid w:val="00AD0C90"/>
    <w:rsid w:val="00D50A14"/>
    <w:rsid w:val="00D8060D"/>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7C965"/>
  <w15:docId w15:val="{7F3DF532-6856-4423-8754-CDC2559F4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sz w:val="22"/>
        <w:szCs w:val="22"/>
        <w:lang w:val="uk-UA" w:eastAsia="uk-UA"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uiPriority w:val="99"/>
    <w:qFormat/>
    <w:rPr>
      <w:rFonts w:ascii="Times New Roman" w:hAnsi="Times New Roman"/>
      <w:sz w:val="28"/>
      <w:lang w:val="uk-UA"/>
    </w:rPr>
  </w:style>
  <w:style w:type="character" w:customStyle="1" w:styleId="WW8Num2z0">
    <w:name w:val="WW8Num2z0"/>
    <w:uiPriority w:val="99"/>
    <w:qFormat/>
  </w:style>
  <w:style w:type="character" w:customStyle="1" w:styleId="WW8Num2z1">
    <w:name w:val="WW8Num2z1"/>
    <w:uiPriority w:val="99"/>
    <w:qFormat/>
  </w:style>
  <w:style w:type="character" w:customStyle="1" w:styleId="WW8Num2z2">
    <w:name w:val="WW8Num2z2"/>
    <w:uiPriority w:val="99"/>
    <w:qFormat/>
  </w:style>
  <w:style w:type="character" w:customStyle="1" w:styleId="WW8Num2z3">
    <w:name w:val="WW8Num2z3"/>
    <w:uiPriority w:val="99"/>
    <w:qFormat/>
  </w:style>
  <w:style w:type="character" w:customStyle="1" w:styleId="WW8Num2z4">
    <w:name w:val="WW8Num2z4"/>
    <w:uiPriority w:val="99"/>
    <w:qFormat/>
  </w:style>
  <w:style w:type="character" w:customStyle="1" w:styleId="WW8Num2z5">
    <w:name w:val="WW8Num2z5"/>
    <w:uiPriority w:val="99"/>
    <w:qFormat/>
  </w:style>
  <w:style w:type="character" w:customStyle="1" w:styleId="WW8Num2z6">
    <w:name w:val="WW8Num2z6"/>
    <w:uiPriority w:val="99"/>
    <w:qFormat/>
  </w:style>
  <w:style w:type="character" w:customStyle="1" w:styleId="WW8Num2z7">
    <w:name w:val="WW8Num2z7"/>
    <w:uiPriority w:val="99"/>
    <w:qFormat/>
  </w:style>
  <w:style w:type="character" w:customStyle="1" w:styleId="WW8Num2z8">
    <w:name w:val="WW8Num2z8"/>
    <w:uiPriority w:val="99"/>
    <w:qFormat/>
  </w:style>
  <w:style w:type="character" w:customStyle="1" w:styleId="WW8Num1z1">
    <w:name w:val="WW8Num1z1"/>
    <w:uiPriority w:val="99"/>
    <w:qFormat/>
    <w:rPr>
      <w:rFonts w:ascii="Courier New" w:hAnsi="Courier New"/>
    </w:rPr>
  </w:style>
  <w:style w:type="character" w:customStyle="1" w:styleId="WW8Num1z2">
    <w:name w:val="WW8Num1z2"/>
    <w:uiPriority w:val="99"/>
    <w:qFormat/>
    <w:rPr>
      <w:rFonts w:ascii="Wingdings" w:hAnsi="Wingdings"/>
    </w:rPr>
  </w:style>
  <w:style w:type="character" w:customStyle="1" w:styleId="WW8Num1z3">
    <w:name w:val="WW8Num1z3"/>
    <w:uiPriority w:val="99"/>
    <w:qFormat/>
    <w:rPr>
      <w:rFonts w:ascii="Symbol" w:hAnsi="Symbol"/>
    </w:rPr>
  </w:style>
  <w:style w:type="character" w:customStyle="1" w:styleId="WW8Num3z0">
    <w:name w:val="WW8Num3z0"/>
    <w:uiPriority w:val="99"/>
    <w:qFormat/>
    <w:rPr>
      <w:rFonts w:ascii="Times New Roman" w:hAnsi="Times New Roman"/>
    </w:rPr>
  </w:style>
  <w:style w:type="character" w:customStyle="1" w:styleId="WW8Num3z1">
    <w:name w:val="WW8Num3z1"/>
    <w:uiPriority w:val="99"/>
    <w:qFormat/>
    <w:rPr>
      <w:rFonts w:ascii="Courier New" w:hAnsi="Courier New"/>
    </w:rPr>
  </w:style>
  <w:style w:type="character" w:customStyle="1" w:styleId="WW8Num3z2">
    <w:name w:val="WW8Num3z2"/>
    <w:uiPriority w:val="99"/>
    <w:qFormat/>
    <w:rPr>
      <w:rFonts w:ascii="Wingdings" w:hAnsi="Wingdings"/>
    </w:rPr>
  </w:style>
  <w:style w:type="character" w:customStyle="1" w:styleId="WW8Num3z3">
    <w:name w:val="WW8Num3z3"/>
    <w:uiPriority w:val="99"/>
    <w:qFormat/>
    <w:rPr>
      <w:rFonts w:ascii="Symbol" w:hAnsi="Symbol"/>
    </w:rPr>
  </w:style>
  <w:style w:type="character" w:customStyle="1" w:styleId="WW8Num4z0">
    <w:name w:val="WW8Num4z0"/>
    <w:uiPriority w:val="99"/>
    <w:qFormat/>
    <w:rPr>
      <w:rFonts w:ascii="Times New Roman" w:hAnsi="Times New Roman"/>
    </w:rPr>
  </w:style>
  <w:style w:type="character" w:customStyle="1" w:styleId="WW8Num4z1">
    <w:name w:val="WW8Num4z1"/>
    <w:uiPriority w:val="99"/>
    <w:qFormat/>
    <w:rPr>
      <w:rFonts w:ascii="Courier New" w:hAnsi="Courier New"/>
    </w:rPr>
  </w:style>
  <w:style w:type="character" w:customStyle="1" w:styleId="WW8Num4z2">
    <w:name w:val="WW8Num4z2"/>
    <w:uiPriority w:val="99"/>
    <w:qFormat/>
    <w:rPr>
      <w:rFonts w:ascii="Wingdings" w:hAnsi="Wingdings"/>
    </w:rPr>
  </w:style>
  <w:style w:type="character" w:customStyle="1" w:styleId="WW8Num4z3">
    <w:name w:val="WW8Num4z3"/>
    <w:uiPriority w:val="99"/>
    <w:qFormat/>
    <w:rPr>
      <w:rFonts w:ascii="Symbol" w:hAnsi="Symbol"/>
    </w:rPr>
  </w:style>
  <w:style w:type="character" w:customStyle="1" w:styleId="WW8Num5z0">
    <w:name w:val="WW8Num5z0"/>
    <w:uiPriority w:val="99"/>
    <w:qFormat/>
    <w:rPr>
      <w:rFonts w:ascii="Times New Roman" w:hAnsi="Times New Roman"/>
    </w:rPr>
  </w:style>
  <w:style w:type="character" w:customStyle="1" w:styleId="WW8Num5z1">
    <w:name w:val="WW8Num5z1"/>
    <w:uiPriority w:val="99"/>
    <w:qFormat/>
    <w:rPr>
      <w:rFonts w:ascii="Courier New" w:hAnsi="Courier New"/>
    </w:rPr>
  </w:style>
  <w:style w:type="character" w:customStyle="1" w:styleId="WW8Num5z2">
    <w:name w:val="WW8Num5z2"/>
    <w:uiPriority w:val="99"/>
    <w:qFormat/>
    <w:rPr>
      <w:rFonts w:ascii="Wingdings" w:hAnsi="Wingdings"/>
    </w:rPr>
  </w:style>
  <w:style w:type="character" w:customStyle="1" w:styleId="WW8Num5z3">
    <w:name w:val="WW8Num5z3"/>
    <w:uiPriority w:val="99"/>
    <w:qFormat/>
    <w:rPr>
      <w:rFonts w:ascii="Symbol" w:hAnsi="Symbol"/>
    </w:rPr>
  </w:style>
  <w:style w:type="character" w:styleId="a3">
    <w:name w:val="page number"/>
    <w:basedOn w:val="a0"/>
    <w:uiPriority w:val="99"/>
    <w:qFormat/>
    <w:rPr>
      <w:rFonts w:cs="Times New Roman"/>
    </w:rPr>
  </w:style>
  <w:style w:type="character" w:customStyle="1" w:styleId="1">
    <w:name w:val="Шрифт абзацу за промовчанням1"/>
    <w:uiPriority w:val="99"/>
    <w:qFormat/>
  </w:style>
  <w:style w:type="character" w:customStyle="1" w:styleId="h1">
    <w:name w:val="h1"/>
    <w:uiPriority w:val="99"/>
    <w:qFormat/>
  </w:style>
  <w:style w:type="character" w:customStyle="1" w:styleId="a4">
    <w:name w:val="Основний текст Знак"/>
    <w:uiPriority w:val="99"/>
    <w:semiHidden/>
    <w:qFormat/>
    <w:rPr>
      <w:rFonts w:ascii="Times New Roman" w:hAnsi="Times New Roman"/>
      <w:sz w:val="24"/>
      <w:lang w:val="ru-RU" w:eastAsia="zh-CN"/>
    </w:rPr>
  </w:style>
  <w:style w:type="character" w:customStyle="1" w:styleId="a5">
    <w:name w:val="Текст у виносці Знак"/>
    <w:uiPriority w:val="99"/>
    <w:semiHidden/>
    <w:qFormat/>
    <w:rPr>
      <w:rFonts w:ascii="Times New Roman" w:hAnsi="Times New Roman"/>
      <w:sz w:val="2"/>
      <w:lang w:val="ru-RU" w:eastAsia="zh-CN"/>
    </w:rPr>
  </w:style>
  <w:style w:type="character" w:customStyle="1" w:styleId="a6">
    <w:name w:val="Верхній колонтитул Знак"/>
    <w:uiPriority w:val="99"/>
    <w:qFormat/>
    <w:rPr>
      <w:rFonts w:ascii="Times New Roman" w:hAnsi="Times New Roman"/>
      <w:sz w:val="24"/>
      <w:lang w:val="ru-RU" w:eastAsia="zh-CN"/>
    </w:rPr>
  </w:style>
  <w:style w:type="character" w:customStyle="1" w:styleId="a7">
    <w:name w:val="Нижній колонтитул Знак"/>
    <w:uiPriority w:val="99"/>
    <w:semiHidden/>
    <w:qFormat/>
    <w:rPr>
      <w:rFonts w:ascii="Times New Roman" w:hAnsi="Times New Roman"/>
      <w:sz w:val="24"/>
      <w:lang w:val="ru-RU" w:eastAsia="zh-CN"/>
    </w:rPr>
  </w:style>
  <w:style w:type="character" w:customStyle="1" w:styleId="10">
    <w:name w:val="Текст у виносці Знак1"/>
    <w:basedOn w:val="a0"/>
    <w:link w:val="a8"/>
    <w:uiPriority w:val="99"/>
    <w:semiHidden/>
    <w:qFormat/>
    <w:rsid w:val="00312FB1"/>
    <w:rPr>
      <w:rFonts w:ascii="Times New Roman" w:hAnsi="Times New Roman" w:cs="Times New Roman"/>
      <w:sz w:val="24"/>
      <w:szCs w:val="24"/>
      <w:lang w:val="ru-RU" w:eastAsia="zh-CN"/>
    </w:rPr>
  </w:style>
  <w:style w:type="character" w:customStyle="1" w:styleId="11">
    <w:name w:val="Верхній колонтитул Знак1"/>
    <w:basedOn w:val="a0"/>
    <w:link w:val="a9"/>
    <w:uiPriority w:val="99"/>
    <w:semiHidden/>
    <w:qFormat/>
    <w:rsid w:val="00312FB1"/>
    <w:rPr>
      <w:rFonts w:ascii="Times New Roman" w:hAnsi="Times New Roman" w:cs="Times New Roman"/>
      <w:sz w:val="0"/>
      <w:szCs w:val="0"/>
      <w:lang w:val="ru-RU" w:eastAsia="zh-CN"/>
    </w:rPr>
  </w:style>
  <w:style w:type="character" w:customStyle="1" w:styleId="2">
    <w:name w:val="Нижній колонтитул Знак2"/>
    <w:basedOn w:val="a0"/>
    <w:link w:val="aa"/>
    <w:uiPriority w:val="99"/>
    <w:semiHidden/>
    <w:qFormat/>
    <w:rsid w:val="00312FB1"/>
    <w:rPr>
      <w:rFonts w:ascii="Times New Roman" w:hAnsi="Times New Roman" w:cs="Times New Roman"/>
      <w:sz w:val="24"/>
      <w:szCs w:val="24"/>
      <w:lang w:val="ru-RU" w:eastAsia="zh-CN"/>
    </w:rPr>
  </w:style>
  <w:style w:type="character" w:customStyle="1" w:styleId="12">
    <w:name w:val="Нижній колонтитул Знак1"/>
    <w:basedOn w:val="a0"/>
    <w:uiPriority w:val="99"/>
    <w:semiHidden/>
    <w:qFormat/>
    <w:rsid w:val="00312FB1"/>
    <w:rPr>
      <w:rFonts w:ascii="Times New Roman" w:hAnsi="Times New Roman" w:cs="Times New Roman"/>
      <w:sz w:val="24"/>
      <w:szCs w:val="24"/>
      <w:lang w:val="ru-RU" w:eastAsia="zh-CN"/>
    </w:rPr>
  </w:style>
  <w:style w:type="paragraph" w:customStyle="1" w:styleId="ab">
    <w:name w:val="Заголовок"/>
    <w:basedOn w:val="a"/>
    <w:next w:val="ac"/>
    <w:uiPriority w:val="99"/>
    <w:qFormat/>
    <w:pPr>
      <w:keepNext/>
      <w:spacing w:before="240" w:after="120"/>
    </w:pPr>
    <w:rPr>
      <w:rFonts w:ascii="Liberation Sans;Arial" w:eastAsia="Microsoft YaHei" w:hAnsi="Liberation Sans;Arial" w:cs="Arial"/>
      <w:sz w:val="28"/>
      <w:szCs w:val="28"/>
    </w:rPr>
  </w:style>
  <w:style w:type="paragraph" w:styleId="ac">
    <w:name w:val="Body Text"/>
    <w:basedOn w:val="a"/>
    <w:uiPriority w:val="99"/>
    <w:pPr>
      <w:spacing w:after="140" w:line="276" w:lineRule="auto"/>
    </w:pPr>
  </w:style>
  <w:style w:type="paragraph" w:styleId="ad">
    <w:name w:val="List"/>
    <w:basedOn w:val="ac"/>
    <w:uiPriority w:val="99"/>
    <w:rPr>
      <w:rFonts w:cs="Arial"/>
    </w:rPr>
  </w:style>
  <w:style w:type="paragraph" w:styleId="ae">
    <w:name w:val="caption"/>
    <w:basedOn w:val="a"/>
    <w:uiPriority w:val="99"/>
    <w:qFormat/>
    <w:pPr>
      <w:suppressLineNumbers/>
      <w:spacing w:before="120" w:after="120"/>
    </w:pPr>
    <w:rPr>
      <w:rFonts w:cs="Arial"/>
      <w:i/>
      <w:iCs/>
    </w:rPr>
  </w:style>
  <w:style w:type="paragraph" w:customStyle="1" w:styleId="af">
    <w:name w:val="Покажчик"/>
    <w:basedOn w:val="a"/>
    <w:uiPriority w:val="99"/>
    <w:qFormat/>
    <w:pPr>
      <w:suppressLineNumbers/>
    </w:pPr>
    <w:rPr>
      <w:rFonts w:cs="Arial"/>
    </w:rPr>
  </w:style>
  <w:style w:type="paragraph" w:styleId="a8">
    <w:name w:val="Balloon Text"/>
    <w:basedOn w:val="a"/>
    <w:link w:val="10"/>
    <w:uiPriority w:val="99"/>
    <w:qFormat/>
    <w:rPr>
      <w:rFonts w:ascii="Tahoma" w:hAnsi="Tahoma" w:cs="Tahoma"/>
      <w:sz w:val="16"/>
      <w:szCs w:val="16"/>
    </w:rPr>
  </w:style>
  <w:style w:type="paragraph" w:customStyle="1" w:styleId="af0">
    <w:name w:val="Знак Знак Знак Знак Знак"/>
    <w:basedOn w:val="a"/>
    <w:uiPriority w:val="99"/>
    <w:qFormat/>
    <w:rPr>
      <w:rFonts w:ascii="Verdana" w:hAnsi="Verdana" w:cs="Verdana"/>
      <w:sz w:val="20"/>
      <w:szCs w:val="20"/>
      <w:lang w:val="en-US"/>
    </w:rPr>
  </w:style>
  <w:style w:type="paragraph" w:customStyle="1" w:styleId="af1">
    <w:name w:val="Верхній і нижній колонтитули"/>
    <w:basedOn w:val="a"/>
    <w:uiPriority w:val="99"/>
    <w:qFormat/>
    <w:pPr>
      <w:suppressLineNumbers/>
      <w:tabs>
        <w:tab w:val="center" w:pos="4819"/>
        <w:tab w:val="right" w:pos="9638"/>
      </w:tabs>
    </w:pPr>
  </w:style>
  <w:style w:type="paragraph" w:styleId="a9">
    <w:name w:val="header"/>
    <w:basedOn w:val="a"/>
    <w:link w:val="11"/>
    <w:uiPriority w:val="99"/>
    <w:pPr>
      <w:tabs>
        <w:tab w:val="center" w:pos="4677"/>
        <w:tab w:val="right" w:pos="9355"/>
      </w:tabs>
    </w:pPr>
  </w:style>
  <w:style w:type="paragraph" w:styleId="aa">
    <w:name w:val="footer"/>
    <w:basedOn w:val="a"/>
    <w:link w:val="2"/>
    <w:uiPriority w:val="99"/>
    <w:pPr>
      <w:tabs>
        <w:tab w:val="center" w:pos="4677"/>
        <w:tab w:val="right" w:pos="9355"/>
      </w:tabs>
    </w:pPr>
  </w:style>
  <w:style w:type="paragraph" w:customStyle="1" w:styleId="af2">
    <w:name w:val="Вміст таблиці"/>
    <w:basedOn w:val="a"/>
    <w:uiPriority w:val="99"/>
    <w:qFormat/>
    <w:pPr>
      <w:widowControl w:val="0"/>
      <w:suppressLineNumbers/>
    </w:pPr>
  </w:style>
  <w:style w:type="paragraph" w:customStyle="1" w:styleId="af3">
    <w:name w:val="Заголовок таблиці"/>
    <w:basedOn w:val="af2"/>
    <w:uiPriority w:val="99"/>
    <w:qFormat/>
    <w:pPr>
      <w:jc w:val="center"/>
    </w:pPr>
    <w:rPr>
      <w:b/>
      <w:bCs/>
    </w:rPr>
  </w:style>
  <w:style w:type="paragraph" w:customStyle="1" w:styleId="af4">
    <w:name w:val="Вміст рамки"/>
    <w:basedOn w:val="a"/>
    <w:uiPriority w:val="99"/>
    <w:qFormat/>
  </w:style>
  <w:style w:type="paragraph" w:styleId="af5">
    <w:name w:val="List Paragraph"/>
    <w:basedOn w:val="a"/>
    <w:uiPriority w:val="99"/>
    <w:qFormat/>
    <w:pPr>
      <w:spacing w:after="200" w:line="276" w:lineRule="auto"/>
      <w:ind w:left="720"/>
      <w:contextualSpacing/>
    </w:pPr>
    <w:rPr>
      <w:lang w:val="uk-UA"/>
    </w:rPr>
  </w:style>
  <w:style w:type="paragraph" w:styleId="af6">
    <w:name w:val="No Spacing"/>
    <w:uiPriority w:val="99"/>
    <w:qFormat/>
    <w:rPr>
      <w:rFonts w:ascii="Calibri" w:hAnsi="Calibri"/>
      <w:lang w:val="ru-RU"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1141</TotalTime>
  <Pages>4</Pages>
  <Words>6001</Words>
  <Characters>3421</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Доходи по утриманню будинку за 1 півріччя 2013р</vt:lpstr>
    </vt:vector>
  </TitlesOfParts>
  <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Доходи по утриманню будинку за 1 півріччя 2013р</dc:title>
  <dc:subject/>
  <dc:creator>User</dc:creator>
  <dc:description/>
  <cp:lastModifiedBy>Ірина Демидюк</cp:lastModifiedBy>
  <cp:revision>73</cp:revision>
  <cp:lastPrinted>2023-12-28T12:42:00Z</cp:lastPrinted>
  <dcterms:created xsi:type="dcterms:W3CDTF">2023-11-24T08:58:00Z</dcterms:created>
  <dcterms:modified xsi:type="dcterms:W3CDTF">2024-02-08T07:26:00Z</dcterms:modified>
  <dc:language>uk-UA</dc:language>
</cp:coreProperties>
</file>