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Про надання ГК «АВТОКОМП-2» доз-</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волу на   розроблення  технічної  доку-</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ментації із землеустрою щодо встанов-</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лення    (відновлення)   меж   земельної</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ділянки   в  натурі  (на   місцевості)   на</w:t>
      </w:r>
    </w:p>
    <w:p>
      <w:pPr>
        <w:pStyle w:val="Normal"/>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вул. Задворецькій, 27 у м. Луцьку</w:t>
      </w:r>
    </w:p>
    <w:p>
      <w:pPr>
        <w:pStyle w:val="Normal"/>
        <w:widowControl w:val="false"/>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r>
    </w:p>
    <w:p>
      <w:pPr>
        <w:pStyle w:val="Normal"/>
        <w:widowControl/>
        <w:suppressAutoHyphens w:val="true"/>
        <w:overflowPunct w:val="false"/>
        <w:bidi w:val="0"/>
        <w:spacing w:before="0" w:after="0"/>
        <w:ind w:left="0" w:right="0" w:firstLine="567"/>
        <w:jc w:val="both"/>
        <w:rPr>
          <w:sz w:val="27"/>
          <w:szCs w:val="27"/>
        </w:rPr>
      </w:pPr>
      <w:r>
        <w:rPr>
          <w:rFonts w:eastAsia="Times New Roman" w:cs="Times New Roman"/>
          <w:b w:val="false"/>
          <w:bCs w:val="false"/>
          <w:color w:val="auto"/>
          <w:spacing w:val="-6"/>
          <w:kern w:val="0"/>
          <w:sz w:val="27"/>
          <w:szCs w:val="27"/>
          <w:lang w:val="uk-UA" w:eastAsia="zh-CN" w:bidi="ar-SA"/>
        </w:rPr>
        <w:t xml:space="preserve">Розглянувши заяву ГАРАЖНОГО КООПЕРАТИВУ «АВТОКОМП-2»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7"/>
          <w:szCs w:val="27"/>
          <w:shd w:fill="FFFFFF" w:val="clear"/>
          <w:lang w:val="uk-UA" w:eastAsia="zh-CN" w:bidi="ar-SA"/>
        </w:rPr>
        <w:t>вул. Задворецькій, 27</w:t>
      </w:r>
      <w:r>
        <w:rPr>
          <w:rFonts w:eastAsia="Times New Roman" w:cs="Times New Roman"/>
          <w:b w:val="false"/>
          <w:bCs w:val="false"/>
          <w:color w:val="auto"/>
          <w:spacing w:val="-6"/>
          <w:kern w:val="0"/>
          <w:sz w:val="27"/>
          <w:szCs w:val="27"/>
          <w:lang w:val="uk-UA" w:eastAsia="zh-CN" w:bidi="ar-SA"/>
        </w:rPr>
        <w:t xml:space="preserve"> у м. Луцьку, документи на об'єкти нерухомого майна членів ГАРАЖНОГО КООПЕРАТИВУ «АВТОКОМП-2» на </w:t>
      </w:r>
      <w:r>
        <w:rPr>
          <w:rFonts w:eastAsia="Times New Roman" w:cs="Times New Roman"/>
          <w:b w:val="false"/>
          <w:bCs w:val="false"/>
          <w:color w:val="000000"/>
          <w:spacing w:val="-6"/>
          <w:kern w:val="0"/>
          <w:sz w:val="27"/>
          <w:szCs w:val="27"/>
          <w:shd w:fill="FFFFFF" w:val="clear"/>
          <w:lang w:val="uk-UA" w:eastAsia="zh-CN" w:bidi="ar-SA"/>
        </w:rPr>
        <w:t>вул. Задворецькій, 27 у м. Луцьку</w:t>
      </w:r>
      <w:r>
        <w:rPr>
          <w:rFonts w:eastAsia="Times New Roman" w:cs="Times New Roman"/>
          <w:b w:val="false"/>
          <w:bCs w:val="false"/>
          <w:color w:val="auto"/>
          <w:spacing w:val="-6"/>
          <w:kern w:val="0"/>
          <w:sz w:val="27"/>
          <w:szCs w:val="27"/>
          <w:lang w:val="uk-UA" w:eastAsia="zh-CN" w:bidi="ar-SA"/>
        </w:rPr>
        <w:t xml:space="preserve">, протокол № 2 загальних зборів членів правління ГАРАЖНОГО КООПЕРАТИВУ «АВТОКОМП-2» щодо оформлення права оренди на земельну ділянку на </w:t>
      </w:r>
      <w:r>
        <w:rPr>
          <w:rFonts w:eastAsia="Times New Roman" w:cs="Times New Roman"/>
          <w:b w:val="false"/>
          <w:bCs w:val="false"/>
          <w:color w:val="000000"/>
          <w:spacing w:val="-6"/>
          <w:kern w:val="0"/>
          <w:sz w:val="27"/>
          <w:szCs w:val="27"/>
          <w:shd w:fill="FFFFFF" w:val="clear"/>
          <w:lang w:val="uk-UA" w:eastAsia="zh-CN" w:bidi="ar-SA"/>
        </w:rPr>
        <w:t>вул.  Задворецькій, 27 у м. Луцьку</w:t>
      </w:r>
      <w:r>
        <w:rPr>
          <w:rFonts w:eastAsia="Times New Roman" w:cs="Times New Roman"/>
          <w:b w:val="false"/>
          <w:bCs w:val="false"/>
          <w:color w:val="auto"/>
          <w:spacing w:val="-6"/>
          <w:kern w:val="0"/>
          <w:sz w:val="27"/>
          <w:szCs w:val="27"/>
          <w:lang w:val="uk-UA" w:eastAsia="zh-CN" w:bidi="ar-SA"/>
        </w:rPr>
        <w:t xml:space="preserve"> від 01.08.2023, договір оренди земельної ділянки, укладений між Луцькою міською радою та ГАРАЖНИМ КООПЕРАТИВОМ «</w:t>
      </w:r>
      <w:r>
        <w:rPr>
          <w:rFonts w:eastAsia="Times New Roman" w:cs="Times New Roman"/>
          <w:b w:val="false"/>
          <w:bCs w:val="false"/>
          <w:color w:val="000000"/>
          <w:spacing w:val="-6"/>
          <w:kern w:val="0"/>
          <w:sz w:val="27"/>
          <w:szCs w:val="27"/>
          <w:shd w:fill="FFFFFF" w:val="clear"/>
          <w:lang w:val="uk-UA" w:eastAsia="zh-CN" w:bidi="ar-SA"/>
        </w:rPr>
        <w:t>АВТОКОМП-2</w:t>
      </w:r>
      <w:r>
        <w:rPr>
          <w:rFonts w:eastAsia="Times New Roman" w:cs="Times New Roman"/>
          <w:b w:val="false"/>
          <w:bCs w:val="false"/>
          <w:color w:val="auto"/>
          <w:spacing w:val="-6"/>
          <w:kern w:val="0"/>
          <w:sz w:val="27"/>
          <w:szCs w:val="27"/>
          <w:lang w:val="uk-UA" w:eastAsia="zh-CN" w:bidi="ar-SA"/>
        </w:rPr>
        <w:t>», зареєстрований в книзі державної реєстрації договорів оренди 25.11.2003 за № 87-03, строк дії якого закінчився, враховуючи рішення Луцької міської ради від 01.04.2010 № 56/154 «Про передачу у власність громадянам міста земельних ділянок для обслуговування індивідуальних гаражів», відповідно до якого передано у власність земельні ділянки, а саме: земельну ділянку загальною площею 0,0027 га громадянину Кулику Анатолію Івановичу та видано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011007700761; земельну ділянку загальною площею 0,0027 га громадянину Рексу Олександрові Володимировичу та видано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011007700762; земельну ділянку загальною площею 0,0027 га громадянину Лигерку Вікторові Тимофійовичу та видано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011007700759; земельну ділянку загальною площею 0,0027 га громадянину Лігерку Володимирові Тимофійовичу та видано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011007700760; земельну ділянку загальною площею 0,0027 га громадянину Павленку Михайлові Анатолійовичу та видано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011007700765; земельні ділянки площ</w:t>
      </w:r>
      <w:r>
        <w:rPr>
          <w:rFonts w:eastAsia="Times New Roman" w:cs="Times New Roman"/>
          <w:b w:val="false"/>
          <w:bCs w:val="false"/>
          <w:color w:val="auto"/>
          <w:spacing w:val="-6"/>
          <w:kern w:val="0"/>
          <w:sz w:val="27"/>
          <w:szCs w:val="27"/>
          <w:lang w:val="uk-UA" w:eastAsia="zh-CN" w:bidi="ar-SA"/>
        </w:rPr>
        <w:t>ами</w:t>
      </w:r>
      <w:r>
        <w:rPr>
          <w:rFonts w:eastAsia="Times New Roman" w:cs="Times New Roman"/>
          <w:b w:val="false"/>
          <w:bCs w:val="false"/>
          <w:color w:val="auto"/>
          <w:spacing w:val="-6"/>
          <w:kern w:val="0"/>
          <w:sz w:val="27"/>
          <w:szCs w:val="27"/>
          <w:lang w:val="uk-UA" w:eastAsia="zh-CN" w:bidi="ar-SA"/>
        </w:rPr>
        <w:t xml:space="preserve"> 0,00</w:t>
      </w:r>
      <w:r>
        <w:rPr>
          <w:rFonts w:eastAsia="Times New Roman" w:cs="Times New Roman"/>
          <w:b w:val="false"/>
          <w:bCs w:val="false"/>
          <w:color w:val="auto"/>
          <w:spacing w:val="-6"/>
          <w:kern w:val="0"/>
          <w:sz w:val="27"/>
          <w:szCs w:val="27"/>
          <w:lang w:val="uk-UA" w:eastAsia="zh-CN" w:bidi="ar-SA"/>
        </w:rPr>
        <w:t>2</w:t>
      </w:r>
      <w:r>
        <w:rPr>
          <w:rFonts w:eastAsia="Times New Roman" w:cs="Times New Roman"/>
          <w:b w:val="false"/>
          <w:bCs w:val="false"/>
          <w:color w:val="auto"/>
          <w:spacing w:val="-6"/>
          <w:kern w:val="0"/>
          <w:sz w:val="27"/>
          <w:szCs w:val="27"/>
          <w:lang w:val="uk-UA" w:eastAsia="zh-CN" w:bidi="ar-SA"/>
        </w:rPr>
        <w:t xml:space="preserve">7 га </w:t>
      </w:r>
      <w:r>
        <w:rPr>
          <w:rFonts w:eastAsia="Times New Roman" w:cs="Times New Roman"/>
          <w:b w:val="false"/>
          <w:bCs w:val="false"/>
          <w:color w:val="auto"/>
          <w:spacing w:val="-6"/>
          <w:kern w:val="0"/>
          <w:sz w:val="27"/>
          <w:szCs w:val="27"/>
          <w:lang w:val="uk-UA" w:eastAsia="zh-CN" w:bidi="ar-SA"/>
        </w:rPr>
        <w:t xml:space="preserve">та 0,0027 га </w:t>
      </w:r>
      <w:r>
        <w:rPr>
          <w:rFonts w:eastAsia="Times New Roman" w:cs="Times New Roman"/>
          <w:b w:val="false"/>
          <w:bCs w:val="false"/>
          <w:color w:val="auto"/>
          <w:spacing w:val="-6"/>
          <w:kern w:val="0"/>
          <w:sz w:val="27"/>
          <w:szCs w:val="27"/>
          <w:lang w:val="uk-UA" w:eastAsia="zh-CN" w:bidi="ar-SA"/>
        </w:rPr>
        <w:t>громадянину Кондратюку Володимирові Олександровичу та видано Державні акти на право власності на земельну ділянку, зареєстровані в Книзі записів реєстрації державних актів на право власності на землю та на право постійного користування землею, договорів оренди землі від 15.07.2010 за № 011007700763, № 011007700764, рішення Луцької міської ради від 05.03.2008 № 24/12 «Про передачу у власність громадянам міста земельних ділянок для обслуговування індивідуальних гаражів», відповідно до якого громадянину Ясенчуку Валентинові Федоровичу передано у власність земельні ділянки площ</w:t>
      </w:r>
      <w:r>
        <w:rPr>
          <w:rFonts w:eastAsia="Times New Roman" w:cs="Times New Roman"/>
          <w:b w:val="false"/>
          <w:bCs w:val="false"/>
          <w:color w:val="auto"/>
          <w:spacing w:val="-6"/>
          <w:kern w:val="0"/>
          <w:sz w:val="27"/>
          <w:szCs w:val="27"/>
          <w:lang w:val="uk-UA" w:eastAsia="zh-CN" w:bidi="ar-SA"/>
        </w:rPr>
        <w:t>ами</w:t>
      </w:r>
      <w:r>
        <w:rPr>
          <w:rFonts w:eastAsia="Times New Roman" w:cs="Times New Roman"/>
          <w:b w:val="false"/>
          <w:bCs w:val="false"/>
          <w:color w:val="auto"/>
          <w:spacing w:val="-6"/>
          <w:kern w:val="0"/>
          <w:sz w:val="27"/>
          <w:szCs w:val="27"/>
          <w:lang w:val="uk-UA" w:eastAsia="zh-CN" w:bidi="ar-SA"/>
        </w:rPr>
        <w:t xml:space="preserve"> 0,00</w:t>
      </w:r>
      <w:r>
        <w:rPr>
          <w:rFonts w:eastAsia="Times New Roman" w:cs="Times New Roman"/>
          <w:b w:val="false"/>
          <w:bCs w:val="false"/>
          <w:color w:val="auto"/>
          <w:spacing w:val="-6"/>
          <w:kern w:val="0"/>
          <w:sz w:val="27"/>
          <w:szCs w:val="27"/>
          <w:lang w:val="uk-UA" w:eastAsia="zh-CN" w:bidi="ar-SA"/>
        </w:rPr>
        <w:t>28</w:t>
      </w:r>
      <w:r>
        <w:rPr>
          <w:rFonts w:eastAsia="Times New Roman" w:cs="Times New Roman"/>
          <w:b w:val="false"/>
          <w:bCs w:val="false"/>
          <w:color w:val="auto"/>
          <w:spacing w:val="-6"/>
          <w:kern w:val="0"/>
          <w:sz w:val="27"/>
          <w:szCs w:val="27"/>
          <w:lang w:val="uk-UA" w:eastAsia="zh-CN" w:bidi="ar-SA"/>
        </w:rPr>
        <w:t xml:space="preserve"> га </w:t>
      </w:r>
      <w:r>
        <w:rPr>
          <w:rFonts w:eastAsia="Times New Roman" w:cs="Times New Roman"/>
          <w:b w:val="false"/>
          <w:bCs w:val="false"/>
          <w:color w:val="auto"/>
          <w:spacing w:val="-6"/>
          <w:kern w:val="0"/>
          <w:sz w:val="27"/>
          <w:szCs w:val="27"/>
          <w:lang w:val="uk-UA" w:eastAsia="zh-CN" w:bidi="ar-SA"/>
        </w:rPr>
        <w:t>та 0,0028 га</w:t>
      </w:r>
      <w:r>
        <w:rPr>
          <w:rFonts w:eastAsia="Times New Roman" w:cs="Times New Roman"/>
          <w:b w:val="false"/>
          <w:bCs w:val="false"/>
          <w:color w:val="auto"/>
          <w:spacing w:val="-6"/>
          <w:kern w:val="0"/>
          <w:sz w:val="27"/>
          <w:szCs w:val="27"/>
          <w:lang w:val="uk-UA" w:eastAsia="zh-CN" w:bidi="ar-SA"/>
        </w:rPr>
        <w:t xml:space="preserve">, розпорядження Луцького міського голови від 28.04.2009 за № 193 “Про присвоєння поштової адреси ГК «Автокомп-2» на вул. Задворецькій, 27”, керуючись статтями 12, 79-1, 93,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7"/>
          <w:szCs w:val="27"/>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7"/>
          <w:szCs w:val="27"/>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7"/>
          <w:szCs w:val="27"/>
          <w:lang w:val="uk-UA" w:eastAsia="zh-CN" w:bidi="ar-SA"/>
        </w:rPr>
        <w:t>»</w:t>
      </w:r>
      <w:r>
        <w:rPr>
          <w:rFonts w:eastAsia="Times New Roman" w:cs="Times New Roman"/>
          <w:b w:val="false"/>
          <w:bCs w:val="false"/>
          <w:color w:val="auto"/>
          <w:spacing w:val="-6"/>
          <w:kern w:val="0"/>
          <w:sz w:val="27"/>
          <w:szCs w:val="27"/>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overflowPunct w:val="fals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 xml:space="preserve">1. Надати ГАРАЖНОМУ КООПЕРАТИВУ «АВТОКОМП-2»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6"/>
          <w:kern w:val="0"/>
          <w:sz w:val="27"/>
          <w:szCs w:val="27"/>
          <w:shd w:fill="FFFFFF" w:val="clear"/>
          <w:lang w:val="uk-UA" w:eastAsia="zh-CN" w:bidi="ar-SA"/>
        </w:rPr>
        <w:t xml:space="preserve">вул. Задворецькій, 27 </w:t>
      </w:r>
      <w:r>
        <w:rPr>
          <w:rFonts w:eastAsia="Times New Roman" w:cs="Times New Roman"/>
          <w:b w:val="false"/>
          <w:bCs w:val="false"/>
          <w:color w:val="auto"/>
          <w:spacing w:val="-6"/>
          <w:kern w:val="0"/>
          <w:sz w:val="27"/>
          <w:szCs w:val="27"/>
          <w:lang w:val="uk-UA" w:eastAsia="zh-CN" w:bidi="ar-SA"/>
        </w:rPr>
        <w:t>у м. Луцьку, площею 0,1785 га.</w:t>
      </w:r>
    </w:p>
    <w:p>
      <w:pPr>
        <w:pStyle w:val="Normal"/>
        <w:widowControl w:val="false"/>
        <w:suppressAutoHyphens w:val="true"/>
        <w:overflowPunct w:val="fals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2. Зобов’язати ГАРАЖНИЙ КООПЕРАТИВ «</w:t>
      </w:r>
      <w:r>
        <w:rPr>
          <w:rFonts w:eastAsia="Times New Roman" w:cs="Times New Roman"/>
          <w:b w:val="false"/>
          <w:bCs w:val="false"/>
          <w:color w:val="000000"/>
          <w:spacing w:val="-6"/>
          <w:kern w:val="0"/>
          <w:sz w:val="27"/>
          <w:szCs w:val="27"/>
          <w:shd w:fill="FFFFFF" w:val="clear"/>
          <w:lang w:val="uk-UA" w:eastAsia="zh-CN" w:bidi="ar-SA"/>
        </w:rPr>
        <w:t>АВТОКОМП-2</w:t>
      </w:r>
      <w:r>
        <w:rPr>
          <w:rFonts w:eastAsia="Times New Roman" w:cs="Times New Roman"/>
          <w:b w:val="false"/>
          <w:bCs w:val="false"/>
          <w:color w:val="auto"/>
          <w:spacing w:val="-6"/>
          <w:kern w:val="0"/>
          <w:sz w:val="27"/>
          <w:szCs w:val="27"/>
          <w:lang w:val="uk-UA" w:eastAsia="zh-CN" w:bidi="ar-SA"/>
        </w:rPr>
        <w:t>»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fals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6"/>
          <w:szCs w:val="26"/>
          <w:lang w:val="uk-UA" w:eastAsia="zh-CN"/>
        </w:rPr>
      </w:pPr>
      <w:r>
        <w:rPr>
          <w:rFonts w:cs="Times New Roman"/>
          <w:color w:val="00000A"/>
          <w:sz w:val="26"/>
          <w:szCs w:val="26"/>
          <w:lang w:val="uk-UA" w:eastAsia="zh-CN"/>
        </w:rPr>
      </w:r>
    </w:p>
    <w:p>
      <w:pPr>
        <w:pStyle w:val="Normal"/>
        <w:widowControl w:val="false"/>
        <w:ind w:left="0" w:right="0" w:firstLine="763"/>
        <w:jc w:val="both"/>
        <w:rPr>
          <w:rFonts w:ascii="Times New Roman" w:hAnsi="Times New Roman"/>
          <w:sz w:val="26"/>
          <w:szCs w:val="26"/>
          <w:lang w:val="uk-UA"/>
        </w:rPr>
      </w:pPr>
      <w:r>
        <w:rPr>
          <w:sz w:val="26"/>
          <w:szCs w:val="26"/>
          <w:lang w:val="uk-UA"/>
        </w:rPr>
      </w:r>
    </w:p>
    <w:p>
      <w:pPr>
        <w:pStyle w:val="Normal"/>
        <w:widowControl w:val="false"/>
        <w:jc w:val="both"/>
        <w:rPr>
          <w:rFonts w:ascii="Times New Roman" w:hAnsi="Times New Roman" w:eastAsia="Times New Roman" w:cs="Times New Roman"/>
          <w:b w:val="false"/>
          <w:b w:val="false"/>
          <w:bCs w:val="false"/>
          <w:color w:val="auto"/>
          <w:spacing w:val="-6"/>
          <w:kern w:val="0"/>
          <w:sz w:val="27"/>
          <w:szCs w:val="27"/>
          <w:lang w:val="uk-UA" w:eastAsia="zh-CN" w:bidi="ar-SA"/>
        </w:rPr>
      </w:pPr>
      <w:r>
        <w:rPr>
          <w:rFonts w:eastAsia="Times New Roman" w:cs="Times New Roman"/>
          <w:b w:val="false"/>
          <w:bCs w:val="false"/>
          <w:color w:val="auto"/>
          <w:spacing w:val="-6"/>
          <w:kern w:val="0"/>
          <w:sz w:val="27"/>
          <w:szCs w:val="27"/>
          <w:lang w:val="uk-UA" w:eastAsia="zh-CN" w:bidi="ar-S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258</TotalTime>
  <Application>LibreOffice/7.4.0.3$Windows_X86_64 LibreOffice_project/f85e47c08ddd19c015c0114a68350214f7066f5a</Application>
  <AppVersion>15.0000</AppVersion>
  <Pages>2</Pages>
  <Words>681</Words>
  <Characters>4347</Characters>
  <CharactersWithSpaces>5259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2024-02-20T11:51:24Z</cp:lastPrinted>
  <dcterms:modified xsi:type="dcterms:W3CDTF">2024-02-23T09:39:55Z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file>