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3891" w14:textId="77777777" w:rsidR="00E469C1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585CF20F" w14:textId="77777777" w:rsidR="00E469C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0BF0C0F" w14:textId="77777777" w:rsidR="00E469C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C3E506D" w14:textId="77777777" w:rsidR="00E469C1" w:rsidRDefault="00E469C1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3DA0292F" w14:textId="77777777" w:rsidR="00E469C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0283E3C1" w14:textId="77777777" w:rsidR="00DD7662" w:rsidRDefault="00000000">
      <w:pPr>
        <w:widowControl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sz w:val="28"/>
          <w:szCs w:val="28"/>
        </w:rPr>
        <w:t xml:space="preserve">езпілотної авіаційної </w:t>
      </w:r>
    </w:p>
    <w:p w14:paraId="62D5D4DC" w14:textId="77777777" w:rsidR="00F55805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Mini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Shark</w:t>
      </w:r>
      <w:proofErr w:type="spellEnd"/>
      <w:r>
        <w:rPr>
          <w:sz w:val="28"/>
          <w:szCs w:val="28"/>
        </w:rPr>
        <w:t>-D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</w:t>
      </w:r>
    </w:p>
    <w:p w14:paraId="4458CF3C" w14:textId="560D99E5" w:rsidR="00E469C1" w:rsidRDefault="00000000">
      <w:pPr>
        <w:widowControl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E12FE80" w14:textId="77777777" w:rsidR="00E469C1" w:rsidRDefault="00E469C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59BA35D6" w14:textId="7C2D9426" w:rsidR="00E469C1" w:rsidRPr="00E85337" w:rsidRDefault="00000000" w:rsidP="00E85337">
      <w:pPr>
        <w:pStyle w:val="a9"/>
        <w:ind w:left="0" w:right="-2" w:firstLine="567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</w:t>
      </w:r>
      <w:r w:rsidR="00E85337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пунктом</w:t>
      </w:r>
      <w:r w:rsidR="00E85337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57B03B91" w14:textId="77777777" w:rsidR="00E469C1" w:rsidRDefault="00E469C1" w:rsidP="00DD7662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1EEA07F0" w14:textId="77777777" w:rsidR="00E469C1" w:rsidRDefault="00000000" w:rsidP="00DD7662">
      <w:pPr>
        <w:pStyle w:val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33F48FF" w14:textId="77777777" w:rsidR="00E469C1" w:rsidRDefault="00000000" w:rsidP="00DD7662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DE02B0F" w14:textId="77777777" w:rsidR="00E469C1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 24.02.2022 № 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1BE0E925" w14:textId="74A00F1C" w:rsidR="00E469C1" w:rsidRDefault="00000000" w:rsidP="00DD7662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DD7662">
        <w:rPr>
          <w:sz w:val="28"/>
          <w:szCs w:val="28"/>
        </w:rPr>
        <w:t xml:space="preserve">постановлено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E5CEC50" w14:textId="77777777" w:rsidR="00E469C1" w:rsidRDefault="00000000" w:rsidP="00DD7662">
      <w:pPr>
        <w:pStyle w:val="ad"/>
        <w:tabs>
          <w:tab w:val="left" w:pos="952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6DE2718E" w14:textId="77777777" w:rsidR="00E469C1" w:rsidRDefault="00000000" w:rsidP="00DD7662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232B5324" w14:textId="77777777" w:rsidR="00E469C1" w:rsidRDefault="00000000" w:rsidP="00DD7662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0215DF9" w14:textId="77777777" w:rsidR="00E469C1" w:rsidRDefault="00000000" w:rsidP="00DD7662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2B1F07C1" w14:textId="77777777" w:rsidR="00E469C1" w:rsidRDefault="00000000" w:rsidP="00DD7662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07938F9" w14:textId="2D0DB317" w:rsidR="00E469C1" w:rsidRDefault="00000000" w:rsidP="00DD7662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DD7662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DD7662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58B9BB3" w14:textId="0C01FA37" w:rsidR="00E469C1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DD7662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</w:t>
      </w:r>
      <w:r w:rsidR="00DD7662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="00DD7662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77E0E370" w14:textId="77777777" w:rsidR="00E469C1" w:rsidRDefault="00000000" w:rsidP="00DD7662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>закупівлі UA-2024-02-27-009823-a,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color w:val="000000"/>
          <w:sz w:val="28"/>
          <w:szCs w:val="28"/>
        </w:rPr>
        <w:t>UA-2024-02-27-009823-a.</w:t>
      </w:r>
    </w:p>
    <w:p w14:paraId="09822F7C" w14:textId="77777777" w:rsidR="00E469C1" w:rsidRDefault="00000000" w:rsidP="00DD7662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2645BD2" w14:textId="77777777" w:rsidR="00E469C1" w:rsidRDefault="00000000" w:rsidP="00DD7662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3F2374D6" w14:textId="77777777" w:rsidR="00E469C1" w:rsidRDefault="00000000" w:rsidP="00DD7662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E45FEA6" w14:textId="766893A1" w:rsidR="00E469C1" w:rsidRDefault="00000000" w:rsidP="00DD7662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DD7662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E46F607" w14:textId="77777777" w:rsidR="00E469C1" w:rsidRDefault="00E469C1">
      <w:pPr>
        <w:pStyle w:val="a9"/>
        <w:ind w:left="0" w:right="180"/>
        <w:rPr>
          <w:color w:val="000000"/>
          <w:sz w:val="28"/>
          <w:szCs w:val="28"/>
        </w:rPr>
      </w:pPr>
    </w:p>
    <w:p w14:paraId="33594E93" w14:textId="77777777" w:rsidR="00E469C1" w:rsidRDefault="00E469C1">
      <w:pPr>
        <w:pStyle w:val="a9"/>
        <w:ind w:left="0" w:right="180"/>
        <w:rPr>
          <w:color w:val="000000"/>
          <w:sz w:val="28"/>
          <w:szCs w:val="28"/>
        </w:rPr>
      </w:pPr>
    </w:p>
    <w:p w14:paraId="042823C4" w14:textId="77777777" w:rsidR="00E469C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2F0B8D3" w14:textId="77777777" w:rsidR="00E469C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37EF26FB" w14:textId="77777777" w:rsidR="00E469C1" w:rsidRDefault="00E469C1">
      <w:pPr>
        <w:pStyle w:val="a9"/>
        <w:ind w:left="0" w:right="180"/>
        <w:rPr>
          <w:color w:val="000000"/>
          <w:sz w:val="24"/>
          <w:szCs w:val="24"/>
        </w:rPr>
      </w:pPr>
    </w:p>
    <w:p w14:paraId="6CB74B17" w14:textId="77777777" w:rsidR="00E469C1" w:rsidRDefault="00E469C1">
      <w:pPr>
        <w:pStyle w:val="a9"/>
        <w:ind w:left="0" w:right="180"/>
        <w:rPr>
          <w:sz w:val="28"/>
          <w:szCs w:val="28"/>
        </w:rPr>
      </w:pPr>
    </w:p>
    <w:p w14:paraId="4EC89E60" w14:textId="77777777" w:rsidR="00E469C1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0170ADCF" w14:textId="77777777" w:rsidR="00E469C1" w:rsidRDefault="00E469C1">
      <w:pPr>
        <w:pStyle w:val="1"/>
        <w:tabs>
          <w:tab w:val="left" w:pos="4687"/>
          <w:tab w:val="left" w:pos="6871"/>
        </w:tabs>
        <w:ind w:left="113"/>
      </w:pPr>
    </w:p>
    <w:p w14:paraId="5AC88503" w14:textId="77777777" w:rsidR="00E469C1" w:rsidRDefault="00E469C1">
      <w:pPr>
        <w:pStyle w:val="1"/>
        <w:tabs>
          <w:tab w:val="left" w:pos="4687"/>
          <w:tab w:val="left" w:pos="6871"/>
        </w:tabs>
        <w:ind w:left="113"/>
      </w:pPr>
    </w:p>
    <w:sectPr w:rsidR="00E469C1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5C1E" w14:textId="77777777" w:rsidR="00DA19AB" w:rsidRDefault="00DA19AB">
      <w:r>
        <w:separator/>
      </w:r>
    </w:p>
  </w:endnote>
  <w:endnote w:type="continuationSeparator" w:id="0">
    <w:p w14:paraId="62813855" w14:textId="77777777" w:rsidR="00DA19AB" w:rsidRDefault="00DA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2E26" w14:textId="77777777" w:rsidR="00DA19AB" w:rsidRDefault="00DA19AB">
      <w:r>
        <w:separator/>
      </w:r>
    </w:p>
  </w:footnote>
  <w:footnote w:type="continuationSeparator" w:id="0">
    <w:p w14:paraId="518BB3AF" w14:textId="77777777" w:rsidR="00DA19AB" w:rsidRDefault="00DA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257670"/>
      <w:docPartObj>
        <w:docPartGallery w:val="Page Numbers (Top of Page)"/>
        <w:docPartUnique/>
      </w:docPartObj>
    </w:sdtPr>
    <w:sdtContent>
      <w:p w14:paraId="5388B6B1" w14:textId="77777777" w:rsidR="00E469C1" w:rsidRDefault="00E469C1">
        <w:pPr>
          <w:pStyle w:val="a5"/>
          <w:jc w:val="center"/>
        </w:pPr>
      </w:p>
      <w:p w14:paraId="3ED5985D" w14:textId="77777777" w:rsidR="00E469C1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3430F7D" w14:textId="77777777" w:rsidR="00E469C1" w:rsidRDefault="00E469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9C1"/>
    <w:rsid w:val="00C627F9"/>
    <w:rsid w:val="00C65536"/>
    <w:rsid w:val="00DA19AB"/>
    <w:rsid w:val="00DD7662"/>
    <w:rsid w:val="00E469C1"/>
    <w:rsid w:val="00E85337"/>
    <w:rsid w:val="00F5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A597"/>
  <w15:docId w15:val="{31F96285-D5C0-4A32-8065-EBD16D60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4308</Words>
  <Characters>2456</Characters>
  <Application>Microsoft Office Word</Application>
  <DocSecurity>0</DocSecurity>
  <Lines>20</Lines>
  <Paragraphs>13</Paragraphs>
  <ScaleCrop>false</ScaleCrop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38</cp:revision>
  <cp:lastPrinted>2023-09-15T13:53:00Z</cp:lastPrinted>
  <dcterms:created xsi:type="dcterms:W3CDTF">2023-05-29T13:44:00Z</dcterms:created>
  <dcterms:modified xsi:type="dcterms:W3CDTF">2024-03-13T13:34:00Z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