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jc w:val="both"/>
        <w:rPr/>
      </w:pPr>
      <w:r>
        <w:rPr/>
        <w:tab/>
        <w:tab/>
        <w:tab/>
        <w:tab/>
        <w:tab/>
        <w:tab/>
        <w:tab/>
        <w:tab/>
        <w:tab/>
        <w:t>до рішення міської ради</w:t>
      </w:r>
    </w:p>
    <w:p>
      <w:pPr>
        <w:pStyle w:val="Normal"/>
        <w:ind w:left="4820" w:right="0" w:hanging="0"/>
        <w:jc w:val="both"/>
        <w:rPr>
          <w:sz w:val="24"/>
          <w:szCs w:val="28"/>
          <w:lang w:eastAsia="zh-CN"/>
        </w:rPr>
      </w:pPr>
      <w:r>
        <w:rPr>
          <w:sz w:val="24"/>
          <w:szCs w:val="28"/>
          <w:lang w:eastAsia="zh-CN"/>
        </w:rPr>
        <w:tab/>
        <w:tab/>
        <w:tab/>
        <w:t>___________ № _____</w:t>
      </w:r>
    </w:p>
    <w:p>
      <w:pPr>
        <w:pStyle w:val="Normal"/>
        <w:ind w:left="4820" w:right="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4820" w:right="0" w:hanging="0"/>
        <w:jc w:val="both"/>
        <w:rPr>
          <w:sz w:val="28"/>
        </w:rPr>
      </w:pPr>
      <w:r>
        <w:rPr>
          <w:sz w:val="28"/>
        </w:rPr>
      </w:r>
    </w:p>
    <w:p>
      <w:pPr>
        <w:pStyle w:val="Normal"/>
        <w:jc w:val="center"/>
        <w:rPr/>
      </w:pPr>
      <w:r>
        <w:rPr/>
        <w:t>ПАСПОРТ ПРОГРАМИ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 xml:space="preserve">розвитку цивільного захисту </w:t>
      </w:r>
    </w:p>
    <w:p>
      <w:pPr>
        <w:pStyle w:val="Normal"/>
        <w:jc w:val="center"/>
        <w:rPr/>
      </w:pPr>
      <w:r>
        <w:rPr/>
        <w:t xml:space="preserve">Луцької міської територіальної </w:t>
      </w:r>
      <w:r>
        <w:rPr>
          <w:sz w:val="28"/>
          <w:szCs w:val="28"/>
          <w:lang w:eastAsia="zh-CN"/>
        </w:rPr>
        <w:t xml:space="preserve">громади </w:t>
      </w:r>
    </w:p>
    <w:p>
      <w:pPr>
        <w:pStyle w:val="Normal"/>
        <w:jc w:val="center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на 2021-2025 роки</w:t>
      </w:r>
    </w:p>
    <w:p>
      <w:pPr>
        <w:pStyle w:val="Normal"/>
        <w:jc w:val="center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</w:r>
    </w:p>
    <w:tbl>
      <w:tblPr>
        <w:tblW w:w="9827" w:type="dxa"/>
        <w:jc w:val="left"/>
        <w:tblInd w:w="-18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-2" w:type="dxa"/>
          <w:bottom w:w="55" w:type="dxa"/>
          <w:right w:w="55" w:type="dxa"/>
        </w:tblCellMar>
      </w:tblPr>
      <w:tblGrid>
        <w:gridCol w:w="564"/>
        <w:gridCol w:w="3576"/>
        <w:gridCol w:w="5687"/>
      </w:tblGrid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widowControl/>
              <w:suppressAutoHyphens w:val="true"/>
              <w:overflowPunct w:val="fals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Ініціатор розроблення Програми</w:t>
            </w:r>
          </w:p>
        </w:tc>
        <w:tc>
          <w:tcPr>
            <w:tcW w:w="5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widowControl/>
              <w:suppressAutoHyphens w:val="true"/>
              <w:overflowPunct w:val="false"/>
              <w:bidi w:val="0"/>
              <w:ind w:left="170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Відділ з питань надзвичайних ситуацій та цивільного захисту населення міської ради</w:t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widowControl/>
              <w:suppressAutoHyphens w:val="true"/>
              <w:overflowPunct w:val="fals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Дата, номер і назва розпорядчого документа органу виконавчої влади про розроблення документа</w:t>
            </w:r>
          </w:p>
        </w:tc>
        <w:tc>
          <w:tcPr>
            <w:tcW w:w="5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widowControl/>
              <w:suppressAutoHyphens w:val="true"/>
              <w:overflowPunct w:val="fals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Розробник програми</w:t>
            </w:r>
          </w:p>
        </w:tc>
        <w:tc>
          <w:tcPr>
            <w:tcW w:w="5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widowControl/>
              <w:suppressAutoHyphens w:val="true"/>
              <w:overflowPunct w:val="false"/>
              <w:bidi w:val="0"/>
              <w:ind w:left="113" w:right="0" w:hanging="0"/>
              <w:jc w:val="left"/>
              <w:rPr/>
            </w:pPr>
            <w:r>
              <w:rPr>
                <w:sz w:val="28"/>
                <w:szCs w:val="28"/>
              </w:rPr>
              <w:t>Відділ з питань надзвичайних ситуацій та цивільного захисту населення міської ради</w:t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widowControl/>
              <w:suppressAutoHyphens w:val="true"/>
              <w:overflowPunct w:val="fals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Співрозробник Програми</w:t>
            </w:r>
          </w:p>
        </w:tc>
        <w:tc>
          <w:tcPr>
            <w:tcW w:w="5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widowControl/>
              <w:suppressAutoHyphens w:val="true"/>
              <w:overflowPunct w:val="false"/>
              <w:bidi w:val="0"/>
              <w:ind w:left="113" w:right="0" w:hanging="0"/>
              <w:jc w:val="left"/>
              <w:rPr/>
            </w:pPr>
            <w:r>
              <w:rPr>
                <w:sz w:val="28"/>
                <w:szCs w:val="28"/>
              </w:rPr>
              <w:t xml:space="preserve">Департамент освіти, </w:t>
            </w:r>
            <w:bookmarkStart w:id="0" w:name="__DdeLink__1217_3614273091"/>
            <w:bookmarkEnd w:id="0"/>
            <w:r>
              <w:rPr>
                <w:sz w:val="28"/>
                <w:szCs w:val="28"/>
              </w:rPr>
              <w:t>Луцьке районне управління головного управління ДСНС України у Волинській області</w:t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widowControl/>
              <w:suppressAutoHyphens w:val="true"/>
              <w:overflowPunct w:val="fals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Відповідальні виконавці Програми</w:t>
            </w:r>
          </w:p>
        </w:tc>
        <w:tc>
          <w:tcPr>
            <w:tcW w:w="5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widowControl/>
              <w:suppressAutoHyphens w:val="true"/>
              <w:overflowPunct w:val="fals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Відділ з питань надзвичайних ситуацій та цивільного захисту населення міської ради</w:t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widowControl/>
              <w:suppressAutoHyphens w:val="true"/>
              <w:overflowPunct w:val="fals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Учасники Програми</w:t>
            </w:r>
          </w:p>
        </w:tc>
        <w:tc>
          <w:tcPr>
            <w:tcW w:w="5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widowControl/>
              <w:suppressAutoHyphens w:val="true"/>
              <w:overflowPunct w:val="false"/>
              <w:bidi w:val="0"/>
              <w:ind w:left="113" w:right="0" w:hanging="0"/>
              <w:jc w:val="left"/>
              <w:rPr/>
            </w:pPr>
            <w:r>
              <w:rPr>
                <w:sz w:val="28"/>
                <w:szCs w:val="28"/>
              </w:rPr>
              <w:t>Виконавчі органи Луцької міської ради, комунальні підприємства Луцької міської територіальної громади, Луцьке районне управління головного управління ДСНС України у Волинській області, ОСББ, ЖБК, управителі багатоквартирних будинків</w:t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widowControl/>
              <w:suppressAutoHyphens w:val="true"/>
              <w:overflowPunct w:val="fals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Термін реалізації Програми</w:t>
            </w:r>
          </w:p>
        </w:tc>
        <w:tc>
          <w:tcPr>
            <w:tcW w:w="5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widowControl/>
              <w:suppressAutoHyphens w:val="true"/>
              <w:overflowPunct w:val="fals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2021 - 2025 роки</w:t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8.1.</w:t>
            </w:r>
          </w:p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8.2.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widowControl/>
              <w:suppressAutoHyphens w:val="true"/>
              <w:overflowPunct w:val="fals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Загальний обсяг фінансових ресурсів, необхідних для реалізації Програми, всього</w:t>
            </w:r>
          </w:p>
          <w:p>
            <w:pPr>
              <w:pStyle w:val="Normal"/>
              <w:widowControl/>
              <w:suppressAutoHyphens w:val="true"/>
              <w:overflowPunct w:val="false"/>
              <w:bidi w:val="0"/>
              <w:ind w:left="113" w:right="0" w:hanging="0"/>
              <w:jc w:val="left"/>
              <w:rPr/>
            </w:pPr>
            <w:r>
              <w:rPr/>
              <w:t>тис. грн,</w:t>
            </w:r>
          </w:p>
          <w:p>
            <w:pPr>
              <w:pStyle w:val="Normal"/>
              <w:widowControl/>
              <w:suppressAutoHyphens w:val="true"/>
              <w:overflowPunct w:val="false"/>
              <w:bidi w:val="0"/>
              <w:ind w:left="113" w:right="0" w:hanging="0"/>
              <w:jc w:val="left"/>
              <w:rPr/>
            </w:pPr>
            <w:r>
              <w:rPr/>
              <w:t>в тому числі:</w:t>
            </w:r>
          </w:p>
          <w:p>
            <w:pPr>
              <w:pStyle w:val="Normal"/>
              <w:widowControl/>
              <w:suppressAutoHyphens w:val="true"/>
              <w:overflowPunct w:val="false"/>
              <w:bidi w:val="0"/>
              <w:ind w:left="113" w:right="0" w:hanging="0"/>
              <w:jc w:val="left"/>
              <w:rPr/>
            </w:pPr>
            <w:r>
              <w:rPr/>
              <w:t>коштів бюджету громади</w:t>
            </w:r>
          </w:p>
          <w:p>
            <w:pPr>
              <w:pStyle w:val="Normal"/>
              <w:widowControl/>
              <w:suppressAutoHyphens w:val="true"/>
              <w:overflowPunct w:val="fals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коштів інших джерел</w:t>
            </w:r>
          </w:p>
        </w:tc>
        <w:tc>
          <w:tcPr>
            <w:tcW w:w="5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widowControl/>
              <w:suppressAutoHyphens w:val="true"/>
              <w:overflowPunct w:val="fals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26"/>
              <w:widowControl/>
              <w:suppressAutoHyphens w:val="true"/>
              <w:overflowPunct w:val="fals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26"/>
              <w:widowControl/>
              <w:suppressAutoHyphens w:val="true"/>
              <w:overflowPunct w:val="fals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26"/>
              <w:widowControl/>
              <w:suppressAutoHyphens w:val="true"/>
              <w:overflowPunct w:val="false"/>
              <w:bidi w:val="0"/>
              <w:ind w:left="113" w:right="0" w:hanging="0"/>
              <w:jc w:val="left"/>
              <w:rPr/>
            </w:pPr>
            <w:r>
              <w:rPr>
                <w:sz w:val="28"/>
                <w:szCs w:val="28"/>
                <w:lang w:val="uk-UA"/>
              </w:rPr>
              <w:t>301</w:t>
            </w:r>
            <w:bookmarkStart w:id="1" w:name="__DdeLink__4315_3808133825"/>
            <w:r>
              <w:rPr>
                <w:sz w:val="28"/>
                <w:szCs w:val="28"/>
              </w:rPr>
              <w:t xml:space="preserve"> </w:t>
            </w:r>
            <w:bookmarkEnd w:id="1"/>
            <w:r>
              <w:rPr>
                <w:sz w:val="28"/>
                <w:szCs w:val="28"/>
                <w:lang w:val="uk-UA"/>
              </w:rPr>
              <w:t>320</w:t>
            </w:r>
            <w:r>
              <w:rPr>
                <w:sz w:val="28"/>
                <w:szCs w:val="28"/>
              </w:rPr>
              <w:t>,0</w:t>
            </w:r>
          </w:p>
          <w:p>
            <w:pPr>
              <w:pStyle w:val="Style26"/>
              <w:widowControl/>
              <w:suppressAutoHyphens w:val="true"/>
              <w:overflowPunct w:val="fals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26"/>
              <w:widowControl/>
              <w:suppressAutoHyphens w:val="true"/>
              <w:overflowPunct w:val="false"/>
              <w:bidi w:val="0"/>
              <w:ind w:left="113" w:right="0" w:hanging="0"/>
              <w:jc w:val="left"/>
              <w:rPr/>
            </w:pPr>
            <w:r>
              <w:rPr>
                <w:sz w:val="28"/>
                <w:szCs w:val="28"/>
                <w:lang w:val="uk-UA"/>
              </w:rPr>
              <w:t>301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320</w:t>
            </w:r>
            <w:r>
              <w:rPr>
                <w:sz w:val="28"/>
                <w:szCs w:val="28"/>
              </w:rPr>
              <w:t>,0</w:t>
            </w:r>
          </w:p>
        </w:tc>
      </w:tr>
    </w:tbl>
    <w:p>
      <w:pPr>
        <w:pStyle w:val="Normal"/>
        <w:jc w:val="center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</w:r>
    </w:p>
    <w:p>
      <w:pPr>
        <w:pStyle w:val="Normal"/>
        <w:jc w:val="center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</w:r>
    </w:p>
    <w:p>
      <w:pPr>
        <w:pStyle w:val="Normal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Секретар міської ради</w:t>
        <w:tab/>
        <w:tab/>
        <w:tab/>
        <w:tab/>
        <w:tab/>
        <w:tab/>
        <w:t>Юрій БЕЗПЯТКО</w:t>
      </w:r>
    </w:p>
    <w:p>
      <w:pPr>
        <w:pStyle w:val="Normal"/>
        <w:jc w:val="both"/>
        <w:rPr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</w:r>
    </w:p>
    <w:p>
      <w:pPr>
        <w:pStyle w:val="Normal"/>
        <w:jc w:val="both"/>
        <w:rPr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</w:r>
    </w:p>
    <w:p>
      <w:pPr>
        <w:sectPr>
          <w:type w:val="nextPage"/>
          <w:pgSz w:w="11906" w:h="16838"/>
          <w:pgMar w:left="1701" w:right="567" w:header="0" w:top="567" w:footer="0" w:bottom="1134" w:gutter="0"/>
          <w:pgNumType w:fmt="decimal"/>
          <w:formProt w:val="false"/>
          <w:textDirection w:val="lrTb"/>
          <w:docGrid w:type="default" w:linePitch="360" w:charSpace="0"/>
        </w:sectPr>
        <w:pStyle w:val="Normal"/>
        <w:jc w:val="both"/>
        <w:rPr/>
      </w:pPr>
      <w:r>
        <w:rPr>
          <w:sz w:val="24"/>
          <w:szCs w:val="24"/>
          <w:lang w:eastAsia="zh-CN"/>
        </w:rPr>
        <w:t>Кирилюк 720 087</w:t>
        <w:tab/>
      </w:r>
    </w:p>
    <w:p>
      <w:pPr>
        <w:pStyle w:val="212"/>
        <w:jc w:val="both"/>
        <w:rPr>
          <w:sz w:val="24"/>
          <w:szCs w:val="28"/>
          <w:lang w:eastAsia="zh-CN"/>
        </w:rPr>
      </w:pPr>
      <w:r>
        <w:rPr>
          <w:sz w:val="24"/>
          <w:szCs w:val="28"/>
          <w:lang w:eastAsia="zh-CN"/>
        </w:rPr>
      </w:r>
    </w:p>
    <w:p>
      <w:pPr>
        <w:pStyle w:val="212"/>
        <w:jc w:val="both"/>
        <w:rPr>
          <w:sz w:val="28"/>
          <w:szCs w:val="28"/>
        </w:rPr>
      </w:pPr>
      <w:r>
        <w:rPr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Додаток 1  </w:t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до </w:t>
      </w:r>
      <w:r>
        <w:rPr>
          <w:sz w:val="28"/>
        </w:rPr>
        <w:t xml:space="preserve">Програми розвитку </w:t>
      </w:r>
    </w:p>
    <w:p>
      <w:pPr>
        <w:pStyle w:val="Normal"/>
        <w:jc w:val="both"/>
        <w:rPr/>
      </w:pPr>
      <w:r>
        <w:rPr>
          <w:sz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цивільного захисту </w:t>
      </w:r>
      <w:r>
        <w:rPr>
          <w:sz w:val="28"/>
          <w:lang w:eastAsia="zh-CN"/>
        </w:rPr>
        <w:t xml:space="preserve">Луцької                                   </w:t>
      </w:r>
    </w:p>
    <w:p>
      <w:pPr>
        <w:pStyle w:val="Normal"/>
        <w:jc w:val="both"/>
        <w:rPr>
          <w:sz w:val="28"/>
          <w:lang w:eastAsia="zh-CN"/>
        </w:rPr>
      </w:pPr>
      <w:r>
        <w:rPr>
          <w:sz w:val="28"/>
          <w:lang w:eastAsia="zh-CN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міської територіальної громади </w:t>
      </w:r>
    </w:p>
    <w:p>
      <w:pPr>
        <w:pStyle w:val="Normal"/>
        <w:jc w:val="both"/>
        <w:rPr>
          <w:sz w:val="28"/>
          <w:lang w:eastAsia="zh-CN"/>
        </w:rPr>
      </w:pPr>
      <w:r>
        <w:rPr>
          <w:sz w:val="28"/>
          <w:lang w:eastAsia="zh-CN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>на 2021-2025 роки</w:t>
      </w:r>
    </w:p>
    <w:p>
      <w:pPr>
        <w:pStyle w:val="Normal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</w:t>
      </w:r>
    </w:p>
    <w:p>
      <w:pPr>
        <w:pStyle w:val="Normal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</w:t>
      </w:r>
    </w:p>
    <w:p>
      <w:pPr>
        <w:pStyle w:val="Normal"/>
        <w:jc w:val="center"/>
        <w:rPr/>
      </w:pPr>
      <w:r>
        <w:rPr>
          <w:sz w:val="28"/>
          <w:szCs w:val="28"/>
        </w:rPr>
        <w:t xml:space="preserve">Ресурсне забезпечення </w:t>
      </w:r>
      <w:r>
        <w:rPr>
          <w:sz w:val="28"/>
        </w:rPr>
        <w:t>Програми  розвитку цивільного захисту Луцької міської територіальної громади на 2021-2025 роки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tbl>
      <w:tblPr>
        <w:tblW w:w="15226" w:type="dxa"/>
        <w:jc w:val="left"/>
        <w:tblInd w:w="-15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-2" w:type="dxa"/>
          <w:bottom w:w="55" w:type="dxa"/>
          <w:right w:w="55" w:type="dxa"/>
        </w:tblCellMar>
      </w:tblPr>
      <w:tblGrid>
        <w:gridCol w:w="2894"/>
        <w:gridCol w:w="2040"/>
        <w:gridCol w:w="2146"/>
        <w:gridCol w:w="2098"/>
        <w:gridCol w:w="2099"/>
        <w:gridCol w:w="1695"/>
        <w:gridCol w:w="2253"/>
      </w:tblGrid>
      <w:tr>
        <w:trPr>
          <w:cantSplit w:val="true"/>
        </w:trPr>
        <w:tc>
          <w:tcPr>
            <w:tcW w:w="289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Обсяг коштів, які пропонується залучати на виконання Програми</w:t>
            </w:r>
          </w:p>
        </w:tc>
        <w:tc>
          <w:tcPr>
            <w:tcW w:w="10078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Етапи виконання Програми</w:t>
            </w:r>
          </w:p>
        </w:tc>
        <w:tc>
          <w:tcPr>
            <w:tcW w:w="225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Усього витрат на виконання Програми</w:t>
            </w:r>
          </w:p>
          <w:p>
            <w:pPr>
              <w:pStyle w:val="Style28"/>
              <w:snapToGrid w:val="false"/>
              <w:jc w:val="center"/>
              <w:rPr/>
            </w:pPr>
            <w:r>
              <w:rPr>
                <w:sz w:val="28"/>
                <w:szCs w:val="28"/>
              </w:rPr>
              <w:t>(тис. грн)</w:t>
            </w:r>
          </w:p>
        </w:tc>
      </w:tr>
      <w:tr>
        <w:trPr>
          <w:cantSplit w:val="true"/>
        </w:trPr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2021 р.</w:t>
            </w:r>
          </w:p>
        </w:tc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2022 р.</w:t>
            </w:r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2023 р.</w:t>
            </w:r>
          </w:p>
        </w:tc>
        <w:tc>
          <w:tcPr>
            <w:tcW w:w="20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2024 р.</w:t>
            </w:r>
          </w:p>
        </w:tc>
        <w:tc>
          <w:tcPr>
            <w:tcW w:w="16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2025р.</w:t>
            </w:r>
          </w:p>
        </w:tc>
        <w:tc>
          <w:tcPr>
            <w:tcW w:w="225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8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/>
            </w:pPr>
            <w:r>
              <w:rPr>
                <w:sz w:val="28"/>
                <w:szCs w:val="28"/>
              </w:rPr>
              <w:t>Обсяг ресурсів усього (тис. грн),</w:t>
            </w:r>
          </w:p>
          <w:p>
            <w:pPr>
              <w:pStyle w:val="Style28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 тому числі:</w:t>
            </w:r>
          </w:p>
        </w:tc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 xml:space="preserve">5 </w:t>
            </w: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73</w:t>
            </w:r>
            <w:r>
              <w:rPr>
                <w:b w:val="false"/>
                <w:bCs w:val="false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  <w:lang w:val="uk-UA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91 430,0</w:t>
            </w:r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  <w:lang w:val="uk-UA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115 310,0</w:t>
            </w:r>
          </w:p>
        </w:tc>
        <w:tc>
          <w:tcPr>
            <w:tcW w:w="20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86 490,0</w:t>
            </w:r>
          </w:p>
        </w:tc>
        <w:tc>
          <w:tcPr>
            <w:tcW w:w="16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2 360,0</w:t>
            </w:r>
          </w:p>
        </w:tc>
        <w:tc>
          <w:tcPr>
            <w:tcW w:w="2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widowControl/>
              <w:suppressAutoHyphens w:val="true"/>
              <w:overflowPunct w:val="false"/>
              <w:bidi w:val="0"/>
              <w:snapToGrid w:val="false"/>
              <w:ind w:left="113" w:right="0" w:hanging="0"/>
              <w:jc w:val="center"/>
              <w:rPr/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301</w:t>
            </w:r>
            <w:bookmarkStart w:id="2" w:name="__DdeLink__4315_38081338251"/>
            <w:r>
              <w:rPr>
                <w:b w:val="false"/>
                <w:bCs w:val="false"/>
                <w:color w:val="000000"/>
                <w:sz w:val="28"/>
                <w:szCs w:val="28"/>
              </w:rPr>
              <w:t xml:space="preserve"> </w:t>
            </w:r>
            <w:bookmarkEnd w:id="2"/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320</w:t>
            </w:r>
            <w:r>
              <w:rPr>
                <w:b w:val="false"/>
                <w:bCs w:val="false"/>
                <w:color w:val="000000"/>
                <w:sz w:val="28"/>
                <w:szCs w:val="28"/>
              </w:rPr>
              <w:t>,0</w:t>
            </w:r>
          </w:p>
        </w:tc>
      </w:tr>
      <w:tr>
        <w:trPr/>
        <w:tc>
          <w:tcPr>
            <w:tcW w:w="28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громади</w:t>
            </w:r>
          </w:p>
          <w:p>
            <w:pPr>
              <w:pStyle w:val="Style28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(тис. грн)</w:t>
            </w:r>
          </w:p>
        </w:tc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 xml:space="preserve">5 </w:t>
            </w: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73</w:t>
            </w:r>
            <w:r>
              <w:rPr>
                <w:b w:val="false"/>
                <w:bCs w:val="false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  <w:lang w:val="uk-UA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91 430,0</w:t>
            </w:r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  <w:lang w:val="uk-UA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115 310,0</w:t>
            </w:r>
          </w:p>
        </w:tc>
        <w:tc>
          <w:tcPr>
            <w:tcW w:w="20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86 490,0</w:t>
            </w:r>
          </w:p>
        </w:tc>
        <w:tc>
          <w:tcPr>
            <w:tcW w:w="16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2 360,0</w:t>
            </w:r>
          </w:p>
        </w:tc>
        <w:tc>
          <w:tcPr>
            <w:tcW w:w="2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widowControl/>
              <w:suppressAutoHyphens w:val="true"/>
              <w:overflowPunct w:val="false"/>
              <w:bidi w:val="0"/>
              <w:snapToGrid w:val="false"/>
              <w:ind w:left="113" w:right="0" w:hanging="0"/>
              <w:jc w:val="center"/>
              <w:rPr/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301</w:t>
            </w:r>
            <w:bookmarkStart w:id="3" w:name="__DdeLink__4315_38081338252"/>
            <w:r>
              <w:rPr>
                <w:b w:val="false"/>
                <w:bCs w:val="false"/>
                <w:color w:val="000000"/>
                <w:sz w:val="28"/>
                <w:szCs w:val="28"/>
              </w:rPr>
              <w:t xml:space="preserve"> </w:t>
            </w:r>
            <w:bookmarkEnd w:id="3"/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320</w:t>
            </w:r>
            <w:r>
              <w:rPr>
                <w:b w:val="false"/>
                <w:bCs w:val="false"/>
                <w:color w:val="000000"/>
                <w:sz w:val="28"/>
                <w:szCs w:val="28"/>
              </w:rPr>
              <w:t>,0</w:t>
            </w:r>
          </w:p>
        </w:tc>
      </w:tr>
    </w:tbl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bCs w:val="false"/>
          <w:sz w:val="24"/>
          <w:szCs w:val="28"/>
          <w:lang w:eastAsia="zh-CN"/>
        </w:rPr>
      </w:pPr>
      <w:r>
        <w:rPr>
          <w:bCs w:val="false"/>
          <w:sz w:val="24"/>
          <w:szCs w:val="28"/>
          <w:lang w:eastAsia="zh-CN"/>
        </w:rPr>
        <w:t>Кирилюк 720 087</w:t>
      </w:r>
    </w:p>
    <w:p>
      <w:pPr>
        <w:pStyle w:val="Normal"/>
        <w:jc w:val="both"/>
        <w:rPr>
          <w:bCs w:val="false"/>
          <w:sz w:val="24"/>
          <w:szCs w:val="28"/>
          <w:lang w:eastAsia="zh-CN"/>
        </w:rPr>
      </w:pPr>
      <w:r>
        <w:rPr>
          <w:bCs w:val="false"/>
          <w:sz w:val="24"/>
          <w:szCs w:val="28"/>
          <w:lang w:eastAsia="zh-CN"/>
        </w:rPr>
      </w:r>
    </w:p>
    <w:p>
      <w:pPr>
        <w:pStyle w:val="Normal"/>
        <w:jc w:val="both"/>
        <w:rPr>
          <w:bCs w:val="false"/>
          <w:sz w:val="24"/>
          <w:szCs w:val="28"/>
          <w:lang w:eastAsia="zh-CN"/>
        </w:rPr>
      </w:pPr>
      <w:r>
        <w:rPr>
          <w:bCs w:val="false"/>
          <w:sz w:val="24"/>
          <w:szCs w:val="28"/>
          <w:lang w:eastAsia="zh-CN"/>
        </w:rPr>
      </w:r>
    </w:p>
    <w:p>
      <w:pPr>
        <w:pStyle w:val="Normal"/>
        <w:jc w:val="both"/>
        <w:rPr>
          <w:bCs w:val="false"/>
          <w:sz w:val="24"/>
          <w:szCs w:val="28"/>
          <w:lang w:eastAsia="zh-CN"/>
        </w:rPr>
      </w:pPr>
      <w:r>
        <w:rPr>
          <w:bCs w:val="false"/>
          <w:sz w:val="24"/>
          <w:szCs w:val="28"/>
          <w:lang w:eastAsia="zh-CN"/>
        </w:rPr>
      </w:r>
    </w:p>
    <w:p>
      <w:pPr>
        <w:pStyle w:val="Normal"/>
        <w:jc w:val="both"/>
        <w:rPr>
          <w:bCs w:val="false"/>
          <w:sz w:val="24"/>
          <w:szCs w:val="28"/>
          <w:lang w:eastAsia="zh-CN"/>
        </w:rPr>
      </w:pPr>
      <w:r>
        <w:rPr>
          <w:bCs w:val="false"/>
          <w:sz w:val="24"/>
          <w:szCs w:val="28"/>
          <w:lang w:eastAsia="zh-CN"/>
        </w:rPr>
      </w:r>
    </w:p>
    <w:p>
      <w:pPr>
        <w:pStyle w:val="Normal"/>
        <w:jc w:val="both"/>
        <w:rPr>
          <w:bCs w:val="false"/>
          <w:sz w:val="24"/>
          <w:szCs w:val="28"/>
          <w:lang w:eastAsia="zh-CN"/>
        </w:rPr>
      </w:pPr>
      <w:r>
        <w:rPr>
          <w:bCs w:val="false"/>
          <w:sz w:val="24"/>
          <w:szCs w:val="28"/>
          <w:lang w:eastAsia="zh-CN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>Додаток 2</w:t>
      </w:r>
    </w:p>
    <w:p>
      <w:pPr>
        <w:pStyle w:val="5"/>
        <w:numPr>
          <w:ilvl w:val="4"/>
          <w:numId w:val="2"/>
        </w:numPr>
        <w:spacing w:before="0" w:after="0"/>
        <w:jc w:val="both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до Програми розвитку </w:t>
      </w:r>
    </w:p>
    <w:p>
      <w:pPr>
        <w:pStyle w:val="1"/>
        <w:numPr>
          <w:ilvl w:val="0"/>
          <w:numId w:val="2"/>
        </w:numPr>
        <w:jc w:val="both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>цивільного захисту Луцької</w:t>
      </w:r>
    </w:p>
    <w:p>
      <w:pPr>
        <w:pStyle w:val="Normal"/>
        <w:jc w:val="both"/>
        <w:rPr/>
      </w:pPr>
      <w:r>
        <w:rPr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міської територіальної громади </w:t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>на 2021-2025 роки</w:t>
      </w:r>
    </w:p>
    <w:p>
      <w:pPr>
        <w:pStyle w:val="1"/>
        <w:numPr>
          <w:ilvl w:val="0"/>
          <w:numId w:val="2"/>
        </w:numPr>
        <w:ind w:left="1531" w:right="0" w:hanging="454"/>
        <w:rPr>
          <w:sz w:val="28"/>
          <w:szCs w:val="28"/>
        </w:rPr>
      </w:pPr>
      <w:r>
        <w:rPr>
          <w:b w:val="false"/>
          <w:bCs w:val="false"/>
          <w:sz w:val="28"/>
          <w:szCs w:val="28"/>
        </w:rPr>
        <w:t xml:space="preserve">  </w:t>
      </w:r>
    </w:p>
    <w:p>
      <w:pPr>
        <w:pStyle w:val="1"/>
        <w:numPr>
          <w:ilvl w:val="0"/>
          <w:numId w:val="2"/>
        </w:numPr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 xml:space="preserve">Напрями діяльності, завдання та заходи </w:t>
      </w:r>
    </w:p>
    <w:p>
      <w:pPr>
        <w:pStyle w:val="1"/>
        <w:numPr>
          <w:ilvl w:val="0"/>
          <w:numId w:val="2"/>
        </w:numPr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 xml:space="preserve">виконання Програми розвитку цивільного захисту </w:t>
      </w:r>
    </w:p>
    <w:p>
      <w:pPr>
        <w:pStyle w:val="1"/>
        <w:numPr>
          <w:ilvl w:val="0"/>
          <w:numId w:val="2"/>
        </w:numPr>
        <w:rPr/>
      </w:pPr>
      <w:r>
        <w:rPr>
          <w:b w:val="false"/>
          <w:bCs w:val="false"/>
          <w:sz w:val="28"/>
          <w:szCs w:val="28"/>
        </w:rPr>
        <w:t>Луцької</w:t>
      </w:r>
      <w:r>
        <w:rPr>
          <w:sz w:val="28"/>
        </w:rPr>
        <w:t xml:space="preserve"> </w:t>
      </w:r>
      <w:r>
        <w:rPr>
          <w:b w:val="false"/>
          <w:bCs w:val="false"/>
          <w:sz w:val="28"/>
        </w:rPr>
        <w:t xml:space="preserve">міської територіальної громади </w:t>
      </w:r>
      <w:r>
        <w:rPr>
          <w:b w:val="false"/>
          <w:bCs w:val="false"/>
          <w:sz w:val="28"/>
          <w:szCs w:val="28"/>
        </w:rPr>
        <w:t>на 2021-2025 роки</w:t>
      </w:r>
    </w:p>
    <w:p>
      <w:pPr>
        <w:pStyle w:val="Normal"/>
        <w:numPr>
          <w:ilvl w:val="0"/>
          <w:numId w:val="2"/>
        </w:numPr>
        <w:jc w:val="center"/>
        <w:rPr/>
      </w:pPr>
      <w:r>
        <w:rPr/>
      </w:r>
    </w:p>
    <w:tbl>
      <w:tblPr>
        <w:tblW w:w="15816" w:type="dxa"/>
        <w:jc w:val="left"/>
        <w:tblInd w:w="-17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-5" w:type="dxa"/>
          <w:bottom w:w="0" w:type="dxa"/>
          <w:right w:w="108" w:type="dxa"/>
        </w:tblCellMar>
      </w:tblPr>
      <w:tblGrid>
        <w:gridCol w:w="428"/>
        <w:gridCol w:w="2920"/>
        <w:gridCol w:w="3060"/>
        <w:gridCol w:w="1188"/>
        <w:gridCol w:w="1188"/>
        <w:gridCol w:w="972"/>
        <w:gridCol w:w="1068"/>
        <w:gridCol w:w="1200"/>
        <w:gridCol w:w="1022"/>
        <w:gridCol w:w="960"/>
        <w:gridCol w:w="1808"/>
      </w:tblGrid>
      <w:tr>
        <w:trPr>
          <w:trHeight w:val="1244" w:hRule="atLeast"/>
          <w:cantSplit w:val="true"/>
        </w:trPr>
        <w:tc>
          <w:tcPr>
            <w:tcW w:w="42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rPr/>
            </w:pPr>
            <w:r>
              <w:rPr/>
              <w:t xml:space="preserve">№ </w:t>
            </w:r>
            <w:r>
              <w:rPr/>
              <w:t>з/п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rPr/>
            </w:pPr>
            <w:r>
              <w:rPr/>
            </w:r>
          </w:p>
        </w:tc>
        <w:tc>
          <w:tcPr>
            <w:tcW w:w="292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Найменування заходів</w:t>
            </w:r>
          </w:p>
        </w:tc>
        <w:tc>
          <w:tcPr>
            <w:tcW w:w="306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Виконавці</w:t>
            </w:r>
          </w:p>
        </w:tc>
        <w:tc>
          <w:tcPr>
            <w:tcW w:w="118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tabs>
                <w:tab w:val="left" w:pos="635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Джерело фінансу-вання</w:t>
            </w:r>
          </w:p>
        </w:tc>
        <w:tc>
          <w:tcPr>
            <w:tcW w:w="118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Обсяги фінан-сування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(тис.грн)</w:t>
            </w:r>
          </w:p>
        </w:tc>
        <w:tc>
          <w:tcPr>
            <w:tcW w:w="5222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Графік проведення робіт (накопичення ресурсів)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(кількість/обсяги фінансування )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(од./тис.грн)</w:t>
            </w:r>
          </w:p>
        </w:tc>
        <w:tc>
          <w:tcPr>
            <w:tcW w:w="1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Очікувані результати</w:t>
            </w:r>
          </w:p>
        </w:tc>
      </w:tr>
      <w:tr>
        <w:trPr>
          <w:cantSplit w:val="true"/>
        </w:trPr>
        <w:tc>
          <w:tcPr>
            <w:tcW w:w="42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2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06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р.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р.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 р.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 р.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 р.</w:t>
            </w:r>
          </w:p>
        </w:tc>
        <w:tc>
          <w:tcPr>
            <w:tcW w:w="1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/>
            </w:pPr>
            <w:r>
              <w:rPr/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6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1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/>
        <w:tc>
          <w:tcPr>
            <w:tcW w:w="15814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114" w:after="11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І. Виконання протипожежних заходів в комунальних установах (закладах) 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Облаштування систем протипожежної сигналізації в комунальних закладах: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охорони здоров'я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освіти 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Управління охорони здоров'я, департамент освіти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color w:val="800000"/>
                <w:sz w:val="27"/>
                <w:szCs w:val="27"/>
              </w:rPr>
            </w:pPr>
            <w:r>
              <w:rPr>
                <w:color w:val="800000"/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color w:val="800000"/>
                <w:sz w:val="27"/>
                <w:szCs w:val="27"/>
              </w:rPr>
            </w:pPr>
            <w:r>
              <w:rPr>
                <w:color w:val="800000"/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color w:val="CE181E"/>
                <w:sz w:val="27"/>
                <w:szCs w:val="27"/>
              </w:rPr>
            </w:pPr>
            <w:r>
              <w:rPr>
                <w:color w:val="CE181E"/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color w:val="CE181E"/>
                <w:sz w:val="27"/>
                <w:szCs w:val="27"/>
              </w:rPr>
            </w:pPr>
            <w:r>
              <w:rPr>
                <w:color w:val="CE181E"/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color w:val="CE181E"/>
                <w:sz w:val="27"/>
                <w:szCs w:val="27"/>
              </w:rPr>
            </w:pPr>
            <w:r>
              <w:rPr>
                <w:color w:val="CE181E"/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color w:val="CE181E"/>
                <w:sz w:val="27"/>
                <w:szCs w:val="27"/>
              </w:rPr>
            </w:pPr>
            <w:r>
              <w:rPr>
                <w:color w:val="CE181E"/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2 000,0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11 000,0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1 000,0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2 500,0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1 000,0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2 500,0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jc w:val="center"/>
              <w:rPr/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2 500,0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jc w:val="center"/>
              <w:rPr/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2 500,0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jc w:val="center"/>
              <w:rPr/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1 000,0</w:t>
            </w:r>
          </w:p>
        </w:tc>
        <w:tc>
          <w:tcPr>
            <w:tcW w:w="1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Забезпечення протипо-жежного стану </w:t>
            </w:r>
          </w:p>
        </w:tc>
      </w:tr>
      <w:tr>
        <w:trPr>
          <w:trHeight w:val="1409" w:hRule="atLeast"/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Обробка вогнетривким розчином дерев'яних конструкцій горищ комунальних закладів освіти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tabs>
                <w:tab w:val="left" w:pos="1584" w:leader="none"/>
              </w:tabs>
              <w:snapToGrid w:val="false"/>
              <w:spacing w:before="0" w:after="12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Департамент освіти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Бюджет громади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1 000,0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140,0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120,0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500,0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120,0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120,0</w:t>
            </w:r>
          </w:p>
        </w:tc>
        <w:tc>
          <w:tcPr>
            <w:tcW w:w="1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Забезпечення протипо-жежного стану </w:t>
            </w:r>
          </w:p>
        </w:tc>
      </w:tr>
      <w:tr>
        <w:trPr>
          <w:trHeight w:val="336" w:hRule="atLeast"/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6"/>
              <w:jc w:val="center"/>
              <w:rPr/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1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Ремонт систем протипожежного за-хисту в будинках під-вищенної поверховості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Бюджет громади, кошти ОСББ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1 500,0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500,0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1 000,0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Забезпечення протипо-жежного стану</w:t>
            </w:r>
          </w:p>
        </w:tc>
      </w:tr>
      <w:tr>
        <w:trPr>
          <w:cantSplit w:val="true"/>
        </w:trPr>
        <w:tc>
          <w:tcPr>
            <w:tcW w:w="15814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ІІ. Утримання захисних споруд ЦЗ, найпростіших укриттів та споруд подвійного призначення комунальної форми власності 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Приведення в готовність до використання захисних споруд, найпростіших укриттів та споруд подвійного призначення комунальної форми власності, проведення в них ремонтно-будівельних робіт 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Бюджет громади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 w:val="26"/>
                <w:szCs w:val="26"/>
                <w:lang w:val="en-US"/>
              </w:rPr>
              <w:t>57 6</w:t>
            </w:r>
            <w:r>
              <w:rPr>
                <w:sz w:val="26"/>
                <w:szCs w:val="26"/>
              </w:rPr>
              <w:t>00,0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200,0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3 200,0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4 000,0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6"/>
                <w:szCs w:val="26"/>
                <w:lang w:val="en-US"/>
              </w:rPr>
              <w:t>5</w:t>
            </w:r>
            <w:r>
              <w:rPr>
                <w:sz w:val="26"/>
                <w:szCs w:val="26"/>
              </w:rPr>
              <w:t>0 000,0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200,0</w:t>
            </w:r>
          </w:p>
        </w:tc>
        <w:tc>
          <w:tcPr>
            <w:tcW w:w="180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Забезпечення готовності до використання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Комплектація захисних споруд спеціальним обладнанням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Бюджет громади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 w:val="26"/>
                <w:szCs w:val="26"/>
              </w:rPr>
              <w:t xml:space="preserve">1 </w:t>
            </w:r>
            <w:r>
              <w:rPr>
                <w:sz w:val="26"/>
                <w:szCs w:val="26"/>
                <w:lang w:val="en-US"/>
              </w:rPr>
              <w:t>8</w:t>
            </w:r>
            <w:r>
              <w:rPr>
                <w:sz w:val="26"/>
                <w:szCs w:val="26"/>
              </w:rPr>
              <w:t>00,0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200,0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1 000,0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200,0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200,0</w:t>
            </w:r>
          </w:p>
        </w:tc>
        <w:tc>
          <w:tcPr>
            <w:tcW w:w="180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5814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63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ІІІ. Накопичення та утримання матеріальних ресурсів та засобів для забезпечення оперативного реагування на НС 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/>
            </w:pPr>
            <w:r>
              <w:rPr>
                <w:sz w:val="27"/>
                <w:szCs w:val="27"/>
              </w:rPr>
              <w:t xml:space="preserve">Накопичення </w:t>
            </w:r>
            <w:r>
              <w:rPr>
                <w:szCs w:val="28"/>
              </w:rPr>
              <w:t>паливо-мастильних матеріалів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lineRule="exact" w:line="276"/>
              <w:jc w:val="center"/>
              <w:rPr/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  <w:r>
              <w:rPr>
                <w:bCs/>
                <w:sz w:val="26"/>
                <w:szCs w:val="26"/>
              </w:rPr>
              <w:t>,</w:t>
            </w:r>
          </w:p>
          <w:p>
            <w:pPr>
              <w:pStyle w:val="Style12"/>
              <w:widowControl/>
              <w:numPr>
                <w:ilvl w:val="0"/>
                <w:numId w:val="2"/>
              </w:numPr>
              <w:shd w:val="clear" w:fill="FFFFFF"/>
              <w:suppressAutoHyphens w:val="true"/>
              <w:bidi w:val="0"/>
              <w:snapToGrid w:val="false"/>
              <w:spacing w:lineRule="exact" w:line="276"/>
              <w:ind w:left="0" w:right="-57" w:hanging="0"/>
              <w:jc w:val="center"/>
              <w:rPr/>
            </w:pPr>
            <w:r>
              <w:rPr>
                <w:bCs/>
                <w:sz w:val="26"/>
                <w:szCs w:val="26"/>
              </w:rPr>
              <w:t xml:space="preserve">ЛСКАП </w:t>
            </w:r>
            <w:r>
              <w:rPr>
                <w:rFonts w:eastAsia="Times New Roman" w:cs="Times New Roman"/>
                <w:bCs/>
                <w:sz w:val="26"/>
                <w:szCs w:val="26"/>
              </w:rPr>
              <w:t>«</w:t>
            </w:r>
            <w:r>
              <w:rPr>
                <w:bCs/>
                <w:sz w:val="26"/>
                <w:szCs w:val="26"/>
              </w:rPr>
              <w:t>Луцькспецкомунтранс</w:t>
            </w:r>
            <w:r>
              <w:rPr>
                <w:rFonts w:eastAsia="Times New Roman" w:cs="Times New Roman"/>
                <w:bCs/>
                <w:sz w:val="26"/>
                <w:szCs w:val="26"/>
              </w:rPr>
              <w:t>»,</w:t>
            </w:r>
          </w:p>
          <w:p>
            <w:pPr>
              <w:pStyle w:val="Style12"/>
              <w:widowControl/>
              <w:numPr>
                <w:ilvl w:val="0"/>
                <w:numId w:val="2"/>
              </w:numPr>
              <w:shd w:val="clear" w:fill="FFFFFF"/>
              <w:suppressAutoHyphens w:val="true"/>
              <w:bidi w:val="0"/>
              <w:snapToGrid w:val="false"/>
              <w:spacing w:lineRule="exact" w:line="276"/>
              <w:ind w:left="0" w:right="-57" w:hanging="0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комунальні підприємства Луцької МТГ,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lineRule="exact" w:line="276" w:before="114" w:after="114"/>
              <w:jc w:val="center"/>
              <w:rPr/>
            </w:pPr>
            <w:r>
              <w:rPr>
                <w:bCs/>
                <w:sz w:val="26"/>
                <w:szCs w:val="26"/>
              </w:rPr>
              <w:t>ЛРУ ГУ ДСНС України в області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lineRule="exact" w:line="276" w:before="114" w:after="114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Cs w:val="28"/>
                <w:lang w:val="en-US"/>
              </w:rPr>
              <w:t>11 2</w:t>
            </w:r>
            <w:r>
              <w:rPr>
                <w:szCs w:val="28"/>
              </w:rPr>
              <w:t>00,0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5 000,0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5 000,0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8"/>
                <w:szCs w:val="28"/>
              </w:rPr>
              <w:t>1 000,0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  <w:tc>
          <w:tcPr>
            <w:tcW w:w="1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Створення матеріаль-ного резерву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6"/>
              <w:jc w:val="center"/>
              <w:rPr/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1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2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Накопичення шанцевого інструменту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 w:val="27"/>
                <w:szCs w:val="27"/>
                <w:lang w:val="en-US"/>
              </w:rPr>
              <w:t>1 030,</w:t>
            </w:r>
            <w:r>
              <w:rPr>
                <w:sz w:val="27"/>
                <w:szCs w:val="27"/>
                <w:lang w:val="uk-UA"/>
              </w:rPr>
              <w:t>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10,0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500,0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500,0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10,0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10,0</w:t>
            </w:r>
          </w:p>
        </w:tc>
        <w:tc>
          <w:tcPr>
            <w:tcW w:w="180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ind w:left="0" w:right="-113" w:hanging="0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Створення матеріального резерву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3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Придбання найпрості-шого рятувального оснащення та майна для ліквідації аварій, пожеж (НС) 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(захисний одяг, взуття пожежного, інше)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7"/>
                <w:szCs w:val="27"/>
              </w:rPr>
            </w:pPr>
            <w:bookmarkStart w:id="4" w:name="__DdeLink__4681_1730530875"/>
            <w:bookmarkEnd w:id="4"/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 xml:space="preserve">2 </w:t>
            </w:r>
            <w:r>
              <w:rPr>
                <w:sz w:val="27"/>
                <w:szCs w:val="27"/>
                <w:lang w:val="en-US"/>
              </w:rPr>
              <w:t>6</w:t>
            </w:r>
            <w:r>
              <w:rPr>
                <w:sz w:val="27"/>
                <w:szCs w:val="27"/>
              </w:rPr>
              <w:t>00,0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1 000,0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1 000,0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80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4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color w:val="000000"/>
                <w:sz w:val="27"/>
                <w:szCs w:val="27"/>
                <w:lang w:eastAsia="ru-RU"/>
              </w:rPr>
            </w:pPr>
            <w:r>
              <w:rPr>
                <w:color w:val="000000"/>
                <w:sz w:val="27"/>
                <w:szCs w:val="27"/>
                <w:lang w:eastAsia="ru-RU"/>
              </w:rPr>
              <w:t xml:space="preserve">Придбання засобів забезпечення аварійно-рятувальних робіт: 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color w:val="000000"/>
                <w:sz w:val="27"/>
                <w:szCs w:val="27"/>
                <w:lang w:eastAsia="ru-RU"/>
              </w:rPr>
            </w:pPr>
            <w:r>
              <w:rPr>
                <w:color w:val="000000"/>
                <w:sz w:val="27"/>
                <w:szCs w:val="27"/>
                <w:lang w:eastAsia="ru-RU"/>
              </w:rPr>
              <w:t>- бензопили,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color w:val="000000"/>
                <w:sz w:val="27"/>
                <w:szCs w:val="27"/>
                <w:lang w:eastAsia="ru-RU"/>
              </w:rPr>
            </w:pPr>
            <w:r>
              <w:rPr>
                <w:color w:val="000000"/>
                <w:sz w:val="27"/>
                <w:szCs w:val="27"/>
                <w:lang w:eastAsia="ru-RU"/>
              </w:rPr>
              <w:t>- бензорізи,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rPr/>
            </w:pPr>
            <w:r>
              <w:rPr>
                <w:color w:val="000000"/>
                <w:sz w:val="27"/>
                <w:szCs w:val="27"/>
                <w:lang w:eastAsia="ru-RU"/>
              </w:rPr>
              <w:t xml:space="preserve">- електрогенератори (у т.ч. </w:t>
            </w:r>
            <w:r>
              <w:rPr>
                <w:color w:val="000000"/>
                <w:sz w:val="27"/>
                <w:szCs w:val="27"/>
                <w:lang w:val="uk-UA" w:eastAsia="ru-RU"/>
              </w:rPr>
              <w:t xml:space="preserve">часткове </w:t>
            </w:r>
            <w:r>
              <w:rPr>
                <w:color w:val="000000"/>
                <w:sz w:val="27"/>
                <w:szCs w:val="27"/>
                <w:lang w:eastAsia="ru-RU"/>
              </w:rPr>
              <w:t>відшкодування вартості),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spacing w:before="114" w:after="114"/>
              <w:rPr/>
            </w:pPr>
            <w:r>
              <w:rPr>
                <w:color w:val="000000"/>
                <w:sz w:val="27"/>
                <w:szCs w:val="27"/>
                <w:lang w:eastAsia="ru-RU"/>
              </w:rPr>
              <w:t>- інше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ОСББ, ЖБК,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управителі багатоквартирних будинків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Cs w:val="28"/>
                <w:lang w:val="uk-UA"/>
              </w:rPr>
              <w:t>60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  <w:lang w:val="uk-UA"/>
              </w:rPr>
              <w:t>6</w:t>
            </w:r>
            <w:r>
              <w:rPr>
                <w:szCs w:val="28"/>
                <w:lang w:val="en-US"/>
              </w:rPr>
              <w:t>6</w:t>
            </w:r>
            <w:r>
              <w:rPr>
                <w:szCs w:val="28"/>
              </w:rPr>
              <w:t>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20,0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27 000,0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27 000,0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6 620,0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20,0</w:t>
            </w:r>
          </w:p>
        </w:tc>
        <w:tc>
          <w:tcPr>
            <w:tcW w:w="180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5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color w:val="000000"/>
                <w:sz w:val="27"/>
                <w:szCs w:val="27"/>
                <w:lang w:eastAsia="ru-RU"/>
              </w:rPr>
            </w:pPr>
            <w:r>
              <w:rPr>
                <w:color w:val="000000"/>
                <w:sz w:val="27"/>
                <w:szCs w:val="27"/>
                <w:lang w:eastAsia="ru-RU"/>
              </w:rPr>
              <w:t xml:space="preserve">Придбання засобів індивідуального захисту 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spacing w:before="171" w:after="171"/>
              <w:jc w:val="both"/>
              <w:rPr>
                <w:color w:val="000000"/>
                <w:sz w:val="27"/>
                <w:szCs w:val="27"/>
                <w:lang w:val="en-US" w:eastAsia="ru-RU"/>
              </w:rPr>
            </w:pPr>
            <w:r>
              <w:rPr>
                <w:color w:val="000000"/>
                <w:sz w:val="27"/>
                <w:szCs w:val="27"/>
                <w:lang w:eastAsia="ru-RU"/>
              </w:rPr>
              <w:t xml:space="preserve">та дезинфікуючого розчину для протидії </w:t>
            </w:r>
            <w:r>
              <w:rPr>
                <w:color w:val="000000"/>
                <w:sz w:val="27"/>
                <w:szCs w:val="27"/>
                <w:lang w:val="en-US" w:eastAsia="ru-RU"/>
              </w:rPr>
              <w:t>COVID – 19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1 000,0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500,0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100,0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100,0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100,0</w:t>
            </w:r>
          </w:p>
        </w:tc>
        <w:tc>
          <w:tcPr>
            <w:tcW w:w="1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Забезпечення безпеки населення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57" w:after="57"/>
              <w:jc w:val="center"/>
              <w:rPr/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6"/>
              <w:jc w:val="center"/>
              <w:rPr/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1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6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color w:val="000000"/>
                <w:sz w:val="26"/>
                <w:szCs w:val="26"/>
                <w:lang w:eastAsia="ru-RU"/>
              </w:rPr>
            </w:pPr>
            <w:r>
              <w:rPr>
                <w:color w:val="000000"/>
                <w:sz w:val="26"/>
                <w:szCs w:val="26"/>
                <w:lang w:eastAsia="ru-RU"/>
              </w:rPr>
              <w:t>Забезпечення харчуванням осіб, що задіюються до робіт з ліквідації НС, аварій, терористичних актів та в період проведення навчань з цих питань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  <w:lang w:val="en-US"/>
              </w:rPr>
              <w:t>30 600,</w:t>
            </w:r>
            <w:r>
              <w:rPr>
                <w:sz w:val="27"/>
                <w:szCs w:val="27"/>
                <w:lang w:val="uk-UA"/>
              </w:rPr>
              <w:t>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15 000,0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15 000,0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Забезпечення ліквідації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НС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/>
            </w:pPr>
            <w:r>
              <w:rPr>
                <w:sz w:val="26"/>
                <w:szCs w:val="26"/>
              </w:rPr>
              <w:t xml:space="preserve">Проведення робіт (поточний ремонт, капітальний ремонт, реконструкція), придбання товарів, матеріалів, обладнання та техніки, надання послуг </w:t>
            </w:r>
            <w:r>
              <w:rPr>
                <w:color w:val="000000"/>
                <w:sz w:val="26"/>
                <w:szCs w:val="26"/>
              </w:rPr>
              <w:t>(оплата праці за надані послуги)</w:t>
            </w:r>
            <w:r>
              <w:rPr>
                <w:sz w:val="26"/>
                <w:szCs w:val="26"/>
              </w:rPr>
              <w:t xml:space="preserve"> під час воєнного стану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lineRule="auto" w:line="240" w:before="0" w:after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Виконавчі органи Луцької міської ради,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lineRule="auto" w:line="240"/>
              <w:jc w:val="center"/>
              <w:rPr>
                <w:sz w:val="24"/>
                <w:szCs w:val="24"/>
              </w:rPr>
            </w:pPr>
            <w:r>
              <w:rPr>
                <w:sz w:val="23"/>
                <w:szCs w:val="23"/>
              </w:rPr>
              <w:t>комунальні підприємства Луцької МТГ: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lineRule="auto" w:line="240"/>
              <w:jc w:val="center"/>
              <w:rPr>
                <w:sz w:val="24"/>
                <w:szCs w:val="24"/>
              </w:rPr>
            </w:pPr>
            <w:r>
              <w:rPr>
                <w:sz w:val="23"/>
                <w:szCs w:val="23"/>
              </w:rPr>
              <w:t>ЛСКАП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lineRule="auto" w:line="240"/>
              <w:jc w:val="center"/>
              <w:rPr>
                <w:sz w:val="23"/>
                <w:szCs w:val="23"/>
              </w:rPr>
            </w:pPr>
            <w:r>
              <w:rPr>
                <w:rFonts w:eastAsia="Times New Roman" w:cs="Times New Roman"/>
                <w:sz w:val="23"/>
                <w:szCs w:val="23"/>
              </w:rPr>
              <w:t>«</w:t>
            </w:r>
            <w:r>
              <w:rPr>
                <w:sz w:val="23"/>
                <w:szCs w:val="23"/>
              </w:rPr>
              <w:t>Луцькспецкомунтранс</w:t>
            </w:r>
            <w:bookmarkStart w:id="5" w:name="__DdeLink__1185_679630085"/>
            <w:r>
              <w:rPr>
                <w:rFonts w:eastAsia="Times New Roman" w:cs="Times New Roman"/>
                <w:sz w:val="23"/>
                <w:szCs w:val="23"/>
              </w:rPr>
              <w:t>»</w:t>
            </w:r>
            <w:bookmarkEnd w:id="5"/>
            <w:r>
              <w:rPr>
                <w:sz w:val="23"/>
                <w:szCs w:val="23"/>
              </w:rPr>
              <w:t>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3"/>
                <w:szCs w:val="23"/>
              </w:rPr>
            </w:pPr>
            <w:r>
              <w:rPr>
                <w:rFonts w:eastAsia="Times New Roman" w:cs="Times New Roman"/>
                <w:sz w:val="23"/>
                <w:szCs w:val="23"/>
              </w:rPr>
              <w:t>«</w:t>
            </w:r>
            <w:r>
              <w:rPr>
                <w:sz w:val="23"/>
                <w:szCs w:val="23"/>
              </w:rPr>
              <w:t>Луцьктепло</w:t>
            </w:r>
            <w:r>
              <w:rPr>
                <w:rFonts w:eastAsia="Times New Roman" w:cs="Times New Roman"/>
                <w:sz w:val="23"/>
                <w:szCs w:val="23"/>
              </w:rPr>
              <w:t>»</w:t>
            </w:r>
            <w:r>
              <w:rPr>
                <w:sz w:val="23"/>
                <w:szCs w:val="23"/>
              </w:rPr>
              <w:t>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3"/>
                <w:szCs w:val="23"/>
              </w:rPr>
            </w:pPr>
            <w:r>
              <w:rPr>
                <w:rFonts w:eastAsia="Times New Roman" w:cs="Times New Roman"/>
                <w:sz w:val="23"/>
                <w:szCs w:val="23"/>
              </w:rPr>
              <w:t>«</w:t>
            </w:r>
            <w:r>
              <w:rPr>
                <w:sz w:val="23"/>
                <w:szCs w:val="23"/>
              </w:rPr>
              <w:t>Луцькводоканал</w:t>
            </w:r>
            <w:r>
              <w:rPr>
                <w:rFonts w:eastAsia="Times New Roman" w:cs="Times New Roman"/>
                <w:sz w:val="23"/>
                <w:szCs w:val="23"/>
              </w:rPr>
              <w:t>»,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3"/>
                <w:szCs w:val="23"/>
              </w:rPr>
            </w:pPr>
            <w:r>
              <w:rPr>
                <w:rFonts w:eastAsia="Times New Roman" w:cs="Times New Roman"/>
                <w:sz w:val="23"/>
                <w:szCs w:val="23"/>
              </w:rPr>
              <w:t>«</w:t>
            </w:r>
            <w:r>
              <w:rPr>
                <w:sz w:val="23"/>
                <w:szCs w:val="23"/>
              </w:rPr>
              <w:t>Луцьке підприємство електротранспорту</w:t>
            </w:r>
            <w:r>
              <w:rPr>
                <w:rFonts w:eastAsia="Times New Roman" w:cs="Times New Roman"/>
                <w:sz w:val="23"/>
                <w:szCs w:val="23"/>
              </w:rPr>
              <w:t>»,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3"/>
                <w:szCs w:val="23"/>
              </w:rPr>
            </w:pPr>
            <w:r>
              <w:rPr>
                <w:rFonts w:eastAsia="Times New Roman" w:cs="Times New Roman"/>
                <w:sz w:val="23"/>
                <w:szCs w:val="23"/>
              </w:rPr>
              <w:t>«</w:t>
            </w:r>
            <w:r>
              <w:rPr>
                <w:sz w:val="23"/>
                <w:szCs w:val="23"/>
              </w:rPr>
              <w:t>Автопарксервіс</w:t>
            </w:r>
            <w:r>
              <w:rPr>
                <w:rFonts w:eastAsia="Times New Roman" w:cs="Times New Roman"/>
                <w:sz w:val="23"/>
                <w:szCs w:val="23"/>
              </w:rPr>
              <w:t>»,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3"/>
                <w:szCs w:val="23"/>
              </w:rPr>
            </w:pPr>
            <w:r>
              <w:rPr>
                <w:rFonts w:eastAsia="Times New Roman" w:cs="Times New Roman"/>
                <w:sz w:val="23"/>
                <w:szCs w:val="23"/>
              </w:rPr>
              <w:t>«</w:t>
            </w:r>
            <w:r>
              <w:rPr>
                <w:sz w:val="23"/>
                <w:szCs w:val="23"/>
              </w:rPr>
              <w:t>Луцьке електротехнічне підприємство – Луцьксвітло</w:t>
            </w:r>
            <w:r>
              <w:rPr>
                <w:rFonts w:eastAsia="Times New Roman" w:cs="Times New Roman"/>
                <w:sz w:val="23"/>
                <w:szCs w:val="23"/>
              </w:rPr>
              <w:t>»</w:t>
            </w:r>
            <w:r>
              <w:rPr>
                <w:sz w:val="23"/>
                <w:szCs w:val="23"/>
              </w:rPr>
              <w:t>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3"/>
                <w:szCs w:val="23"/>
              </w:rPr>
              <w:t>Луцький спеціалізований комбінат комунально- побутового обслуговування,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3"/>
                <w:szCs w:val="23"/>
              </w:rPr>
            </w:pPr>
            <w:r>
              <w:rPr>
                <w:rFonts w:eastAsia="Times New Roman" w:cs="Times New Roman"/>
                <w:sz w:val="23"/>
                <w:szCs w:val="23"/>
              </w:rPr>
              <w:t>«</w:t>
            </w:r>
            <w:r>
              <w:rPr>
                <w:sz w:val="23"/>
                <w:szCs w:val="23"/>
              </w:rPr>
              <w:t>Парки та сквери м. Луцька</w:t>
            </w:r>
            <w:r>
              <w:rPr>
                <w:rFonts w:eastAsia="Times New Roman" w:cs="Times New Roman"/>
                <w:sz w:val="23"/>
                <w:szCs w:val="23"/>
              </w:rPr>
              <w:t>»</w:t>
            </w:r>
            <w:r>
              <w:rPr>
                <w:sz w:val="23"/>
                <w:szCs w:val="23"/>
              </w:rPr>
              <w:t>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3"/>
                <w:szCs w:val="23"/>
              </w:rPr>
            </w:pPr>
            <w:r>
              <w:rPr>
                <w:rFonts w:eastAsia="Times New Roman" w:cs="Times New Roman"/>
                <w:sz w:val="23"/>
                <w:szCs w:val="23"/>
              </w:rPr>
              <w:t>«</w:t>
            </w:r>
            <w:r>
              <w:rPr>
                <w:sz w:val="23"/>
                <w:szCs w:val="23"/>
              </w:rPr>
              <w:t>Луцький зоопарк</w:t>
            </w:r>
            <w:r>
              <w:rPr>
                <w:rFonts w:eastAsia="Times New Roman" w:cs="Times New Roman"/>
                <w:sz w:val="23"/>
                <w:szCs w:val="23"/>
              </w:rPr>
              <w:t>»</w:t>
            </w:r>
            <w:r>
              <w:rPr>
                <w:sz w:val="23"/>
                <w:szCs w:val="23"/>
              </w:rPr>
              <w:t xml:space="preserve">, </w:t>
            </w:r>
            <w:r>
              <w:rPr>
                <w:rFonts w:eastAsia="Times New Roman" w:cs="Times New Roman"/>
                <w:sz w:val="23"/>
                <w:szCs w:val="23"/>
              </w:rPr>
              <w:t>«</w:t>
            </w:r>
            <w:r>
              <w:rPr>
                <w:sz w:val="23"/>
                <w:szCs w:val="23"/>
              </w:rPr>
              <w:t>Ласка</w:t>
            </w:r>
            <w:r>
              <w:rPr>
                <w:rFonts w:eastAsia="Times New Roman" w:cs="Times New Roman"/>
                <w:sz w:val="23"/>
                <w:szCs w:val="23"/>
              </w:rPr>
              <w:t>»</w:t>
            </w:r>
            <w:r>
              <w:rPr>
                <w:sz w:val="23"/>
                <w:szCs w:val="23"/>
              </w:rPr>
              <w:t>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ЛРУ ГУ ДСНС України в області,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18"/>
                <w:szCs w:val="18"/>
              </w:rPr>
            </w:pPr>
            <w:r>
              <w:rPr>
                <w:sz w:val="23"/>
                <w:szCs w:val="23"/>
              </w:rPr>
              <w:t>АРЗ СП ГУ ДСНС України в області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Бюджет громади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96 670,0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35 000,0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48 670,0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13 000,0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Забезпечення ліквідації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НС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57" w:after="57"/>
              <w:jc w:val="center"/>
              <w:rPr/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6"/>
              <w:jc w:val="center"/>
              <w:rPr/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1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spacing w:before="0" w:after="0"/>
              <w:jc w:val="both"/>
              <w:rPr/>
            </w:pPr>
            <w:r>
              <w:rPr>
                <w:sz w:val="28"/>
                <w:szCs w:val="28"/>
              </w:rPr>
              <w:t xml:space="preserve">Кредиторська заборгованість, що виникла 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spacing w:before="114" w:after="114"/>
              <w:jc w:val="both"/>
              <w:rPr/>
            </w:pPr>
            <w:r>
              <w:rPr>
                <w:sz w:val="28"/>
                <w:szCs w:val="28"/>
              </w:rPr>
              <w:t xml:space="preserve">у 2022 році 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spacing w:before="171" w:after="171"/>
              <w:jc w:val="both"/>
              <w:rPr/>
            </w:pPr>
            <w:r>
              <w:rPr>
                <w:sz w:val="28"/>
                <w:szCs w:val="28"/>
              </w:rPr>
              <w:t>з проведення робіт, придбання товарів, матеріалів, обладнання та техніки, надання послуг (оплата праці за надані послуги) під час воєнного стану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 xml:space="preserve">КП </w:t>
            </w:r>
            <w:r>
              <w:rPr>
                <w:rFonts w:eastAsia="Times New Roman" w:cs="Times New Roman"/>
                <w:sz w:val="27"/>
                <w:szCs w:val="27"/>
              </w:rPr>
              <w:t>«</w:t>
            </w:r>
            <w:r>
              <w:rPr>
                <w:sz w:val="27"/>
                <w:szCs w:val="27"/>
              </w:rPr>
              <w:t>Луцькводоканал</w:t>
            </w:r>
            <w:r>
              <w:rPr>
                <w:rFonts w:eastAsia="Times New Roman" w:cs="Times New Roman"/>
                <w:sz w:val="27"/>
                <w:szCs w:val="27"/>
              </w:rPr>
              <w:t>»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Бюджет громади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1 330,0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rFonts w:eastAsia="Times New Roman" w:cs="Times New Roman"/>
                <w:sz w:val="27"/>
                <w:szCs w:val="27"/>
              </w:rPr>
            </w:pPr>
            <w:bookmarkStart w:id="6" w:name="__DdeLink__1763_3532271880"/>
            <w:bookmarkEnd w:id="6"/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rFonts w:eastAsia="Times New Roman" w:cs="Times New Roman"/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1 330,0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rFonts w:eastAsia="Times New Roman" w:cs="Times New Roman"/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rFonts w:eastAsia="Times New Roman" w:cs="Times New Roman"/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Оплата резерву матеріалів та обладнання на випадок аварійних ситуацій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jc w:val="both"/>
              <w:rPr/>
            </w:pPr>
            <w:r>
              <w:rPr>
                <w:bCs/>
                <w:sz w:val="28"/>
                <w:szCs w:val="28"/>
              </w:rPr>
              <w:t xml:space="preserve">Кредиторська заборгованість, 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63"/>
              <w:jc w:val="both"/>
              <w:rPr/>
            </w:pPr>
            <w:r>
              <w:rPr>
                <w:bCs/>
                <w:sz w:val="28"/>
                <w:szCs w:val="28"/>
              </w:rPr>
              <w:t xml:space="preserve">що виникла у 2023 році 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6"/>
              <w:jc w:val="both"/>
              <w:rPr/>
            </w:pPr>
            <w:r>
              <w:rPr>
                <w:bCs/>
                <w:sz w:val="28"/>
                <w:szCs w:val="28"/>
              </w:rPr>
              <w:t xml:space="preserve">з проведення робіт (поточний ремонт, капітальний ремонт, реконструкція), придбання товарів, матеріалів, обладнання 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114" w:after="17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та техніки, надання послуг (оплата праці за надані послуги) під час воєнного стану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Департамент ЖКГ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громади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3 530,0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3 530,0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Оплата виконаних робіт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57" w:after="57"/>
              <w:jc w:val="center"/>
              <w:rPr/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6"/>
              <w:jc w:val="center"/>
              <w:rPr/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1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/>
        <w:tc>
          <w:tcPr>
            <w:tcW w:w="15814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114" w:after="114"/>
              <w:jc w:val="center"/>
              <w:rPr>
                <w:sz w:val="27"/>
                <w:szCs w:val="27"/>
              </w:rPr>
            </w:pPr>
            <w:r>
              <w:rPr>
                <w:bCs/>
                <w:sz w:val="27"/>
                <w:szCs w:val="27"/>
                <w:lang w:val="ru-RU"/>
              </w:rPr>
              <w:t>І</w:t>
            </w:r>
            <w:r>
              <w:rPr>
                <w:bCs/>
                <w:sz w:val="27"/>
                <w:szCs w:val="27"/>
                <w:lang w:val="en-US"/>
              </w:rPr>
              <w:t>V</w:t>
            </w:r>
            <w:r>
              <w:rPr>
                <w:bCs/>
                <w:sz w:val="27"/>
                <w:szCs w:val="27"/>
                <w:lang w:val="ru-RU"/>
              </w:rPr>
              <w:t>. Організація</w:t>
            </w:r>
            <w:r>
              <w:rPr>
                <w:bCs/>
                <w:sz w:val="27"/>
                <w:szCs w:val="27"/>
              </w:rPr>
              <w:t xml:space="preserve"> оповіщення населення міста про загрозу та виникнення НС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spacing w:before="342" w:after="34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Придбання та встановлення пристроїв для оповіщення населення, </w:t>
            </w:r>
            <w:r>
              <w:rPr>
                <w:sz w:val="26"/>
                <w:szCs w:val="26"/>
                <w:lang w:val="uk-UA"/>
              </w:rPr>
              <w:t>придбання засобів зв’язку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6"/>
                <w:szCs w:val="26"/>
                <w:lang w:val="uk-UA"/>
              </w:rPr>
            </w:pPr>
            <w:r>
              <w:rPr>
                <w:bCs/>
                <w:color w:val="000000"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 w:val="27"/>
                <w:szCs w:val="27"/>
                <w:lang w:val="en-US"/>
              </w:rPr>
              <w:t>7 1</w:t>
            </w:r>
            <w:r>
              <w:rPr>
                <w:sz w:val="27"/>
                <w:szCs w:val="27"/>
              </w:rPr>
              <w:t>50,0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650,0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1 000,0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2 500,0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3 000,0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Оповіщення населення про події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2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tabs>
                <w:tab w:val="left" w:pos="3650" w:leader="none"/>
              </w:tabs>
              <w:snapToGrid w:val="false"/>
              <w:spacing w:before="285" w:after="285"/>
              <w:jc w:val="both"/>
              <w:rPr/>
            </w:pPr>
            <w:r>
              <w:rPr>
                <w:sz w:val="27"/>
                <w:szCs w:val="27"/>
              </w:rPr>
              <w:t>Організація доведення до населення мовної інформації через обладнання операторів звукової реклами        (за договорами)</w:t>
            </w:r>
          </w:p>
          <w:p>
            <w:pPr>
              <w:pStyle w:val="Normal"/>
              <w:numPr>
                <w:ilvl w:val="0"/>
                <w:numId w:val="2"/>
              </w:numPr>
              <w:tabs>
                <w:tab w:val="left" w:pos="3650" w:leader="none"/>
              </w:tabs>
              <w:snapToGrid w:val="false"/>
              <w:spacing w:before="57" w:after="57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6"/>
                <w:szCs w:val="26"/>
                <w:lang w:val="uk-UA"/>
              </w:rPr>
            </w:pPr>
            <w:r>
              <w:rPr>
                <w:bCs/>
                <w:color w:val="000000"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25,0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Оповіщення населення про події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3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spacing w:before="285" w:after="285"/>
              <w:jc w:val="both"/>
              <w:rPr/>
            </w:pPr>
            <w:r>
              <w:rPr>
                <w:sz w:val="27"/>
                <w:szCs w:val="27"/>
              </w:rPr>
              <w:t>Організація доведення до населення мовної інформації через обладнання власників ринків, вокзалів          (за договорами)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6"/>
                <w:szCs w:val="26"/>
                <w:lang w:val="uk-UA"/>
              </w:rPr>
            </w:pPr>
            <w:r>
              <w:rPr>
                <w:bCs/>
                <w:color w:val="000000"/>
                <w:sz w:val="26"/>
                <w:szCs w:val="26"/>
                <w:lang w:val="uk-UA"/>
              </w:rPr>
              <w:t>Виконавчі органи Луцької міської ради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25,0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Оповіщення населення про події</w:t>
            </w:r>
          </w:p>
        </w:tc>
      </w:tr>
      <w:tr>
        <w:trPr>
          <w:trHeight w:val="396" w:hRule="atLeast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6"/>
              <w:jc w:val="center"/>
              <w:rPr/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1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/>
        <w:tc>
          <w:tcPr>
            <w:tcW w:w="15814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228" w:after="348"/>
              <w:jc w:val="center"/>
              <w:rPr/>
            </w:pPr>
            <w:r>
              <w:rPr>
                <w:sz w:val="27"/>
                <w:szCs w:val="27"/>
                <w:lang w:val="en-US"/>
              </w:rPr>
              <w:t xml:space="preserve">V. </w:t>
            </w:r>
            <w:r>
              <w:rPr>
                <w:sz w:val="27"/>
                <w:szCs w:val="27"/>
                <w:lang w:val="uk-UA"/>
              </w:rPr>
              <w:t>Допомога територіальним громадам України, постраждалим від повномасштабної збройної агресії російської федерації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spacing w:before="114" w:after="114"/>
              <w:jc w:val="both"/>
              <w:rPr/>
            </w:pPr>
            <w:r>
              <w:rPr/>
              <w:t>Придбання будівельних матеріалів, майна, засобів забезпечення аварійно-рятувальних робіт (бензопили, бензорізи, генератори, мотопомпи, човни, шансового інструменту тощо), паливо-мастильних матеріалів, одягу, взуття, продуктів харчування та інше</w:t>
            </w:r>
          </w:p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6"/>
                <w:szCs w:val="26"/>
                <w:lang w:val="uk-UA"/>
              </w:rPr>
            </w:pPr>
            <w:bookmarkStart w:id="7" w:name="__DdeLink__29365_2613444842"/>
            <w:bookmarkEnd w:id="7"/>
            <w:r>
              <w:rPr>
                <w:bCs/>
                <w:color w:val="000000"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10 000,0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rFonts w:eastAsia="Times New Roman" w:cs="Times New Roman"/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rFonts w:eastAsia="Times New Roman" w:cs="Times New Roman"/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5 000,0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5 000,0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rFonts w:eastAsia="Times New Roman" w:cs="Times New Roman"/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Надання допомоги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6"/>
              <w:jc w:val="center"/>
              <w:rPr/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1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/>
        <w:tc>
          <w:tcPr>
            <w:tcW w:w="15814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171" w:after="171"/>
              <w:jc w:val="center"/>
              <w:rPr/>
            </w:pPr>
            <w:r>
              <w:rPr>
                <w:sz w:val="27"/>
                <w:szCs w:val="27"/>
                <w:lang w:val="en-US"/>
              </w:rPr>
              <w:t xml:space="preserve">VI. </w:t>
            </w:r>
            <w:r>
              <w:rPr>
                <w:sz w:val="27"/>
                <w:szCs w:val="27"/>
                <w:lang w:val="uk-UA"/>
              </w:rPr>
              <w:t>Забезпечення добровільної пожежної команди с. Жидичин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Страхування членів добровільної пожежної команди, придбання пожежно-технічного майна (пожежні рукава,  мотопомпи, бензопили, бензорізи, шурупокрути, шанцевий інструмент тощо), спеціального одягу та взуття, паливо-мастильних матеріалів, ремонт та обслуговування пожежного автомобіля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bCs/>
                <w:color w:val="000000"/>
                <w:sz w:val="26"/>
                <w:szCs w:val="26"/>
                <w:lang w:val="uk-UA"/>
              </w:rPr>
            </w:pPr>
            <w:r>
              <w:rPr>
                <w:bCs/>
                <w:color w:val="000000"/>
                <w:sz w:val="26"/>
                <w:szCs w:val="26"/>
                <w:lang w:val="uk-UA"/>
              </w:rPr>
              <w:t>Виконавчі органи Луцької міської ради,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ЛРУ ГУ ДСНС України в області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600,0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rFonts w:eastAsia="Times New Roman" w:cs="Times New Roman"/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rFonts w:eastAsia="Times New Roman" w:cs="Times New Roman"/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widowControl/>
              <w:numPr>
                <w:ilvl w:val="0"/>
                <w:numId w:val="2"/>
              </w:numPr>
              <w:shd w:val="clear" w:fill="FFFFFF"/>
              <w:suppressAutoHyphens w:val="true"/>
              <w:overflowPunct w:val="false"/>
              <w:bidi w:val="0"/>
              <w:snapToGrid w:val="false"/>
              <w:spacing w:lineRule="exact" w:line="276" w:before="0" w:after="120"/>
              <w:ind w:left="0" w:right="-113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Забезпечення функціонування добровільної пожежної команди</w:t>
            </w:r>
          </w:p>
        </w:tc>
      </w:tr>
      <w:tr>
        <w:trPr/>
        <w:tc>
          <w:tcPr>
            <w:tcW w:w="7596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Усього тис. грн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26"/>
              <w:widowControl/>
              <w:numPr>
                <w:ilvl w:val="0"/>
                <w:numId w:val="2"/>
              </w:numPr>
              <w:suppressAutoHyphens w:val="true"/>
              <w:overflowPunct w:val="false"/>
              <w:bidi w:val="0"/>
              <w:snapToGrid w:val="false"/>
              <w:jc w:val="left"/>
              <w:rPr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b w:val="false"/>
                <w:bCs w:val="false"/>
                <w:color w:val="000000"/>
                <w:sz w:val="26"/>
                <w:szCs w:val="26"/>
                <w:lang w:val="uk-UA"/>
              </w:rPr>
              <w:t>301</w:t>
            </w:r>
            <w:bookmarkStart w:id="8" w:name="__DdeLink__4315_38081338253"/>
            <w:r>
              <w:rPr>
                <w:b w:val="false"/>
                <w:bCs w:val="false"/>
                <w:color w:val="000000"/>
                <w:sz w:val="26"/>
                <w:szCs w:val="26"/>
              </w:rPr>
              <w:t xml:space="preserve"> </w:t>
            </w:r>
            <w:bookmarkEnd w:id="8"/>
            <w:r>
              <w:rPr>
                <w:b w:val="false"/>
                <w:bCs w:val="false"/>
                <w:color w:val="000000"/>
                <w:sz w:val="26"/>
                <w:szCs w:val="26"/>
                <w:lang w:val="uk-UA"/>
              </w:rPr>
              <w:t>320</w:t>
            </w:r>
            <w:r>
              <w:rPr>
                <w:b w:val="false"/>
                <w:bCs w:val="false"/>
                <w:color w:val="000000"/>
                <w:sz w:val="26"/>
                <w:szCs w:val="26"/>
              </w:rPr>
              <w:t>,0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/>
                <w:b/>
                <w:bCs/>
                <w:color w:val="000000"/>
                <w:sz w:val="26"/>
                <w:szCs w:val="26"/>
              </w:rPr>
            </w:pPr>
            <w:r>
              <w:rPr>
                <w:b w:val="false"/>
                <w:bCs w:val="false"/>
                <w:color w:val="000000"/>
                <w:sz w:val="26"/>
                <w:szCs w:val="26"/>
              </w:rPr>
              <w:t>5 730,0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/>
                <w:b/>
                <w:bCs/>
                <w:color w:val="000000"/>
                <w:sz w:val="26"/>
                <w:szCs w:val="26"/>
              </w:rPr>
            </w:pPr>
            <w:r>
              <w:rPr>
                <w:b w:val="false"/>
                <w:bCs w:val="false"/>
                <w:color w:val="000000"/>
                <w:sz w:val="26"/>
                <w:szCs w:val="26"/>
              </w:rPr>
              <w:t>91 430,0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/>
                <w:b/>
                <w:bCs/>
                <w:color w:val="000000"/>
                <w:sz w:val="26"/>
                <w:szCs w:val="26"/>
              </w:rPr>
            </w:pPr>
            <w:r>
              <w:rPr>
                <w:b w:val="false"/>
                <w:bCs w:val="false"/>
                <w:color w:val="000000"/>
                <w:sz w:val="26"/>
                <w:szCs w:val="26"/>
              </w:rPr>
              <w:t>115 310,0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63"/>
              <w:jc w:val="center"/>
              <w:rPr>
                <w:b w:val="false"/>
                <w:b w:val="false"/>
                <w:bCs w:val="false"/>
                <w:sz w:val="26"/>
                <w:szCs w:val="26"/>
              </w:rPr>
            </w:pPr>
            <w:r>
              <w:rPr>
                <w:b w:val="false"/>
                <w:bCs w:val="false"/>
                <w:color w:val="000000"/>
                <w:sz w:val="26"/>
                <w:szCs w:val="26"/>
                <w:lang w:val="uk-UA"/>
              </w:rPr>
              <w:t>86 490,0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/>
                <w:b/>
                <w:bCs/>
                <w:color w:val="000000"/>
                <w:sz w:val="26"/>
                <w:szCs w:val="26"/>
              </w:rPr>
            </w:pPr>
            <w:r>
              <w:rPr>
                <w:b w:val="false"/>
                <w:bCs w:val="false"/>
                <w:color w:val="000000"/>
                <w:sz w:val="26"/>
                <w:szCs w:val="26"/>
              </w:rPr>
              <w:t>2 360,0</w:t>
            </w:r>
          </w:p>
        </w:tc>
        <w:tc>
          <w:tcPr>
            <w:tcW w:w="1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/>
                <w:b/>
                <w:bCs/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7"/>
                <w:szCs w:val="27"/>
              </w:rPr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/>
      </w:pPr>
      <w:r>
        <w:rPr>
          <w:sz w:val="24"/>
          <w:szCs w:val="28"/>
        </w:rPr>
        <w:t>Кирилюк 720 087</w:t>
        <w:tab/>
      </w:r>
    </w:p>
    <w:sectPr>
      <w:headerReference w:type="default" r:id="rId2"/>
      <w:type w:val="nextPage"/>
      <w:pgSz w:orient="landscape" w:w="16838" w:h="11906"/>
      <w:pgMar w:left="567" w:right="567" w:header="1287" w:top="1701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Symbol"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center"/>
      <w:rPr/>
    </w:pPr>
    <w:r>
      <w:rPr/>
      <w:fldChar w:fldCharType="begin"/>
    </w:r>
    <w:r>
      <w:instrText> PAGE </w:instrText>
    </w:r>
    <w:r>
      <w:fldChar w:fldCharType="separate"/>
    </w:r>
    <w:r>
      <w:t>7</w:t>
    </w:r>
    <w:r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pStyle w:val="4"/>
      <w:numFmt w:val="none"/>
      <w:suff w:val="nothing"/>
      <w:lvlText w:val=""/>
      <w:lvlJc w:val="left"/>
      <w:pPr>
        <w:ind w:left="0" w:hanging="0"/>
      </w:pPr>
    </w:lvl>
    <w:lvl w:ilvl="4">
      <w:start w:val="1"/>
      <w:pStyle w:val="5"/>
      <w:numFmt w:val="none"/>
      <w:suff w:val="nothing"/>
      <w:lvlText w:val=""/>
      <w:lvlJc w:val="left"/>
      <w:pPr>
        <w:ind w:left="0" w:hanging="0"/>
      </w:pPr>
    </w:lvl>
    <w:lvl w:ilvl="5">
      <w:start w:val="1"/>
      <w:pStyle w:val="6"/>
      <w:numFmt w:val="none"/>
      <w:suff w:val="nothing"/>
      <w:lvlText w:val=""/>
      <w:lvlJc w:val="left"/>
      <w:pPr>
        <w:ind w:left="0" w:hanging="0"/>
      </w:pPr>
    </w:lvl>
    <w:lvl w:ilvl="6">
      <w:start w:val="1"/>
      <w:pStyle w:val="7"/>
      <w:numFmt w:val="none"/>
      <w:suff w:val="nothing"/>
      <w:lvlText w:val=""/>
      <w:lvlJc w:val="left"/>
      <w:pPr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ind w:left="0" w:hanging="0"/>
      </w:pPr>
    </w:lvl>
    <w:lvl w:ilvl="8">
      <w:start w:val="1"/>
      <w:pStyle w:val="9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Normal"/>
    <w:qFormat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sz w:val="26"/>
      <w:szCs w:val="26"/>
    </w:rPr>
  </w:style>
  <w:style w:type="paragraph" w:styleId="4">
    <w:name w:val="Heading 4"/>
    <w:basedOn w:val="Style11"/>
    <w:qFormat/>
    <w:pPr>
      <w:numPr>
        <w:ilvl w:val="3"/>
        <w:numId w:val="1"/>
      </w:numPr>
      <w:spacing w:before="120" w:after="120"/>
      <w:outlineLvl w:val="3"/>
    </w:pPr>
    <w:rPr>
      <w:b/>
      <w:i/>
      <w:iCs/>
      <w:sz w:val="27"/>
      <w:szCs w:val="27"/>
    </w:rPr>
  </w:style>
  <w:style w:type="paragraph" w:styleId="5">
    <w:name w:val="Heading 5"/>
    <w:basedOn w:val="Style11"/>
    <w:qFormat/>
    <w:pPr>
      <w:numPr>
        <w:ilvl w:val="4"/>
        <w:numId w:val="1"/>
      </w:numPr>
      <w:spacing w:before="120" w:after="60"/>
      <w:outlineLvl w:val="4"/>
    </w:pPr>
    <w:rPr>
      <w:b/>
      <w:sz w:val="24"/>
      <w:szCs w:val="24"/>
    </w:rPr>
  </w:style>
  <w:style w:type="paragraph" w:styleId="6">
    <w:name w:val="Heading 6"/>
    <w:basedOn w:val="Style11"/>
    <w:qFormat/>
    <w:pPr>
      <w:numPr>
        <w:ilvl w:val="5"/>
        <w:numId w:val="1"/>
      </w:numPr>
      <w:spacing w:before="60" w:after="60"/>
      <w:outlineLvl w:val="5"/>
    </w:pPr>
    <w:rPr>
      <w:b/>
      <w:i/>
      <w:iCs/>
      <w:sz w:val="24"/>
      <w:szCs w:val="24"/>
    </w:rPr>
  </w:style>
  <w:style w:type="paragraph" w:styleId="7">
    <w:name w:val="Heading 7"/>
    <w:basedOn w:val="Style11"/>
    <w:qFormat/>
    <w:pPr>
      <w:numPr>
        <w:ilvl w:val="6"/>
        <w:numId w:val="1"/>
      </w:numPr>
      <w:spacing w:before="60" w:after="60"/>
      <w:outlineLvl w:val="6"/>
    </w:pPr>
    <w:rPr>
      <w:b/>
      <w:sz w:val="22"/>
      <w:szCs w:val="22"/>
    </w:rPr>
  </w:style>
  <w:style w:type="paragraph" w:styleId="8">
    <w:name w:val="Heading 8"/>
    <w:basedOn w:val="Style11"/>
    <w:qFormat/>
    <w:pPr>
      <w:numPr>
        <w:ilvl w:val="7"/>
        <w:numId w:val="1"/>
      </w:numPr>
      <w:spacing w:before="60" w:after="60"/>
      <w:outlineLvl w:val="7"/>
    </w:pPr>
    <w:rPr>
      <w:b/>
      <w:i/>
      <w:iCs/>
      <w:sz w:val="22"/>
      <w:szCs w:val="22"/>
    </w:rPr>
  </w:style>
  <w:style w:type="paragraph" w:styleId="9">
    <w:name w:val="Heading 9"/>
    <w:basedOn w:val="Style11"/>
    <w:qFormat/>
    <w:pPr>
      <w:numPr>
        <w:ilvl w:val="8"/>
        <w:numId w:val="1"/>
      </w:numPr>
      <w:spacing w:before="60" w:after="60"/>
      <w:outlineLvl w:val="8"/>
    </w:pPr>
    <w:rPr>
      <w:b/>
      <w:sz w:val="21"/>
      <w:szCs w:val="21"/>
    </w:rPr>
  </w:style>
  <w:style w:type="character" w:styleId="DefaultParagraphFont">
    <w:name w:val="Default Paragraph Font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>
      <w:rFonts w:ascii="Wingdings" w:hAnsi="Wingdings" w:cs="Wingdings"/>
    </w:rPr>
  </w:style>
  <w:style w:type="character" w:styleId="WW8Num6z1">
    <w:name w:val="WW8Num6z1"/>
    <w:qFormat/>
    <w:rPr>
      <w:rFonts w:ascii="Courier New" w:hAnsi="Courier New" w:cs="Courier New"/>
    </w:rPr>
  </w:style>
  <w:style w:type="character" w:styleId="WW8Num6z3">
    <w:name w:val="WW8Num6z3"/>
    <w:qFormat/>
    <w:rPr>
      <w:rFonts w:ascii="Symbol" w:hAnsi="Symbol" w:cs="Symbol"/>
    </w:rPr>
  </w:style>
  <w:style w:type="character" w:styleId="WW8Num7z0">
    <w:name w:val="WW8Num7z0"/>
    <w:qFormat/>
    <w:rPr/>
  </w:style>
  <w:style w:type="character" w:styleId="WW8Num8z0">
    <w:name w:val="WW8Num8z0"/>
    <w:qFormat/>
    <w:rPr>
      <w:rFonts w:ascii="Times New Roman" w:hAnsi="Times New Roman" w:eastAsia="Times New Roman" w:cs="Times New Roman"/>
    </w:rPr>
  </w:style>
  <w:style w:type="character" w:styleId="WW8Num8z1">
    <w:name w:val="WW8Num8z1"/>
    <w:qFormat/>
    <w:rPr>
      <w:rFonts w:ascii="Courier New" w:hAnsi="Courier New" w:cs="Courier New"/>
    </w:rPr>
  </w:style>
  <w:style w:type="character" w:styleId="WW8Num8z2">
    <w:name w:val="WW8Num8z2"/>
    <w:qFormat/>
    <w:rPr>
      <w:rFonts w:ascii="Wingdings" w:hAnsi="Wingdings" w:cs="Wingdings"/>
    </w:rPr>
  </w:style>
  <w:style w:type="character" w:styleId="WW8Num8z3">
    <w:name w:val="WW8Num8z3"/>
    <w:qFormat/>
    <w:rPr>
      <w:rFonts w:ascii="Symbol" w:hAnsi="Symbol" w:cs="Symbol"/>
    </w:rPr>
  </w:style>
  <w:style w:type="character" w:styleId="WW8Num9z0">
    <w:name w:val="WW8Num9z0"/>
    <w:qFormat/>
    <w:rPr/>
  </w:style>
  <w:style w:type="character" w:styleId="WW8Num9z1">
    <w:name w:val="WW8Num9z1"/>
    <w:qFormat/>
    <w:rPr/>
  </w:style>
  <w:style w:type="character" w:styleId="WW8Num9z2">
    <w:name w:val="WW8Num9z2"/>
    <w:qFormat/>
    <w:rPr/>
  </w:style>
  <w:style w:type="character" w:styleId="WW8Num9z3">
    <w:name w:val="WW8Num9z3"/>
    <w:qFormat/>
    <w:rPr/>
  </w:style>
  <w:style w:type="character" w:styleId="WW8Num9z4">
    <w:name w:val="WW8Num9z4"/>
    <w:qFormat/>
    <w:rPr/>
  </w:style>
  <w:style w:type="character" w:styleId="WW8Num9z5">
    <w:name w:val="WW8Num9z5"/>
    <w:qFormat/>
    <w:rPr/>
  </w:style>
  <w:style w:type="character" w:styleId="WW8Num9z6">
    <w:name w:val="WW8Num9z6"/>
    <w:qFormat/>
    <w:rPr/>
  </w:style>
  <w:style w:type="character" w:styleId="WW8Num9z7">
    <w:name w:val="WW8Num9z7"/>
    <w:qFormat/>
    <w:rPr/>
  </w:style>
  <w:style w:type="character" w:styleId="WW8Num9z8">
    <w:name w:val="WW8Num9z8"/>
    <w:qFormat/>
    <w:rPr/>
  </w:style>
  <w:style w:type="character" w:styleId="WW8Num10z0">
    <w:name w:val="WW8Num10z0"/>
    <w:qFormat/>
    <w:rPr/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Style5">
    <w:name w:val="Основной шрифт абзаца"/>
    <w:qFormat/>
    <w:rPr/>
  </w:style>
  <w:style w:type="character" w:styleId="Pagenumber">
    <w:name w:val="page number"/>
    <w:basedOn w:val="Style5"/>
    <w:qFormat/>
    <w:rPr/>
  </w:style>
  <w:style w:type="character" w:styleId="Style6">
    <w:name w:val="Виділення жирним"/>
    <w:qFormat/>
    <w:rPr>
      <w:b/>
      <w:bCs/>
    </w:rPr>
  </w:style>
  <w:style w:type="character" w:styleId="Style7">
    <w:name w:val="Основний текст_"/>
    <w:qFormat/>
    <w:rPr>
      <w:sz w:val="21"/>
      <w:szCs w:val="21"/>
      <w:lang w:bidi="ar-SA"/>
    </w:rPr>
  </w:style>
  <w:style w:type="character" w:styleId="Rvts0">
    <w:name w:val="rvts0"/>
    <w:qFormat/>
    <w:rPr>
      <w:rFonts w:cs="Times New Roman"/>
    </w:rPr>
  </w:style>
  <w:style w:type="character" w:styleId="HTML">
    <w:name w:val="Стандартный HTML Знак"/>
    <w:qFormat/>
    <w:rPr>
      <w:rFonts w:ascii="Courier New" w:hAnsi="Courier New" w:eastAsia="Calibri" w:cs="Courier New"/>
      <w:lang w:val="ru-RU" w:bidi="ar-SA"/>
    </w:rPr>
  </w:style>
  <w:style w:type="character" w:styleId="Rvts23">
    <w:name w:val="rvts23"/>
    <w:qFormat/>
    <w:rPr>
      <w:rFonts w:cs="Times New Roman"/>
    </w:rPr>
  </w:style>
  <w:style w:type="character" w:styleId="Appleconvertedspace">
    <w:name w:val="apple-converted-space"/>
    <w:basedOn w:val="Style5"/>
    <w:qFormat/>
    <w:rPr/>
  </w:style>
  <w:style w:type="character" w:styleId="FontStyle13">
    <w:name w:val="Font Style13"/>
    <w:qFormat/>
    <w:rPr>
      <w:rFonts w:ascii="Times New Roman" w:hAnsi="Times New Roman" w:cs="Times New Roman"/>
      <w:sz w:val="26"/>
      <w:szCs w:val="26"/>
    </w:rPr>
  </w:style>
  <w:style w:type="character" w:styleId="Rvts15">
    <w:name w:val="rvts15"/>
    <w:basedOn w:val="Style5"/>
    <w:qFormat/>
    <w:rPr/>
  </w:style>
  <w:style w:type="character" w:styleId="Style8">
    <w:name w:val="Нижний колонтитул Знак"/>
    <w:qFormat/>
    <w:rPr>
      <w:bCs/>
      <w:sz w:val="28"/>
      <w:szCs w:val="24"/>
      <w:lang w:val="uk-UA"/>
    </w:rPr>
  </w:style>
  <w:style w:type="character" w:styleId="31">
    <w:name w:val="Основной текст с отступом 3 Знак"/>
    <w:qFormat/>
    <w:rPr>
      <w:sz w:val="16"/>
      <w:szCs w:val="16"/>
    </w:rPr>
  </w:style>
  <w:style w:type="character" w:styleId="Rvts44">
    <w:name w:val="rvts44"/>
    <w:qFormat/>
    <w:rPr>
      <w:rFonts w:cs="Times New Roman"/>
    </w:rPr>
  </w:style>
  <w:style w:type="character" w:styleId="Style9">
    <w:name w:val="Гіперпосилання"/>
    <w:rPr>
      <w:rFonts w:cs="Times New Roman"/>
      <w:color w:val="0000FF"/>
      <w:u w:val="single"/>
    </w:rPr>
  </w:style>
  <w:style w:type="character" w:styleId="21">
    <w:name w:val="Основной текст с отступом 2 Знак"/>
    <w:qFormat/>
    <w:rPr>
      <w:bCs/>
      <w:sz w:val="28"/>
      <w:szCs w:val="24"/>
    </w:rPr>
  </w:style>
  <w:style w:type="character" w:styleId="Style10">
    <w:name w:val="Символ нумерації"/>
    <w:qFormat/>
    <w:rPr/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eastAsia="Microsoft YaHei" w:cs="Arial"/>
      <w:szCs w:val="28"/>
    </w:rPr>
  </w:style>
  <w:style w:type="paragraph" w:styleId="Style12">
    <w:name w:val="Body Text"/>
    <w:basedOn w:val="Normal"/>
    <w:pPr>
      <w:shd w:val="clear" w:fill="FFFFFF"/>
      <w:spacing w:lineRule="exact" w:line="276"/>
      <w:jc w:val="both"/>
    </w:pPr>
    <w:rPr>
      <w:bCs w:val="false"/>
      <w:sz w:val="21"/>
      <w:szCs w:val="21"/>
      <w:lang w:eastAsia="uk-UA"/>
    </w:rPr>
  </w:style>
  <w:style w:type="paragraph" w:styleId="Style13">
    <w:name w:val="List"/>
    <w:basedOn w:val="Style12"/>
    <w:pPr>
      <w:shd w:val="clear" w:fill="FFFFFF"/>
    </w:pPr>
    <w:rPr>
      <w:rFonts w:cs="Ari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16">
    <w:name w:val="Header"/>
    <w:basedOn w:val="Normal"/>
    <w:pPr>
      <w:tabs>
        <w:tab w:val="center" w:pos="4677" w:leader="none"/>
        <w:tab w:val="right" w:pos="9355" w:leader="none"/>
      </w:tabs>
    </w:pPr>
    <w:rPr/>
  </w:style>
  <w:style w:type="paragraph" w:styleId="Style17">
    <w:name w:val="Body Text Indent"/>
    <w:basedOn w:val="Normal"/>
    <w:pPr>
      <w:ind w:left="0" w:right="0" w:firstLine="545"/>
      <w:jc w:val="both"/>
    </w:pPr>
    <w:rPr>
      <w:bCs w:val="false"/>
    </w:rPr>
  </w:style>
  <w:style w:type="paragraph" w:styleId="Style18">
    <w:name w:val="Обычный (веб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Style19">
    <w:name w:val="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Абзац списка"/>
    <w:basedOn w:val="Normal"/>
    <w:qFormat/>
    <w:pPr>
      <w:spacing w:before="0" w:after="0"/>
      <w:ind w:left="720" w:right="0" w:hanging="0"/>
      <w:contextualSpacing/>
    </w:pPr>
    <w:rPr>
      <w:rFonts w:eastAsia="Calibri"/>
      <w:bCs w:val="false"/>
      <w:szCs w:val="28"/>
      <w:lang w:val="ru-RU"/>
    </w:rPr>
  </w:style>
  <w:style w:type="paragraph" w:styleId="HTML1">
    <w:name w:val="Стандартный HTML"/>
    <w:basedOn w:val="Normal"/>
    <w:qFormat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bCs w:val="false"/>
      <w:sz w:val="20"/>
      <w:szCs w:val="20"/>
      <w:lang w:val="ru-RU"/>
    </w:rPr>
  </w:style>
  <w:style w:type="paragraph" w:styleId="Western">
    <w:name w:val="western"/>
    <w:basedOn w:val="Normal"/>
    <w:qFormat/>
    <w:pPr>
      <w:spacing w:before="280" w:after="280"/>
    </w:pPr>
    <w:rPr>
      <w:rFonts w:eastAsia="Calibri"/>
      <w:bCs w:val="false"/>
      <w:sz w:val="24"/>
      <w:lang w:val="ru-RU"/>
    </w:rPr>
  </w:style>
  <w:style w:type="paragraph" w:styleId="CharChar">
    <w:name w:val="Char Знак Знак Char Знак Знак Знак Знак Знак Знак Знак Знак Знак 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Без интервала"/>
    <w:qFormat/>
    <w:pPr>
      <w:widowControl/>
      <w:suppressAutoHyphens w:val="true"/>
      <w:overflowPunct w:val="false"/>
      <w:bidi w:val="0"/>
      <w:jc w:val="left"/>
    </w:pPr>
    <w:rPr>
      <w:rFonts w:ascii="Calibri" w:hAnsi="Calibri" w:eastAsia="Calibri" w:cs="Calibri"/>
      <w:color w:val="00000A"/>
      <w:kern w:val="0"/>
      <w:sz w:val="22"/>
      <w:szCs w:val="22"/>
      <w:lang w:val="ru-RU" w:eastAsia="zh-CN" w:bidi="ar-SA"/>
    </w:rPr>
  </w:style>
  <w:style w:type="paragraph" w:styleId="Style22">
    <w:name w:val="Основной текст"/>
    <w:basedOn w:val="Normal"/>
    <w:qFormat/>
    <w:pPr>
      <w:spacing w:before="0" w:after="120"/>
    </w:pPr>
    <w:rPr/>
  </w:style>
  <w:style w:type="paragraph" w:styleId="311">
    <w:name w:val="Основной текст с отступом 31"/>
    <w:basedOn w:val="Normal"/>
    <w:qFormat/>
    <w:pPr>
      <w:ind w:left="436" w:right="0" w:hanging="436"/>
    </w:pPr>
    <w:rPr>
      <w:bCs w:val="false"/>
    </w:rPr>
  </w:style>
  <w:style w:type="paragraph" w:styleId="Style51">
    <w:name w:val="Style5"/>
    <w:basedOn w:val="Normal"/>
    <w:qFormat/>
    <w:pPr>
      <w:widowControl w:val="false"/>
      <w:spacing w:lineRule="exact" w:line="322"/>
      <w:ind w:left="0" w:right="0" w:firstLine="629"/>
      <w:jc w:val="both"/>
    </w:pPr>
    <w:rPr>
      <w:bCs w:val="false"/>
      <w:sz w:val="24"/>
      <w:lang w:val="ru-RU"/>
    </w:rPr>
  </w:style>
  <w:style w:type="paragraph" w:styleId="ListParagraph">
    <w:name w:val="List Paragraph"/>
    <w:basedOn w:val="Normal"/>
    <w:qFormat/>
    <w:pPr>
      <w:spacing w:before="0" w:after="200"/>
      <w:ind w:left="720" w:right="0" w:hanging="0"/>
    </w:pPr>
    <w:rPr/>
  </w:style>
  <w:style w:type="paragraph" w:styleId="Style23">
    <w:name w:val="Знак Знак Знак Знак Знак Знак Знак Знак Знак Знак Знак Знак 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paragraph" w:styleId="22">
    <w:name w:val="Основной текст 22"/>
    <w:basedOn w:val="Normal"/>
    <w:qFormat/>
    <w:pPr>
      <w:jc w:val="both"/>
    </w:pPr>
    <w:rPr>
      <w:b/>
    </w:rPr>
  </w:style>
  <w:style w:type="paragraph" w:styleId="Style24">
    <w:name w:val="Footer"/>
    <w:basedOn w:val="Normal"/>
    <w:pPr>
      <w:tabs>
        <w:tab w:val="center" w:pos="4819" w:leader="none"/>
        <w:tab w:val="right" w:pos="9639" w:leader="none"/>
      </w:tabs>
    </w:pPr>
    <w:rPr/>
  </w:style>
  <w:style w:type="paragraph" w:styleId="32">
    <w:name w:val="Основной текст с отступом 3"/>
    <w:basedOn w:val="Normal"/>
    <w:qFormat/>
    <w:pPr>
      <w:spacing w:before="0" w:after="120"/>
      <w:ind w:left="283" w:right="0" w:hanging="0"/>
    </w:pPr>
    <w:rPr>
      <w:bCs w:val="false"/>
      <w:sz w:val="16"/>
      <w:szCs w:val="16"/>
      <w:lang w:val="ru-RU"/>
    </w:rPr>
  </w:style>
  <w:style w:type="paragraph" w:styleId="HTMLPreformatted">
    <w:name w:val="HTML Preformatted"/>
    <w:basedOn w:val="Normal"/>
    <w:qFormat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  <w:lang w:val="ru-RU"/>
    </w:rPr>
  </w:style>
  <w:style w:type="paragraph" w:styleId="23">
    <w:name w:val="Основной текст с отступом 2"/>
    <w:basedOn w:val="Normal"/>
    <w:qFormat/>
    <w:pPr>
      <w:spacing w:lineRule="auto" w:line="480" w:before="0" w:after="120"/>
      <w:ind w:left="283" w:right="0" w:hanging="0"/>
    </w:pPr>
    <w:rPr/>
  </w:style>
  <w:style w:type="paragraph" w:styleId="Style25">
    <w:name w:val="Вміст рамки"/>
    <w:basedOn w:val="Normal"/>
    <w:qFormat/>
    <w:pPr/>
    <w:rPr/>
  </w:style>
  <w:style w:type="paragraph" w:styleId="211">
    <w:name w:val="Основной текст с отступом 21"/>
    <w:basedOn w:val="Normal"/>
    <w:qFormat/>
    <w:pPr>
      <w:ind w:left="700" w:right="0" w:hanging="0"/>
      <w:jc w:val="both"/>
    </w:pPr>
    <w:rPr/>
  </w:style>
  <w:style w:type="paragraph" w:styleId="Style26">
    <w:name w:val="Вміст таблиці"/>
    <w:basedOn w:val="Normal"/>
    <w:qFormat/>
    <w:pPr>
      <w:suppressLineNumbers/>
    </w:pPr>
    <w:rPr/>
  </w:style>
  <w:style w:type="paragraph" w:styleId="Style27">
    <w:name w:val="Заголовок таблиці"/>
    <w:basedOn w:val="Style26"/>
    <w:qFormat/>
    <w:pPr>
      <w:jc w:val="center"/>
    </w:pPr>
    <w:rPr>
      <w:b/>
    </w:rPr>
  </w:style>
  <w:style w:type="paragraph" w:styleId="212">
    <w:name w:val="Основной текст 21"/>
    <w:basedOn w:val="Normal"/>
    <w:qFormat/>
    <w:pPr>
      <w:jc w:val="both"/>
    </w:pPr>
    <w:rPr>
      <w:szCs w:val="20"/>
    </w:rPr>
  </w:style>
  <w:style w:type="paragraph" w:styleId="Style28">
    <w:name w:val="Содержимое таблицы"/>
    <w:basedOn w:val="Normal"/>
    <w:qFormat/>
    <w:pPr>
      <w:suppressLineNumbers/>
    </w:pPr>
    <w:rPr/>
  </w:style>
  <w:style w:type="paragraph" w:styleId="24">
    <w:name w:val="Основной текст 2"/>
    <w:basedOn w:val="Normal"/>
    <w:qFormat/>
    <w:pPr>
      <w:jc w:val="both"/>
    </w:pPr>
    <w:rPr>
      <w:szCs w:val="20"/>
    </w:rPr>
  </w:style>
  <w:style w:type="paragraph" w:styleId="10">
    <w:name w:val="Заголовок 10"/>
    <w:basedOn w:val="Style11"/>
    <w:qFormat/>
    <w:pPr>
      <w:spacing w:before="60" w:after="60"/>
      <w:outlineLvl w:val="8"/>
    </w:pPr>
    <w:rPr>
      <w:b/>
      <w:sz w:val="21"/>
      <w:szCs w:val="21"/>
    </w:rPr>
  </w:style>
  <w:style w:type="numbering" w:styleId="NoList">
    <w:name w:val="No List"/>
    <w:qFormat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1487</TotalTime>
  <Application>LibreOffice/5.4.2.2$Windows_x86 LibreOffice_project/22b09f6418e8c2d508a9eaf86b2399209b0990f4</Application>
  <Pages>10</Pages>
  <Words>1204</Words>
  <Characters>7372</Characters>
  <CharactersWithSpaces>8502</CharactersWithSpaces>
  <Paragraphs>446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2019-10-31T16:14:00Z</dcterms:created>
  <dc:creator>nkhmel</dc:creator>
  <dc:description/>
  <dc:language>uk-UA</dc:language>
  <cp:lastModifiedBy/>
  <cp:lastPrinted>2023-10-11T12:27:23Z</cp:lastPrinted>
  <dcterms:modified xsi:type="dcterms:W3CDTF">2024-04-17T14:53:27Z</dcterms:modified>
  <cp:revision>162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