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міської ради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left="4248" w:firstLine="85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-освіту разом: інноваційне навчання в Ліппе та Луцьку” на 2024–2026 роки»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(проєкт)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3"/>
        <w:gridCol w:w="3789"/>
        <w:gridCol w:w="4748"/>
      </w:tblGrid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>
          <w:trHeight w:val="934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bookmarkStart w:id="0" w:name="__DdeLink__881_3998626399"/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  <w:bookmarkEnd w:id="0"/>
          </w:p>
        </w:tc>
      </w:tr>
      <w:tr>
        <w:trPr>
          <w:trHeight w:val="934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/>
              <w:t>–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1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Департамент освіти, департамент молоді та спорту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2024–2026 роки</w:t>
            </w:r>
          </w:p>
        </w:tc>
      </w:tr>
      <w:tr>
        <w:trPr>
          <w:trHeight w:val="96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10 773,5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громади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1 702,8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9 070,7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</w:tbl>
    <w:p>
      <w:pPr>
        <w:sectPr>
          <w:type w:val="nextPage"/>
          <w:pgSz w:w="11906" w:h="16838"/>
          <w:pgMar w:left="1984" w:right="567" w:header="0" w:top="567" w:footer="0" w:bottom="1134" w:gutter="0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HTML1"/>
        <w:shd w:val="clear" w:color="auto" w:fill="FFFFFF"/>
        <w:tabs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644" w:hanging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1. Аналіз динаміки змін та поточної ситуації</w:t>
      </w:r>
    </w:p>
    <w:p>
      <w:pPr>
        <w:pStyle w:val="Normal"/>
        <w:spacing w:before="0" w:after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 xml:space="preserve">Програму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«Впровадження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на 2024–2026 роки»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 xml:space="preserve">розроблено в межах діяльності щодо залучення грантових коштів у розвиток Луцької міської територіальної громади та згідно з постановою Кабінету Міністрів України від 15.02.2002 № 153 «Про створення єдиної системи залучення, використання та моніторингу міжнародної технічної допомоги» зі змінами. </w:t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ascii="Times New Roman" w:hAnsi="Times New Roman"/>
          <w:sz w:val="28"/>
          <w:szCs w:val="28"/>
        </w:rPr>
        <w:t>Програм</w:t>
      </w:r>
      <w:r>
        <w:rPr>
          <w:rFonts w:cs="Arial"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розроблен</w:t>
      </w:r>
      <w:r>
        <w:rPr>
          <w:rFonts w:cs="Arial"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з метою реалізації міжнародного проєкту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sz w:val="28"/>
          <w:szCs w:val="28"/>
        </w:rPr>
        <w:t xml:space="preserve">, який </w:t>
      </w:r>
      <w:r>
        <w:rPr>
          <w:rFonts w:eastAsia="Times New Roman" w:cs="Times New Roman" w:ascii="Times New Roman" w:hAnsi="Times New Roman"/>
          <w:sz w:val="28"/>
          <w:szCs w:val="28"/>
          <w:lang w:bidi="ar-SA"/>
        </w:rPr>
        <w:t>впроваджується</w:t>
      </w:r>
      <w:r>
        <w:rPr>
          <w:rFonts w:ascii="Times New Roman" w:hAnsi="Times New Roman"/>
          <w:bCs/>
          <w:sz w:val="28"/>
          <w:szCs w:val="28"/>
        </w:rPr>
        <w:t xml:space="preserve"> краєм Ліппе Федеративної Республіки Німеччина (Головний партнер) та виконавчим комітетом Луцької міської ради (Партнер) в </w:t>
      </w:r>
      <w:r>
        <w:rPr>
          <w:rFonts w:cs="Arial" w:ascii="Times New Roman" w:hAnsi="Times New Roman"/>
          <w:bCs/>
          <w:sz w:val="28"/>
          <w:szCs w:val="28"/>
        </w:rPr>
        <w:t xml:space="preserve">межах </w:t>
      </w:r>
      <w:r>
        <w:rPr>
          <w:rFonts w:ascii="Times New Roman" w:hAnsi="Times New Roman"/>
          <w:bCs/>
          <w:sz w:val="28"/>
          <w:szCs w:val="28"/>
        </w:rPr>
        <w:t xml:space="preserve">Програми </w:t>
      </w:r>
      <w:r>
        <w:rPr>
          <w:rFonts w:ascii="Times New Roman" w:hAnsi="Times New Roman"/>
          <w:spacing w:val="-1"/>
          <w:sz w:val="28"/>
          <w:szCs w:val="28"/>
          <w:lang w:eastAsia="uk-UA"/>
        </w:rPr>
        <w:t>«Сталий муніципальний розвиток через партнерські проєкти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2"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NAK</w:t>
      </w:r>
      <w:r>
        <w:rPr>
          <w:rFonts w:ascii="Times New Roman" w:hAnsi="Times New Roman"/>
          <w:bCs/>
          <w:color w:val="000000"/>
          <w:sz w:val="28"/>
          <w:szCs w:val="28"/>
        </w:rPr>
        <w:t>OPA)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та рекомендований до фінансування з коштів Уряду Федеративної Республіки Німеччина через Федеральне міністерство економічного співробітництва та розвитку, </w:t>
      </w:r>
      <w:r>
        <w:rPr>
          <w:rFonts w:ascii="Times New Roman" w:hAnsi="Times New Roman"/>
          <w:sz w:val="28"/>
          <w:szCs w:val="28"/>
        </w:rPr>
        <w:t xml:space="preserve">яке представлене Engagement Global gGmbH / Сервісною службою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ascii="Times New Roman" w:hAnsi="Times New Roman"/>
          <w:sz w:val="28"/>
          <w:szCs w:val="28"/>
        </w:rPr>
        <w:t>Міста в єдиному світі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>
      <w:pPr>
        <w:pStyle w:val="HTML1"/>
        <w:shd w:val="clear" w:color="auto" w:fill="FFFFFF"/>
        <w:suppressAutoHyphens w:val="true"/>
        <w:ind w:firstLine="567"/>
        <w:jc w:val="both"/>
        <w:textAlignment w:val="baseline"/>
        <w:rPr/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Потреба реалізації проєкту обумовлена актуальністю 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створення центру </w:t>
      </w:r>
      <w:r>
        <w:rPr>
          <w:rFonts w:cs="Arial" w:ascii="Times New Roman" w:hAnsi="Times New Roman"/>
          <w:bCs/>
          <w:color w:val="000000"/>
          <w:sz w:val="28"/>
          <w:szCs w:val="28"/>
          <w:lang w:val="en-US" w:eastAsia="ru-RU"/>
        </w:rPr>
        <w:t>STEM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-освіти для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впровадження її елементів у системі</w:t>
      </w:r>
      <w:r>
        <w:rPr>
          <w:rFonts w:cs="Arial"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загальної середньої освіти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Луцької міської територіальної громади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а також на виконання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розпоряджень Кабінету Міністрів України від 05.05.2020 № 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960-р «Про схвалення Концепції розвитку природничо-математичної освіти (STEM-освіти)» та від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13.01.2021 № 131-р «Про затвердження плану заходів щодо реалізації Концепції розвитку природничо-математичної освіти (STEM-освіти) до 2027 року»,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наказу Міністерства освіти і науки України від 29.04.2020 № 574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 затвердження Типового переліку засобів навчання та обладнання для навчальних кабінетів і SТЕМ-лабораторій</w:t>
      </w:r>
      <w:bookmarkStart w:id="1" w:name="__DdeLink__1267_2616832112"/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  <w:bookmarkEnd w:id="1"/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.</w:t>
      </w:r>
    </w:p>
    <w:p>
      <w:pPr>
        <w:pStyle w:val="HTML1"/>
        <w:shd w:val="clear" w:color="auto" w:fill="FFFFFF"/>
        <w:suppressAutoHyphens w:val="true"/>
        <w:spacing w:before="0" w:after="0"/>
        <w:ind w:firstLine="567"/>
        <w:contextualSpacing/>
        <w:jc w:val="both"/>
        <w:textAlignment w:val="baseline"/>
        <w:rPr/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Наразі у школах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Луцької міської територіальної громади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спостерігається дефіцит ресурсів для впровадження STEM-програм, зокрема рівень матеріально-технічного та інформаційного забезпечення профільних кабінетів є недостатнім для належної підготовки, навчання та розвитку учнів, схильних до вивчення STEM-предметів, для розкриття потенціалу молоді, яка може зацікавитись точними науками та технічними професіями.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Програму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eastAsia="uk-UA" w:bidi="ar-SA"/>
        </w:rPr>
        <w:t xml:space="preserve">-освіту разом: інноваційне навчання в Ліппе та Луцьку”» розроблено для вирішення цієї проблеми. 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before="0" w:after="0"/>
        <w:ind w:firstLine="567"/>
        <w:contextualSpacing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2. Визначення мети Програми</w:t>
      </w:r>
    </w:p>
    <w:p>
      <w:pPr>
        <w:pStyle w:val="HTML1"/>
        <w:shd w:val="clear" w:color="auto" w:fill="FFFFFF"/>
        <w:tabs>
          <w:tab w:val="clear" w:pos="916"/>
          <w:tab w:val="clear" w:pos="2748"/>
          <w:tab w:val="clear" w:pos="3664"/>
          <w:tab w:val="left" w:pos="345" w:leader="none"/>
          <w:tab w:val="left" w:pos="1832" w:leader="none"/>
          <w:tab w:val="left" w:pos="2835" w:leader="none"/>
          <w:tab w:val="left" w:pos="2895" w:leader="none"/>
          <w:tab w:val="left" w:pos="2977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/>
        <w:ind w:left="340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900" w:leader="none"/>
        </w:tabs>
        <w:spacing w:before="0" w:after="0"/>
        <w:ind w:firstLine="72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Метою Програми є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успішна реалізація міжнародного грантового проєкту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» та впровадження ряду заходів для покращення якості STEM-освіти у школах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та стимулювання інтересу учнів до вивчення STEM-дисциплін.</w:t>
      </w:r>
    </w:p>
    <w:p>
      <w:pPr>
        <w:pStyle w:val="Normal"/>
        <w:tabs>
          <w:tab w:val="clear" w:pos="709"/>
          <w:tab w:val="left" w:pos="900" w:leader="none"/>
        </w:tabs>
        <w:spacing w:before="0" w:after="0"/>
        <w:ind w:firstLine="567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3. Засоби розв’язання проблеми</w:t>
      </w:r>
    </w:p>
    <w:p>
      <w:pPr>
        <w:pStyle w:val="HTML1"/>
        <w:shd w:val="clear" w:color="auto" w:fill="FFFFFF"/>
        <w:spacing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</w:rPr>
        <w:t xml:space="preserve">Впровадження грантових проєктів є дієвим механізмом для залучення позабюджетних коштів у розвиток громади. Міжнародний проєкт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», що буде реалізовано 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у 2024–2026 роках, забезпечить створення належних умов для профільного навчання природничо-математичних предметів, сприятиме покращенню якості викладання STEM-предметів і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розвитку галузей STEM, заохочуватиме молодь до STEM-досліджень та STEM-кар’єри.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В межах зазначеного проєкту заплановано облаштування навчальних приміщень із метою проведення занять для учнів закладів загальної середньої освіти в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>Луцькій міській територіальній громаді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, зокрема передбачено закупівлю техніки, обладнання, меблів та інформаційне наповнення кабінетів фізики, хімії та біології, робототехніки, інноваційних технологій, шиття та вишивання, фото- та відеостудії, облаштування конференційного залу. Окрім цього, проєктом передбачені такі заходи: розробка інтернет-сторінки центру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-освіти, зйомка відеоролика, виготовлення промоційної продукції, проведення науково-просвітницьких заходів і змагань для учнів із метою популяризації досягнень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-навчання, навчальний візит школярів до краю Ліппе, навчальні візити для вчителів </w:t>
      </w:r>
      <w:r>
        <w:rPr>
          <w:rFonts w:ascii="Times New Roman" w:hAnsi="Times New Roman"/>
          <w:bCs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 xml:space="preserve">-предметів у закладах загальної середньої освіти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spacing w:val="-1"/>
          <w:sz w:val="28"/>
          <w:szCs w:val="28"/>
          <w:lang w:eastAsia="uk-UA"/>
        </w:rPr>
        <w:t>до краю Ліппе із метою обміну досвідом у цій сфері.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За умови реалізації Програми та, відповідно, міжнародного проєкту очікується: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покращення матеріальної бази системи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-освіти в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>Луцькій міській територіальній громаді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cs="Courier New"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стимулювання зацікавленості молоді у вивченні STEM-дисциплін,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ru-RU"/>
        </w:rPr>
        <w:t>підвищенн</w:t>
      </w:r>
      <w:r>
        <w:rPr>
          <w:rFonts w:cs="Courier New" w:ascii="Times New Roman" w:hAnsi="Times New Roman"/>
          <w:bCs/>
          <w:color w:val="000000"/>
          <w:spacing w:val="-1"/>
          <w:sz w:val="28"/>
          <w:szCs w:val="28"/>
          <w:lang w:eastAsia="ru-RU"/>
        </w:rPr>
        <w:t>я поінформованості учнів шкіл про можливості кар’єри в інженерно-технічній сфері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ru-RU"/>
        </w:rPr>
        <w:t xml:space="preserve">; 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spacing w:val="-1"/>
          <w:sz w:val="28"/>
          <w:szCs w:val="28"/>
        </w:rPr>
        <w:t>створення належних умов для п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ідготовки та підвищення кваліфікації вчителів STEM-предметів;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>поглиблення співпраці з побратимським краєм Ліппе Федеративної Республіки Німеччина;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підтвердження позитивного іміджу </w:t>
      </w:r>
      <w:r>
        <w:rPr>
          <w:rFonts w:cs="Times New Roman" w:ascii="Times New Roman" w:hAnsi="Times New Roman"/>
          <w:color w:val="000000"/>
          <w:spacing w:val="-1"/>
          <w:kern w:val="0"/>
          <w:sz w:val="28"/>
          <w:szCs w:val="28"/>
          <w:lang w:eastAsia="uk-UA"/>
        </w:rPr>
        <w:t xml:space="preserve">Луцької міської територіальної громади </w:t>
      </w: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 як активного учасника міжнародних грантових програм.</w:t>
      </w:r>
    </w:p>
    <w:p>
      <w:pPr>
        <w:pStyle w:val="14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jc w:val="both"/>
        <w:rPr/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Ресурсне забезпечення Програми наведено в додатку 1 до Програми. 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jc w:val="both"/>
        <w:rPr>
          <w:rFonts w:cs="Times New Roman"/>
          <w:b/>
          <w:b/>
          <w:color w:val="000000"/>
        </w:rPr>
      </w:pPr>
      <w:r>
        <w:rPr>
          <w:rFonts w:cs="Times New Roman"/>
          <w:b/>
          <w:color w:val="000000"/>
        </w:rPr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4. Перелік завдань і заходів Програми, індикатори (результативні показники) для проведення моніторингу та оцінки виконання Програми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Завданням Програми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 є реалізація заходів міжнародного проєкту «Розвиваємо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Луцьку».</w:t>
      </w:r>
    </w:p>
    <w:p>
      <w:pPr>
        <w:pStyle w:val="Normal"/>
        <w:tabs>
          <w:tab w:val="clear" w:pos="709"/>
          <w:tab w:val="left" w:pos="360" w:leader="none"/>
          <w:tab w:val="left" w:pos="900" w:leader="none"/>
        </w:tabs>
        <w:spacing w:before="0" w:after="0"/>
        <w:ind w:firstLine="567"/>
        <w:contextualSpacing/>
        <w:rPr/>
      </w:pPr>
      <w:r>
        <w:rPr>
          <w:rFonts w:ascii="Times New Roman" w:hAnsi="Times New Roman"/>
          <w:color w:val="000000"/>
          <w:sz w:val="28"/>
          <w:szCs w:val="28"/>
        </w:rPr>
        <w:t>Перелік завдань, заходів Програми та результативні показники наведено у додатку 2 до Програми.</w:t>
      </w:r>
    </w:p>
    <w:p>
      <w:pPr>
        <w:pStyle w:val="Normal"/>
        <w:spacing w:before="0" w:after="0"/>
        <w:ind w:left="644" w:hanging="0"/>
        <w:contextualSpacing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left="644" w:hanging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</w:rPr>
        <w:t>Координація та контроль за ходом виконання Програми.</w:t>
      </w:r>
    </w:p>
    <w:p>
      <w:pPr>
        <w:pStyle w:val="Normal"/>
        <w:spacing w:before="0" w:after="0"/>
        <w:ind w:left="644" w:hanging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Звіт про виконання Програми</w:t>
      </w:r>
    </w:p>
    <w:p>
      <w:pPr>
        <w:pStyle w:val="Normal"/>
        <w:spacing w:before="0" w:after="0"/>
        <w:ind w:left="644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використанням бюджетних коштів, передбачених для здійснення заходів, визначених Програмою, здійснюється в порядку, встановленому законодавством. Контроль за виконанням заходів Програми здійснює управління міжнародного співробітництва та проектної діяльності та постійна комісія міської ради з питань </w:t>
      </w:r>
      <w:r>
        <w:rPr>
          <w:rFonts w:ascii="Times New Roman" w:hAnsi="Times New Roman"/>
          <w:color w:val="000000"/>
          <w:sz w:val="28"/>
          <w:szCs w:val="28"/>
        </w:rPr>
        <w:t>міжнародного співробітництва, торгівлі, послуг та розвитку підприємництва, інформаційної політики, молоді, спорту та туризму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Normal"/>
        <w:spacing w:before="0" w:after="0"/>
        <w:ind w:firstLine="567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Звіт про виконання Програми заслуховується на сесії міської ради після завершення її дії на вимогу депутатів.</w:t>
      </w:r>
    </w:p>
    <w:p>
      <w:pPr>
        <w:pStyle w:val="Normal"/>
        <w:spacing w:before="0" w:after="0"/>
        <w:ind w:firstLine="851"/>
        <w:contextualSpacing/>
        <w:jc w:val="both"/>
        <w:rPr/>
      </w:pPr>
      <w:r>
        <w:rPr/>
      </w:r>
    </w:p>
    <w:p>
      <w:pPr>
        <w:pStyle w:val="Normal"/>
        <w:spacing w:before="0" w:after="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керуючий справами виконкому                                                  Юрій ВЕРБИЧ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984" w:right="567" w:header="567" w:top="1172" w:footer="0" w:bottom="1134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contextualSpacing/>
        <w:rPr/>
      </w:pPr>
      <w:r>
        <w:rPr>
          <w:rFonts w:ascii="Times New Roman" w:hAnsi="Times New Roman"/>
        </w:rPr>
        <w:t>Вінцюк 777 995</w:t>
      </w:r>
    </w:p>
    <w:p>
      <w:pPr>
        <w:pStyle w:val="Normal"/>
        <w:spacing w:before="0" w:after="0"/>
        <w:ind w:left="9581" w:hanging="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9581" w:hanging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ind w:left="9581" w:hanging="0"/>
        <w:jc w:val="both"/>
        <w:rPr>
          <w:rFonts w:ascii="Times New Roman" w:hAnsi="Times New Roman" w:cs="Times New Roman"/>
          <w:bCs/>
          <w:color w:val="000000"/>
          <w:spacing w:val="-1"/>
          <w:lang w:eastAsia="uk-UA"/>
        </w:rPr>
      </w:pPr>
      <w:r>
        <w:rPr>
          <w:rFonts w:cs="Times New Roman" w:ascii="Times New Roman" w:hAnsi="Times New Roman"/>
          <w:bCs/>
          <w:color w:val="000000"/>
          <w:spacing w:val="-1"/>
          <w:lang w:eastAsia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Програми «Впровадження міжнародного проєкту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tbl>
      <w:tblPr>
        <w:tblW w:w="1505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"/>
        <w:gridCol w:w="2768"/>
        <w:gridCol w:w="2350"/>
        <w:gridCol w:w="2730"/>
        <w:gridCol w:w="2785"/>
        <w:gridCol w:w="1864"/>
        <w:gridCol w:w="1865"/>
      </w:tblGrid>
      <w:tr>
        <w:trPr>
          <w:trHeight w:val="1278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№ </w:t>
            </w:r>
          </w:p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з/п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4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5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6</w:t>
            </w:r>
            <w:r>
              <w:rPr>
                <w:rFonts w:ascii="Times New Roman" w:hAnsi="Times New Roman"/>
                <w:bCs/>
                <w:color w:val="000000"/>
              </w:rPr>
              <w:t xml:space="preserve"> рік</w:t>
            </w:r>
          </w:p>
        </w:tc>
        <w:tc>
          <w:tcPr>
            <w:tcW w:w="3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Загальний обсяг фінансування, тис. грн</w:t>
            </w:r>
          </w:p>
        </w:tc>
      </w:tr>
      <w:tr>
        <w:trPr>
          <w:trHeight w:val="475" w:hRule="atLeast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napToGrid w:val="false"/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євро*)</w:t>
            </w:r>
          </w:p>
        </w:tc>
      </w:tr>
      <w:tr>
        <w:trPr>
          <w:trHeight w:val="152" w:hRule="atLeast"/>
        </w:trPr>
        <w:tc>
          <w:tcPr>
            <w:tcW w:w="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Обсяг фінансових ресурсів всього, у тому числі: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1 444,8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9 040,6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288,1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lang w:val="en-US"/>
              </w:rPr>
              <w:t>10 773,5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250,5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кошти бюджету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1 014,8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464,4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223,6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lang w:val="en-US"/>
              </w:rPr>
              <w:t>1 702,8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39,6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кошти інших джерел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430,0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8 576,2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64,5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bookmarkStart w:id="2" w:name="__DdeLink__748_1358602325"/>
            <w:r>
              <w:rPr>
                <w:rFonts w:cs="Times New Roman" w:ascii="Times New Roman" w:hAnsi="Times New Roman"/>
              </w:rPr>
              <w:t>9 070,7</w:t>
            </w:r>
            <w:bookmarkEnd w:id="2"/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210,9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100" w:leader="none"/>
        </w:tabs>
        <w:spacing w:lineRule="exact" w:line="317"/>
        <w:ind w:right="14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</w:rPr>
        <w:t>*Розрахунки здійснено відповідно до курсу 1 євро = 43,0 грн,</w:t>
      </w:r>
      <w:r>
        <w:rPr>
          <w:rFonts w:ascii="Times New Roman" w:hAnsi="Times New Roman"/>
          <w:color w:val="000000"/>
          <w:highlight w:val="darkYellow"/>
        </w:rPr>
        <w:t xml:space="preserve"> </w:t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cs="Times New Roman"/>
          <w:color w:val="000000"/>
          <w:spacing w:val="-1"/>
          <w:lang w:eastAsia="uk-UA"/>
        </w:rPr>
      </w:pPr>
      <w:r>
        <w:rPr>
          <w:rFonts w:cs="Times New Roman"/>
          <w:color w:val="000000"/>
          <w:spacing w:val="-1"/>
          <w:lang w:eastAsia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pacing w:val="-1"/>
          <w:lang w:eastAsia="uk-UA"/>
        </w:rPr>
        <w:t>Вінцюк 777 995</w:t>
      </w:r>
      <w:r>
        <w:br w:type="page"/>
      </w:r>
    </w:p>
    <w:p>
      <w:pPr>
        <w:pStyle w:val="Normal"/>
        <w:tabs>
          <w:tab w:val="clear" w:pos="709"/>
          <w:tab w:val="left" w:pos="5580" w:leader="none"/>
        </w:tabs>
        <w:ind w:left="7767" w:firstLine="1814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580" w:leader="none"/>
        </w:tabs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на 2024–2026 роки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</w:t>
      </w:r>
    </w:p>
    <w:p>
      <w:pPr>
        <w:pStyle w:val="Normal"/>
        <w:ind w:left="68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tbl>
      <w:tblPr>
        <w:tblW w:w="15076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2071"/>
        <w:gridCol w:w="2260"/>
        <w:gridCol w:w="1788"/>
        <w:gridCol w:w="1541"/>
        <w:gridCol w:w="1720"/>
        <w:gridCol w:w="2008"/>
        <w:gridCol w:w="3100"/>
      </w:tblGrid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завдання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заходу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Терміни виконання 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Орієнтовні обсяги фінансування, </w:t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Планові результативні показники</w:t>
            </w:r>
          </w:p>
        </w:tc>
      </w:tr>
      <w:tr>
        <w:trPr>
          <w:trHeight w:val="188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Облаштування навчальних приміщень для викладання </w:t>
            </w:r>
            <w:r>
              <w:rPr>
                <w:rFonts w:ascii="Times New Roman" w:hAnsi="Times New Roman"/>
                <w:color w:val="000000"/>
                <w:lang w:val="en-US"/>
              </w:rPr>
              <w:t>STEM</w:t>
            </w:r>
            <w:r>
              <w:rPr>
                <w:rFonts w:ascii="Times New Roman" w:hAnsi="Times New Roman"/>
                <w:color w:val="000000"/>
              </w:rPr>
              <w:t xml:space="preserve">-предметів для учнів закладів загальної середньої освіти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1.1. Наповнення та тематичне оформлення кабінетів фізики, </w:t>
            </w:r>
            <w:r>
              <w:rPr>
                <w:rFonts w:ascii="Times New Roman" w:hAnsi="Times New Roman"/>
              </w:rPr>
              <w:t xml:space="preserve">хімії та біології, робототехніки, інноваційних технологій, шиття та вишивання, фото- / відеостудії, конференційного залу: дизайн, закупівля </w:t>
            </w:r>
            <w:r>
              <w:rPr>
                <w:rFonts w:cs="Times New Roman" w:ascii="Times New Roman" w:hAnsi="Times New Roman"/>
                <w:color w:val="000000"/>
              </w:rPr>
              <w:t>техніки, обладнання та меблів, облаштування  доступу до електрики та інтернету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bookmarkStart w:id="3" w:name="__DdeLink__690_2080530260"/>
            <w:r>
              <w:rPr>
                <w:rFonts w:ascii="Times New Roman" w:hAnsi="Times New Roman"/>
                <w:color w:val="000000"/>
                <w:sz w:val="24"/>
              </w:rPr>
              <w:t>Управління міжнародного співробітництва та проектної діяльності</w:t>
            </w:r>
            <w:bookmarkEnd w:id="3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</w:rPr>
              <w:t>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2024–2025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739,6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tabs>
                <w:tab w:val="clear" w:pos="709"/>
                <w:tab w:val="left" w:pos="360" w:leader="none"/>
                <w:tab w:val="left" w:pos="900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Покращено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 xml:space="preserve"> матеріальну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 xml:space="preserve"> базу системи </w:t>
            </w:r>
            <w:r>
              <w:rPr>
                <w:rFonts w:ascii="Times New Roman" w:hAnsi="Times New Roman"/>
                <w:bCs/>
                <w:color w:val="000000"/>
                <w:spacing w:val="-1"/>
                <w:lang w:val="en-US" w:eastAsia="uk-UA"/>
              </w:rPr>
              <w:t>STEM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-освіти в Луцькій міській територіальній громаді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>: з</w:t>
            </w:r>
            <w:r>
              <w:rPr>
                <w:rFonts w:cs="Times New Roman" w:ascii="Times New Roman" w:hAnsi="Times New Roman"/>
                <w:color w:val="000000"/>
              </w:rPr>
              <w:t xml:space="preserve">акуплено техніку, обладнання та меблі для облаштування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 xml:space="preserve">-кабінетів і конференційного залу. Створено центр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>-освіти</w:t>
            </w:r>
          </w:p>
        </w:tc>
      </w:tr>
      <w:tr>
        <w:trPr>
          <w:trHeight w:val="2442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430,0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7 492,4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р. - 0,00</w:t>
            </w:r>
          </w:p>
        </w:tc>
        <w:tc>
          <w:tcPr>
            <w:tcW w:w="3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266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Популяризація результатів винахідницької, науково-орієнтованої діяльності та розвиток учнівської творчості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-освіти, заохочення молоді до STEM-досліджень та STEM-кар’єри, підвищення професійної кваліфікації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 Проведення  заходів, які демонструватимуть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 Навчальна поїздка школярів до краю Ліппе (ФРН).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 Поїздка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 шкіл Луцької міської територіальної громади до краю Ліппе (ФРН)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освіти, департамент молоді та спорту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рік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олімпіади, змагання і конкурси, що демонструють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Організовано поїздку школярів до краю Ліппе.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Організовано поїздку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-предметів закладів загальної середньої освіти Луцької міської територіальної громади до краю Ліппе (ФРН) з метою підвищення професійної кваліфікації та обміну досвідом у сфері розвитку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 та викладання профільних предметів </w:t>
            </w:r>
          </w:p>
        </w:tc>
      </w:tr>
      <w:tr>
        <w:trPr>
          <w:trHeight w:val="1996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675,3</w:t>
            </w:r>
          </w:p>
          <w:p>
            <w:pPr>
              <w:pStyle w:val="Normal"/>
              <w:spacing w:before="0" w:after="0"/>
              <w:contextualSpacing/>
              <w:rPr/>
            </w:pPr>
            <w:bookmarkStart w:id="4" w:name="__DdeLink__685_1114575975"/>
            <w:r>
              <w:rPr>
                <w:rFonts w:ascii="Times New Roman" w:hAnsi="Times New Roman"/>
              </w:rPr>
              <w:t>2026 р</w:t>
            </w:r>
            <w:bookmarkEnd w:id="4"/>
            <w:r>
              <w:rPr>
                <w:rFonts w:ascii="Times New Roman" w:hAnsi="Times New Roman"/>
              </w:rPr>
              <w:t xml:space="preserve">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1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Промоція результатів і діяльності в межах проєкту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 Розробка інтернет-сторінки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 Зйомка промоційного відеоролика про досягнення проєкту та діяльність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 Фотозйомка під час заходів у межах проєкту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 Виготовлення промоційної продукції, інформаційних таблиць та дизайнерські послуги</w:t>
            </w:r>
          </w:p>
        </w:tc>
        <w:tc>
          <w:tcPr>
            <w:tcW w:w="1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</w:t>
            </w:r>
          </w:p>
        </w:tc>
        <w:tc>
          <w:tcPr>
            <w:tcW w:w="1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 роки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43,0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Створено інтернет-сторінку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з інформацією про діяльність центру.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промоційну кампанію з метою поширення інформації про результати проєкту та популяризації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в Луцькій міській територіальній громаді, створено промоційний відеоролик, розроблено інформаційно-промоційні матеріали,  виготовлено сувенірну продукцію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387,0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р. - </w:t>
            </w:r>
            <w:r>
              <w:rPr>
                <w:rFonts w:ascii="Times New Roman" w:hAnsi="Times New Roman"/>
                <w:lang w:val="en-US"/>
              </w:rPr>
              <w:t>64,5</w:t>
            </w:r>
          </w:p>
        </w:tc>
        <w:tc>
          <w:tcPr>
            <w:tcW w:w="3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971" w:hRule="atLeast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07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Адміністрування проєкту</w:t>
            </w:r>
          </w:p>
        </w:tc>
        <w:tc>
          <w:tcPr>
            <w:tcW w:w="226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4.1. Управління проєктом.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4.2. Послуги перекладу.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4.3. Проведення аудиту проєкту</w:t>
            </w:r>
          </w:p>
        </w:tc>
        <w:tc>
          <w:tcPr>
            <w:tcW w:w="17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54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</w:t>
            </w:r>
          </w:p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/>
              <w:t>роки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232,2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</w:t>
            </w:r>
            <w:r>
              <w:rPr>
                <w:rFonts w:ascii="Times New Roman" w:hAnsi="Times New Roman"/>
                <w:lang w:val="en-US"/>
              </w:rPr>
              <w:t xml:space="preserve"> 464,4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223,6</w:t>
            </w:r>
          </w:p>
        </w:tc>
        <w:tc>
          <w:tcPr>
            <w:tcW w:w="31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Якісно реалізовано проєкт, забезпечено належну комунікацію між партнерами, підготовлено звітність по проєкту німецькою та українською мовами</w:t>
            </w:r>
          </w:p>
        </w:tc>
      </w:tr>
      <w:tr>
        <w:trPr>
          <w:trHeight w:val="971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4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21,5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1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Всього за роками, у тому числі: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</w:rPr>
              <w:t>рік – 1 444,8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9 040,6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288,1</w:t>
            </w:r>
          </w:p>
        </w:tc>
      </w:tr>
      <w:tr>
        <w:trPr>
          <w:trHeight w:val="450" w:hRule="atLeast"/>
        </w:trPr>
        <w:tc>
          <w:tcPr>
            <w:tcW w:w="996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Всього за джерелами фінансування, у тому числі: </w:t>
            </w:r>
          </w:p>
        </w:tc>
        <w:tc>
          <w:tcPr>
            <w:tcW w:w="51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Бюджет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 xml:space="preserve"> Луцької міської територіальної громади</w:t>
            </w:r>
            <w:r>
              <w:rPr>
                <w:rFonts w:ascii="Times New Roman" w:hAnsi="Times New Roman"/>
              </w:rPr>
              <w:t>: 1 702,8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Грантові кошти: </w:t>
            </w:r>
            <w:bookmarkStart w:id="5" w:name="__DdeLink__2199_1114575975"/>
            <w:r>
              <w:rPr>
                <w:rFonts w:ascii="Times New Roman" w:hAnsi="Times New Roman"/>
              </w:rPr>
              <w:t>9</w:t>
            </w:r>
            <w:bookmarkEnd w:id="5"/>
            <w:r>
              <w:rPr>
                <w:rFonts w:ascii="Times New Roman" w:hAnsi="Times New Roman"/>
              </w:rPr>
              <w:t> 070,7</w:t>
            </w:r>
          </w:p>
        </w:tc>
      </w:tr>
    </w:tbl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color w:val="000000"/>
        </w:rPr>
        <w:t>Вінцюк 777 995</w:t>
      </w:r>
    </w:p>
    <w:sectPr>
      <w:headerReference w:type="default" r:id="rId3"/>
      <w:type w:val="nextPage"/>
      <w:pgSz w:orient="landscape" w:w="16838" w:h="11906"/>
      <w:pgMar w:left="1134" w:right="567" w:header="0" w:top="1984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4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8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16"/>
    <w:next w:val="Style17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11" w:customStyle="1">
    <w:name w:val="Гіперпосилання1"/>
    <w:qFormat/>
    <w:rPr>
      <w:color w:val="0000FF"/>
      <w:u w:val="single"/>
    </w:rPr>
  </w:style>
  <w:style w:type="character" w:styleId="12" w:customStyle="1">
    <w:name w:val="Виділення1"/>
    <w:qFormat/>
    <w:rPr>
      <w:i/>
      <w:iCs/>
    </w:rPr>
  </w:style>
  <w:style w:type="character" w:styleId="Style13" w:customStyle="1">
    <w:name w:val="Маркери списку"/>
    <w:qFormat/>
    <w:rPr>
      <w:rFonts w:ascii="OpenSymbol" w:hAnsi="OpenSymbol" w:eastAsia="OpenSymbol" w:cs="OpenSymbol"/>
    </w:rPr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HTML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3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Style23"/>
    <w:pPr/>
    <w:rPr/>
  </w:style>
  <w:style w:type="paragraph" w:styleId="14" w:customStyle="1">
    <w:name w:val="Звичайний (веб)1"/>
    <w:basedOn w:val="Normal"/>
    <w:qFormat/>
    <w:pPr>
      <w:spacing w:before="280" w:after="280"/>
    </w:pPr>
    <w:rPr/>
  </w:style>
  <w:style w:type="paragraph" w:styleId="Standard" w:customStyle="1">
    <w:name w:val="Standard"/>
    <w:qFormat/>
    <w:rsid w:val="00364eb3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0277-05AF-4545-BABC-CA155C35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Application>LibreOffice/6.3.4.2$Windows_X86_64 LibreOffice_project/60da17e045e08f1793c57c00ba83cdfce946d0aa</Application>
  <Pages>8</Pages>
  <Words>1477</Words>
  <Characters>10274</Characters>
  <CharactersWithSpaces>11641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2023-09-07T09:18:00Z</cp:lastPrinted>
  <dcterms:modified xsi:type="dcterms:W3CDTF">2024-05-10T13:28:39Z</dcterms:modified>
  <cp:revision>237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