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color w:val="000000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Додаток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туризму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Луцької міської територіальної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>громади на 2024–2025 роки</w:t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b/>
          <w:bCs/>
          <w:highlight w:val="darkGreen"/>
        </w:rPr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3950" w:type="dxa"/>
        <w:jc w:val="left"/>
        <w:tblInd w:w="7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0" w:type="dxa"/>
          <w:left w:w="8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1840"/>
        <w:gridCol w:w="7"/>
        <w:gridCol w:w="2346"/>
        <w:gridCol w:w="25"/>
        <w:gridCol w:w="1433"/>
        <w:gridCol w:w="40"/>
        <w:gridCol w:w="2073"/>
        <w:gridCol w:w="3"/>
        <w:gridCol w:w="14"/>
        <w:gridCol w:w="1738"/>
        <w:gridCol w:w="1021"/>
        <w:gridCol w:w="727"/>
        <w:gridCol w:w="2115"/>
      </w:tblGrid>
      <w:tr>
        <w:trPr/>
        <w:tc>
          <w:tcPr>
            <w:tcW w:w="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lang w:eastAsia="uk-UA"/>
              </w:rPr>
              <w:t>з/п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завдання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заходів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Терміни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виконання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Джерела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Орієнтовні обсяги фінансування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(тис. грн)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b/>
                <w:bCs/>
              </w:rPr>
              <w:t>Результативні показники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1.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Отримання статистичних даних, які відображають стан галузі у Луцькій міській територіальній громаді: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1.2. Створення Стратегії туристичного розвитку Луцька на 2026–2030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Визначеність шляху розвитку Луцької міської територіальної громади  як туристичної дестинації, забезпечення системного розвитку туризму як її важливої стратегічної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1.3. Проведення аудиту об'єктів туристичної сфери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Отримання достовірних актуальних даних про кількість об'єктів туристичного інтересу, їхній стан, та доступність для маломобільних груп населення; оновлений перелік закладів </w:t>
            </w:r>
            <w:r>
              <w:rPr>
                <w:rFonts w:ascii="Times New Roman" w:hAnsi="Times New Roman"/>
                <w:lang w:val="en-US"/>
              </w:rPr>
              <w:t>HORECA,</w:t>
            </w:r>
            <w:r>
              <w:rPr>
                <w:rFonts w:ascii="Times New Roman" w:hAnsi="Times New Roman"/>
              </w:rPr>
              <w:t xml:space="preserve"> моніторинг закладів розміщення, що сплачують туристичний збір,   туристичних агентств, що займаються внутрішнім туризмом тощо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1.4. Заходи з впорядкування туристично-екскурсійної діяльності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Затвердження єдиних правил ведення екскурсійної діяльності, видача ідентифікаційної професійної картки екскурсовода/гіда-перекладача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1.5. Створення рекомендацій для представників сфери гостинності та балансоутримувачів туристичних об'єктів  щодо покращення рівня доступності для маломобільних груп туристів та мешканців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Впровадження рекомендацій національної стратегії зі створення безбар'єрного простору у туристичну сферу громади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2.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Маркетинг та промоція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2.1. Цифрове просування дестинації із використанням таргетованої реклами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Збільшення видимості Луцької міської територіальної громади як туристичної дестинації на онлайн-ресурсах та в медійному просторі цільових аудиторій.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2.2. Створення та купівля якісного фото та відеоконтенту як ефективного способу промоції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Поширення промоційних фото та відеоматеріалів з позитивною інформацією про громаду, події, особистості, пов'язані з нею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2.3. Розробка, дизайн, виготовлення та придбання промоційної поліграфічної та сувенірної продукції українською та іноземними мовами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Підтримка єдиного стилю сувенірної та поліграфічної продукції, що сприятиме популяризації та впізнаваності бренду міста; друк туристичної карти-схеми Луцької територіальної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2.4. Організація та проведення престурів,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управління інформаційної роботи,  КП «Центр розвитку туризму», музеї міста,  Адміністрація державного історико-культурного заповідника у м. Луцьку (за згодою), заклади HoReCa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та поширення промоційних повідомлень в інформаційному просторі України та закордоном (ЗМІ, інтернет ресурси);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нових туристичних потоків та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2.5. Організація, проведення,  координація і участь у подіях (туристичних виставках, форумах, презентаціях, конференціях, круглих столах, майстер-класах, лекціях тощо) в Україні і за кордоном, спрямованих на поширення знань про громаду, її історико-культурну спадщину, туристичний потенціал тощо.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Оплата проїзду та відрядних витрат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сприятливого простору для пошуку партнерів, обміну досвідом та налагодження співпраці у туристичній сфері.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Формування позитивного іміджу громади у туристів, туропер</w:t>
            </w:r>
            <w:r>
              <w:rPr>
                <w:rFonts w:ascii="Times New Roman" w:hAnsi="Times New Roman"/>
                <w:color w:val="000000"/>
                <w:lang w:val="en-US"/>
              </w:rPr>
              <w:t>аторів</w:t>
            </w:r>
            <w:r>
              <w:rPr>
                <w:rFonts w:ascii="Times New Roman" w:hAnsi="Times New Roman"/>
                <w:color w:val="000000"/>
              </w:rPr>
              <w:t xml:space="preserve"> та турагентів, а також поширення інформації про її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2.6. Школа луцькознавства</w:t>
            </w:r>
          </w:p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департамент молоді і спорту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40,00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Виховання патріотизму, поширення знань про Луцьку міську територіальну громаду, виховання свідомих лучан, підготовка «амбасадорів Луцька»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2.7. Підтримка і розвиток проєкту «Луцький кликун»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135,00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/>
            </w:pPr>
            <w:r>
              <w:rPr>
                <w:rFonts w:ascii="Times New Roman" w:hAnsi="Times New Roman"/>
                <w:color w:val="000000"/>
              </w:rPr>
              <w:t>Популяризація образу міського героя – луцького клик</w:t>
            </w:r>
            <w:r>
              <w:rPr>
                <w:rFonts w:ascii="Times New Roman" w:hAnsi="Times New Roman"/>
                <w:color w:val="000000"/>
                <w:lang w:val="uk-UA" w:eastAsia="zh-CN" w:bidi="hi-IN"/>
              </w:rPr>
              <w:t>уна. Оплата праці луцького кликуна. Проведення Дня кликуна, виготовлення нового вз</w:t>
            </w:r>
            <w:r>
              <w:rPr>
                <w:rFonts w:ascii="Times New Roman" w:hAnsi="Times New Roman"/>
                <w:color w:val="000000"/>
              </w:rPr>
              <w:t>уття, ремонт костюму. Встановлення нових скульптур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2.8.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uk-UA"/>
              </w:rPr>
              <w:t>Розвиток Луцька як місця проведення креативних резиденцій за участю письменників, скульпторів, композиторів, музикантів, художників, архітекторів, інших митців. Забезпечення перебування учасників резиденцій у місті (проживання, харчування, презентаційні витрати).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заклади HoReCa (за згодою) та ін.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pacing w:lineRule="auto" w:line="240"/>
              <w:ind w:left="-46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Сприяння поширенню позитивної інформації про 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Луцьку міську територіальну  громаду у творах сучасних популярних 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lang w:eastAsia="uk-UA"/>
              </w:rPr>
              <w:t>авторів.</w:t>
            </w:r>
            <w:r>
              <w:rPr>
                <w:rFonts w:ascii="Times New Roman" w:hAnsi="Times New Roman"/>
                <w:b/>
                <w:bCs/>
                <w:strike/>
                <w:color w:val="000000"/>
                <w:lang w:eastAsia="uk-U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</w:rPr>
              <w:t>Сприяння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поширенню позитивної інформації про місто і громаду,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color w:val="CE18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творче переосмислення міських просторів і перетворення їх на популярні туристичні маршрути.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color w:val="CE18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Створення нових мистецьких творів (книги, музичні твори, художні полотна, скульптури, виставки  тощо) про Луцьк та громаду.</w:t>
            </w:r>
          </w:p>
          <w:p>
            <w:pPr>
              <w:pStyle w:val="Normal"/>
              <w:widowControl w:val="false"/>
              <w:suppressLineNumbers/>
              <w:spacing w:lineRule="auto" w:line="240"/>
              <w:ind w:left="-46" w:hanging="0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Продовження реалізації проєкту Луцька літературна резиденція </w:t>
            </w:r>
            <w:r>
              <w:rPr>
                <w:rStyle w:val="Style15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Місто натхнення</w:t>
            </w:r>
            <w:r>
              <w:rPr>
                <w:rStyle w:val="Style15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2.9. Проведення заходу «Артпроменад “Так звучить Луцьк”»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культури, Волинська обласна філармонія, Волинський коледж культури і мистецтв імені І.Ф. Стравінського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2.10. Відзначення Дня туризму (проведення інтелектуальних ігор для закладів освіти громади,  інших тематичних заходів, нагородження представників туристичного активу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громадські організації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Консолідація представників туристичного ринку, популяризація туристичного потенціалу громади, поширення знань про неї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2.11. Підтримка громадських ініціатив, спрямованих на підвищення туристичної привабливості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Участь громади у розвитку туристичної галузі. Створення у мешканців відчуття співучасті та відповідальності за розвиток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Розвиток туристичної інфраструктури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3.1. Оновлення та вдосконалення системи туристичного ознакування. 3D сканування пам’яток архітектури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сприятливих умов для орієнтування  в межах Луцької міської територіальної громади (оновлення існуючої системи туристичного ознакування згідно з розробленою концепцією, встановлення нових туристичних знаків, вказівників, інформаційних таблиць)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3.2. Долучення до всеукраїнського проєкту «Стріткод»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Посилення  історичної просвіти, популяризація історії, декомунізація історичної свідомості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  <w:r>
              <w:rPr>
                <w:rFonts w:ascii="Times New Roman" w:hAnsi="Times New Roman"/>
                <w:color w:val="000000"/>
                <w:lang w:eastAsia="uk-UA"/>
              </w:rPr>
              <w:t>3</w:t>
            </w:r>
            <w:r>
              <w:rPr>
                <w:rFonts w:ascii="Times New Roman" w:hAnsi="Times New Roman"/>
                <w:color w:val="000000"/>
                <w:lang w:eastAsia="uk-UA"/>
              </w:rPr>
              <w:t>. Підвищення рівня доступності туристичних об’єктів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профільні громадські організації, фонди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об’ємних макетів туристичних об’єктів для незрячих і слабозорих, забезпечення сервісів на туристичних об’єктах для нечуючих та незрячих (аудіогіди, написи шрифтом Брайля)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 xml:space="preserve">Співпраця з експертами з доступності, представниками туристичного середовища, людьми з інвалідністю, втілення нових ініціатив. 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Грантові кошти (УКФ, ЄС,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ООН)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  <w:r>
              <w:rPr>
                <w:rFonts w:ascii="Times New Roman" w:hAnsi="Times New Roman"/>
                <w:color w:val="000000"/>
                <w:lang w:eastAsia="uk-UA"/>
              </w:rPr>
              <w:t>4</w:t>
            </w:r>
            <w:r>
              <w:rPr>
                <w:rFonts w:ascii="Times New Roman" w:hAnsi="Times New Roman"/>
                <w:color w:val="000000"/>
                <w:lang w:eastAsia="uk-UA"/>
              </w:rPr>
              <w:t>. Розвиток болотно-водних ландшафтів у контексті зелено-блакитної міської інфраструктури та популяризація екологічних туристичних маршрутів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відділ екології, КП «Парки і сквери м. Луцька», профільні громадські організації, фонди, окремі фахівці тощо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ознакування, облаштування нових туристичних маршрутів по зелених зонах територіальної громади (Кічкарівські ставки, Гнідавське болото, річка Стир тощо)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bidi="ar-SA"/>
              </w:rPr>
              <w:t>.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lang w:bidi="ar-SA"/>
              </w:rPr>
              <w:t>С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bidi="ar-SA"/>
              </w:rPr>
              <w:t>творення ескізних пропозицій, концепцій розвитку рекреаційних зон.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250,00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  <w:r>
              <w:rPr>
                <w:rFonts w:ascii="Times New Roman" w:hAnsi="Times New Roman"/>
                <w:color w:val="000000"/>
                <w:lang w:eastAsia="uk-UA"/>
              </w:rPr>
              <w:t>5</w:t>
            </w:r>
            <w:r>
              <w:rPr>
                <w:rFonts w:ascii="Times New Roman" w:hAnsi="Times New Roman"/>
                <w:color w:val="000000"/>
                <w:lang w:eastAsia="uk-UA"/>
              </w:rPr>
              <w:t>. Розвиток зеленого туризму в Луцькій міській територіальній громаді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старости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Проведення інформаційно-просвітницької роботи щодо створення зелених садиб у громаді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Підвищення професійного рівня працівників  сфери гостинності;</w:t>
            </w:r>
          </w:p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поліпшення якості комунікацій у сфері туризму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4.1. Проведення заходів з підготовки, перепідготовки та підвищення кваліфікації  гідів.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функціонування школи гідів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вищі навчальні заклади міста, Луцький центр зайнятості (за згодою), профільні громадські організації,  окремі фахівці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Підготовка кваліфікованих гідів, підвищення якості надання екскурсійних послуг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4.2. Проведення зустрічей, семінарів, майстер-класів для представників готельного та ресторанного бізнесу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економічної політики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Сприяння підвищенню рівня обслуговування туристів у закладах харчування, проживання тощо; створення нових туристичних продуктів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; </w:t>
            </w:r>
            <w:r>
              <w:rPr>
                <w:rFonts w:ascii="Times New Roman" w:hAnsi="Times New Roman"/>
                <w:color w:val="000000"/>
              </w:rPr>
              <w:t>підвищення свідомості  представників суб'єктів сфери гостинності щодо важливості створення фізичної безбар'єрності простору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4.3. Співпраця з  Адміністрацією державного історико-культурного заповідника у м. Луцьку, музеями, навчальними закладами Луцької міської територіальної громади, ГС «Туристичний альянс Луцька»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діалогу з представниками туристичного ринку, створення нових туристичних продуктів; залучення науковців та студентів ВНЗ до розвитку туристичної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4.4. Координація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 </w:t>
            </w:r>
            <w:r>
              <w:rPr>
                <w:lang w:eastAsia="uk-UA"/>
              </w:rPr>
              <w:t>роботи з</w:t>
            </w: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туризму». Проведення заходів з дослідження міського простору для різних цільових категорій. Проведення презентацій, виставок, пов'язаних із історією, культурою та розвитком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0" w:right="-198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Розробка туристичних маршрутів та продукції спільно з Центром туристичної інформації та послуг.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роведення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тематичних </w:t>
            </w:r>
            <w:r>
              <w:rPr>
                <w:rFonts w:ascii="Times New Roman" w:hAnsi="Times New Roman"/>
                <w:color w:val="000000"/>
                <w:lang w:eastAsia="ru-RU"/>
              </w:rPr>
              <w:t>лекцій,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 спрямованих на поширення знань про місто, його історико-культурну спадщину, локальну та національну ідентичність в Музейному просторі </w:t>
            </w:r>
            <w:r>
              <w:rPr>
                <w:rFonts w:ascii="Times New Roman" w:hAnsi="Times New Roman"/>
                <w:color w:val="000000"/>
                <w:lang w:eastAsia="uk-UA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Окольний замок</w:t>
            </w:r>
            <w:r>
              <w:rPr>
                <w:rFonts w:ascii="Times New Roman" w:hAnsi="Times New Roman"/>
                <w:color w:val="000000"/>
                <w:lang w:eastAsia="uk-UA"/>
              </w:rPr>
              <w:t>».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Поширення інформації про брендоутворюючу подію З'їзд європейських монархів. 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4.5. Розширення співпраці з містами-побратимами і партнерськими регіонами щодо реалізації туристичних проєктів та обмінів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комунікації з містами-побратимами та партнерськими регіонами, визначення напрямків співпраці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Інші проєкти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11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діяльності,    громадські організації, фонди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Залучення додаткових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87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87" w:hRule="atLeast"/>
        </w:trPr>
        <w:tc>
          <w:tcPr>
            <w:tcW w:w="8330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Всього за роками:</w:t>
            </w:r>
          </w:p>
        </w:tc>
        <w:tc>
          <w:tcPr>
            <w:tcW w:w="27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uppressLineNumbers/>
              <w:suppressAutoHyphens w:val="false"/>
              <w:ind w:left="-40" w:hanging="0"/>
              <w:jc w:val="center"/>
              <w:rPr>
                <w:rFonts w:ascii="Times New Roman" w:hAnsi="Times New Roman"/>
                <w:b/>
                <w:b/>
                <w:color w:val="000000"/>
                <w:lang w:eastAsia="uk-UA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uk-UA"/>
              </w:rPr>
              <w:t>Кошти бюджету громади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Кошти інших джерел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2024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3530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850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2025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1845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1190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РАЗОМ: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6"/>
                <w:szCs w:val="26"/>
                <w:lang w:val="en-US" w:bidi="ar-SA"/>
              </w:rPr>
              <w:t>5375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val="en-US" w:eastAsia="uk-UA"/>
              </w:rPr>
              <w:t>2040</w:t>
            </w: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</w:r>
    </w:p>
    <w:p>
      <w:pPr>
        <w:pStyle w:val="Normal"/>
        <w:ind w:left="142" w:hanging="0"/>
        <w:jc w:val="both"/>
        <w:rPr/>
      </w:pPr>
      <w:r>
        <w:rPr>
          <w:rFonts w:ascii="Times New Roman" w:hAnsi="Times New Roman"/>
          <w:color w:val="000000"/>
          <w:lang w:eastAsia="uk-UA"/>
        </w:rPr>
        <w:t>Теліпська 777 924</w:t>
      </w:r>
    </w:p>
    <w:sectPr>
      <w:headerReference w:type="default" r:id="rId2"/>
      <w:type w:val="nextPage"/>
      <w:pgSz w:orient="landscape" w:w="16838" w:h="11906"/>
      <w:pgMar w:left="1701" w:right="567" w:header="680" w:top="1134" w:footer="0" w:bottom="17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ind w:left="11" w:hanging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7073de"/>
    <w:rPr>
      <w:color w:val="00000A"/>
      <w:sz w:val="24"/>
      <w:szCs w:val="21"/>
    </w:rPr>
  </w:style>
  <w:style w:type="character" w:styleId="Style15">
    <w:name w:val="Виділення"/>
    <w:qFormat/>
    <w:rPr>
      <w:i/>
      <w:iCs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5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6">
    <w:name w:val="Footer"/>
    <w:basedOn w:val="Normal"/>
    <w:uiPriority w:val="99"/>
    <w:unhideWhenUsed/>
    <w:rsid w:val="007073de"/>
    <w:pPr>
      <w:tabs>
        <w:tab w:val="center" w:pos="4819" w:leader="none"/>
        <w:tab w:val="right" w:pos="9639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LibreOffice/5.4.2.2$Windows_x86 LibreOffice_project/22b09f6418e8c2d508a9eaf86b2399209b0990f4</Application>
  <Pages>14</Pages>
  <Words>1630</Words>
  <Characters>11809</Characters>
  <CharactersWithSpaces>13306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2023-11-28T10:08:00Z</dcterms:created>
  <dc:creator>Ірина Демидюк</dc:creator>
  <dc:description/>
  <dc:language>uk-UA</dc:language>
  <cp:lastModifiedBy/>
  <cp:lastPrinted>2024-05-08T10:08:04Z</cp:lastPrinted>
  <dcterms:modified xsi:type="dcterms:W3CDTF">2024-05-13T11:30:44Z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