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5103" w:hanging="0"/>
        <w:contextualSpacing/>
        <w:rPr/>
      </w:pPr>
      <w:r>
        <w:rPr>
          <w:rFonts w:ascii="Times New Roman" w:hAnsi="Times New Roman"/>
          <w:sz w:val="28"/>
          <w:szCs w:val="28"/>
        </w:rPr>
        <w:t xml:space="preserve">Додаток </w:t>
      </w:r>
    </w:p>
    <w:p>
      <w:pPr>
        <w:pStyle w:val="Normal"/>
        <w:spacing w:before="0" w:after="0"/>
        <w:ind w:left="5103" w:hanging="0"/>
        <w:contextualSpacing/>
        <w:rPr/>
      </w:pPr>
      <w:r>
        <w:rPr>
          <w:rFonts w:ascii="Times New Roman" w:hAnsi="Times New Roman"/>
          <w:sz w:val="28"/>
          <w:szCs w:val="28"/>
        </w:rPr>
        <w:t xml:space="preserve">до рішення міської ради </w:t>
      </w:r>
    </w:p>
    <w:p>
      <w:pPr>
        <w:pStyle w:val="Normal"/>
        <w:spacing w:before="0" w:after="0"/>
        <w:ind w:left="5103" w:hanging="0"/>
        <w:contextualSpacing/>
        <w:rPr/>
      </w:pPr>
      <w:r>
        <w:rPr>
          <w:rFonts w:ascii="Times New Roman" w:hAnsi="Times New Roman"/>
          <w:sz w:val="28"/>
          <w:szCs w:val="28"/>
        </w:rPr>
        <w:t>______________  № _________</w:t>
      </w:r>
    </w:p>
    <w:p>
      <w:pPr>
        <w:pStyle w:val="Normal"/>
        <w:spacing w:before="0" w:after="0"/>
        <w:ind w:left="4248" w:firstLine="855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contextualSpacing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 w:bidi="ar-SA"/>
        </w:rPr>
        <w:t>ПРОГРАМА</w:t>
      </w:r>
    </w:p>
    <w:p>
      <w:pPr>
        <w:pStyle w:val="HTML1"/>
        <w:shd w:val="clear" w:color="auto" w:fill="FFFFFF"/>
        <w:suppressAutoHyphens w:val="true"/>
        <w:spacing w:before="0" w:after="0"/>
        <w:ind w:firstLine="709"/>
        <w:contextualSpacing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 w:bidi="ar-SA"/>
        </w:rPr>
        <w:t xml:space="preserve">«Впровадження міжнародного проєкту “Розвиваємо </w:t>
      </w: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8"/>
          <w:szCs w:val="28"/>
          <w:lang w:val="en-US" w:eastAsia="uk-UA" w:bidi="ar-SA"/>
        </w:rPr>
        <w:t>STEM</w:t>
      </w: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 w:bidi="ar-SA"/>
        </w:rPr>
        <w:t>-освіту разом: інноваційне навчання в Ліппе та Луцьку” на 2024–2026 роки»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 w:bidi="ar-SA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  <w:lang w:eastAsia="ru-RU" w:bidi="ar-SA"/>
        </w:rPr>
      </w:r>
    </w:p>
    <w:p>
      <w:pPr>
        <w:pStyle w:val="Normal"/>
        <w:spacing w:before="0" w:after="0"/>
        <w:contextualSpacing/>
        <w:jc w:val="center"/>
        <w:rPr/>
      </w:pPr>
      <w:r>
        <w:rPr>
          <w:rFonts w:ascii="Times New Roman" w:hAnsi="Times New Roman"/>
          <w:b/>
          <w:sz w:val="28"/>
          <w:szCs w:val="28"/>
        </w:rPr>
        <w:t>ПАСПОРТ ПРОГРАМИ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W w:w="9390" w:type="dxa"/>
        <w:jc w:val="left"/>
        <w:tblInd w:w="1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3"/>
        <w:gridCol w:w="3789"/>
        <w:gridCol w:w="4748"/>
      </w:tblGrid>
      <w:tr>
        <w:trPr/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Ініціатор розроблення Програми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bidi="ar-SA"/>
              </w:rPr>
              <w:t xml:space="preserve">Управління міжнародного співробітництва та проектної діяльності </w:t>
            </w:r>
          </w:p>
        </w:tc>
      </w:tr>
      <w:tr>
        <w:trPr>
          <w:trHeight w:val="934" w:hRule="atLeast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HTML1"/>
              <w:spacing w:before="0" w:after="0"/>
              <w:contextualSpacing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Розробник Програми</w:t>
            </w:r>
          </w:p>
          <w:p>
            <w:pPr>
              <w:pStyle w:val="HTML1"/>
              <w:spacing w:before="0" w:after="0"/>
              <w:contextualSpacing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>
            <w:pPr>
              <w:pStyle w:val="HTML1"/>
              <w:spacing w:before="0" w:after="0"/>
              <w:contextualSpacing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bookmarkStart w:id="0" w:name="__DdeLink__881_3998626399"/>
            <w:r>
              <w:rPr>
                <w:rFonts w:ascii="Times New Roman" w:hAnsi="Times New Roman"/>
                <w:sz w:val="28"/>
                <w:szCs w:val="28"/>
              </w:rPr>
              <w:t xml:space="preserve">Управління міжнародного співробітництва та проектної діяльності </w:t>
            </w:r>
            <w:bookmarkEnd w:id="0"/>
          </w:p>
        </w:tc>
      </w:tr>
      <w:tr>
        <w:trPr>
          <w:trHeight w:val="934" w:hRule="atLeast"/>
        </w:trPr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HTML1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Співрозробники Програми</w:t>
            </w:r>
          </w:p>
        </w:tc>
        <w:tc>
          <w:tcPr>
            <w:tcW w:w="4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/>
              <w:t>–</w:t>
            </w:r>
          </w:p>
        </w:tc>
      </w:tr>
      <w:tr>
        <w:trPr/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Відповідальний виконавець Програми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Управління міжнародного співробітництва та проектної діяльності </w:t>
            </w:r>
          </w:p>
        </w:tc>
      </w:tr>
      <w:tr>
        <w:trPr/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Учасники Програми</w:t>
            </w:r>
          </w:p>
          <w:p>
            <w:pPr>
              <w:pStyle w:val="HTML1"/>
              <w:spacing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Департамент освіти, департамент молоді та спорту</w:t>
            </w:r>
          </w:p>
        </w:tc>
      </w:tr>
      <w:tr>
        <w:trPr/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2024–2026 роки</w:t>
            </w:r>
          </w:p>
        </w:tc>
      </w:tr>
      <w:tr>
        <w:trPr>
          <w:trHeight w:val="960" w:hRule="atLeast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Загальний обсяг фінансових ресурсів, необхідних для реалізації Програми, всього, у тому числі: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both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10 773,5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тис. грн</w:t>
            </w:r>
          </w:p>
        </w:tc>
      </w:tr>
      <w:tr>
        <w:trPr>
          <w:trHeight w:val="330" w:hRule="atLeast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7.1.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коштів бюджету міської громади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1 702,8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тис. грн</w:t>
            </w:r>
          </w:p>
        </w:tc>
      </w:tr>
      <w:tr>
        <w:trPr>
          <w:trHeight w:val="330" w:hRule="atLeast"/>
        </w:trPr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7.2.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коштів інших джерел</w:t>
            </w:r>
          </w:p>
        </w:tc>
        <w:tc>
          <w:tcPr>
            <w:tcW w:w="4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9 070,7 </w:t>
            </w:r>
            <w:r>
              <w:rPr>
                <w:rFonts w:ascii="Times New Roman" w:hAnsi="Times New Roman"/>
                <w:sz w:val="28"/>
                <w:szCs w:val="28"/>
              </w:rPr>
              <w:t>тис. грн</w:t>
            </w:r>
          </w:p>
        </w:tc>
      </w:tr>
    </w:tbl>
    <w:p>
      <w:pPr>
        <w:sectPr>
          <w:type w:val="nextPage"/>
          <w:pgSz w:w="11906" w:h="16838"/>
          <w:pgMar w:left="1984" w:right="567" w:header="0" w:top="567" w:footer="0" w:bottom="1134" w:gutter="0"/>
          <w:pgNumType w:start="1" w:fmt="decimal"/>
          <w:formProt w:val="false"/>
          <w:textDirection w:val="lrTb"/>
          <w:docGrid w:type="default" w:linePitch="100" w:charSpace="0"/>
        </w:sectPr>
      </w:pPr>
    </w:p>
    <w:p>
      <w:pPr>
        <w:pStyle w:val="HTML1"/>
        <w:shd w:val="clear" w:color="auto" w:fill="FFFFFF"/>
        <w:tabs>
          <w:tab w:val="left" w:pos="28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644" w:hanging="0"/>
        <w:contextualSpacing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1. Аналіз динаміки змін та поточної ситуації</w:t>
      </w:r>
    </w:p>
    <w:p>
      <w:pPr>
        <w:pStyle w:val="Normal"/>
        <w:spacing w:before="0" w:after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HTML1"/>
        <w:shd w:val="clear" w:color="auto" w:fill="FFFFFF"/>
        <w:suppressAutoHyphens w:val="true"/>
        <w:ind w:firstLine="567"/>
        <w:jc w:val="both"/>
        <w:textAlignment w:val="baseline"/>
        <w:rPr/>
      </w:pPr>
      <w:r>
        <w:rPr>
          <w:rFonts w:cs="Times New Roman" w:ascii="Times New Roman" w:hAnsi="Times New Roman"/>
          <w:color w:val="000000"/>
          <w:spacing w:val="-1"/>
          <w:sz w:val="28"/>
          <w:szCs w:val="28"/>
          <w:lang w:eastAsia="uk-UA"/>
        </w:rPr>
        <w:t xml:space="preserve">Програму 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«Впровадження міжнародного проєкту “Розвиваємо 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-освіту разом: інноваційне навчання в Ліппе та Луцьку” на 2024–2026 роки» </w:t>
      </w:r>
      <w:r>
        <w:rPr>
          <w:rFonts w:cs="Times New Roman" w:ascii="Times New Roman" w:hAnsi="Times New Roman"/>
          <w:color w:val="000000"/>
          <w:spacing w:val="-1"/>
          <w:sz w:val="28"/>
          <w:szCs w:val="28"/>
          <w:lang w:eastAsia="uk-UA"/>
        </w:rPr>
        <w:t xml:space="preserve">розроблено в межах діяльності щодо залучення грантових коштів у розвиток Луцької міської територіальної громади та згідно з постановою Кабінету Міністрів України від 15.02.2002 № 153 «Про створення єдиної системи залучення, використання та моніторингу міжнародної технічної допомоги» зі змінами. </w:t>
      </w:r>
    </w:p>
    <w:p>
      <w:pPr>
        <w:pStyle w:val="HTML1"/>
        <w:shd w:val="clear" w:color="auto" w:fill="FFFFFF"/>
        <w:suppressAutoHyphens w:val="true"/>
        <w:ind w:firstLine="567"/>
        <w:jc w:val="both"/>
        <w:textAlignment w:val="baseline"/>
        <w:rPr/>
      </w:pPr>
      <w:r>
        <w:rPr>
          <w:rFonts w:ascii="Times New Roman" w:hAnsi="Times New Roman"/>
          <w:sz w:val="28"/>
          <w:szCs w:val="28"/>
        </w:rPr>
        <w:t>Програм</w:t>
      </w:r>
      <w:r>
        <w:rPr>
          <w:rFonts w:cs="Arial"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розроблен</w:t>
      </w:r>
      <w:r>
        <w:rPr>
          <w:rFonts w:cs="Arial"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з метою реалізації міжнародного проєкту 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uk-UA"/>
        </w:rPr>
        <w:t>«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Розвиваємо 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>-освіту разом: інноваційне навчання в Ліппе та Луцьку</w:t>
      </w:r>
      <w:r>
        <w:rPr>
          <w:rFonts w:ascii="Times New Roman" w:hAnsi="Times New Roman"/>
          <w:bCs/>
          <w:spacing w:val="-1"/>
          <w:sz w:val="28"/>
          <w:szCs w:val="28"/>
          <w:lang w:eastAsia="uk-UA"/>
        </w:rPr>
        <w:t>»</w:t>
      </w:r>
      <w:r>
        <w:rPr>
          <w:rFonts w:ascii="Times New Roman" w:hAnsi="Times New Roman"/>
          <w:sz w:val="28"/>
          <w:szCs w:val="28"/>
        </w:rPr>
        <w:t xml:space="preserve">, який </w:t>
      </w:r>
      <w:r>
        <w:rPr>
          <w:rFonts w:eastAsia="Times New Roman" w:cs="Times New Roman" w:ascii="Times New Roman" w:hAnsi="Times New Roman"/>
          <w:sz w:val="28"/>
          <w:szCs w:val="28"/>
          <w:lang w:bidi="ar-SA"/>
        </w:rPr>
        <w:t>впроваджується</w:t>
      </w:r>
      <w:r>
        <w:rPr>
          <w:rFonts w:ascii="Times New Roman" w:hAnsi="Times New Roman"/>
          <w:bCs/>
          <w:sz w:val="28"/>
          <w:szCs w:val="28"/>
        </w:rPr>
        <w:t xml:space="preserve"> краєм Ліппе Федеративної Республіки Німеччина (Головний партнер) та виконавчим комітетом Луцької міської ради (Партнер) в </w:t>
      </w:r>
      <w:r>
        <w:rPr>
          <w:rFonts w:cs="Arial" w:ascii="Times New Roman" w:hAnsi="Times New Roman"/>
          <w:bCs/>
          <w:sz w:val="28"/>
          <w:szCs w:val="28"/>
        </w:rPr>
        <w:t xml:space="preserve">межах </w:t>
      </w:r>
      <w:r>
        <w:rPr>
          <w:rFonts w:ascii="Times New Roman" w:hAnsi="Times New Roman"/>
          <w:bCs/>
          <w:sz w:val="28"/>
          <w:szCs w:val="28"/>
        </w:rPr>
        <w:t xml:space="preserve">Програми </w:t>
      </w:r>
      <w:r>
        <w:rPr>
          <w:rFonts w:ascii="Times New Roman" w:hAnsi="Times New Roman"/>
          <w:spacing w:val="-1"/>
          <w:sz w:val="28"/>
          <w:szCs w:val="28"/>
          <w:lang w:eastAsia="uk-UA"/>
        </w:rPr>
        <w:t>«Сталий муніципальний розвиток через партнерські проєкти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pacing w:val="-2"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</w:rPr>
        <w:t>NAK</w:t>
      </w:r>
      <w:r>
        <w:rPr>
          <w:rFonts w:ascii="Times New Roman" w:hAnsi="Times New Roman"/>
          <w:bCs/>
          <w:color w:val="000000"/>
          <w:sz w:val="28"/>
          <w:szCs w:val="28"/>
        </w:rPr>
        <w:t>OPA)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та рекомендований до фінансування з коштів Уряду Федеративної Республіки Німеччина через Федеральне міністерство економічного співробітництва та розвитку, </w:t>
      </w:r>
      <w:r>
        <w:rPr>
          <w:rFonts w:ascii="Times New Roman" w:hAnsi="Times New Roman"/>
          <w:sz w:val="28"/>
          <w:szCs w:val="28"/>
        </w:rPr>
        <w:t xml:space="preserve">яке представлене Engagement Global gGmbH / Сервісною службою 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«</w:t>
      </w:r>
      <w:r>
        <w:rPr>
          <w:rFonts w:ascii="Times New Roman" w:hAnsi="Times New Roman"/>
          <w:sz w:val="28"/>
          <w:szCs w:val="28"/>
        </w:rPr>
        <w:t>Міста в єдиному світі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</w:p>
    <w:p>
      <w:pPr>
        <w:pStyle w:val="HTML1"/>
        <w:shd w:val="clear" w:color="auto" w:fill="FFFFFF"/>
        <w:suppressAutoHyphens w:val="true"/>
        <w:ind w:firstLine="567"/>
        <w:jc w:val="both"/>
        <w:textAlignment w:val="baseline"/>
        <w:rPr/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Потреба реалізації проєкту обумовлена актуальністю </w:t>
      </w:r>
      <w:r>
        <w:rPr>
          <w:rFonts w:cs="Arial" w:ascii="Times New Roman" w:hAnsi="Times New Roman"/>
          <w:bCs/>
          <w:color w:val="000000"/>
          <w:sz w:val="28"/>
          <w:szCs w:val="28"/>
          <w:lang w:eastAsia="ru-RU"/>
        </w:rPr>
        <w:t xml:space="preserve">створення центру </w:t>
      </w:r>
      <w:r>
        <w:rPr>
          <w:rFonts w:cs="Arial" w:ascii="Times New Roman" w:hAnsi="Times New Roman"/>
          <w:bCs/>
          <w:color w:val="000000"/>
          <w:sz w:val="28"/>
          <w:szCs w:val="28"/>
          <w:lang w:val="en-US" w:eastAsia="ru-RU"/>
        </w:rPr>
        <w:t>STEM</w:t>
      </w:r>
      <w:r>
        <w:rPr>
          <w:rFonts w:cs="Arial" w:ascii="Times New Roman" w:hAnsi="Times New Roman"/>
          <w:bCs/>
          <w:color w:val="000000"/>
          <w:sz w:val="28"/>
          <w:szCs w:val="28"/>
          <w:lang w:eastAsia="ru-RU"/>
        </w:rPr>
        <w:t xml:space="preserve">-освіти для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впровадження її елементів у системі</w:t>
      </w:r>
      <w:r>
        <w:rPr>
          <w:rFonts w:cs="Arial"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загальної середньої освіти </w:t>
      </w:r>
      <w:r>
        <w:rPr>
          <w:rFonts w:cs="Times New Roman" w:ascii="Times New Roman" w:hAnsi="Times New Roman"/>
          <w:color w:val="000000"/>
          <w:spacing w:val="-1"/>
          <w:sz w:val="28"/>
          <w:szCs w:val="28"/>
          <w:lang w:eastAsia="uk-UA"/>
        </w:rPr>
        <w:t>Луцької міської територіальної громади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, а також на виконання 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розпоряджень Кабінету Міністрів України від 05.05.2020 № 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960-р «Про схвалення Концепції розвитку природничо-математичної освіти (STEM-освіти)» та від 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13.01.2021 № 131-р «Про затвердження плану заходів щодо реалізації Концепції розвитку природничо-математичної освіти (STEM-освіти) до 2027 року»,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наказу Міністерства освіти і науки України від 29.04.2020 № 574 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«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Про затвердження Типового переліку засобів навчання та обладнання для навчальних кабінетів і SТЕМ-лабораторій</w:t>
      </w:r>
      <w:bookmarkStart w:id="1" w:name="__DdeLink__1267_2616832112"/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»</w:t>
      </w:r>
      <w:bookmarkEnd w:id="1"/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.</w:t>
      </w:r>
    </w:p>
    <w:p>
      <w:pPr>
        <w:pStyle w:val="HTML1"/>
        <w:shd w:val="clear" w:color="auto" w:fill="FFFFFF"/>
        <w:suppressAutoHyphens w:val="true"/>
        <w:spacing w:before="0" w:after="0"/>
        <w:ind w:firstLine="567"/>
        <w:contextualSpacing/>
        <w:jc w:val="both"/>
        <w:textAlignment w:val="baseline"/>
        <w:rPr/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Наразі у школах </w:t>
      </w:r>
      <w:r>
        <w:rPr>
          <w:rFonts w:cs="Times New Roman" w:ascii="Times New Roman" w:hAnsi="Times New Roman"/>
          <w:color w:val="000000"/>
          <w:spacing w:val="-1"/>
          <w:sz w:val="28"/>
          <w:szCs w:val="28"/>
          <w:lang w:eastAsia="uk-UA"/>
        </w:rPr>
        <w:t>Луцької міської територіальної громади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спостерігається дефіцит ресурсів для впровадження STEM-програм, зокрема рівень матеріально-технічного та інформаційного забезпечення профільних кабінетів є недостатнім для належної підготовки, навчання та розвитку учнів, схильних до вивчення STEM-предметів, для розкриття потенціалу молоді, яка може зацікавитись точними науками та технічними професіями.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Програму </w:t>
      </w: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  <w:lang w:eastAsia="uk-UA" w:bidi="ar-SA"/>
        </w:rPr>
        <w:t xml:space="preserve">«Впровадження міжнародного проєкту “Розвиваємо </w:t>
      </w: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  <w:lang w:val="en-US" w:eastAsia="uk-UA" w:bidi="ar-SA"/>
        </w:rPr>
        <w:t>STEM</w:t>
      </w: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  <w:lang w:eastAsia="uk-UA" w:bidi="ar-SA"/>
        </w:rPr>
        <w:t xml:space="preserve">-освіту разом: інноваційне навчання в Ліппе та Луцьку”» розроблено для вирішення цієї проблеми. </w:t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spacing w:before="0" w:after="0"/>
        <w:ind w:firstLine="567"/>
        <w:contextualSpacing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</w:r>
    </w:p>
    <w:p>
      <w:pPr>
        <w:pStyle w:val="Normal"/>
        <w:spacing w:before="0" w:after="0"/>
        <w:contextualSpacing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2. Визначення мети Програми</w:t>
      </w:r>
    </w:p>
    <w:p>
      <w:pPr>
        <w:pStyle w:val="HTML1"/>
        <w:shd w:val="clear" w:color="auto" w:fill="FFFFFF"/>
        <w:tabs>
          <w:tab w:val="clear" w:pos="916"/>
          <w:tab w:val="clear" w:pos="2748"/>
          <w:tab w:val="clear" w:pos="3664"/>
          <w:tab w:val="left" w:pos="345" w:leader="none"/>
          <w:tab w:val="left" w:pos="1832" w:leader="none"/>
          <w:tab w:val="left" w:pos="2835" w:leader="none"/>
          <w:tab w:val="left" w:pos="2895" w:leader="none"/>
          <w:tab w:val="left" w:pos="2977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340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900" w:leader="none"/>
        </w:tabs>
        <w:spacing w:before="0" w:after="0"/>
        <w:ind w:firstLine="720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 xml:space="preserve">Метою Програми є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успішна реалізація міжнародного грантового проєкту 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uk-UA"/>
        </w:rPr>
        <w:t>«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Розвиваємо 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>-освіту разом: інноваційне навчання в Ліппе та Луцьку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» та впровадження ряду заходів для покращення якості STEM-освіти у школах </w:t>
      </w:r>
      <w:r>
        <w:rPr>
          <w:rFonts w:cs="Times New Roman" w:ascii="Times New Roman" w:hAnsi="Times New Roman"/>
          <w:color w:val="000000"/>
          <w:spacing w:val="-1"/>
          <w:kern w:val="0"/>
          <w:sz w:val="28"/>
          <w:szCs w:val="28"/>
          <w:lang w:eastAsia="uk-UA"/>
        </w:rPr>
        <w:t xml:space="preserve">Луцької міської територіальної громади 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та стимулювання інтересу учнів до вивчення STEM-дисциплін.</w:t>
      </w:r>
    </w:p>
    <w:p>
      <w:pPr>
        <w:pStyle w:val="Normal"/>
        <w:tabs>
          <w:tab w:val="clear" w:pos="709"/>
          <w:tab w:val="left" w:pos="900" w:leader="none"/>
        </w:tabs>
        <w:spacing w:before="0" w:after="0"/>
        <w:ind w:firstLine="567"/>
        <w:contextualSpacing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3. Засоби розв’язання проблеми</w:t>
      </w:r>
    </w:p>
    <w:p>
      <w:pPr>
        <w:pStyle w:val="HTML1"/>
        <w:shd w:val="clear" w:color="auto" w:fill="FFFFFF"/>
        <w:spacing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14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/>
      </w:pPr>
      <w:r>
        <w:rPr>
          <w:rFonts w:ascii="Times New Roman" w:hAnsi="Times New Roman"/>
          <w:bCs/>
          <w:sz w:val="28"/>
          <w:szCs w:val="28"/>
        </w:rPr>
        <w:t xml:space="preserve">Впровадження грантових проєктів є дієвим механізмом для залучення позабюджетних коштів у розвиток громади. Міжнародний проєкт 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uk-UA"/>
        </w:rPr>
        <w:t>«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Розвиваємо 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>-освіту разом: інноваційне навчання в Ліппе та Луцьку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», що буде реалізовано </w:t>
      </w:r>
      <w:r>
        <w:rPr>
          <w:rFonts w:ascii="Times New Roman" w:hAnsi="Times New Roman"/>
          <w:bCs/>
          <w:spacing w:val="-1"/>
          <w:sz w:val="28"/>
          <w:szCs w:val="28"/>
          <w:lang w:eastAsia="uk-UA"/>
        </w:rPr>
        <w:t xml:space="preserve">у 2024–2026 роках, забезпечить створення належних умов для профільного навчання природничо-математичних предметів, сприятиме покращенню якості викладання STEM-предметів і 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розвитку галузей STEM, заохочуватиме молодь до STEM-досліджень та STEM-кар’єри.</w:t>
      </w:r>
    </w:p>
    <w:p>
      <w:pPr>
        <w:pStyle w:val="14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/>
      </w:pPr>
      <w:r>
        <w:rPr>
          <w:rFonts w:ascii="Times New Roman" w:hAnsi="Times New Roman"/>
          <w:bCs/>
          <w:spacing w:val="-1"/>
          <w:sz w:val="28"/>
          <w:szCs w:val="28"/>
          <w:lang w:eastAsia="uk-UA"/>
        </w:rPr>
        <w:t xml:space="preserve">В межах зазначеного проєкту заплановано облаштування навчальних приміщень із метою проведення занять для учнів закладів загальної середньої освіти в </w:t>
      </w:r>
      <w:r>
        <w:rPr>
          <w:rFonts w:cs="Times New Roman" w:ascii="Times New Roman" w:hAnsi="Times New Roman"/>
          <w:color w:val="000000"/>
          <w:spacing w:val="-1"/>
          <w:kern w:val="0"/>
          <w:sz w:val="28"/>
          <w:szCs w:val="28"/>
          <w:lang w:eastAsia="uk-UA"/>
        </w:rPr>
        <w:t>Луцькій міській територіальній громаді</w:t>
      </w:r>
      <w:r>
        <w:rPr>
          <w:rFonts w:ascii="Times New Roman" w:hAnsi="Times New Roman"/>
          <w:bCs/>
          <w:spacing w:val="-1"/>
          <w:sz w:val="28"/>
          <w:szCs w:val="28"/>
          <w:lang w:eastAsia="uk-UA"/>
        </w:rPr>
        <w:t xml:space="preserve">, зокрема передбачено закупівлю техніки, обладнання, меблів та інформаційне наповнення кабінетів фізики, хімії та біології, робототехніки, інноваційних технологій, шиття та вишивання, фото- та відеостудії, облаштування конференційного залу. Окрім цього, проєктом передбачені такі заходи: розробка інтернет-сторінки центру </w:t>
      </w:r>
      <w:r>
        <w:rPr>
          <w:rFonts w:ascii="Times New Roman" w:hAnsi="Times New Roman"/>
          <w:bCs/>
          <w:spacing w:val="-1"/>
          <w:sz w:val="28"/>
          <w:szCs w:val="28"/>
          <w:lang w:val="en-US" w:eastAsia="uk-UA"/>
        </w:rPr>
        <w:t>STEM</w:t>
      </w:r>
      <w:r>
        <w:rPr>
          <w:rFonts w:ascii="Times New Roman" w:hAnsi="Times New Roman"/>
          <w:bCs/>
          <w:spacing w:val="-1"/>
          <w:sz w:val="28"/>
          <w:szCs w:val="28"/>
          <w:lang w:eastAsia="uk-UA"/>
        </w:rPr>
        <w:t xml:space="preserve">-освіти, зйомка відеоролика, виготовлення промоційної продукції, проведення науково-просвітницьких заходів і змагань для учнів із метою популяризації досягнень </w:t>
      </w:r>
      <w:r>
        <w:rPr>
          <w:rFonts w:ascii="Times New Roman" w:hAnsi="Times New Roman"/>
          <w:bCs/>
          <w:spacing w:val="-1"/>
          <w:sz w:val="28"/>
          <w:szCs w:val="28"/>
          <w:lang w:val="en-US" w:eastAsia="uk-UA"/>
        </w:rPr>
        <w:t>STEM</w:t>
      </w:r>
      <w:r>
        <w:rPr>
          <w:rFonts w:ascii="Times New Roman" w:hAnsi="Times New Roman"/>
          <w:bCs/>
          <w:spacing w:val="-1"/>
          <w:sz w:val="28"/>
          <w:szCs w:val="28"/>
          <w:lang w:eastAsia="uk-UA"/>
        </w:rPr>
        <w:t xml:space="preserve">-навчання, навчальний візит школярів до краю Ліппе, навчальні візити для вчителів </w:t>
      </w:r>
      <w:r>
        <w:rPr>
          <w:rFonts w:ascii="Times New Roman" w:hAnsi="Times New Roman"/>
          <w:bCs/>
          <w:spacing w:val="-1"/>
          <w:sz w:val="28"/>
          <w:szCs w:val="28"/>
          <w:lang w:val="en-US" w:eastAsia="uk-UA"/>
        </w:rPr>
        <w:t>STEM</w:t>
      </w:r>
      <w:r>
        <w:rPr>
          <w:rFonts w:ascii="Times New Roman" w:hAnsi="Times New Roman"/>
          <w:bCs/>
          <w:spacing w:val="-1"/>
          <w:sz w:val="28"/>
          <w:szCs w:val="28"/>
          <w:lang w:eastAsia="uk-UA"/>
        </w:rPr>
        <w:t xml:space="preserve">-предметів у закладах загальної середньої освіти </w:t>
      </w:r>
      <w:r>
        <w:rPr>
          <w:rFonts w:cs="Times New Roman" w:ascii="Times New Roman" w:hAnsi="Times New Roman"/>
          <w:color w:val="000000"/>
          <w:spacing w:val="-1"/>
          <w:kern w:val="0"/>
          <w:sz w:val="28"/>
          <w:szCs w:val="28"/>
          <w:lang w:eastAsia="uk-UA"/>
        </w:rPr>
        <w:t xml:space="preserve">Луцької міської територіальної громади </w:t>
      </w:r>
      <w:r>
        <w:rPr>
          <w:rFonts w:ascii="Times New Roman" w:hAnsi="Times New Roman"/>
          <w:bCs/>
          <w:spacing w:val="-1"/>
          <w:sz w:val="28"/>
          <w:szCs w:val="28"/>
          <w:lang w:eastAsia="uk-UA"/>
        </w:rPr>
        <w:t>до краю Ліппе із метою обміну досвідом у цій сфері.</w:t>
      </w:r>
    </w:p>
    <w:p>
      <w:pPr>
        <w:pStyle w:val="14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/>
      </w:pP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За умови реалізації Програми та, відповідно, міжнародного проєкту очікується:</w:t>
      </w:r>
    </w:p>
    <w:p>
      <w:pPr>
        <w:pStyle w:val="14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/>
      </w:pP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покращення матеріальної бази системи 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-освіти в </w:t>
      </w:r>
      <w:r>
        <w:rPr>
          <w:rFonts w:cs="Times New Roman" w:ascii="Times New Roman" w:hAnsi="Times New Roman"/>
          <w:color w:val="000000"/>
          <w:spacing w:val="-1"/>
          <w:kern w:val="0"/>
          <w:sz w:val="28"/>
          <w:szCs w:val="28"/>
          <w:lang w:eastAsia="uk-UA"/>
        </w:rPr>
        <w:t>Луцькій міській територіальній громаді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;</w:t>
      </w:r>
    </w:p>
    <w:p>
      <w:pPr>
        <w:pStyle w:val="14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/>
      </w:pPr>
      <w:r>
        <w:rPr>
          <w:rFonts w:cs="Courier New" w:ascii="Times New Roman" w:hAnsi="Times New Roman"/>
          <w:bCs/>
          <w:color w:val="000000"/>
          <w:spacing w:val="-1"/>
          <w:sz w:val="28"/>
          <w:szCs w:val="28"/>
          <w:lang w:eastAsia="ru-RU"/>
        </w:rPr>
        <w:t xml:space="preserve">стимулювання зацікавленості молоді у вивченні STEM-дисциплін, 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ru-RU"/>
        </w:rPr>
        <w:t>підвищенн</w:t>
      </w:r>
      <w:r>
        <w:rPr>
          <w:rFonts w:cs="Courier New" w:ascii="Times New Roman" w:hAnsi="Times New Roman"/>
          <w:bCs/>
          <w:color w:val="000000"/>
          <w:spacing w:val="-1"/>
          <w:sz w:val="28"/>
          <w:szCs w:val="28"/>
          <w:lang w:eastAsia="ru-RU"/>
        </w:rPr>
        <w:t>я поінформованості учнів шкіл про можливості кар’єри в інженерно-технічній сфері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ru-RU"/>
        </w:rPr>
        <w:t xml:space="preserve">; </w:t>
      </w:r>
    </w:p>
    <w:p>
      <w:pPr>
        <w:pStyle w:val="14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/>
      </w:pPr>
      <w:r>
        <w:rPr>
          <w:rFonts w:ascii="Times New Roman" w:hAnsi="Times New Roman"/>
          <w:bCs/>
          <w:spacing w:val="-1"/>
          <w:sz w:val="28"/>
          <w:szCs w:val="28"/>
        </w:rPr>
        <w:t>створення належних умов для п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ідготовки та підвищення кваліфікації вчителів STEM-предметів;</w:t>
      </w:r>
    </w:p>
    <w:p>
      <w:pPr>
        <w:pStyle w:val="14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поглиблення співпраці з побратимським краєм Ліппе Федеративної Республіки Німеччина;</w:t>
      </w:r>
    </w:p>
    <w:p>
      <w:pPr>
        <w:pStyle w:val="14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/>
      </w:pP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підтвердження позитивного іміджу </w:t>
      </w:r>
      <w:r>
        <w:rPr>
          <w:rFonts w:cs="Times New Roman" w:ascii="Times New Roman" w:hAnsi="Times New Roman"/>
          <w:color w:val="000000"/>
          <w:spacing w:val="-1"/>
          <w:kern w:val="0"/>
          <w:sz w:val="28"/>
          <w:szCs w:val="28"/>
          <w:lang w:eastAsia="uk-UA"/>
        </w:rPr>
        <w:t xml:space="preserve">Луцької міської територіальної громади 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 як активного учасника міжнародних грантових програм.</w:t>
      </w:r>
    </w:p>
    <w:p>
      <w:pPr>
        <w:pStyle w:val="14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/>
      </w:pP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Ресурсне забезпечення Програми наведено в додатку 1 до Програми. </w:t>
      </w:r>
    </w:p>
    <w:p>
      <w:pPr>
        <w:pStyle w:val="Normal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contextualSpacing/>
        <w:jc w:val="both"/>
        <w:rPr>
          <w:rFonts w:cs="Times New Roman"/>
          <w:b/>
          <w:b/>
          <w:color w:val="000000"/>
        </w:rPr>
      </w:pPr>
      <w:r>
        <w:rPr>
          <w:rFonts w:cs="Times New Roman"/>
          <w:b/>
          <w:color w:val="000000"/>
        </w:rPr>
      </w:r>
    </w:p>
    <w:p>
      <w:pPr>
        <w:pStyle w:val="Normal"/>
        <w:tabs>
          <w:tab w:val="clear" w:pos="709"/>
          <w:tab w:val="left" w:pos="360" w:leader="none"/>
          <w:tab w:val="left" w:pos="900" w:leader="none"/>
        </w:tabs>
        <w:spacing w:before="0" w:after="0"/>
        <w:contextualSpacing/>
        <w:jc w:val="center"/>
        <w:rPr/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>4. Перелік завдань і заходів Програми, індикатори (результативні показники) для проведення моніторингу та оцінки виконання Програми</w:t>
      </w:r>
    </w:p>
    <w:p>
      <w:pPr>
        <w:pStyle w:val="Normal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Завданням Програми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 є реалізація заходів міжнародного проєкту «Розвиваємо 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>-освіту разом: інноваційне навчання в Ліппе та Луцьку».</w:t>
      </w:r>
    </w:p>
    <w:p>
      <w:pPr>
        <w:pStyle w:val="Normal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contextualSpacing/>
        <w:rPr/>
      </w:pPr>
      <w:r>
        <w:rPr>
          <w:rFonts w:ascii="Times New Roman" w:hAnsi="Times New Roman"/>
          <w:color w:val="000000"/>
          <w:sz w:val="28"/>
          <w:szCs w:val="28"/>
        </w:rPr>
        <w:t>Перелік завдань, заходів Програми та результативні показники наведено у додатку 2 до Програми.</w:t>
      </w:r>
    </w:p>
    <w:p>
      <w:pPr>
        <w:pStyle w:val="Normal"/>
        <w:spacing w:before="0" w:after="0"/>
        <w:ind w:left="644" w:hanging="0"/>
        <w:contextualSpacing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left="644" w:hanging="0"/>
        <w:contextualSpacing/>
        <w:jc w:val="center"/>
        <w:rPr/>
      </w:pPr>
      <w:r>
        <w:rPr>
          <w:rFonts w:ascii="Times New Roman" w:hAnsi="Times New Roman"/>
          <w:b/>
          <w:sz w:val="28"/>
          <w:szCs w:val="28"/>
        </w:rPr>
        <w:t>5.</w:t>
      </w:r>
      <w:r>
        <w:rPr>
          <w:rFonts w:ascii="Times New Roman" w:hAnsi="Times New Roman"/>
          <w:b/>
          <w:sz w:val="28"/>
          <w:szCs w:val="28"/>
          <w:lang w:val="en-US"/>
        </w:rPr>
        <w:t> </w:t>
      </w:r>
      <w:r>
        <w:rPr>
          <w:rFonts w:ascii="Times New Roman" w:hAnsi="Times New Roman"/>
          <w:b/>
          <w:sz w:val="28"/>
          <w:szCs w:val="28"/>
        </w:rPr>
        <w:t>Координація та контроль за ходом виконання Програми.</w:t>
      </w:r>
    </w:p>
    <w:p>
      <w:pPr>
        <w:pStyle w:val="Normal"/>
        <w:spacing w:before="0" w:after="0"/>
        <w:ind w:left="644" w:hanging="0"/>
        <w:contextualSpacing/>
        <w:jc w:val="center"/>
        <w:rPr/>
      </w:pPr>
      <w:r>
        <w:rPr>
          <w:rFonts w:ascii="Times New Roman" w:hAnsi="Times New Roman"/>
          <w:b/>
          <w:sz w:val="28"/>
          <w:szCs w:val="28"/>
        </w:rPr>
        <w:t>Звіт про виконання Програми</w:t>
      </w:r>
    </w:p>
    <w:p>
      <w:pPr>
        <w:pStyle w:val="Normal"/>
        <w:spacing w:before="0" w:after="0"/>
        <w:ind w:left="644" w:hanging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за використанням бюджетних коштів, передбачених для здійснення заходів, визначених Програмою, здійснюється в порядку, встановленому законодавством. Контроль за виконанням заходів Програми здійснює управління міжнародного співробітництва та проектної діяльності та постійна комісія міської ради з питань </w:t>
      </w:r>
      <w:r>
        <w:rPr>
          <w:rFonts w:ascii="Times New Roman" w:hAnsi="Times New Roman"/>
          <w:color w:val="000000"/>
          <w:sz w:val="28"/>
          <w:szCs w:val="28"/>
        </w:rPr>
        <w:t>міжнародного співробітництва, торгівлі, послуг та розвитку підприємництва, інформаційної політики, молоді, спорту та туризму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Normal"/>
        <w:spacing w:before="0" w:after="0"/>
        <w:ind w:firstLine="567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>Звіт про виконання Програми заслуховується на сесії міської ради після завершення її дії на вимогу депутатів.</w:t>
      </w:r>
    </w:p>
    <w:p>
      <w:pPr>
        <w:pStyle w:val="Normal"/>
        <w:spacing w:before="0" w:after="0"/>
        <w:ind w:firstLine="851"/>
        <w:contextualSpacing/>
        <w:jc w:val="both"/>
        <w:rPr/>
      </w:pPr>
      <w:r>
        <w:rPr/>
      </w:r>
    </w:p>
    <w:p>
      <w:pPr>
        <w:pStyle w:val="Normal"/>
        <w:spacing w:before="0" w:after="0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>Секретар міської ради</w:t>
        <w:tab/>
        <w:tab/>
        <w:tab/>
        <w:tab/>
        <w:tab/>
        <w:tab/>
        <w:tab/>
        <w:t>Юрій БЕЗПЯТКО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sectPr>
          <w:headerReference w:type="default" r:id="rId2"/>
          <w:type w:val="nextPage"/>
          <w:pgSz w:w="11906" w:h="16838"/>
          <w:pgMar w:left="1984" w:right="567" w:header="567" w:top="1172" w:footer="0" w:bottom="1134" w:gutter="0"/>
          <w:pgNumType w:fmt="decimal"/>
          <w:formProt w:val="false"/>
          <w:textDirection w:val="lrTb"/>
          <w:docGrid w:type="default" w:linePitch="100" w:charSpace="0"/>
        </w:sectPr>
        <w:pStyle w:val="Normal"/>
        <w:spacing w:before="0" w:after="0"/>
        <w:contextualSpacing/>
        <w:rPr/>
      </w:pPr>
      <w:r>
        <w:rPr>
          <w:rFonts w:ascii="Times New Roman" w:hAnsi="Times New Roman"/>
        </w:rPr>
        <w:t>Вінцюк 777 995</w:t>
      </w:r>
    </w:p>
    <w:p>
      <w:pPr>
        <w:pStyle w:val="Normal"/>
        <w:spacing w:before="0" w:after="0"/>
        <w:ind w:left="9581" w:hanging="0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Додаток 1</w:t>
      </w:r>
    </w:p>
    <w:p>
      <w:pPr>
        <w:pStyle w:val="Normal"/>
        <w:ind w:left="9581" w:hanging="0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до Програми 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uk-UA"/>
        </w:rPr>
        <w:t>«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Впровадження міжнародного проєкту “Розвиваємо 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>-освіту разом: інноваційне навчання в Ліппе та Луцьку” на 2024–2026 роки»</w:t>
      </w:r>
    </w:p>
    <w:p>
      <w:pPr>
        <w:pStyle w:val="Normal"/>
        <w:ind w:left="9581" w:hanging="0"/>
        <w:jc w:val="both"/>
        <w:rPr>
          <w:rFonts w:ascii="Times New Roman" w:hAnsi="Times New Roman" w:cs="Times New Roman"/>
          <w:bCs/>
          <w:color w:val="000000"/>
          <w:spacing w:val="-1"/>
          <w:lang w:eastAsia="uk-UA"/>
        </w:rPr>
      </w:pPr>
      <w:r>
        <w:rPr>
          <w:rFonts w:cs="Times New Roman" w:ascii="Times New Roman" w:hAnsi="Times New Roman"/>
          <w:bCs/>
          <w:color w:val="000000"/>
          <w:spacing w:val="-1"/>
          <w:lang w:eastAsia="uk-UA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Ресурсне забезпечення </w:t>
      </w:r>
    </w:p>
    <w:p>
      <w:pPr>
        <w:pStyle w:val="Normal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Програми «Впровадження міжнародного проєкту</w:t>
      </w:r>
    </w:p>
    <w:p>
      <w:pPr>
        <w:pStyle w:val="Normal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“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 xml:space="preserve">Розвиваємо 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-освіту разом: інноваційне навчання в Ліппе та Луцьку” на 2024–2026 роки»</w:t>
      </w:r>
    </w:p>
    <w:p>
      <w:pPr>
        <w:pStyle w:val="Normal"/>
        <w:shd w:val="clear" w:color="auto" w:fill="FFFFFF"/>
        <w:tabs>
          <w:tab w:val="clear" w:pos="709"/>
          <w:tab w:val="left" w:pos="100" w:leader="none"/>
        </w:tabs>
        <w:spacing w:lineRule="exact" w:line="317"/>
        <w:ind w:right="14" w:hanging="0"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tbl>
      <w:tblPr>
        <w:tblW w:w="1505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95"/>
        <w:gridCol w:w="2768"/>
        <w:gridCol w:w="2350"/>
        <w:gridCol w:w="2730"/>
        <w:gridCol w:w="2785"/>
        <w:gridCol w:w="1864"/>
        <w:gridCol w:w="1865"/>
      </w:tblGrid>
      <w:tr>
        <w:trPr>
          <w:trHeight w:val="1278" w:hRule="atLeast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 xml:space="preserve">№ </w:t>
            </w:r>
          </w:p>
          <w:p>
            <w:pPr>
              <w:pStyle w:val="Normal"/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з/п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Обсяг коштів, які планується залучити на виконання Програми за джерелами фінансування, тис. грн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І</w:t>
            </w:r>
          </w:p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lang w:val="en-US"/>
              </w:rPr>
              <w:t xml:space="preserve">4 </w:t>
            </w:r>
            <w:r>
              <w:rPr>
                <w:rFonts w:ascii="Times New Roman" w:hAnsi="Times New Roman"/>
                <w:bCs/>
                <w:color w:val="000000"/>
              </w:rPr>
              <w:t>рік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ІІ</w:t>
            </w:r>
          </w:p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lang w:val="en-US"/>
              </w:rPr>
              <w:t xml:space="preserve">5 </w:t>
            </w:r>
            <w:r>
              <w:rPr>
                <w:rFonts w:ascii="Times New Roman" w:hAnsi="Times New Roman"/>
                <w:bCs/>
                <w:color w:val="000000"/>
              </w:rPr>
              <w:t>рік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ІІІ</w:t>
            </w:r>
          </w:p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lang w:val="en-US"/>
              </w:rPr>
              <w:t>6</w:t>
            </w:r>
            <w:r>
              <w:rPr>
                <w:rFonts w:ascii="Times New Roman" w:hAnsi="Times New Roman"/>
                <w:bCs/>
                <w:color w:val="000000"/>
              </w:rPr>
              <w:t xml:space="preserve"> рік</w:t>
            </w:r>
          </w:p>
        </w:tc>
        <w:tc>
          <w:tcPr>
            <w:tcW w:w="3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Загальний обсяг фінансування, тис. грн</w:t>
            </w:r>
          </w:p>
        </w:tc>
      </w:tr>
      <w:tr>
        <w:trPr>
          <w:trHeight w:val="475" w:hRule="atLeast"/>
        </w:trPr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napToGrid w:val="false"/>
              <w:ind w:left="-113" w:right="-113" w:hanging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(тис. грн)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(тис. грн)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(тис. грн)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(тис. грн)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(тис. євро*)</w:t>
            </w:r>
          </w:p>
        </w:tc>
      </w:tr>
      <w:tr>
        <w:trPr>
          <w:trHeight w:val="152" w:hRule="atLeast"/>
        </w:trPr>
        <w:tc>
          <w:tcPr>
            <w:tcW w:w="6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ind w:right="-113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Обсяг фінансових ресурсів всього, у тому числі: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pacing w:before="0" w:after="0"/>
              <w:ind w:left="-113" w:right="-113" w:hanging="0"/>
              <w:contextualSpacing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1 444,8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pacing w:before="0" w:after="0"/>
              <w:ind w:left="-113" w:right="-113" w:hanging="0"/>
              <w:contextualSpacing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9 040,6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pacing w:before="0" w:after="0"/>
              <w:ind w:left="-113" w:right="-113" w:hanging="0"/>
              <w:contextualSpacing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288,1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lang w:val="en-US"/>
              </w:rPr>
              <w:t>10 773,5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250,5</w:t>
            </w:r>
          </w:p>
        </w:tc>
      </w:tr>
      <w:tr>
        <w:trPr>
          <w:trHeight w:val="491" w:hRule="atLeast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ind w:left="-113" w:right="-113" w:hanging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ind w:right="-113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кошти бюджету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lang w:val="en-US"/>
              </w:rPr>
              <w:t>1 014,8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pacing w:before="0" w:after="0"/>
              <w:ind w:left="-113" w:right="-113" w:hanging="0"/>
              <w:contextualSpacing/>
              <w:jc w:val="center"/>
              <w:rPr/>
            </w:pPr>
            <w:r>
              <w:rPr>
                <w:rFonts w:ascii="Times New Roman" w:hAnsi="Times New Roman"/>
                <w:bCs/>
                <w:lang w:val="en-US"/>
              </w:rPr>
              <w:t>464,4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pacing w:before="0" w:after="0"/>
              <w:ind w:left="-113" w:right="-113" w:hanging="0"/>
              <w:contextualSpacing/>
              <w:jc w:val="center"/>
              <w:rPr/>
            </w:pPr>
            <w:r>
              <w:rPr>
                <w:rFonts w:ascii="Times New Roman" w:hAnsi="Times New Roman"/>
                <w:bCs/>
                <w:lang w:val="en-US"/>
              </w:rPr>
              <w:t>223,6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lang w:val="en-US"/>
              </w:rPr>
              <w:t>1 702,8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39,6</w:t>
            </w:r>
          </w:p>
        </w:tc>
      </w:tr>
      <w:tr>
        <w:trPr>
          <w:trHeight w:val="491" w:hRule="atLeast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кошти інших джерел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430,0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8 576,2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64,5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bookmarkStart w:id="2" w:name="__DdeLink__748_1358602325"/>
            <w:r>
              <w:rPr>
                <w:rFonts w:cs="Times New Roman" w:ascii="Times New Roman" w:hAnsi="Times New Roman"/>
              </w:rPr>
              <w:t>9 070,7</w:t>
            </w:r>
            <w:bookmarkEnd w:id="2"/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210,9</w:t>
            </w:r>
          </w:p>
        </w:tc>
      </w:tr>
    </w:tbl>
    <w:p>
      <w:pPr>
        <w:pStyle w:val="Normal"/>
        <w:shd w:val="clear" w:color="auto" w:fill="FFFFFF"/>
        <w:tabs>
          <w:tab w:val="clear" w:pos="709"/>
          <w:tab w:val="left" w:pos="100" w:leader="none"/>
        </w:tabs>
        <w:spacing w:lineRule="exact" w:line="317"/>
        <w:ind w:right="14" w:hanging="0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color w:val="000000"/>
        </w:rPr>
        <w:t>*Розрахунки здійснено відповідно до курсу 1 євро = 43,0 грн</w:t>
      </w:r>
      <w:r>
        <w:rPr>
          <w:rFonts w:ascii="Times New Roman" w:hAnsi="Times New Roman"/>
          <w:color w:val="000000"/>
          <w:highlight w:val="darkYellow"/>
        </w:rPr>
        <w:t xml:space="preserve"> </w:t>
      </w:r>
    </w:p>
    <w:p>
      <w:pPr>
        <w:pStyle w:val="Normal"/>
        <w:jc w:val="both"/>
        <w:rPr>
          <w:rFonts w:cs="Times New Roman"/>
          <w:color w:val="000000"/>
          <w:spacing w:val="-1"/>
          <w:lang w:eastAsia="uk-UA"/>
        </w:rPr>
      </w:pPr>
      <w:r>
        <w:rPr>
          <w:rFonts w:cs="Times New Roman"/>
          <w:color w:val="000000"/>
          <w:spacing w:val="-1"/>
          <w:lang w:eastAsia="uk-UA"/>
        </w:rPr>
      </w:r>
    </w:p>
    <w:p>
      <w:pPr>
        <w:pStyle w:val="Normal"/>
        <w:jc w:val="both"/>
        <w:rPr>
          <w:rFonts w:cs="Times New Roman"/>
          <w:color w:val="000000"/>
          <w:spacing w:val="-1"/>
          <w:lang w:eastAsia="uk-UA"/>
        </w:rPr>
      </w:pPr>
      <w:r>
        <w:rPr>
          <w:rFonts w:cs="Times New Roman"/>
          <w:color w:val="000000"/>
          <w:spacing w:val="-1"/>
          <w:lang w:eastAsia="uk-UA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pacing w:val="-1"/>
          <w:lang w:eastAsia="uk-UA"/>
        </w:rPr>
        <w:t>Вінцюк 777 995</w:t>
      </w:r>
      <w:r>
        <w:br w:type="page"/>
      </w:r>
    </w:p>
    <w:p>
      <w:pPr>
        <w:pStyle w:val="Normal"/>
        <w:tabs>
          <w:tab w:val="clear" w:pos="709"/>
          <w:tab w:val="left" w:pos="5580" w:leader="none"/>
        </w:tabs>
        <w:ind w:left="7767" w:firstLine="1814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Додаток 2</w:t>
      </w:r>
    </w:p>
    <w:p>
      <w:pPr>
        <w:pStyle w:val="Normal"/>
        <w:tabs>
          <w:tab w:val="clear" w:pos="709"/>
          <w:tab w:val="left" w:pos="5580" w:leader="none"/>
        </w:tabs>
        <w:ind w:left="9581" w:hanging="0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до Програми 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uk-UA"/>
        </w:rPr>
        <w:t>«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Впровадження міжнародного проєкту “Розвиваємо 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-освіту разом: інноваційне навчання в Ліппе та Луцьку” </w:t>
      </w:r>
      <w:r>
        <w:rPr>
          <w:rFonts w:cs="Times New Roman" w:ascii="Times New Roman" w:hAnsi="Times New Roman"/>
          <w:color w:val="000000"/>
          <w:spacing w:val="-1"/>
          <w:sz w:val="28"/>
          <w:szCs w:val="28"/>
          <w:lang w:eastAsia="uk-UA"/>
        </w:rPr>
        <w:t>на 2024–2026 роки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>»</w:t>
      </w:r>
    </w:p>
    <w:p>
      <w:pPr>
        <w:pStyle w:val="Normal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ind w:left="680" w:hanging="0"/>
        <w:jc w:val="center"/>
        <w:rPr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Перелік завдань, заходів та результативні показники </w:t>
      </w:r>
    </w:p>
    <w:p>
      <w:pPr>
        <w:pStyle w:val="Normal"/>
        <w:ind w:left="680" w:hanging="0"/>
        <w:jc w:val="center"/>
        <w:rPr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Програми </w:t>
      </w:r>
      <w:r>
        <w:rPr>
          <w:rFonts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«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Впровадження міжнародного проєкту</w:t>
      </w:r>
    </w:p>
    <w:p>
      <w:pPr>
        <w:pStyle w:val="Normal"/>
        <w:ind w:left="680" w:hanging="0"/>
        <w:jc w:val="center"/>
        <w:rPr/>
      </w:pP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“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 xml:space="preserve">Розвиваємо 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-освіту разом: інноваційне навчання в Ліппе та Луцьку” на 2024–2026 роки»</w:t>
      </w:r>
    </w:p>
    <w:tbl>
      <w:tblPr>
        <w:tblW w:w="15076" w:type="dxa"/>
        <w:jc w:val="left"/>
        <w:tblInd w:w="48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6"/>
        <w:gridCol w:w="2071"/>
        <w:gridCol w:w="2260"/>
        <w:gridCol w:w="1788"/>
        <w:gridCol w:w="1541"/>
        <w:gridCol w:w="1720"/>
        <w:gridCol w:w="2011"/>
        <w:gridCol w:w="3097"/>
      </w:tblGrid>
      <w:tr>
        <w:trPr/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ind w:left="72" w:hanging="1"/>
              <w:contextualSpacing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  <w:p>
            <w:pPr>
              <w:pStyle w:val="Normal"/>
              <w:spacing w:before="0" w:after="0"/>
              <w:ind w:left="72" w:hanging="1"/>
              <w:contextualSpacing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з/п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Назва завдання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b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Назва заходу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Виконавці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Терміни виконання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Джерела фінансування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Орієнтовні обсяги фінансування, </w:t>
            </w:r>
          </w:p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тис. грн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Планові результативні показники</w:t>
            </w:r>
          </w:p>
        </w:tc>
      </w:tr>
      <w:tr>
        <w:trPr>
          <w:trHeight w:val="1889" w:hRule="atLeast"/>
        </w:trPr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</w:rPr>
              <w:t xml:space="preserve">Облаштування навчальних приміщень для викладання </w:t>
            </w:r>
            <w:r>
              <w:rPr>
                <w:rFonts w:ascii="Times New Roman" w:hAnsi="Times New Roman"/>
                <w:color w:val="000000"/>
                <w:lang w:val="en-US"/>
              </w:rPr>
              <w:t>STEM</w:t>
            </w:r>
            <w:r>
              <w:rPr>
                <w:rFonts w:ascii="Times New Roman" w:hAnsi="Times New Roman"/>
                <w:color w:val="000000"/>
              </w:rPr>
              <w:t xml:space="preserve">-предметів для учнів закладів загальної середньої освіти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</w:tc>
        <w:tc>
          <w:tcPr>
            <w:tcW w:w="2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1.1. Наповнення та тематичне оформлення кабінетів фізики, </w:t>
            </w:r>
            <w:r>
              <w:rPr>
                <w:rFonts w:ascii="Times New Roman" w:hAnsi="Times New Roman"/>
              </w:rPr>
              <w:t xml:space="preserve">хімії та біології, робототехніки, інноваційних технологій, шиття та вишивання, фото- / відеостудії, конференційного залу: дизайн, закупівля </w:t>
            </w:r>
            <w:r>
              <w:rPr>
                <w:rFonts w:cs="Times New Roman" w:ascii="Times New Roman" w:hAnsi="Times New Roman"/>
                <w:color w:val="000000"/>
              </w:rPr>
              <w:t>техніки, обладнання та меблів, облаштування  доступу до електрики та інтернету</w:t>
            </w:r>
          </w:p>
        </w:tc>
        <w:tc>
          <w:tcPr>
            <w:tcW w:w="1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left="-57" w:right="-113" w:hanging="0"/>
              <w:contextualSpacing/>
              <w:jc w:val="center"/>
              <w:textAlignment w:val="top"/>
              <w:rPr/>
            </w:pPr>
            <w:bookmarkStart w:id="3" w:name="__DdeLink__690_2080530260"/>
            <w:r>
              <w:rPr>
                <w:rFonts w:ascii="Times New Roman" w:hAnsi="Times New Roman"/>
                <w:color w:val="000000"/>
                <w:sz w:val="24"/>
              </w:rPr>
              <w:t>Управління міжнародного співробітництва та проектної діяльності</w:t>
            </w:r>
            <w:bookmarkEnd w:id="3"/>
            <w:r>
              <w:rPr>
                <w:rFonts w:ascii="Times New Roman" w:hAnsi="Times New Roman"/>
                <w:color w:val="000000"/>
                <w:sz w:val="24"/>
              </w:rPr>
              <w:t>,</w:t>
            </w:r>
          </w:p>
          <w:p>
            <w:pPr>
              <w:pStyle w:val="Normal"/>
              <w:widowControl w:val="false"/>
              <w:spacing w:before="0" w:after="0"/>
              <w:ind w:left="-57" w:right="-113" w:hanging="0"/>
              <w:contextualSpacing/>
              <w:jc w:val="center"/>
              <w:textAlignment w:val="top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освіти</w:t>
            </w:r>
          </w:p>
        </w:tc>
        <w:tc>
          <w:tcPr>
            <w:tcW w:w="1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2024–2025 роки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Бюджет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рік – </w:t>
            </w:r>
            <w:r>
              <w:rPr>
                <w:rFonts w:ascii="Times New Roman" w:hAnsi="Times New Roman"/>
                <w:lang w:val="en-US"/>
              </w:rPr>
              <w:t>739,6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 рік – 0,00</w:t>
            </w:r>
          </w:p>
        </w:tc>
        <w:tc>
          <w:tcPr>
            <w:tcW w:w="30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4"/>
              <w:tabs>
                <w:tab w:val="clear" w:pos="709"/>
                <w:tab w:val="left" w:pos="360" w:leader="none"/>
                <w:tab w:val="left" w:pos="900" w:leader="none"/>
              </w:tabs>
              <w:spacing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  <w:spacing w:val="-1"/>
                <w:lang w:eastAsia="uk-UA"/>
              </w:rPr>
              <w:t>Покращено</w:t>
            </w:r>
            <w:r>
              <w:rPr>
                <w:rFonts w:cs="Times New Roman" w:ascii="Times New Roman" w:hAnsi="Times New Roman"/>
                <w:bCs/>
                <w:color w:val="000000"/>
                <w:spacing w:val="-1"/>
                <w:lang w:eastAsia="uk-UA"/>
              </w:rPr>
              <w:t xml:space="preserve"> матеріальну</w:t>
            </w:r>
            <w:r>
              <w:rPr>
                <w:rFonts w:ascii="Times New Roman" w:hAnsi="Times New Roman"/>
                <w:bCs/>
                <w:color w:val="000000"/>
                <w:spacing w:val="-1"/>
                <w:lang w:eastAsia="uk-UA"/>
              </w:rPr>
              <w:t xml:space="preserve"> базу системи </w:t>
            </w:r>
            <w:r>
              <w:rPr>
                <w:rFonts w:ascii="Times New Roman" w:hAnsi="Times New Roman"/>
                <w:bCs/>
                <w:color w:val="000000"/>
                <w:spacing w:val="-1"/>
                <w:lang w:val="en-US" w:eastAsia="uk-UA"/>
              </w:rPr>
              <w:t>STEM</w:t>
            </w:r>
            <w:r>
              <w:rPr>
                <w:rFonts w:ascii="Times New Roman" w:hAnsi="Times New Roman"/>
                <w:bCs/>
                <w:color w:val="000000"/>
                <w:spacing w:val="-1"/>
                <w:lang w:eastAsia="uk-UA"/>
              </w:rPr>
              <w:t>-освіти в Луцькій міській територіальній громаді</w:t>
            </w:r>
            <w:r>
              <w:rPr>
                <w:rFonts w:cs="Times New Roman" w:ascii="Times New Roman" w:hAnsi="Times New Roman"/>
                <w:bCs/>
                <w:color w:val="000000"/>
                <w:spacing w:val="-1"/>
                <w:lang w:eastAsia="uk-UA"/>
              </w:rPr>
              <w:t>: з</w:t>
            </w:r>
            <w:r>
              <w:rPr>
                <w:rFonts w:cs="Times New Roman" w:ascii="Times New Roman" w:hAnsi="Times New Roman"/>
                <w:color w:val="000000"/>
              </w:rPr>
              <w:t xml:space="preserve">акуплено техніку, обладнання та меблі для облаштування </w:t>
            </w:r>
            <w:r>
              <w:rPr>
                <w:rFonts w:cs="Times New Roman" w:ascii="Times New Roman" w:hAnsi="Times New Roman"/>
                <w:color w:val="000000"/>
                <w:lang w:val="en-US"/>
              </w:rPr>
              <w:t>STEM</w:t>
            </w:r>
            <w:r>
              <w:rPr>
                <w:rFonts w:cs="Times New Roman" w:ascii="Times New Roman" w:hAnsi="Times New Roman"/>
                <w:color w:val="000000"/>
              </w:rPr>
              <w:t xml:space="preserve">-кабінетів і конференційного залу. Створено центр </w:t>
            </w:r>
            <w:r>
              <w:rPr>
                <w:rFonts w:cs="Times New Roman" w:ascii="Times New Roman" w:hAnsi="Times New Roman"/>
                <w:color w:val="000000"/>
                <w:lang w:val="en-US"/>
              </w:rPr>
              <w:t>STEM</w:t>
            </w:r>
            <w:r>
              <w:rPr>
                <w:rFonts w:cs="Times New Roman" w:ascii="Times New Roman" w:hAnsi="Times New Roman"/>
                <w:color w:val="000000"/>
              </w:rPr>
              <w:t>-освіти</w:t>
            </w:r>
          </w:p>
        </w:tc>
      </w:tr>
      <w:tr>
        <w:trPr>
          <w:trHeight w:val="2442" w:hRule="atLeast"/>
        </w:trPr>
        <w:tc>
          <w:tcPr>
            <w:tcW w:w="5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0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5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р. - </w:t>
            </w:r>
            <w:r>
              <w:rPr>
                <w:rFonts w:ascii="Times New Roman" w:hAnsi="Times New Roman"/>
                <w:lang w:val="en-US"/>
              </w:rPr>
              <w:t>430,0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р. - </w:t>
            </w:r>
            <w:r>
              <w:rPr>
                <w:rFonts w:ascii="Times New Roman" w:hAnsi="Times New Roman"/>
                <w:lang w:val="en-US"/>
              </w:rPr>
              <w:t>7 492,4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 р. - 0,00</w:t>
            </w:r>
          </w:p>
        </w:tc>
        <w:tc>
          <w:tcPr>
            <w:tcW w:w="30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>
          <w:trHeight w:val="2669" w:hRule="atLeast"/>
        </w:trPr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Популяризація результатів винахідницької, науково-орієнтованої діяльності та розвиток учнівської творчості у сфері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 xml:space="preserve">-освіти, заохочення молоді до STEM-досліджень та STEM-кар’єри, підвищення професійної кваліфікації вчителів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-предметів</w:t>
            </w:r>
          </w:p>
        </w:tc>
        <w:tc>
          <w:tcPr>
            <w:tcW w:w="2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andard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2.1. Проведення  заходів, які демонструватимуть досягнення учнів у сфері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-освіти.</w:t>
            </w:r>
          </w:p>
          <w:p>
            <w:pPr>
              <w:pStyle w:val="Standard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 Навчальна поїздка школярів до краю Ліппе (ФРН).</w:t>
            </w:r>
          </w:p>
          <w:p>
            <w:pPr>
              <w:pStyle w:val="Standard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2.3. Поїздка вчителів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-предметів шкіл Луцької міської територіальної громади до краю Ліппе (ФРН)</w:t>
            </w:r>
          </w:p>
        </w:tc>
        <w:tc>
          <w:tcPr>
            <w:tcW w:w="1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Управління міжнародного співробітництва та проектної діяльності, департамент освіти, департамент молоді та спорту</w:t>
            </w:r>
          </w:p>
        </w:tc>
        <w:tc>
          <w:tcPr>
            <w:tcW w:w="1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 рік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Бюджет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 рік – 0,00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 рік – 0,00</w:t>
            </w:r>
          </w:p>
        </w:tc>
        <w:tc>
          <w:tcPr>
            <w:tcW w:w="30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Проведено олімпіади, змагання і конкурси, що демонструють досягнення учнів у сфері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-освіти.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Організовано поїздку школярів до краю Ліппе.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Організовано поїздку вчителів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 xml:space="preserve">-предметів закладів загальної середньої освіти Луцької міської територіальної громади до краю Ліппе (ФРН) з метою підвищення професійної кваліфікації та обміну досвідом у сфері розвитку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 xml:space="preserve">-освіти та викладання профільних предметів </w:t>
            </w:r>
          </w:p>
        </w:tc>
      </w:tr>
      <w:tr>
        <w:trPr>
          <w:trHeight w:val="1996" w:hRule="atLeast"/>
        </w:trPr>
        <w:tc>
          <w:tcPr>
            <w:tcW w:w="586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07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26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andard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8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4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01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рік – </w:t>
            </w:r>
            <w:r>
              <w:rPr>
                <w:rFonts w:ascii="Times New Roman" w:hAnsi="Times New Roman"/>
                <w:lang w:val="en-US"/>
              </w:rPr>
              <w:t>675,3</w:t>
            </w:r>
          </w:p>
          <w:p>
            <w:pPr>
              <w:pStyle w:val="Normal"/>
              <w:spacing w:before="0" w:after="0"/>
              <w:contextualSpacing/>
              <w:rPr/>
            </w:pPr>
            <w:bookmarkStart w:id="4" w:name="__DdeLink__685_1114575975"/>
            <w:r>
              <w:rPr>
                <w:rFonts w:ascii="Times New Roman" w:hAnsi="Times New Roman"/>
              </w:rPr>
              <w:t>2026 р</w:t>
            </w:r>
            <w:bookmarkEnd w:id="4"/>
            <w:r>
              <w:rPr>
                <w:rFonts w:ascii="Times New Roman" w:hAnsi="Times New Roman"/>
              </w:rPr>
              <w:t xml:space="preserve">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</w:tc>
        <w:tc>
          <w:tcPr>
            <w:tcW w:w="309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28" w:hRule="atLeast"/>
        </w:trPr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Промоція результатів і діяльності в межах проєкту</w:t>
            </w:r>
          </w:p>
        </w:tc>
        <w:tc>
          <w:tcPr>
            <w:tcW w:w="2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 Розробка інтернет-сторінки центру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-освіти.</w:t>
            </w:r>
          </w:p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 Зйомка промоційного відеоролика про досягнення проєкту та діяльність центру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-освіти.</w:t>
            </w:r>
          </w:p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 Фотозйомка під час заходів у межах проєкту</w:t>
            </w:r>
          </w:p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 Виготовлення промоційної продукції, інформаційних таблиць та дизайнерські послуги</w:t>
            </w:r>
          </w:p>
        </w:tc>
        <w:tc>
          <w:tcPr>
            <w:tcW w:w="1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Управління міжнародного співробітництва та проектної діяльності, департамент освіти</w:t>
            </w:r>
          </w:p>
        </w:tc>
        <w:tc>
          <w:tcPr>
            <w:tcW w:w="1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2024–2026 роки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</w:rPr>
              <w:t xml:space="preserve">Бюджет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рік – </w:t>
            </w:r>
            <w:r>
              <w:rPr>
                <w:rFonts w:ascii="Times New Roman" w:hAnsi="Times New Roman"/>
                <w:lang w:val="en-US"/>
              </w:rPr>
              <w:t>43,0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2026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</w:tc>
        <w:tc>
          <w:tcPr>
            <w:tcW w:w="30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Створено інтернет-сторінку центру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 з інформацією про діяльність центру.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Проведено промоційну кампанію з метою поширення інформації про результати проєкту та популяризації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 в Луцькій міській територіальній громаді, створено промоційний відеоролик, розроблено інформаційно-промоційні матеріали,  виготовлено сувенірну продукцію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28" w:hRule="atLeast"/>
        </w:trPr>
        <w:tc>
          <w:tcPr>
            <w:tcW w:w="5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0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2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р. -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р. - </w:t>
            </w:r>
            <w:r>
              <w:rPr>
                <w:rFonts w:ascii="Times New Roman" w:hAnsi="Times New Roman"/>
                <w:lang w:val="en-US"/>
              </w:rPr>
              <w:t>387,0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2026 р. - </w:t>
            </w:r>
            <w:r>
              <w:rPr>
                <w:rFonts w:ascii="Times New Roman" w:hAnsi="Times New Roman"/>
                <w:lang w:val="en-US"/>
              </w:rPr>
              <w:t>64,5</w:t>
            </w:r>
          </w:p>
        </w:tc>
        <w:tc>
          <w:tcPr>
            <w:tcW w:w="30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971" w:hRule="atLeast"/>
        </w:trPr>
        <w:tc>
          <w:tcPr>
            <w:tcW w:w="58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4.</w:t>
            </w:r>
          </w:p>
        </w:tc>
        <w:tc>
          <w:tcPr>
            <w:tcW w:w="207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Адміністрування проєкту</w:t>
            </w:r>
          </w:p>
        </w:tc>
        <w:tc>
          <w:tcPr>
            <w:tcW w:w="226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4.1. Управління проєктом.</w:t>
            </w:r>
          </w:p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4.2. Послуги перекладу.</w:t>
            </w:r>
          </w:p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4.3. Проведення аудиту проєкту</w:t>
            </w:r>
          </w:p>
        </w:tc>
        <w:tc>
          <w:tcPr>
            <w:tcW w:w="178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Управління міжнародного співробітництва та проектної діяльності</w:t>
            </w:r>
          </w:p>
        </w:tc>
        <w:tc>
          <w:tcPr>
            <w:tcW w:w="154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2024–2026</w:t>
            </w:r>
          </w:p>
          <w:p>
            <w:pPr>
              <w:pStyle w:val="Normal"/>
              <w:spacing w:before="0" w:after="0"/>
              <w:ind w:left="-53" w:hanging="1"/>
              <w:contextualSpacing/>
              <w:jc w:val="center"/>
              <w:rPr/>
            </w:pPr>
            <w:r>
              <w:rPr/>
              <w:t>роки</w:t>
            </w:r>
          </w:p>
        </w:tc>
        <w:tc>
          <w:tcPr>
            <w:tcW w:w="17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Бюджет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</w:tc>
        <w:tc>
          <w:tcPr>
            <w:tcW w:w="201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рік – </w:t>
            </w:r>
            <w:r>
              <w:rPr>
                <w:rFonts w:ascii="Times New Roman" w:hAnsi="Times New Roman"/>
                <w:lang w:val="en-US"/>
              </w:rPr>
              <w:t>232,2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2025 рік –</w:t>
            </w:r>
            <w:r>
              <w:rPr>
                <w:rFonts w:ascii="Times New Roman" w:hAnsi="Times New Roman"/>
                <w:lang w:val="en-US"/>
              </w:rPr>
              <w:t xml:space="preserve"> 464,4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2026 рік – </w:t>
            </w:r>
            <w:r>
              <w:rPr>
                <w:rFonts w:ascii="Times New Roman" w:hAnsi="Times New Roman"/>
                <w:lang w:val="en-US"/>
              </w:rPr>
              <w:t>223,6</w:t>
            </w:r>
          </w:p>
        </w:tc>
        <w:tc>
          <w:tcPr>
            <w:tcW w:w="309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Якісно реалізовано проєкт, забезпечено належну комунікацію між партнерами, підготовлено звітність по проєкту німецькою та українською мовами</w:t>
            </w:r>
          </w:p>
        </w:tc>
      </w:tr>
      <w:tr>
        <w:trPr>
          <w:trHeight w:val="971" w:hRule="atLeast"/>
        </w:trPr>
        <w:tc>
          <w:tcPr>
            <w:tcW w:w="586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07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26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8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4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01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рік – </w:t>
            </w:r>
            <w:r>
              <w:rPr>
                <w:rFonts w:ascii="Times New Roman" w:hAnsi="Times New Roman"/>
                <w:lang w:val="en-US"/>
              </w:rPr>
              <w:t>21,5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2026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</w:tc>
        <w:tc>
          <w:tcPr>
            <w:tcW w:w="309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450" w:hRule="atLeast"/>
        </w:trPr>
        <w:tc>
          <w:tcPr>
            <w:tcW w:w="9966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Всього за роками, у тому числі:</w:t>
            </w:r>
          </w:p>
        </w:tc>
        <w:tc>
          <w:tcPr>
            <w:tcW w:w="510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2024 </w:t>
            </w:r>
            <w:r>
              <w:rPr>
                <w:rFonts w:ascii="Times New Roman" w:hAnsi="Times New Roman"/>
                <w:color w:val="000000"/>
              </w:rPr>
              <w:t>рік – 1 444,8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2025 </w:t>
            </w:r>
            <w:r>
              <w:rPr>
                <w:rFonts w:ascii="Times New Roman" w:hAnsi="Times New Roman"/>
                <w:color w:val="000000"/>
              </w:rPr>
              <w:t>рік –</w:t>
            </w:r>
            <w:r>
              <w:rPr>
                <w:rFonts w:ascii="Times New Roman" w:hAnsi="Times New Roman"/>
                <w:color w:val="000000"/>
                <w:lang w:val="en-US"/>
              </w:rPr>
              <w:t xml:space="preserve"> 9 040,6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2026 </w:t>
            </w:r>
            <w:r>
              <w:rPr>
                <w:rFonts w:ascii="Times New Roman" w:hAnsi="Times New Roman"/>
                <w:color w:val="000000"/>
              </w:rPr>
              <w:t>рік –</w:t>
            </w:r>
            <w:r>
              <w:rPr>
                <w:rFonts w:ascii="Times New Roman" w:hAnsi="Times New Roman"/>
                <w:color w:val="000000"/>
                <w:lang w:val="en-US"/>
              </w:rPr>
              <w:t xml:space="preserve"> 288,1</w:t>
            </w:r>
          </w:p>
        </w:tc>
      </w:tr>
      <w:tr>
        <w:trPr>
          <w:trHeight w:val="450" w:hRule="atLeast"/>
        </w:trPr>
        <w:tc>
          <w:tcPr>
            <w:tcW w:w="9966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Всього за джерелами фінансування, у тому числі: </w:t>
            </w:r>
          </w:p>
        </w:tc>
        <w:tc>
          <w:tcPr>
            <w:tcW w:w="510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Бюджет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 xml:space="preserve"> Луцької міської територіальної громади</w:t>
            </w:r>
            <w:r>
              <w:rPr>
                <w:rFonts w:ascii="Times New Roman" w:hAnsi="Times New Roman"/>
              </w:rPr>
              <w:t>: 1 702,8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Грантові кошти: </w:t>
            </w:r>
            <w:bookmarkStart w:id="5" w:name="__DdeLink__2199_1114575975"/>
            <w:r>
              <w:rPr>
                <w:rFonts w:ascii="Times New Roman" w:hAnsi="Times New Roman"/>
              </w:rPr>
              <w:t>9</w:t>
            </w:r>
            <w:bookmarkEnd w:id="5"/>
            <w:r>
              <w:rPr>
                <w:rFonts w:ascii="Times New Roman" w:hAnsi="Times New Roman"/>
              </w:rPr>
              <w:t> 070,7</w:t>
            </w:r>
          </w:p>
        </w:tc>
      </w:tr>
    </w:tbl>
    <w:p>
      <w:pPr>
        <w:pStyle w:val="Normal"/>
        <w:spacing w:before="0" w:after="0"/>
        <w:ind w:left="851" w:hanging="0"/>
        <w:contextualSpacing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0" w:after="0"/>
        <w:ind w:right="227" w:hanging="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spacing w:before="0" w:after="0"/>
        <w:contextualSpacing/>
        <w:jc w:val="both"/>
        <w:rPr/>
      </w:pPr>
      <w:r>
        <w:rPr>
          <w:rFonts w:ascii="Times New Roman" w:hAnsi="Times New Roman"/>
          <w:color w:val="000000"/>
        </w:rPr>
        <w:t>Вінцюк 777 995</w:t>
      </w:r>
    </w:p>
    <w:sectPr>
      <w:headerReference w:type="default" r:id="rId3"/>
      <w:type w:val="nextPage"/>
      <w:pgSz w:orient="landscape" w:w="16838" w:h="11906"/>
      <w:pgMar w:left="1134" w:right="567" w:header="0" w:top="1984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/>
    </w:pPr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4</w:t>
    </w:r>
    <w:r>
      <w:rPr>
        <w:sz w:val="28"/>
        <w:szCs w:val="28"/>
        <w:rFonts w:ascii="Times New Roman" w:hAnsi="Times New Roman"/>
      </w:rPr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8</w:t>
    </w:r>
    <w:r>
      <w:rPr>
        <w:sz w:val="28"/>
        <w:szCs w:val="28"/>
        <w:rFonts w:ascii="Times New Roman" w:hAnsi="Times New Roman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0"/>
  <w:defaultTabStop w:val="709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Style16"/>
    <w:next w:val="Style17"/>
    <w:uiPriority w:val="9"/>
    <w:qFormat/>
    <w:pPr>
      <w:numPr>
        <w:ilvl w:val="0"/>
        <w:numId w:val="1"/>
      </w:numPr>
      <w:outlineLvl w:val="0"/>
    </w:pPr>
    <w:rPr>
      <w:rFonts w:ascii="Liberation Serif" w:hAnsi="Liberation Serif" w:eastAsia="NSimSun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Times New Roman" w:hAnsi="Times New Roman" w:cs="Times New Roman"/>
      <w:b/>
      <w:color w:val="000000"/>
      <w:sz w:val="28"/>
      <w:szCs w:val="28"/>
      <w:lang w:val="uk-UA"/>
    </w:rPr>
  </w:style>
  <w:style w:type="character" w:styleId="11" w:customStyle="1">
    <w:name w:val="Гіперпосилання1"/>
    <w:qFormat/>
    <w:rPr>
      <w:color w:val="0000FF"/>
      <w:u w:val="single"/>
    </w:rPr>
  </w:style>
  <w:style w:type="character" w:styleId="12" w:customStyle="1">
    <w:name w:val="Виділення1"/>
    <w:qFormat/>
    <w:rPr>
      <w:i/>
      <w:iCs/>
    </w:rPr>
  </w:style>
  <w:style w:type="character" w:styleId="Style13" w:customStyle="1">
    <w:name w:val="Маркери списку"/>
    <w:qFormat/>
    <w:rPr>
      <w:rFonts w:ascii="OpenSymbol" w:hAnsi="OpenSymbol" w:eastAsia="OpenSymbol" w:cs="OpenSymbol"/>
    </w:rPr>
  </w:style>
  <w:style w:type="character" w:styleId="Style14" w:customStyle="1">
    <w:name w:val="Виділення жирним"/>
    <w:qFormat/>
    <w:rPr>
      <w:b/>
      <w:bCs/>
    </w:rPr>
  </w:style>
  <w:style w:type="character" w:styleId="Style15" w:customStyle="1">
    <w:name w:val="Символ нумерації"/>
    <w:qFormat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/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paragraph" w:styleId="HTML1" w:customStyle="1">
    <w:name w:val="Стандартний HTML1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13" w:customStyle="1">
    <w:name w:val="Обычный (веб)1"/>
    <w:basedOn w:val="Normal"/>
    <w:qFormat/>
    <w:pPr>
      <w:spacing w:before="280" w:after="280"/>
      <w:textAlignment w:val="top"/>
    </w:pPr>
    <w:rPr/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Style23"/>
    <w:pPr/>
    <w:rPr/>
  </w:style>
  <w:style w:type="paragraph" w:styleId="14" w:customStyle="1">
    <w:name w:val="Звичайний (веб)1"/>
    <w:basedOn w:val="Normal"/>
    <w:qFormat/>
    <w:pPr>
      <w:spacing w:before="280" w:after="280"/>
    </w:pPr>
    <w:rPr/>
  </w:style>
  <w:style w:type="paragraph" w:styleId="Standard" w:customStyle="1">
    <w:name w:val="Standard"/>
    <w:qFormat/>
    <w:rsid w:val="00364eb3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A0277-05AF-4545-BABC-CA155C35C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2012</TotalTime>
  <Application>LibreOffice/6.3.4.2$Windows_X86_64 LibreOffice_project/60da17e045e08f1793c57c00ba83cdfce946d0aa</Application>
  <Pages>8</Pages>
  <Words>1471</Words>
  <Characters>10218</Characters>
  <CharactersWithSpaces>11538</CharactersWithSpaces>
  <Paragraphs>197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2023-09-06T09:03:00Z</dcterms:created>
  <dc:creator/>
  <dc:description/>
  <dc:language>uk-UA</dc:language>
  <cp:lastModifiedBy/>
  <cp:lastPrinted>2023-09-07T09:18:00Z</cp:lastPrinted>
  <dcterms:modified xsi:type="dcterms:W3CDTF">2024-05-13T10:16:36Z</dcterms:modified>
  <cp:revision>240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