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drawings/drawing1.xml" ContentType="application/vnd.openxmlformats-officedocument.drawingml.chartshapes+xml"/>
  <Override PartName="/word/charts/chart31.xml" ContentType="application/vnd.openxmlformats-officedocument.drawingml.chart+xml"/>
  <Override PartName="/word/drawings/drawing2.xml" ContentType="application/vnd.openxmlformats-officedocument.drawingml.chartshapes+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6.xml" ContentType="application/vnd.openxmlformats-officedocument.wordprocessingml.header+xml"/>
  <Override PartName="/word/footer14.xml" ContentType="application/vnd.openxmlformats-officedocument.wordprocessingml.footer+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header17.xml" ContentType="application/vnd.openxmlformats-officedocument.wordprocessingml.header+xml"/>
  <Override PartName="/word/header18.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9.xml" ContentType="application/vnd.openxmlformats-officedocument.wordprocessingml.header+xml"/>
  <Override PartName="/word/footer17.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2.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7E2" w:rsidRDefault="00333290">
      <w:pPr>
        <w:spacing w:after="0" w:line="240" w:lineRule="auto"/>
        <w:ind w:firstLine="4678"/>
        <w:jc w:val="right"/>
        <w:rPr>
          <w:rFonts w:ascii="Times New Roman" w:hAnsi="Times New Roman" w:cs="Times New Roman"/>
        </w:rPr>
      </w:pPr>
      <w:bookmarkStart w:id="0" w:name="_GoBack"/>
      <w:bookmarkEnd w:id="0"/>
      <w:r>
        <w:rPr>
          <w:rFonts w:ascii="Times New Roman" w:eastAsia="NSimSun" w:hAnsi="Times New Roman" w:cs="Times New Roman"/>
          <w:kern w:val="2"/>
          <w:sz w:val="28"/>
          <w:szCs w:val="24"/>
          <w:lang w:eastAsia="zh-CN" w:bidi="hi-IN"/>
        </w:rPr>
        <w:t>Додаток</w:t>
      </w:r>
    </w:p>
    <w:p w:rsidR="00D227E2" w:rsidRDefault="00333290">
      <w:pPr>
        <w:spacing w:after="0" w:line="240" w:lineRule="auto"/>
        <w:ind w:left="3572" w:firstLine="57"/>
        <w:jc w:val="right"/>
        <w:rPr>
          <w:rFonts w:ascii="Times New Roman" w:hAnsi="Times New Roman" w:cs="Times New Roman"/>
        </w:rPr>
      </w:pPr>
      <w:r>
        <w:rPr>
          <w:rFonts w:ascii="Times New Roman" w:eastAsia="NSimSun" w:hAnsi="Times New Roman" w:cs="Times New Roman"/>
          <w:kern w:val="2"/>
          <w:sz w:val="28"/>
          <w:szCs w:val="24"/>
          <w:lang w:eastAsia="zh-CN" w:bidi="hi-IN"/>
        </w:rPr>
        <w:t xml:space="preserve">до </w:t>
      </w:r>
      <w:r w:rsidR="00934FC4">
        <w:rPr>
          <w:rFonts w:ascii="Times New Roman" w:eastAsia="NSimSun" w:hAnsi="Times New Roman" w:cs="Times New Roman"/>
          <w:kern w:val="2"/>
          <w:sz w:val="28"/>
          <w:szCs w:val="24"/>
          <w:lang w:eastAsia="zh-CN" w:bidi="hi-IN"/>
        </w:rPr>
        <w:t>рішення міської ради</w:t>
      </w:r>
      <w:r w:rsidR="00934FC4">
        <w:rPr>
          <w:rFonts w:ascii="Times New Roman" w:eastAsia="NSimSun" w:hAnsi="Times New Roman" w:cs="Times New Roman"/>
          <w:kern w:val="2"/>
          <w:sz w:val="28"/>
          <w:szCs w:val="24"/>
          <w:lang w:eastAsia="zh-CN" w:bidi="hi-IN"/>
        </w:rPr>
        <w:br/>
        <w:t>______________ №______________</w:t>
      </w:r>
    </w:p>
    <w:p w:rsidR="00D227E2" w:rsidRDefault="00D227E2">
      <w:pPr>
        <w:keepNext/>
        <w:spacing w:before="85" w:after="0"/>
        <w:ind w:left="797" w:right="544"/>
        <w:jc w:val="right"/>
        <w:rPr>
          <w:rFonts w:ascii="Times New Roman" w:eastAsia="Microsoft YaHei" w:hAnsi="Times New Roman" w:cs="Times New Roman"/>
          <w:kern w:val="2"/>
          <w:sz w:val="28"/>
          <w:szCs w:val="28"/>
          <w:lang w:eastAsia="zh-CN" w:bidi="hi-IN"/>
        </w:rPr>
      </w:pPr>
    </w:p>
    <w:p w:rsidR="00D227E2" w:rsidRDefault="00934FC4">
      <w:pPr>
        <w:keepNext/>
        <w:spacing w:before="85" w:after="0"/>
        <w:ind w:left="797" w:right="544"/>
        <w:jc w:val="right"/>
        <w:rPr>
          <w:rFonts w:ascii="Times New Roman" w:eastAsia="Microsoft YaHei" w:hAnsi="Times New Roman" w:cs="Times New Roman"/>
          <w:kern w:val="2"/>
          <w:sz w:val="28"/>
          <w:szCs w:val="28"/>
          <w:lang w:eastAsia="zh-CN" w:bidi="hi-IN"/>
        </w:rPr>
      </w:pPr>
      <w:r>
        <w:rPr>
          <w:rFonts w:ascii="Times New Roman" w:eastAsia="Microsoft YaHei" w:hAnsi="Times New Roman" w:cs="Times New Roman"/>
          <w:noProof/>
          <w:kern w:val="2"/>
          <w:sz w:val="28"/>
          <w:szCs w:val="28"/>
          <w:lang w:eastAsia="uk-UA"/>
        </w:rPr>
        <w:drawing>
          <wp:anchor distT="0" distB="0" distL="114300" distR="114300" simplePos="0" relativeHeight="74" behindDoc="0" locked="0" layoutInCell="0" allowOverlap="1" wp14:anchorId="43B5A7FB" wp14:editId="2AFA0FBE">
            <wp:simplePos x="0" y="0"/>
            <wp:positionH relativeFrom="column">
              <wp:posOffset>1727200</wp:posOffset>
            </wp:positionH>
            <wp:positionV relativeFrom="paragraph">
              <wp:posOffset>300355</wp:posOffset>
            </wp:positionV>
            <wp:extent cx="2598420" cy="2960370"/>
            <wp:effectExtent l="0" t="0" r="0" b="0"/>
            <wp:wrapSquare wrapText="bothSides"/>
            <wp:docPr id="2" name="Зображенн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Зображення1"/>
                    <pic:cNvPicPr>
                      <a:picLocks noChangeAspect="1" noChangeArrowheads="1"/>
                    </pic:cNvPicPr>
                  </pic:nvPicPr>
                  <pic:blipFill>
                    <a:blip r:embed="rId9"/>
                    <a:stretch>
                      <a:fillRect/>
                    </a:stretch>
                  </pic:blipFill>
                  <pic:spPr bwMode="auto">
                    <a:xfrm>
                      <a:off x="0" y="0"/>
                      <a:ext cx="2598420" cy="2960370"/>
                    </a:xfrm>
                    <a:prstGeom prst="rect">
                      <a:avLst/>
                    </a:prstGeom>
                  </pic:spPr>
                </pic:pic>
              </a:graphicData>
            </a:graphic>
          </wp:anchor>
        </w:drawing>
      </w:r>
    </w:p>
    <w:p w:rsidR="00D227E2" w:rsidRDefault="00D227E2">
      <w:pPr>
        <w:keepNext/>
        <w:spacing w:before="85" w:after="0"/>
        <w:ind w:left="797" w:right="544"/>
        <w:jc w:val="right"/>
        <w:rPr>
          <w:rFonts w:ascii="Times New Roman" w:eastAsia="Microsoft YaHei" w:hAnsi="Times New Roman" w:cs="Times New Roman"/>
          <w:kern w:val="2"/>
          <w:sz w:val="28"/>
          <w:szCs w:val="28"/>
          <w:lang w:eastAsia="zh-CN" w:bidi="hi-IN"/>
        </w:rPr>
      </w:pPr>
    </w:p>
    <w:p w:rsidR="00D227E2" w:rsidRDefault="00D227E2">
      <w:pPr>
        <w:keepNext/>
        <w:spacing w:before="85" w:after="0"/>
        <w:ind w:left="797" w:right="544"/>
        <w:rPr>
          <w:rFonts w:ascii="Times New Roman" w:eastAsia="Microsoft YaHei" w:hAnsi="Times New Roman" w:cs="Times New Roman"/>
          <w:kern w:val="2"/>
          <w:sz w:val="28"/>
          <w:szCs w:val="28"/>
          <w:lang w:eastAsia="zh-CN" w:bidi="hi-IN"/>
        </w:rPr>
      </w:pPr>
    </w:p>
    <w:p w:rsidR="00D227E2" w:rsidRDefault="00D227E2">
      <w:pPr>
        <w:keepNext/>
        <w:spacing w:before="85" w:after="0"/>
        <w:ind w:left="797" w:right="544"/>
        <w:rPr>
          <w:rFonts w:ascii="Times New Roman" w:eastAsia="Microsoft YaHei" w:hAnsi="Times New Roman" w:cs="Times New Roman"/>
          <w:kern w:val="2"/>
          <w:sz w:val="28"/>
          <w:szCs w:val="28"/>
          <w:lang w:eastAsia="zh-CN" w:bidi="hi-IN"/>
        </w:rPr>
      </w:pPr>
    </w:p>
    <w:p w:rsidR="00D227E2" w:rsidRDefault="00D227E2">
      <w:pPr>
        <w:keepNext/>
        <w:spacing w:before="85" w:after="0"/>
        <w:ind w:left="797" w:right="544"/>
        <w:rPr>
          <w:rFonts w:ascii="Times New Roman" w:eastAsia="Microsoft YaHei" w:hAnsi="Times New Roman" w:cs="Times New Roman"/>
          <w:kern w:val="2"/>
          <w:sz w:val="28"/>
          <w:szCs w:val="28"/>
          <w:lang w:eastAsia="zh-CN" w:bidi="hi-IN"/>
        </w:rPr>
      </w:pPr>
    </w:p>
    <w:p w:rsidR="00D227E2" w:rsidRDefault="00D227E2">
      <w:pPr>
        <w:keepNext/>
        <w:spacing w:before="85" w:after="0"/>
        <w:ind w:left="797" w:right="544"/>
        <w:rPr>
          <w:rFonts w:ascii="Times New Roman" w:eastAsia="Microsoft YaHei" w:hAnsi="Times New Roman" w:cs="Times New Roman"/>
          <w:kern w:val="2"/>
          <w:sz w:val="28"/>
          <w:szCs w:val="28"/>
          <w:lang w:eastAsia="zh-CN" w:bidi="hi-IN"/>
        </w:rPr>
      </w:pPr>
    </w:p>
    <w:p w:rsidR="00D227E2" w:rsidRDefault="00D227E2">
      <w:pPr>
        <w:keepNext/>
        <w:spacing w:before="85" w:after="0"/>
        <w:ind w:left="794"/>
        <w:rPr>
          <w:rFonts w:ascii="Times New Roman" w:eastAsia="Microsoft YaHei" w:hAnsi="Times New Roman" w:cs="Times New Roman"/>
          <w:kern w:val="2"/>
          <w:sz w:val="28"/>
          <w:szCs w:val="28"/>
          <w:lang w:eastAsia="zh-CN" w:bidi="hi-IN"/>
        </w:rPr>
      </w:pPr>
    </w:p>
    <w:p w:rsidR="00D227E2" w:rsidRDefault="00D227E2">
      <w:pPr>
        <w:keepNext/>
        <w:spacing w:before="85" w:after="0"/>
        <w:ind w:left="797" w:right="544"/>
        <w:rPr>
          <w:rFonts w:ascii="Times New Roman" w:eastAsia="Microsoft YaHei" w:hAnsi="Times New Roman" w:cs="Times New Roman"/>
          <w:kern w:val="2"/>
          <w:sz w:val="28"/>
          <w:szCs w:val="28"/>
          <w:lang w:eastAsia="zh-CN" w:bidi="hi-IN"/>
        </w:rPr>
      </w:pPr>
    </w:p>
    <w:p w:rsidR="00D227E2" w:rsidRDefault="00D227E2">
      <w:pPr>
        <w:keepNext/>
        <w:spacing w:before="85" w:after="0"/>
        <w:ind w:left="797" w:right="544"/>
        <w:rPr>
          <w:rFonts w:ascii="Times New Roman" w:eastAsia="Microsoft YaHei" w:hAnsi="Times New Roman" w:cs="Times New Roman"/>
          <w:kern w:val="2"/>
          <w:sz w:val="28"/>
          <w:szCs w:val="28"/>
          <w:lang w:eastAsia="zh-CN" w:bidi="hi-IN"/>
        </w:rPr>
      </w:pPr>
    </w:p>
    <w:p w:rsidR="00D227E2" w:rsidRDefault="00D227E2">
      <w:pPr>
        <w:keepNext/>
        <w:spacing w:before="85" w:after="0"/>
        <w:ind w:left="797" w:right="544"/>
        <w:rPr>
          <w:rFonts w:ascii="Times New Roman" w:eastAsia="Microsoft YaHei" w:hAnsi="Times New Roman" w:cs="Times New Roman"/>
          <w:kern w:val="2"/>
          <w:sz w:val="28"/>
          <w:szCs w:val="28"/>
          <w:lang w:eastAsia="zh-CN" w:bidi="hi-IN"/>
        </w:rPr>
      </w:pPr>
    </w:p>
    <w:p w:rsidR="00D227E2" w:rsidRDefault="00D227E2">
      <w:pPr>
        <w:keepNext/>
        <w:spacing w:before="85" w:after="0"/>
        <w:ind w:left="57" w:right="567"/>
        <w:rPr>
          <w:rFonts w:ascii="Times New Roman" w:eastAsia="Microsoft YaHei" w:hAnsi="Times New Roman" w:cs="Times New Roman"/>
          <w:kern w:val="2"/>
          <w:sz w:val="28"/>
          <w:szCs w:val="28"/>
          <w:lang w:eastAsia="zh-CN" w:bidi="hi-IN"/>
        </w:rPr>
      </w:pPr>
    </w:p>
    <w:p w:rsidR="00D227E2" w:rsidRDefault="00D227E2">
      <w:pPr>
        <w:keepNext/>
        <w:spacing w:before="85" w:after="0"/>
        <w:ind w:left="57" w:right="567"/>
        <w:rPr>
          <w:rFonts w:ascii="Times New Roman" w:eastAsia="Microsoft YaHei" w:hAnsi="Times New Roman" w:cs="Times New Roman"/>
          <w:kern w:val="2"/>
          <w:sz w:val="28"/>
          <w:szCs w:val="28"/>
          <w:lang w:eastAsia="zh-CN" w:bidi="hi-IN"/>
        </w:rPr>
      </w:pPr>
    </w:p>
    <w:p w:rsidR="00D227E2" w:rsidRDefault="00D227E2">
      <w:pPr>
        <w:keepNext/>
        <w:spacing w:before="85" w:after="0"/>
        <w:ind w:left="57" w:right="567"/>
        <w:rPr>
          <w:rFonts w:ascii="Times New Roman" w:eastAsia="Microsoft YaHei" w:hAnsi="Times New Roman" w:cs="Times New Roman"/>
          <w:kern w:val="2"/>
          <w:sz w:val="28"/>
          <w:szCs w:val="28"/>
          <w:lang w:eastAsia="zh-CN" w:bidi="hi-IN"/>
        </w:rPr>
      </w:pPr>
    </w:p>
    <w:p w:rsidR="00D227E2" w:rsidRDefault="00D227E2">
      <w:pPr>
        <w:keepNext/>
        <w:spacing w:before="85" w:after="0"/>
        <w:ind w:left="57" w:right="567"/>
        <w:rPr>
          <w:rFonts w:ascii="Times New Roman" w:eastAsia="Microsoft YaHei" w:hAnsi="Times New Roman" w:cs="Times New Roman"/>
          <w:kern w:val="2"/>
          <w:sz w:val="28"/>
          <w:szCs w:val="28"/>
          <w:lang w:eastAsia="zh-CN" w:bidi="hi-IN"/>
        </w:rPr>
      </w:pPr>
    </w:p>
    <w:p w:rsidR="00D227E2" w:rsidRDefault="00934FC4">
      <w:pPr>
        <w:keepNext/>
        <w:spacing w:before="240" w:after="120" w:line="240" w:lineRule="auto"/>
        <w:ind w:right="-2"/>
        <w:jc w:val="center"/>
        <w:rPr>
          <w:rFonts w:ascii="Times New Roman" w:hAnsi="Times New Roman" w:cs="Times New Roman"/>
        </w:rPr>
      </w:pPr>
      <w:r>
        <w:rPr>
          <w:rFonts w:ascii="Times New Roman" w:eastAsia="Microsoft YaHei" w:hAnsi="Times New Roman" w:cs="Times New Roman"/>
          <w:b/>
          <w:kern w:val="2"/>
          <w:sz w:val="28"/>
          <w:szCs w:val="28"/>
          <w:lang w:eastAsia="zh-CN" w:bidi="hi-IN"/>
        </w:rPr>
        <w:t>План дій сталого енергетичного розвитку та клімату Луцької міської територіальної громади до 2050 року</w:t>
      </w:r>
    </w:p>
    <w:p w:rsidR="00D227E2" w:rsidRDefault="00D227E2">
      <w:pPr>
        <w:spacing w:after="140"/>
        <w:rPr>
          <w:rFonts w:ascii="Times New Roman" w:eastAsia="NSimSun" w:hAnsi="Times New Roman" w:cs="Times New Roman"/>
          <w:b/>
          <w:kern w:val="2"/>
          <w:sz w:val="40"/>
          <w:szCs w:val="24"/>
          <w:lang w:eastAsia="zh-CN" w:bidi="hi-IN"/>
        </w:rPr>
      </w:pPr>
    </w:p>
    <w:p w:rsidR="00D227E2" w:rsidRDefault="00D227E2">
      <w:pPr>
        <w:spacing w:after="140"/>
        <w:rPr>
          <w:rFonts w:ascii="Times New Roman" w:eastAsia="NSimSun" w:hAnsi="Times New Roman" w:cs="Times New Roman"/>
          <w:b/>
          <w:kern w:val="2"/>
          <w:sz w:val="40"/>
          <w:szCs w:val="24"/>
          <w:lang w:eastAsia="zh-CN" w:bidi="hi-IN"/>
        </w:rPr>
      </w:pPr>
    </w:p>
    <w:p w:rsidR="00D227E2" w:rsidRDefault="00D227E2">
      <w:pPr>
        <w:spacing w:after="140"/>
        <w:rPr>
          <w:rFonts w:ascii="Times New Roman" w:eastAsia="NSimSun" w:hAnsi="Times New Roman" w:cs="Times New Roman"/>
          <w:b/>
          <w:kern w:val="2"/>
          <w:sz w:val="40"/>
          <w:szCs w:val="24"/>
          <w:lang w:eastAsia="zh-CN" w:bidi="hi-IN"/>
        </w:rPr>
      </w:pPr>
    </w:p>
    <w:p w:rsidR="00D227E2" w:rsidRDefault="00D227E2">
      <w:pPr>
        <w:spacing w:after="140"/>
        <w:rPr>
          <w:rFonts w:ascii="Times New Roman" w:eastAsia="NSimSun" w:hAnsi="Times New Roman" w:cs="Times New Roman"/>
          <w:b/>
          <w:kern w:val="2"/>
          <w:sz w:val="40"/>
          <w:szCs w:val="24"/>
          <w:lang w:eastAsia="zh-CN" w:bidi="hi-IN"/>
        </w:rPr>
      </w:pPr>
    </w:p>
    <w:p w:rsidR="00D227E2" w:rsidRDefault="00D227E2">
      <w:pPr>
        <w:spacing w:after="140"/>
        <w:rPr>
          <w:rFonts w:ascii="Times New Roman" w:eastAsia="NSimSun" w:hAnsi="Times New Roman" w:cs="Times New Roman"/>
          <w:b/>
          <w:kern w:val="2"/>
          <w:sz w:val="40"/>
          <w:szCs w:val="24"/>
          <w:lang w:eastAsia="zh-CN" w:bidi="hi-IN"/>
        </w:rPr>
      </w:pPr>
    </w:p>
    <w:p w:rsidR="00D227E2" w:rsidRDefault="00934FC4">
      <w:pPr>
        <w:jc w:val="center"/>
        <w:rPr>
          <w:rFonts w:ascii="Times New Roman" w:hAnsi="Times New Roman" w:cs="Times New Roman"/>
        </w:rPr>
        <w:sectPr w:rsidR="00D227E2">
          <w:headerReference w:type="default" r:id="rId10"/>
          <w:pgSz w:w="11906" w:h="16838"/>
          <w:pgMar w:top="1134" w:right="567" w:bottom="2268" w:left="1701" w:header="0" w:footer="0" w:gutter="0"/>
          <w:pgNumType w:start="1"/>
          <w:cols w:space="720"/>
          <w:formProt w:val="0"/>
          <w:docGrid w:linePitch="360" w:charSpace="143360"/>
        </w:sectPr>
      </w:pPr>
      <w:r>
        <w:rPr>
          <w:rFonts w:ascii="Times New Roman" w:hAnsi="Times New Roman" w:cs="Times New Roman"/>
          <w:sz w:val="28"/>
          <w:szCs w:val="28"/>
          <w:lang w:eastAsia="zh-CN" w:bidi="hi-IN"/>
        </w:rPr>
        <w:t>2024</w:t>
      </w:r>
      <w:r>
        <w:rPr>
          <w:rFonts w:ascii="Times New Roman" w:hAnsi="Times New Roman" w:cs="Times New Roman"/>
          <w:spacing w:val="-1"/>
          <w:sz w:val="28"/>
          <w:szCs w:val="28"/>
          <w:lang w:eastAsia="zh-CN" w:bidi="hi-IN"/>
        </w:rPr>
        <w:t xml:space="preserve"> </w:t>
      </w:r>
      <w:r>
        <w:rPr>
          <w:rFonts w:ascii="Times New Roman" w:hAnsi="Times New Roman" w:cs="Times New Roman"/>
          <w:sz w:val="28"/>
          <w:szCs w:val="28"/>
          <w:lang w:eastAsia="zh-CN" w:bidi="hi-IN"/>
        </w:rPr>
        <w:t>рік</w:t>
      </w:r>
    </w:p>
    <w:p w:rsidR="00D227E2" w:rsidRDefault="00934FC4">
      <w:pPr>
        <w:spacing w:after="0"/>
        <w:jc w:val="center"/>
        <w:rPr>
          <w:rFonts w:ascii="Times New Roman" w:hAnsi="Times New Roman" w:cs="Times New Roman"/>
        </w:rPr>
      </w:pPr>
      <w:r>
        <w:rPr>
          <w:rFonts w:ascii="Times New Roman" w:hAnsi="Times New Roman" w:cs="Times New Roman"/>
          <w:b/>
          <w:bCs/>
          <w:sz w:val="24"/>
          <w:szCs w:val="24"/>
        </w:rPr>
        <w:lastRenderedPageBreak/>
        <w:t>ЗМІСТ</w:t>
      </w:r>
    </w:p>
    <w:p w:rsidR="00D227E2" w:rsidRDefault="00934FC4">
      <w:pPr>
        <w:spacing w:after="0" w:line="240" w:lineRule="auto"/>
        <w:rPr>
          <w:rFonts w:ascii="Times New Roman" w:hAnsi="Times New Roman" w:cs="Times New Roman"/>
        </w:rPr>
      </w:pPr>
      <w:r>
        <w:rPr>
          <w:rFonts w:ascii="Times New Roman" w:hAnsi="Times New Roman" w:cs="Times New Roman"/>
          <w:sz w:val="24"/>
          <w:szCs w:val="24"/>
        </w:rPr>
        <w:t>Нормативно-правова база…………………………………………………………………………..4</w:t>
      </w:r>
    </w:p>
    <w:p w:rsidR="00D227E2" w:rsidRDefault="00934FC4">
      <w:pPr>
        <w:spacing w:after="0" w:line="240" w:lineRule="auto"/>
        <w:rPr>
          <w:rFonts w:ascii="Times New Roman" w:hAnsi="Times New Roman" w:cs="Times New Roman"/>
        </w:rPr>
      </w:pPr>
      <w:r>
        <w:rPr>
          <w:rFonts w:ascii="Times New Roman" w:hAnsi="Times New Roman" w:cs="Times New Roman"/>
          <w:sz w:val="24"/>
          <w:szCs w:val="24"/>
        </w:rPr>
        <w:t>Джерело інформації…………………………………………………………………………………5</w:t>
      </w:r>
    </w:p>
    <w:p w:rsidR="00D227E2" w:rsidRDefault="00934FC4">
      <w:pPr>
        <w:spacing w:after="0" w:line="240" w:lineRule="auto"/>
        <w:rPr>
          <w:rFonts w:ascii="Times New Roman" w:hAnsi="Times New Roman" w:cs="Times New Roman"/>
        </w:rPr>
      </w:pPr>
      <w:r>
        <w:rPr>
          <w:rFonts w:ascii="Times New Roman" w:hAnsi="Times New Roman" w:cs="Times New Roman"/>
          <w:sz w:val="24"/>
          <w:szCs w:val="24"/>
        </w:rPr>
        <w:t>Скорочення…………………………………………………………………………………………..6</w:t>
      </w:r>
    </w:p>
    <w:p w:rsidR="00D227E2" w:rsidRDefault="00934FC4">
      <w:pPr>
        <w:spacing w:after="0" w:line="240" w:lineRule="auto"/>
        <w:rPr>
          <w:rFonts w:ascii="Times New Roman" w:hAnsi="Times New Roman" w:cs="Times New Roman"/>
        </w:rPr>
      </w:pPr>
      <w:r>
        <w:rPr>
          <w:rFonts w:ascii="Times New Roman" w:hAnsi="Times New Roman" w:cs="Times New Roman"/>
          <w:sz w:val="24"/>
          <w:szCs w:val="24"/>
        </w:rPr>
        <w:t>ВСТУП……………………………………………………………………………………………….7</w:t>
      </w:r>
    </w:p>
    <w:p w:rsidR="00D227E2" w:rsidRDefault="00934FC4">
      <w:pPr>
        <w:spacing w:after="0" w:line="240" w:lineRule="auto"/>
        <w:rPr>
          <w:rFonts w:ascii="Times New Roman" w:hAnsi="Times New Roman" w:cs="Times New Roman"/>
        </w:rPr>
      </w:pPr>
      <w:r>
        <w:rPr>
          <w:rFonts w:ascii="Times New Roman" w:hAnsi="Times New Roman" w:cs="Times New Roman"/>
          <w:sz w:val="24"/>
          <w:szCs w:val="24"/>
        </w:rPr>
        <w:t>РОЗДІЛ 1. ЕНЕРГЕТИЧНА СТРАТЕГІЯ…………………………………………………………8</w:t>
      </w:r>
    </w:p>
    <w:p w:rsidR="00D227E2" w:rsidRDefault="00934FC4">
      <w:pPr>
        <w:spacing w:after="0" w:line="240" w:lineRule="auto"/>
        <w:rPr>
          <w:rFonts w:ascii="Times New Roman" w:hAnsi="Times New Roman" w:cs="Times New Roman"/>
        </w:rPr>
      </w:pPr>
      <w:r>
        <w:rPr>
          <w:rFonts w:ascii="Times New Roman" w:hAnsi="Times New Roman" w:cs="Times New Roman"/>
          <w:sz w:val="24"/>
          <w:szCs w:val="24"/>
        </w:rPr>
        <w:t>1.1. Довгострокове бачення, цілі та стратегії громади до 2050 року……………………………8</w:t>
      </w:r>
    </w:p>
    <w:p w:rsidR="00D227E2" w:rsidRDefault="00934FC4">
      <w:pPr>
        <w:spacing w:after="0" w:line="240" w:lineRule="auto"/>
        <w:rPr>
          <w:rFonts w:ascii="Times New Roman" w:hAnsi="Times New Roman" w:cs="Times New Roman"/>
        </w:rPr>
      </w:pPr>
      <w:r>
        <w:rPr>
          <w:rFonts w:ascii="Times New Roman" w:hAnsi="Times New Roman" w:cs="Times New Roman"/>
          <w:sz w:val="24"/>
          <w:szCs w:val="24"/>
        </w:rPr>
        <w:t>1.2. Зобов’язання, цілі та стратегії до 2030 року………………………………………………...10</w:t>
      </w:r>
    </w:p>
    <w:p w:rsidR="00D227E2" w:rsidRDefault="00934FC4">
      <w:pPr>
        <w:spacing w:after="0" w:line="240" w:lineRule="auto"/>
        <w:rPr>
          <w:rFonts w:ascii="Times New Roman" w:hAnsi="Times New Roman" w:cs="Times New Roman"/>
        </w:rPr>
      </w:pPr>
      <w:r>
        <w:rPr>
          <w:rFonts w:ascii="Times New Roman" w:hAnsi="Times New Roman" w:cs="Times New Roman"/>
          <w:sz w:val="24"/>
          <w:szCs w:val="24"/>
        </w:rPr>
        <w:t>1.3. Енергетична бідність та енергетична безпека………………………………………………11</w:t>
      </w:r>
    </w:p>
    <w:p w:rsidR="00D227E2" w:rsidRDefault="00934FC4">
      <w:pPr>
        <w:spacing w:after="0" w:line="240" w:lineRule="auto"/>
        <w:rPr>
          <w:rFonts w:ascii="Times New Roman" w:hAnsi="Times New Roman" w:cs="Times New Roman"/>
        </w:rPr>
      </w:pPr>
      <w:r>
        <w:rPr>
          <w:rFonts w:ascii="Times New Roman" w:hAnsi="Times New Roman" w:cs="Times New Roman"/>
          <w:sz w:val="24"/>
          <w:szCs w:val="24"/>
        </w:rPr>
        <w:t>1.4. Організаційна структура на виконання ПДСЕРК…………………………………………..14</w:t>
      </w:r>
    </w:p>
    <w:p w:rsidR="00D227E2" w:rsidRDefault="00934FC4">
      <w:pPr>
        <w:spacing w:after="0" w:line="240" w:lineRule="auto"/>
        <w:rPr>
          <w:rFonts w:ascii="Times New Roman" w:hAnsi="Times New Roman" w:cs="Times New Roman"/>
        </w:rPr>
      </w:pPr>
      <w:r>
        <w:rPr>
          <w:rFonts w:ascii="Times New Roman" w:hAnsi="Times New Roman" w:cs="Times New Roman"/>
          <w:sz w:val="24"/>
          <w:szCs w:val="24"/>
        </w:rPr>
        <w:t>1.5. Ідентифікація та залучення зацікавлених сторін……………………………………………15</w:t>
      </w:r>
    </w:p>
    <w:p w:rsidR="00D227E2" w:rsidRDefault="00934FC4">
      <w:pPr>
        <w:spacing w:after="0" w:line="240" w:lineRule="auto"/>
        <w:rPr>
          <w:rFonts w:ascii="Times New Roman" w:hAnsi="Times New Roman" w:cs="Times New Roman"/>
        </w:rPr>
      </w:pPr>
      <w:r>
        <w:rPr>
          <w:rFonts w:ascii="Times New Roman" w:hAnsi="Times New Roman" w:cs="Times New Roman"/>
          <w:sz w:val="24"/>
          <w:szCs w:val="24"/>
        </w:rPr>
        <w:t>1.6. План моніторингу та звітності щодо виконання ПДСЕРК…………………………………16</w:t>
      </w:r>
    </w:p>
    <w:p w:rsidR="00D227E2" w:rsidRDefault="00934FC4">
      <w:pPr>
        <w:spacing w:after="0" w:line="240" w:lineRule="auto"/>
        <w:rPr>
          <w:rFonts w:ascii="Times New Roman" w:hAnsi="Times New Roman" w:cs="Times New Roman"/>
        </w:rPr>
      </w:pPr>
      <w:r>
        <w:rPr>
          <w:rFonts w:ascii="Times New Roman" w:hAnsi="Times New Roman" w:cs="Times New Roman"/>
          <w:sz w:val="24"/>
          <w:szCs w:val="24"/>
        </w:rPr>
        <w:t xml:space="preserve">РОЗДІЛ 2. ХАРАКТЕРИСТИКА ЛУЦЬКОЇ МТГ………………………………………………17 </w:t>
      </w:r>
    </w:p>
    <w:p w:rsidR="00D227E2" w:rsidRDefault="00934FC4">
      <w:pPr>
        <w:spacing w:after="0" w:line="240" w:lineRule="auto"/>
        <w:rPr>
          <w:rFonts w:ascii="Times New Roman" w:hAnsi="Times New Roman" w:cs="Times New Roman"/>
        </w:rPr>
      </w:pPr>
      <w:r>
        <w:rPr>
          <w:rFonts w:ascii="Times New Roman" w:hAnsi="Times New Roman" w:cs="Times New Roman"/>
          <w:sz w:val="24"/>
          <w:szCs w:val="24"/>
        </w:rPr>
        <w:t>2.1. Історична довідка……………………………………………………………………………..17</w:t>
      </w:r>
    </w:p>
    <w:p w:rsidR="00D227E2" w:rsidRDefault="00934FC4">
      <w:pPr>
        <w:spacing w:after="0" w:line="240" w:lineRule="auto"/>
        <w:rPr>
          <w:rFonts w:ascii="Times New Roman" w:hAnsi="Times New Roman" w:cs="Times New Roman"/>
        </w:rPr>
      </w:pPr>
      <w:r>
        <w:rPr>
          <w:rFonts w:ascii="Times New Roman" w:hAnsi="Times New Roman" w:cs="Times New Roman"/>
          <w:sz w:val="24"/>
          <w:szCs w:val="24"/>
        </w:rPr>
        <w:t>2.2. Географічне розташування громади…………………………………………………………18</w:t>
      </w:r>
    </w:p>
    <w:p w:rsidR="00D227E2" w:rsidRDefault="00934FC4">
      <w:pPr>
        <w:spacing w:after="0" w:line="240" w:lineRule="auto"/>
        <w:rPr>
          <w:rFonts w:ascii="Times New Roman" w:hAnsi="Times New Roman" w:cs="Times New Roman"/>
        </w:rPr>
      </w:pPr>
      <w:r>
        <w:rPr>
          <w:rFonts w:ascii="Times New Roman" w:hAnsi="Times New Roman" w:cs="Times New Roman"/>
          <w:sz w:val="24"/>
          <w:szCs w:val="24"/>
        </w:rPr>
        <w:t>2.3. Соціально-економічний розвиток громади………………………………………………….19</w:t>
      </w:r>
    </w:p>
    <w:p w:rsidR="00D227E2" w:rsidRDefault="00934FC4">
      <w:pPr>
        <w:spacing w:after="0" w:line="240" w:lineRule="auto"/>
        <w:rPr>
          <w:rFonts w:ascii="Times New Roman" w:hAnsi="Times New Roman" w:cs="Times New Roman"/>
        </w:rPr>
      </w:pPr>
      <w:r>
        <w:rPr>
          <w:rFonts w:ascii="Times New Roman" w:hAnsi="Times New Roman" w:cs="Times New Roman"/>
          <w:sz w:val="24"/>
          <w:szCs w:val="24"/>
        </w:rPr>
        <w:t>2.4. Бюджет територіальної громади……………………………………………………………..26</w:t>
      </w:r>
    </w:p>
    <w:p w:rsidR="00D227E2" w:rsidRDefault="00934FC4">
      <w:pPr>
        <w:spacing w:after="0" w:line="240" w:lineRule="auto"/>
        <w:rPr>
          <w:rFonts w:ascii="Times New Roman" w:hAnsi="Times New Roman" w:cs="Times New Roman"/>
        </w:rPr>
      </w:pPr>
      <w:r>
        <w:rPr>
          <w:rFonts w:ascii="Times New Roman" w:hAnsi="Times New Roman" w:cs="Times New Roman"/>
          <w:sz w:val="24"/>
          <w:szCs w:val="24"/>
        </w:rPr>
        <w:t>РОЗДІЛ 3. ЕНЕРГЕТИЧНИЙ БАЛАНС ГРОМАДИ……………………………………………29</w:t>
      </w:r>
    </w:p>
    <w:p w:rsidR="00D227E2" w:rsidRDefault="00934FC4">
      <w:pPr>
        <w:spacing w:after="0" w:line="240" w:lineRule="auto"/>
        <w:rPr>
          <w:rFonts w:ascii="Times New Roman" w:hAnsi="Times New Roman" w:cs="Times New Roman"/>
        </w:rPr>
      </w:pPr>
      <w:r>
        <w:rPr>
          <w:rFonts w:ascii="Times New Roman" w:hAnsi="Times New Roman" w:cs="Times New Roman"/>
          <w:sz w:val="24"/>
          <w:szCs w:val="24"/>
        </w:rPr>
        <w:t>3.1. Виробництво, транспортування та споживання енергії……………………………………29</w:t>
      </w:r>
    </w:p>
    <w:p w:rsidR="00D227E2" w:rsidRDefault="00934FC4">
      <w:pPr>
        <w:spacing w:after="0" w:line="240" w:lineRule="auto"/>
        <w:rPr>
          <w:rFonts w:ascii="Times New Roman" w:hAnsi="Times New Roman" w:cs="Times New Roman"/>
        </w:rPr>
      </w:pPr>
      <w:r>
        <w:rPr>
          <w:rFonts w:ascii="Times New Roman" w:hAnsi="Times New Roman" w:cs="Times New Roman"/>
          <w:sz w:val="24"/>
          <w:szCs w:val="24"/>
        </w:rPr>
        <w:t>3.1.1. Газопостачання……………………………………………………………………………...29</w:t>
      </w:r>
    </w:p>
    <w:p w:rsidR="00D227E2" w:rsidRDefault="00934FC4">
      <w:pPr>
        <w:spacing w:after="0" w:line="240" w:lineRule="auto"/>
        <w:rPr>
          <w:rFonts w:ascii="Times New Roman" w:hAnsi="Times New Roman" w:cs="Times New Roman"/>
        </w:rPr>
      </w:pPr>
      <w:r>
        <w:rPr>
          <w:rFonts w:ascii="Times New Roman" w:hAnsi="Times New Roman" w:cs="Times New Roman"/>
          <w:sz w:val="24"/>
          <w:szCs w:val="24"/>
        </w:rPr>
        <w:t>3.1.2. Електропостачання………………………………………………………………………….30</w:t>
      </w:r>
    </w:p>
    <w:p w:rsidR="00D227E2" w:rsidRDefault="00934FC4">
      <w:pPr>
        <w:spacing w:after="0" w:line="240" w:lineRule="auto"/>
        <w:rPr>
          <w:rFonts w:ascii="Times New Roman" w:hAnsi="Times New Roman" w:cs="Times New Roman"/>
        </w:rPr>
      </w:pPr>
      <w:r>
        <w:rPr>
          <w:rFonts w:ascii="Times New Roman" w:hAnsi="Times New Roman" w:cs="Times New Roman"/>
          <w:sz w:val="24"/>
          <w:szCs w:val="24"/>
        </w:rPr>
        <w:t>3.1.3. Теплопостачання……………………………………………………………………………32</w:t>
      </w:r>
    </w:p>
    <w:p w:rsidR="00D227E2" w:rsidRDefault="00934FC4">
      <w:pPr>
        <w:spacing w:after="0" w:line="240" w:lineRule="auto"/>
        <w:rPr>
          <w:rFonts w:ascii="Times New Roman" w:hAnsi="Times New Roman" w:cs="Times New Roman"/>
        </w:rPr>
      </w:pPr>
      <w:r>
        <w:rPr>
          <w:rFonts w:ascii="Times New Roman" w:hAnsi="Times New Roman" w:cs="Times New Roman"/>
          <w:sz w:val="24"/>
          <w:szCs w:val="24"/>
        </w:rPr>
        <w:t>3.1.4. Водопостачання та водовідведення………………………………………………………..38</w:t>
      </w:r>
    </w:p>
    <w:p w:rsidR="00D227E2" w:rsidRDefault="00934FC4">
      <w:pPr>
        <w:spacing w:after="0" w:line="240" w:lineRule="auto"/>
        <w:rPr>
          <w:rFonts w:ascii="Times New Roman" w:hAnsi="Times New Roman" w:cs="Times New Roman"/>
        </w:rPr>
      </w:pPr>
      <w:r>
        <w:rPr>
          <w:rFonts w:ascii="Times New Roman" w:hAnsi="Times New Roman" w:cs="Times New Roman"/>
          <w:sz w:val="24"/>
          <w:szCs w:val="24"/>
        </w:rPr>
        <w:t>3.2. Основні споживачі енергоресурсів…………………………………………………………..44</w:t>
      </w:r>
    </w:p>
    <w:p w:rsidR="00D227E2" w:rsidRDefault="00934FC4">
      <w:pPr>
        <w:spacing w:after="0" w:line="240" w:lineRule="auto"/>
        <w:rPr>
          <w:rFonts w:ascii="Times New Roman" w:hAnsi="Times New Roman" w:cs="Times New Roman"/>
        </w:rPr>
      </w:pPr>
      <w:r>
        <w:rPr>
          <w:rFonts w:ascii="Times New Roman" w:hAnsi="Times New Roman" w:cs="Times New Roman"/>
          <w:sz w:val="24"/>
          <w:szCs w:val="24"/>
        </w:rPr>
        <w:t>3.2.1. Муніципальні установи та підприємства………………………………………………….44</w:t>
      </w:r>
    </w:p>
    <w:p w:rsidR="00D227E2" w:rsidRDefault="00934FC4">
      <w:pPr>
        <w:spacing w:after="0" w:line="240" w:lineRule="auto"/>
        <w:rPr>
          <w:rFonts w:ascii="Times New Roman" w:hAnsi="Times New Roman" w:cs="Times New Roman"/>
        </w:rPr>
      </w:pPr>
      <w:r>
        <w:rPr>
          <w:rFonts w:ascii="Times New Roman" w:hAnsi="Times New Roman" w:cs="Times New Roman"/>
          <w:sz w:val="24"/>
          <w:szCs w:val="24"/>
        </w:rPr>
        <w:t>3.2.2. Житловий сектор……………………………………………………………………………47</w:t>
      </w:r>
    </w:p>
    <w:p w:rsidR="00D227E2" w:rsidRDefault="00934FC4">
      <w:pPr>
        <w:spacing w:after="0" w:line="240" w:lineRule="auto"/>
        <w:rPr>
          <w:rFonts w:ascii="Times New Roman" w:hAnsi="Times New Roman" w:cs="Times New Roman"/>
        </w:rPr>
      </w:pPr>
      <w:r>
        <w:rPr>
          <w:rFonts w:ascii="Times New Roman" w:hAnsi="Times New Roman" w:cs="Times New Roman"/>
          <w:sz w:val="24"/>
          <w:szCs w:val="24"/>
        </w:rPr>
        <w:t>3.2.3. Вуличне освітлення…………………………………………………………………………50</w:t>
      </w:r>
    </w:p>
    <w:p w:rsidR="00D227E2" w:rsidRDefault="00934FC4">
      <w:pPr>
        <w:spacing w:after="0" w:line="240" w:lineRule="auto"/>
        <w:rPr>
          <w:rFonts w:ascii="Times New Roman" w:hAnsi="Times New Roman" w:cs="Times New Roman"/>
        </w:rPr>
      </w:pPr>
      <w:r>
        <w:rPr>
          <w:rFonts w:ascii="Times New Roman" w:hAnsi="Times New Roman" w:cs="Times New Roman"/>
          <w:sz w:val="24"/>
          <w:szCs w:val="24"/>
        </w:rPr>
        <w:t>3.2.4. Промисловість та комерційні структури громади………………………………………...52</w:t>
      </w:r>
    </w:p>
    <w:p w:rsidR="00D227E2" w:rsidRDefault="00934FC4">
      <w:pPr>
        <w:spacing w:after="0" w:line="240" w:lineRule="auto"/>
        <w:rPr>
          <w:rFonts w:ascii="Times New Roman" w:hAnsi="Times New Roman" w:cs="Times New Roman"/>
        </w:rPr>
      </w:pPr>
      <w:r>
        <w:rPr>
          <w:rFonts w:ascii="Times New Roman" w:hAnsi="Times New Roman" w:cs="Times New Roman"/>
          <w:sz w:val="24"/>
          <w:szCs w:val="24"/>
        </w:rPr>
        <w:t>3.2.5. Транспорт та дорожня інфраструктура……………………………………………………53</w:t>
      </w:r>
    </w:p>
    <w:p w:rsidR="00D227E2" w:rsidRDefault="00934FC4">
      <w:pPr>
        <w:spacing w:after="0" w:line="240" w:lineRule="auto"/>
        <w:rPr>
          <w:rFonts w:ascii="Times New Roman" w:hAnsi="Times New Roman" w:cs="Times New Roman"/>
        </w:rPr>
      </w:pPr>
      <w:r>
        <w:rPr>
          <w:rFonts w:ascii="Times New Roman" w:hAnsi="Times New Roman" w:cs="Times New Roman"/>
          <w:sz w:val="24"/>
          <w:szCs w:val="24"/>
        </w:rPr>
        <w:t>3.2.5.1. Муніципальний транспорт………………………………………………………………..54</w:t>
      </w:r>
    </w:p>
    <w:p w:rsidR="00D227E2" w:rsidRDefault="00934FC4">
      <w:pPr>
        <w:spacing w:after="0" w:line="240" w:lineRule="auto"/>
        <w:rPr>
          <w:rFonts w:ascii="Times New Roman" w:hAnsi="Times New Roman" w:cs="Times New Roman"/>
        </w:rPr>
      </w:pPr>
      <w:r>
        <w:rPr>
          <w:rFonts w:ascii="Times New Roman" w:hAnsi="Times New Roman" w:cs="Times New Roman"/>
          <w:sz w:val="24"/>
          <w:szCs w:val="24"/>
        </w:rPr>
        <w:t>3.2.5.2. Громадський транспорт…………………………………………………………………..56</w:t>
      </w:r>
    </w:p>
    <w:p w:rsidR="00D227E2" w:rsidRDefault="00934FC4">
      <w:pPr>
        <w:spacing w:after="0" w:line="240" w:lineRule="auto"/>
        <w:rPr>
          <w:rFonts w:ascii="Times New Roman" w:hAnsi="Times New Roman" w:cs="Times New Roman"/>
        </w:rPr>
      </w:pPr>
      <w:r>
        <w:rPr>
          <w:rFonts w:ascii="Times New Roman" w:hAnsi="Times New Roman" w:cs="Times New Roman"/>
          <w:sz w:val="24"/>
          <w:szCs w:val="24"/>
        </w:rPr>
        <w:t>3.2.5.3. Приватний транспорт……………………………………………………………………..59</w:t>
      </w:r>
    </w:p>
    <w:p w:rsidR="00D227E2" w:rsidRDefault="00934FC4">
      <w:pPr>
        <w:spacing w:after="0" w:line="240" w:lineRule="auto"/>
        <w:rPr>
          <w:rFonts w:ascii="Times New Roman" w:hAnsi="Times New Roman" w:cs="Times New Roman"/>
        </w:rPr>
      </w:pPr>
      <w:r>
        <w:rPr>
          <w:rFonts w:ascii="Times New Roman" w:hAnsi="Times New Roman" w:cs="Times New Roman"/>
          <w:sz w:val="24"/>
          <w:szCs w:val="24"/>
        </w:rPr>
        <w:t>3.2.5.4. Дорожня інфраструктура…………………………………………………………………63</w:t>
      </w:r>
    </w:p>
    <w:p w:rsidR="00D227E2" w:rsidRDefault="00934FC4">
      <w:pPr>
        <w:spacing w:after="0" w:line="240" w:lineRule="auto"/>
        <w:rPr>
          <w:rFonts w:ascii="Times New Roman" w:hAnsi="Times New Roman" w:cs="Times New Roman"/>
          <w:sz w:val="24"/>
          <w:szCs w:val="24"/>
        </w:rPr>
      </w:pPr>
      <w:r>
        <w:rPr>
          <w:rFonts w:ascii="Times New Roman" w:hAnsi="Times New Roman" w:cs="Times New Roman"/>
          <w:sz w:val="24"/>
          <w:szCs w:val="24"/>
        </w:rPr>
        <w:t>3.2.5.5. Безбар'єрність……………………………………………………………………………...63</w:t>
      </w:r>
    </w:p>
    <w:p w:rsidR="00D227E2" w:rsidRDefault="00934FC4">
      <w:pPr>
        <w:spacing w:after="0" w:line="240" w:lineRule="auto"/>
        <w:rPr>
          <w:rFonts w:ascii="Times New Roman" w:hAnsi="Times New Roman" w:cs="Times New Roman"/>
        </w:rPr>
      </w:pPr>
      <w:r>
        <w:rPr>
          <w:rFonts w:ascii="Times New Roman" w:hAnsi="Times New Roman" w:cs="Times New Roman"/>
          <w:sz w:val="24"/>
          <w:szCs w:val="24"/>
        </w:rPr>
        <w:t>3.2.5.6. Велосипедна інфраструктура…………………………………………………………….65</w:t>
      </w:r>
    </w:p>
    <w:p w:rsidR="00D227E2" w:rsidRDefault="00934FC4">
      <w:pPr>
        <w:spacing w:after="0" w:line="240" w:lineRule="auto"/>
        <w:rPr>
          <w:rFonts w:ascii="Times New Roman" w:hAnsi="Times New Roman" w:cs="Times New Roman"/>
        </w:rPr>
      </w:pPr>
      <w:r>
        <w:rPr>
          <w:rFonts w:ascii="Times New Roman" w:hAnsi="Times New Roman" w:cs="Times New Roman"/>
          <w:sz w:val="24"/>
          <w:szCs w:val="24"/>
        </w:rPr>
        <w:t>3.3. Потенціал для використання відновлювальних джерел енергії…………………………...67</w:t>
      </w:r>
    </w:p>
    <w:p w:rsidR="00D227E2" w:rsidRDefault="00934FC4">
      <w:pPr>
        <w:spacing w:after="0"/>
        <w:jc w:val="both"/>
        <w:rPr>
          <w:rFonts w:ascii="Times New Roman" w:hAnsi="Times New Roman" w:cs="Times New Roman"/>
        </w:rPr>
      </w:pPr>
      <w:r>
        <w:rPr>
          <w:rFonts w:ascii="Times New Roman" w:hAnsi="Times New Roman" w:cs="Times New Roman"/>
          <w:sz w:val="24"/>
          <w:szCs w:val="24"/>
        </w:rPr>
        <w:t>РОЗДІЛ 4. БАЗОВИЙ КАДАСТР ВИКИДІВ……………………………………………………72</w:t>
      </w:r>
    </w:p>
    <w:p w:rsidR="00D227E2" w:rsidRDefault="00934FC4">
      <w:pPr>
        <w:spacing w:after="0"/>
        <w:jc w:val="both"/>
        <w:rPr>
          <w:rFonts w:ascii="Times New Roman" w:hAnsi="Times New Roman" w:cs="Times New Roman"/>
        </w:rPr>
      </w:pPr>
      <w:r>
        <w:rPr>
          <w:rFonts w:ascii="Times New Roman" w:hAnsi="Times New Roman" w:cs="Times New Roman"/>
          <w:sz w:val="24"/>
          <w:szCs w:val="24"/>
        </w:rPr>
        <w:t>4.1. Визначення базового року……………………………………………………………………72</w:t>
      </w:r>
    </w:p>
    <w:p w:rsidR="00D227E2" w:rsidRDefault="00934FC4">
      <w:pPr>
        <w:spacing w:after="0"/>
        <w:jc w:val="both"/>
        <w:rPr>
          <w:rFonts w:ascii="Times New Roman" w:hAnsi="Times New Roman" w:cs="Times New Roman"/>
        </w:rPr>
      </w:pPr>
      <w:r>
        <w:rPr>
          <w:rFonts w:ascii="Times New Roman" w:hAnsi="Times New Roman" w:cs="Times New Roman"/>
          <w:sz w:val="24"/>
          <w:szCs w:val="24"/>
        </w:rPr>
        <w:t>4.2. Визначення секторів базового кадастру викидів (БКВ)……………………………………72</w:t>
      </w:r>
    </w:p>
    <w:p w:rsidR="00D227E2" w:rsidRDefault="00934FC4">
      <w:pPr>
        <w:spacing w:after="0"/>
        <w:jc w:val="both"/>
        <w:rPr>
          <w:rFonts w:ascii="Times New Roman" w:hAnsi="Times New Roman" w:cs="Times New Roman"/>
        </w:rPr>
      </w:pPr>
      <w:r>
        <w:rPr>
          <w:rFonts w:ascii="Times New Roman" w:hAnsi="Times New Roman" w:cs="Times New Roman"/>
          <w:sz w:val="24"/>
          <w:szCs w:val="24"/>
        </w:rPr>
        <w:t>4.3. Обрання системи вимірювання викидів парникових газів…………………………………74</w:t>
      </w:r>
    </w:p>
    <w:p w:rsidR="00D227E2" w:rsidRDefault="00934FC4">
      <w:pPr>
        <w:spacing w:after="0"/>
        <w:jc w:val="both"/>
        <w:rPr>
          <w:rFonts w:ascii="Times New Roman" w:hAnsi="Times New Roman" w:cs="Times New Roman"/>
        </w:rPr>
      </w:pPr>
      <w:r>
        <w:rPr>
          <w:rFonts w:ascii="Times New Roman" w:hAnsi="Times New Roman" w:cs="Times New Roman"/>
          <w:sz w:val="24"/>
          <w:szCs w:val="24"/>
        </w:rPr>
        <w:t>4.4. Споживання енергоресурсів в натуральних одиницях за базовий 2007 рік………………77</w:t>
      </w:r>
    </w:p>
    <w:p w:rsidR="00D227E2" w:rsidRDefault="00934FC4">
      <w:pPr>
        <w:spacing w:after="0"/>
        <w:jc w:val="both"/>
        <w:rPr>
          <w:rFonts w:ascii="Times New Roman" w:hAnsi="Times New Roman" w:cs="Times New Roman"/>
        </w:rPr>
      </w:pPr>
      <w:r>
        <w:rPr>
          <w:rFonts w:ascii="Times New Roman" w:hAnsi="Times New Roman" w:cs="Times New Roman"/>
          <w:sz w:val="24"/>
          <w:szCs w:val="24"/>
        </w:rPr>
        <w:t>4.5. Споживання енергоресурсів в МВт.год за базовий 2007 рік………………………………78</w:t>
      </w:r>
    </w:p>
    <w:p w:rsidR="00D227E2" w:rsidRDefault="00934FC4">
      <w:pPr>
        <w:spacing w:after="0"/>
        <w:jc w:val="both"/>
        <w:rPr>
          <w:rFonts w:ascii="Times New Roman" w:hAnsi="Times New Roman" w:cs="Times New Roman"/>
        </w:rPr>
      </w:pPr>
      <w:r>
        <w:rPr>
          <w:rFonts w:ascii="Times New Roman" w:hAnsi="Times New Roman" w:cs="Times New Roman"/>
          <w:sz w:val="24"/>
          <w:szCs w:val="24"/>
        </w:rPr>
        <w:t>4.6. Кадастр викидів СО</w:t>
      </w:r>
      <w:r>
        <w:rPr>
          <w:rFonts w:ascii="Times New Roman" w:hAnsi="Times New Roman" w:cs="Times New Roman"/>
          <w:sz w:val="24"/>
          <w:szCs w:val="24"/>
          <w:vertAlign w:val="subscript"/>
        </w:rPr>
        <w:t>2</w:t>
      </w:r>
      <w:r>
        <w:rPr>
          <w:rFonts w:ascii="Times New Roman" w:hAnsi="Times New Roman" w:cs="Times New Roman"/>
          <w:sz w:val="24"/>
          <w:szCs w:val="24"/>
        </w:rPr>
        <w:t xml:space="preserve"> екав. в базовому 2007 році…………………………………………...79</w:t>
      </w:r>
    </w:p>
    <w:p w:rsidR="00D227E2" w:rsidRDefault="00934FC4">
      <w:pPr>
        <w:spacing w:after="0"/>
        <w:jc w:val="both"/>
        <w:rPr>
          <w:rFonts w:ascii="Times New Roman" w:hAnsi="Times New Roman" w:cs="Times New Roman"/>
        </w:rPr>
      </w:pPr>
      <w:r>
        <w:rPr>
          <w:rFonts w:ascii="Times New Roman" w:hAnsi="Times New Roman" w:cs="Times New Roman"/>
          <w:sz w:val="24"/>
          <w:szCs w:val="24"/>
        </w:rPr>
        <w:t xml:space="preserve">РОЗДІЛ 5. МОНІТОРИНГОВИЙ КАДАСТР ВИКИДІВ СТАНОМ НА 2020 РІК…………..81 </w:t>
      </w:r>
    </w:p>
    <w:p w:rsidR="00D227E2" w:rsidRDefault="00934FC4">
      <w:pPr>
        <w:spacing w:after="0"/>
        <w:jc w:val="both"/>
        <w:rPr>
          <w:rFonts w:ascii="Times New Roman" w:hAnsi="Times New Roman" w:cs="Times New Roman"/>
        </w:rPr>
      </w:pPr>
      <w:r>
        <w:rPr>
          <w:rFonts w:ascii="Times New Roman" w:hAnsi="Times New Roman" w:cs="Times New Roman"/>
          <w:sz w:val="24"/>
          <w:szCs w:val="24"/>
        </w:rPr>
        <w:t>РОЗДІЛ 6. ОЦІНКА РИЗИКІВ ТА ВРАЗЛИВОСТІ ГРОМАДИ ДО ЗМІНИ КЛІМАТУ……87</w:t>
      </w:r>
    </w:p>
    <w:p w:rsidR="00D227E2" w:rsidRDefault="00934FC4">
      <w:pPr>
        <w:spacing w:after="0"/>
        <w:jc w:val="both"/>
        <w:rPr>
          <w:rFonts w:ascii="Times New Roman" w:hAnsi="Times New Roman" w:cs="Times New Roman"/>
        </w:rPr>
      </w:pPr>
      <w:r>
        <w:rPr>
          <w:rFonts w:ascii="Times New Roman" w:hAnsi="Times New Roman" w:cs="Times New Roman"/>
          <w:sz w:val="24"/>
          <w:szCs w:val="24"/>
        </w:rPr>
        <w:t>6.1. Кліматична характеристика громади………………………………………………………...87</w:t>
      </w:r>
    </w:p>
    <w:p w:rsidR="00D227E2" w:rsidRDefault="00934FC4">
      <w:pPr>
        <w:spacing w:after="0"/>
        <w:jc w:val="both"/>
        <w:rPr>
          <w:rFonts w:ascii="Times New Roman" w:hAnsi="Times New Roman" w:cs="Times New Roman"/>
        </w:rPr>
      </w:pPr>
      <w:r>
        <w:rPr>
          <w:rFonts w:ascii="Times New Roman" w:hAnsi="Times New Roman" w:cs="Times New Roman"/>
          <w:sz w:val="24"/>
          <w:szCs w:val="24"/>
        </w:rPr>
        <w:t>6.2. Визначення та оцінка основних кліматичних загроз для громади………………………...90</w:t>
      </w:r>
    </w:p>
    <w:p w:rsidR="00D227E2" w:rsidRDefault="00934FC4">
      <w:pPr>
        <w:spacing w:after="0"/>
        <w:jc w:val="both"/>
        <w:rPr>
          <w:rFonts w:ascii="Times New Roman" w:hAnsi="Times New Roman" w:cs="Times New Roman"/>
        </w:rPr>
      </w:pPr>
      <w:r>
        <w:rPr>
          <w:rFonts w:ascii="Times New Roman" w:hAnsi="Times New Roman" w:cs="Times New Roman"/>
          <w:sz w:val="24"/>
          <w:szCs w:val="24"/>
        </w:rPr>
        <w:t>6.3. Вплив зміни клімату на сектори……………………………………………………………105</w:t>
      </w:r>
    </w:p>
    <w:p w:rsidR="00D227E2" w:rsidRDefault="00934FC4">
      <w:pPr>
        <w:spacing w:after="0"/>
        <w:jc w:val="both"/>
        <w:rPr>
          <w:rFonts w:ascii="Times New Roman" w:hAnsi="Times New Roman" w:cs="Times New Roman"/>
        </w:rPr>
      </w:pPr>
      <w:r>
        <w:rPr>
          <w:rFonts w:ascii="Times New Roman" w:hAnsi="Times New Roman" w:cs="Times New Roman"/>
          <w:sz w:val="24"/>
          <w:szCs w:val="24"/>
        </w:rPr>
        <w:t>6.4. Оцінка спроможності громади до адаптації……………………………………………….109</w:t>
      </w:r>
    </w:p>
    <w:p w:rsidR="00D227E2" w:rsidRDefault="00934FC4">
      <w:pPr>
        <w:spacing w:after="0"/>
        <w:jc w:val="both"/>
        <w:rPr>
          <w:rFonts w:ascii="Times New Roman" w:hAnsi="Times New Roman" w:cs="Times New Roman"/>
        </w:rPr>
      </w:pPr>
      <w:r>
        <w:rPr>
          <w:rFonts w:ascii="Times New Roman" w:hAnsi="Times New Roman" w:cs="Times New Roman"/>
          <w:sz w:val="24"/>
          <w:szCs w:val="24"/>
        </w:rPr>
        <w:lastRenderedPageBreak/>
        <w:t>РОЗДІЛ 7. ПЛАН ЗАХОДІВ І ДЖЕРЕЛА ФІНАНСУВАННЯ………………………………111</w:t>
      </w:r>
    </w:p>
    <w:p w:rsidR="00D227E2" w:rsidRDefault="00934FC4">
      <w:pPr>
        <w:spacing w:after="0"/>
        <w:jc w:val="both"/>
        <w:rPr>
          <w:rFonts w:ascii="Times New Roman" w:hAnsi="Times New Roman" w:cs="Times New Roman"/>
        </w:rPr>
      </w:pPr>
      <w:r>
        <w:rPr>
          <w:rFonts w:ascii="Times New Roman" w:hAnsi="Times New Roman" w:cs="Times New Roman"/>
          <w:sz w:val="24"/>
          <w:szCs w:val="24"/>
        </w:rPr>
        <w:t>7.1. Заходи щодо пом’якшення наслідків зміни клімату………………………………………111</w:t>
      </w:r>
    </w:p>
    <w:p w:rsidR="00D227E2" w:rsidRDefault="00934FC4">
      <w:pPr>
        <w:spacing w:after="0"/>
        <w:jc w:val="both"/>
        <w:rPr>
          <w:rFonts w:ascii="Times New Roman" w:hAnsi="Times New Roman" w:cs="Times New Roman"/>
        </w:rPr>
      </w:pPr>
      <w:r>
        <w:rPr>
          <w:rFonts w:ascii="Times New Roman" w:hAnsi="Times New Roman" w:cs="Times New Roman"/>
          <w:sz w:val="24"/>
          <w:szCs w:val="24"/>
        </w:rPr>
        <w:t>7.2. Заходи з адаптації до зміни клімату………………………………………………………..115</w:t>
      </w:r>
    </w:p>
    <w:p w:rsidR="00D227E2" w:rsidRDefault="00934FC4">
      <w:pPr>
        <w:spacing w:after="0"/>
        <w:jc w:val="both"/>
        <w:rPr>
          <w:rFonts w:ascii="Times New Roman" w:hAnsi="Times New Roman" w:cs="Times New Roman"/>
        </w:rPr>
      </w:pPr>
      <w:r>
        <w:rPr>
          <w:rFonts w:ascii="Times New Roman" w:hAnsi="Times New Roman" w:cs="Times New Roman"/>
          <w:sz w:val="24"/>
          <w:szCs w:val="24"/>
          <w:shd w:val="clear" w:color="auto" w:fill="FFFFFF"/>
        </w:rPr>
        <w:t>7.3. Опис джерел фінансування плану заходів…………………………………………………125</w:t>
      </w:r>
    </w:p>
    <w:p w:rsidR="00D227E2" w:rsidRDefault="00934FC4">
      <w:pPr>
        <w:spacing w:after="0"/>
        <w:jc w:val="both"/>
        <w:rPr>
          <w:rFonts w:ascii="Times New Roman" w:hAnsi="Times New Roman" w:cs="Times New Roman"/>
        </w:rPr>
      </w:pPr>
      <w:r>
        <w:rPr>
          <w:rFonts w:ascii="Times New Roman" w:hAnsi="Times New Roman" w:cs="Times New Roman"/>
          <w:color w:val="000000"/>
          <w:sz w:val="24"/>
          <w:szCs w:val="24"/>
          <w:shd w:val="clear" w:color="auto" w:fill="FFFFFF"/>
        </w:rPr>
        <w:t xml:space="preserve">ДОДАТОК 1. </w:t>
      </w:r>
      <w:r>
        <w:rPr>
          <w:rFonts w:ascii="Times New Roman" w:eastAsia="NSimSun" w:hAnsi="Times New Roman" w:cs="Times New Roman"/>
          <w:color w:val="000000"/>
          <w:kern w:val="2"/>
          <w:sz w:val="24"/>
          <w:szCs w:val="24"/>
          <w:shd w:val="clear" w:color="auto" w:fill="FFFFFF"/>
          <w:lang w:eastAsia="zh-CN" w:bidi="hi-IN"/>
        </w:rPr>
        <w:t>Результати опитування щодо енергоспоживання та стану провадження енергоефективних заходів для приватних будинків у сільських населених пунктах Луцької МТГ………………………………………………………………………………………………..128</w:t>
      </w:r>
    </w:p>
    <w:p w:rsidR="00D227E2" w:rsidRDefault="00934FC4">
      <w:pPr>
        <w:spacing w:after="0"/>
        <w:jc w:val="both"/>
        <w:rPr>
          <w:rFonts w:ascii="Times New Roman" w:hAnsi="Times New Roman" w:cs="Times New Roman"/>
        </w:rPr>
      </w:pPr>
      <w:r>
        <w:rPr>
          <w:rFonts w:ascii="Times New Roman" w:hAnsi="Times New Roman" w:cs="Times New Roman"/>
          <w:sz w:val="24"/>
          <w:szCs w:val="24"/>
        </w:rPr>
        <w:t>ДОДАТОК 2. Опитування про зміну клімату (Луцька МТГ)…………………………………132</w:t>
      </w:r>
    </w:p>
    <w:p w:rsidR="00D227E2" w:rsidRDefault="00934FC4">
      <w:pPr>
        <w:spacing w:after="0"/>
        <w:jc w:val="both"/>
        <w:rPr>
          <w:rFonts w:ascii="Times New Roman" w:hAnsi="Times New Roman" w:cs="Times New Roman"/>
        </w:rPr>
      </w:pPr>
      <w:r>
        <w:rPr>
          <w:rFonts w:ascii="Times New Roman" w:hAnsi="Times New Roman" w:cs="Times New Roman"/>
          <w:sz w:val="24"/>
          <w:szCs w:val="24"/>
        </w:rPr>
        <w:t xml:space="preserve">ДОДАТОК 3. Метеорологічні показники по території Луцької МТГ (за даними  найближчої метеостанції Луцьк)………………………………………………………………………………150   </w:t>
      </w:r>
    </w:p>
    <w:p w:rsidR="00D227E2" w:rsidRDefault="00934FC4">
      <w:pPr>
        <w:spacing w:after="0"/>
        <w:jc w:val="both"/>
        <w:rPr>
          <w:rFonts w:ascii="Times New Roman" w:hAnsi="Times New Roman" w:cs="Times New Roman"/>
        </w:rPr>
      </w:pPr>
      <w:r>
        <w:rPr>
          <w:rFonts w:ascii="Times New Roman" w:hAnsi="Times New Roman" w:cs="Times New Roman"/>
          <w:sz w:val="24"/>
          <w:szCs w:val="24"/>
        </w:rPr>
        <w:t>ДОДАТОК 4.  Перелік заходів щодо пом’якшення наслідків зміни клімату………………...157</w:t>
      </w:r>
    </w:p>
    <w:p w:rsidR="00D227E2" w:rsidRDefault="00D227E2">
      <w:pPr>
        <w:spacing w:after="0"/>
        <w:jc w:val="both"/>
        <w:rPr>
          <w:rFonts w:ascii="Times New Roman" w:hAnsi="Times New Roman" w:cs="Times New Roman"/>
          <w:sz w:val="24"/>
          <w:szCs w:val="24"/>
        </w:rPr>
      </w:pPr>
    </w:p>
    <w:p w:rsidR="00D227E2" w:rsidRDefault="00D227E2">
      <w:pPr>
        <w:spacing w:after="0"/>
        <w:jc w:val="both"/>
        <w:rPr>
          <w:rFonts w:ascii="Times New Roman" w:hAnsi="Times New Roman" w:cs="Times New Roman"/>
          <w:sz w:val="24"/>
          <w:szCs w:val="24"/>
        </w:rPr>
      </w:pPr>
    </w:p>
    <w:p w:rsidR="00D227E2" w:rsidRDefault="00D227E2">
      <w:pPr>
        <w:spacing w:after="0"/>
        <w:jc w:val="both"/>
        <w:rPr>
          <w:rFonts w:ascii="Times New Roman" w:hAnsi="Times New Roman" w:cs="Times New Roman"/>
          <w:sz w:val="24"/>
          <w:szCs w:val="24"/>
        </w:rPr>
      </w:pPr>
    </w:p>
    <w:p w:rsidR="00D227E2" w:rsidRDefault="00D227E2">
      <w:pPr>
        <w:spacing w:after="0"/>
        <w:jc w:val="both"/>
        <w:rPr>
          <w:rFonts w:ascii="Times New Roman" w:hAnsi="Times New Roman" w:cs="Times New Roman"/>
          <w:sz w:val="24"/>
          <w:szCs w:val="24"/>
        </w:rPr>
      </w:pPr>
    </w:p>
    <w:p w:rsidR="00D227E2" w:rsidRDefault="00D227E2">
      <w:pPr>
        <w:spacing w:after="0"/>
        <w:jc w:val="both"/>
        <w:rPr>
          <w:rFonts w:ascii="Times New Roman" w:hAnsi="Times New Roman" w:cs="Times New Roman"/>
          <w:sz w:val="24"/>
          <w:szCs w:val="24"/>
        </w:rPr>
      </w:pPr>
    </w:p>
    <w:p w:rsidR="00D227E2" w:rsidRDefault="00D227E2">
      <w:pPr>
        <w:spacing w:after="0"/>
        <w:jc w:val="both"/>
        <w:rPr>
          <w:rFonts w:ascii="Times New Roman" w:hAnsi="Times New Roman" w:cs="Times New Roman"/>
          <w:sz w:val="24"/>
          <w:szCs w:val="24"/>
        </w:rPr>
      </w:pPr>
    </w:p>
    <w:p w:rsidR="00D227E2" w:rsidRDefault="00D227E2">
      <w:pPr>
        <w:spacing w:after="0"/>
        <w:jc w:val="both"/>
        <w:rPr>
          <w:rFonts w:ascii="Times New Roman" w:hAnsi="Times New Roman" w:cs="Times New Roman"/>
          <w:sz w:val="24"/>
          <w:szCs w:val="24"/>
        </w:rPr>
      </w:pPr>
    </w:p>
    <w:p w:rsidR="00D227E2" w:rsidRDefault="00D227E2">
      <w:pPr>
        <w:spacing w:after="0"/>
        <w:jc w:val="both"/>
        <w:rPr>
          <w:rFonts w:ascii="Times New Roman" w:hAnsi="Times New Roman" w:cs="Times New Roman"/>
          <w:sz w:val="24"/>
          <w:szCs w:val="24"/>
        </w:rPr>
      </w:pPr>
    </w:p>
    <w:p w:rsidR="00D227E2" w:rsidRDefault="00D227E2">
      <w:pPr>
        <w:spacing w:after="0"/>
        <w:jc w:val="both"/>
        <w:rPr>
          <w:rFonts w:ascii="Times New Roman" w:hAnsi="Times New Roman" w:cs="Times New Roman"/>
          <w:sz w:val="24"/>
          <w:szCs w:val="24"/>
        </w:rPr>
      </w:pPr>
    </w:p>
    <w:p w:rsidR="00D227E2" w:rsidRDefault="00D227E2">
      <w:pPr>
        <w:spacing w:after="0"/>
        <w:jc w:val="both"/>
        <w:rPr>
          <w:rFonts w:ascii="Times New Roman" w:hAnsi="Times New Roman" w:cs="Times New Roman"/>
          <w:sz w:val="24"/>
          <w:szCs w:val="24"/>
        </w:rPr>
      </w:pPr>
    </w:p>
    <w:p w:rsidR="00D227E2" w:rsidRDefault="00D227E2">
      <w:pPr>
        <w:spacing w:after="0"/>
        <w:jc w:val="both"/>
        <w:rPr>
          <w:rFonts w:ascii="Times New Roman" w:hAnsi="Times New Roman" w:cs="Times New Roman"/>
          <w:sz w:val="24"/>
          <w:szCs w:val="24"/>
        </w:rPr>
      </w:pPr>
    </w:p>
    <w:p w:rsidR="00D227E2" w:rsidRDefault="00D227E2">
      <w:pPr>
        <w:spacing w:after="0"/>
        <w:jc w:val="both"/>
        <w:rPr>
          <w:rFonts w:ascii="Times New Roman" w:hAnsi="Times New Roman" w:cs="Times New Roman"/>
          <w:sz w:val="24"/>
          <w:szCs w:val="24"/>
        </w:rPr>
      </w:pPr>
    </w:p>
    <w:p w:rsidR="00D227E2" w:rsidRDefault="00D227E2">
      <w:pPr>
        <w:spacing w:after="0"/>
        <w:jc w:val="both"/>
        <w:rPr>
          <w:rFonts w:ascii="Times New Roman" w:hAnsi="Times New Roman" w:cs="Times New Roman"/>
          <w:sz w:val="24"/>
          <w:szCs w:val="24"/>
        </w:rPr>
      </w:pPr>
    </w:p>
    <w:p w:rsidR="00D227E2" w:rsidRDefault="00D227E2">
      <w:pPr>
        <w:spacing w:after="0"/>
        <w:jc w:val="both"/>
        <w:rPr>
          <w:rFonts w:ascii="Times New Roman" w:hAnsi="Times New Roman" w:cs="Times New Roman"/>
          <w:sz w:val="24"/>
          <w:szCs w:val="24"/>
        </w:rPr>
      </w:pPr>
    </w:p>
    <w:p w:rsidR="00D227E2" w:rsidRDefault="00D227E2">
      <w:pPr>
        <w:spacing w:after="0"/>
        <w:jc w:val="both"/>
        <w:rPr>
          <w:rFonts w:ascii="Times New Roman" w:hAnsi="Times New Roman" w:cs="Times New Roman"/>
          <w:sz w:val="24"/>
          <w:szCs w:val="24"/>
        </w:rPr>
      </w:pPr>
    </w:p>
    <w:p w:rsidR="00D227E2" w:rsidRDefault="00D227E2">
      <w:pPr>
        <w:spacing w:after="0"/>
        <w:jc w:val="both"/>
        <w:rPr>
          <w:rFonts w:ascii="Times New Roman" w:hAnsi="Times New Roman" w:cs="Times New Roman"/>
          <w:sz w:val="24"/>
          <w:szCs w:val="24"/>
        </w:rPr>
      </w:pPr>
    </w:p>
    <w:p w:rsidR="00D227E2" w:rsidRDefault="00D227E2">
      <w:pPr>
        <w:spacing w:after="0"/>
        <w:jc w:val="both"/>
        <w:rPr>
          <w:rFonts w:ascii="Times New Roman" w:hAnsi="Times New Roman" w:cs="Times New Roman"/>
          <w:sz w:val="24"/>
          <w:szCs w:val="24"/>
        </w:rPr>
      </w:pPr>
    </w:p>
    <w:p w:rsidR="00D227E2" w:rsidRDefault="00D227E2">
      <w:pPr>
        <w:spacing w:after="0"/>
        <w:jc w:val="both"/>
        <w:rPr>
          <w:rFonts w:ascii="Times New Roman" w:hAnsi="Times New Roman" w:cs="Times New Roman"/>
          <w:sz w:val="24"/>
          <w:szCs w:val="24"/>
        </w:rPr>
      </w:pPr>
    </w:p>
    <w:p w:rsidR="00D227E2" w:rsidRDefault="00D227E2">
      <w:pPr>
        <w:spacing w:after="0"/>
        <w:jc w:val="both"/>
        <w:rPr>
          <w:rFonts w:ascii="Times New Roman" w:hAnsi="Times New Roman" w:cs="Times New Roman"/>
          <w:sz w:val="24"/>
          <w:szCs w:val="24"/>
        </w:rPr>
      </w:pPr>
    </w:p>
    <w:p w:rsidR="00D227E2" w:rsidRDefault="00D227E2">
      <w:pPr>
        <w:spacing w:after="0"/>
        <w:jc w:val="both"/>
        <w:rPr>
          <w:rFonts w:ascii="Times New Roman" w:hAnsi="Times New Roman" w:cs="Times New Roman"/>
          <w:sz w:val="24"/>
          <w:szCs w:val="24"/>
        </w:rPr>
      </w:pPr>
    </w:p>
    <w:p w:rsidR="00D227E2" w:rsidRDefault="00D227E2">
      <w:pPr>
        <w:spacing w:after="0"/>
        <w:jc w:val="both"/>
        <w:rPr>
          <w:rFonts w:ascii="Times New Roman" w:hAnsi="Times New Roman" w:cs="Times New Roman"/>
          <w:sz w:val="24"/>
          <w:szCs w:val="24"/>
        </w:rPr>
      </w:pPr>
    </w:p>
    <w:p w:rsidR="00D227E2" w:rsidRDefault="00D227E2">
      <w:pPr>
        <w:spacing w:after="0"/>
        <w:jc w:val="both"/>
        <w:rPr>
          <w:rFonts w:ascii="Times New Roman" w:hAnsi="Times New Roman" w:cs="Times New Roman"/>
          <w:sz w:val="24"/>
          <w:szCs w:val="24"/>
        </w:rPr>
      </w:pPr>
    </w:p>
    <w:p w:rsidR="00D227E2" w:rsidRDefault="00D227E2">
      <w:pPr>
        <w:spacing w:after="0"/>
        <w:jc w:val="both"/>
        <w:rPr>
          <w:rFonts w:ascii="Times New Roman" w:hAnsi="Times New Roman" w:cs="Times New Roman"/>
          <w:sz w:val="24"/>
          <w:szCs w:val="24"/>
        </w:rPr>
      </w:pPr>
    </w:p>
    <w:p w:rsidR="00D227E2" w:rsidRDefault="00D227E2">
      <w:pPr>
        <w:spacing w:after="0"/>
        <w:jc w:val="both"/>
        <w:rPr>
          <w:rFonts w:ascii="Times New Roman" w:hAnsi="Times New Roman" w:cs="Times New Roman"/>
          <w:sz w:val="24"/>
          <w:szCs w:val="24"/>
        </w:rPr>
      </w:pPr>
    </w:p>
    <w:p w:rsidR="00D227E2" w:rsidRDefault="00D227E2">
      <w:pPr>
        <w:spacing w:after="0"/>
        <w:jc w:val="both"/>
        <w:rPr>
          <w:rFonts w:ascii="Times New Roman" w:hAnsi="Times New Roman" w:cs="Times New Roman"/>
          <w:sz w:val="24"/>
          <w:szCs w:val="24"/>
        </w:rPr>
      </w:pPr>
    </w:p>
    <w:p w:rsidR="00D227E2" w:rsidRDefault="00D227E2">
      <w:pPr>
        <w:spacing w:after="0"/>
        <w:jc w:val="both"/>
        <w:rPr>
          <w:rFonts w:ascii="Times New Roman" w:hAnsi="Times New Roman" w:cs="Times New Roman"/>
          <w:sz w:val="24"/>
          <w:szCs w:val="24"/>
        </w:rPr>
      </w:pPr>
    </w:p>
    <w:p w:rsidR="00D227E2" w:rsidRDefault="00D227E2">
      <w:pPr>
        <w:spacing w:after="0"/>
        <w:jc w:val="both"/>
        <w:rPr>
          <w:rFonts w:ascii="Times New Roman" w:hAnsi="Times New Roman" w:cs="Times New Roman"/>
          <w:sz w:val="24"/>
          <w:szCs w:val="24"/>
        </w:rPr>
      </w:pPr>
    </w:p>
    <w:p w:rsidR="00D227E2" w:rsidRDefault="00D227E2">
      <w:pPr>
        <w:spacing w:after="0"/>
        <w:jc w:val="both"/>
        <w:rPr>
          <w:rFonts w:ascii="Times New Roman" w:hAnsi="Times New Roman" w:cs="Times New Roman"/>
          <w:sz w:val="24"/>
          <w:szCs w:val="24"/>
        </w:rPr>
      </w:pPr>
    </w:p>
    <w:p w:rsidR="00D227E2" w:rsidRDefault="00D227E2">
      <w:pPr>
        <w:spacing w:after="0"/>
        <w:jc w:val="both"/>
        <w:rPr>
          <w:rFonts w:ascii="Times New Roman" w:hAnsi="Times New Roman" w:cs="Times New Roman"/>
          <w:sz w:val="24"/>
          <w:szCs w:val="24"/>
        </w:rPr>
      </w:pPr>
    </w:p>
    <w:p w:rsidR="00D227E2" w:rsidRDefault="00D227E2">
      <w:pPr>
        <w:spacing w:after="0"/>
        <w:jc w:val="both"/>
        <w:rPr>
          <w:rFonts w:ascii="Times New Roman" w:hAnsi="Times New Roman" w:cs="Times New Roman"/>
          <w:sz w:val="24"/>
          <w:szCs w:val="24"/>
        </w:rPr>
      </w:pPr>
    </w:p>
    <w:p w:rsidR="00D227E2" w:rsidRDefault="00D227E2">
      <w:pPr>
        <w:spacing w:after="0"/>
        <w:jc w:val="both"/>
        <w:rPr>
          <w:rFonts w:ascii="Times New Roman" w:hAnsi="Times New Roman" w:cs="Times New Roman"/>
          <w:sz w:val="24"/>
          <w:szCs w:val="24"/>
        </w:rPr>
      </w:pPr>
    </w:p>
    <w:p w:rsidR="00D227E2" w:rsidRDefault="00D227E2">
      <w:pPr>
        <w:spacing w:after="0"/>
        <w:jc w:val="both"/>
        <w:rPr>
          <w:rFonts w:ascii="Times New Roman" w:hAnsi="Times New Roman" w:cs="Times New Roman"/>
          <w:sz w:val="24"/>
          <w:szCs w:val="24"/>
        </w:rPr>
      </w:pPr>
    </w:p>
    <w:p w:rsidR="00D227E2" w:rsidRDefault="00D227E2">
      <w:pPr>
        <w:spacing w:after="0"/>
        <w:jc w:val="both"/>
        <w:rPr>
          <w:rFonts w:ascii="Times New Roman" w:hAnsi="Times New Roman" w:cs="Times New Roman"/>
          <w:sz w:val="24"/>
          <w:szCs w:val="24"/>
        </w:rPr>
      </w:pPr>
    </w:p>
    <w:p w:rsidR="00D227E2" w:rsidRDefault="00D227E2">
      <w:pPr>
        <w:spacing w:after="0"/>
        <w:jc w:val="both"/>
        <w:rPr>
          <w:rFonts w:ascii="Times New Roman" w:hAnsi="Times New Roman" w:cs="Times New Roman"/>
          <w:sz w:val="24"/>
          <w:szCs w:val="24"/>
        </w:rPr>
      </w:pPr>
    </w:p>
    <w:p w:rsidR="00D227E2" w:rsidRDefault="00934FC4">
      <w:pPr>
        <w:pStyle w:val="1"/>
        <w:spacing w:before="0"/>
        <w:jc w:val="center"/>
        <w:rPr>
          <w:rFonts w:ascii="Times New Roman" w:hAnsi="Times New Roman" w:cs="Times New Roman"/>
        </w:rPr>
      </w:pPr>
      <w:r>
        <w:rPr>
          <w:rFonts w:ascii="Times New Roman" w:hAnsi="Times New Roman" w:cs="Times New Roman"/>
          <w:color w:val="auto"/>
          <w:sz w:val="24"/>
          <w:szCs w:val="24"/>
        </w:rPr>
        <w:lastRenderedPageBreak/>
        <w:t>Н</w:t>
      </w:r>
      <w:bookmarkStart w:id="1" w:name="_Toc109399320"/>
      <w:r>
        <w:rPr>
          <w:rFonts w:ascii="Times New Roman" w:hAnsi="Times New Roman" w:cs="Times New Roman"/>
          <w:color w:val="auto"/>
          <w:sz w:val="24"/>
          <w:szCs w:val="24"/>
        </w:rPr>
        <w:t>ормативно-правова база</w:t>
      </w:r>
      <w:bookmarkEnd w:id="1"/>
    </w:p>
    <w:p w:rsidR="00D227E2" w:rsidRDefault="00934FC4">
      <w:pPr>
        <w:numPr>
          <w:ilvl w:val="0"/>
          <w:numId w:val="1"/>
        </w:numPr>
        <w:tabs>
          <w:tab w:val="left" w:pos="450"/>
        </w:tabs>
        <w:spacing w:after="0"/>
        <w:ind w:left="0" w:firstLine="0"/>
        <w:jc w:val="both"/>
        <w:rPr>
          <w:rFonts w:ascii="Times New Roman" w:hAnsi="Times New Roman" w:cs="Times New Roman"/>
        </w:rPr>
      </w:pPr>
      <w:r>
        <w:rPr>
          <w:rFonts w:ascii="Times New Roman" w:hAnsi="Times New Roman" w:cs="Times New Roman"/>
          <w:sz w:val="24"/>
          <w:szCs w:val="24"/>
        </w:rPr>
        <w:t>Закон України «Про ратифікацію Рамкової Конвенція ООН про зміну клімату» від 29.10.1996 № 435/96-ВР;</w:t>
      </w:r>
    </w:p>
    <w:p w:rsidR="00D227E2" w:rsidRDefault="00934FC4">
      <w:pPr>
        <w:numPr>
          <w:ilvl w:val="0"/>
          <w:numId w:val="1"/>
        </w:numPr>
        <w:tabs>
          <w:tab w:val="left" w:pos="450"/>
        </w:tabs>
        <w:spacing w:after="0"/>
        <w:ind w:left="0" w:firstLine="0"/>
        <w:jc w:val="both"/>
        <w:rPr>
          <w:rFonts w:ascii="Times New Roman" w:hAnsi="Times New Roman" w:cs="Times New Roman"/>
        </w:rPr>
      </w:pPr>
      <w:r>
        <w:rPr>
          <w:rFonts w:ascii="Times New Roman" w:hAnsi="Times New Roman" w:cs="Times New Roman"/>
          <w:sz w:val="24"/>
          <w:szCs w:val="24"/>
        </w:rPr>
        <w:t>Закон України «Про місцеве самоврядування в Україні» від 21.05.2097 № 280/97-ВР;</w:t>
      </w:r>
    </w:p>
    <w:p w:rsidR="00D227E2" w:rsidRDefault="00934FC4">
      <w:pPr>
        <w:numPr>
          <w:ilvl w:val="0"/>
          <w:numId w:val="1"/>
        </w:numPr>
        <w:tabs>
          <w:tab w:val="left" w:pos="450"/>
        </w:tabs>
        <w:spacing w:after="0"/>
        <w:ind w:left="0" w:firstLine="0"/>
        <w:jc w:val="both"/>
        <w:rPr>
          <w:rFonts w:ascii="Times New Roman" w:hAnsi="Times New Roman" w:cs="Times New Roman"/>
        </w:rPr>
      </w:pPr>
      <w:r>
        <w:rPr>
          <w:rFonts w:ascii="Times New Roman" w:hAnsi="Times New Roman" w:cs="Times New Roman"/>
          <w:sz w:val="24"/>
          <w:szCs w:val="24"/>
        </w:rPr>
        <w:t>Закон України «Про альтернативні джерела енергії» від 20.02.2003 № 555- IV;</w:t>
      </w:r>
    </w:p>
    <w:p w:rsidR="00D227E2" w:rsidRDefault="00934FC4">
      <w:pPr>
        <w:numPr>
          <w:ilvl w:val="0"/>
          <w:numId w:val="1"/>
        </w:numPr>
        <w:tabs>
          <w:tab w:val="left" w:pos="450"/>
        </w:tabs>
        <w:spacing w:after="0"/>
        <w:ind w:left="0" w:firstLine="0"/>
        <w:jc w:val="both"/>
        <w:rPr>
          <w:rFonts w:ascii="Times New Roman" w:hAnsi="Times New Roman" w:cs="Times New Roman"/>
        </w:rPr>
      </w:pPr>
      <w:r>
        <w:rPr>
          <w:rFonts w:ascii="Times New Roman" w:hAnsi="Times New Roman" w:cs="Times New Roman"/>
          <w:sz w:val="24"/>
          <w:szCs w:val="24"/>
        </w:rPr>
        <w:t>Закон України «Про комбіноване виробництво теплової та електричної енергії (когенерацію) та використання скидного енергопотенціалу» від 05.04.2005 № 2509-IV;</w:t>
      </w:r>
    </w:p>
    <w:p w:rsidR="00D227E2" w:rsidRDefault="00934FC4">
      <w:pPr>
        <w:numPr>
          <w:ilvl w:val="0"/>
          <w:numId w:val="1"/>
        </w:numPr>
        <w:tabs>
          <w:tab w:val="left" w:pos="450"/>
        </w:tabs>
        <w:spacing w:after="0"/>
        <w:ind w:left="0" w:firstLine="0"/>
        <w:jc w:val="both"/>
        <w:rPr>
          <w:rFonts w:ascii="Times New Roman" w:hAnsi="Times New Roman" w:cs="Times New Roman"/>
        </w:rPr>
      </w:pPr>
      <w:r>
        <w:rPr>
          <w:rFonts w:ascii="Times New Roman" w:hAnsi="Times New Roman" w:cs="Times New Roman"/>
          <w:sz w:val="24"/>
          <w:szCs w:val="24"/>
        </w:rPr>
        <w:t>Закон України «Про ратифікацію Паризької угоди» від 14.07.2016 № 1469-VIII;</w:t>
      </w:r>
    </w:p>
    <w:p w:rsidR="00D227E2" w:rsidRDefault="00934FC4">
      <w:pPr>
        <w:numPr>
          <w:ilvl w:val="0"/>
          <w:numId w:val="1"/>
        </w:numPr>
        <w:tabs>
          <w:tab w:val="left" w:pos="450"/>
        </w:tabs>
        <w:spacing w:after="0"/>
        <w:ind w:left="0" w:firstLine="0"/>
        <w:jc w:val="both"/>
        <w:rPr>
          <w:rFonts w:ascii="Times New Roman" w:hAnsi="Times New Roman" w:cs="Times New Roman"/>
        </w:rPr>
      </w:pPr>
      <w:r>
        <w:rPr>
          <w:rFonts w:ascii="Times New Roman" w:hAnsi="Times New Roman" w:cs="Times New Roman"/>
          <w:sz w:val="24"/>
          <w:szCs w:val="24"/>
        </w:rPr>
        <w:t>Закон України «Про Фонд енергоефективності» від 08.06.2017 № 2095-19;</w:t>
      </w:r>
    </w:p>
    <w:p w:rsidR="00D227E2" w:rsidRDefault="00934FC4">
      <w:pPr>
        <w:numPr>
          <w:ilvl w:val="0"/>
          <w:numId w:val="1"/>
        </w:numPr>
        <w:tabs>
          <w:tab w:val="left" w:pos="450"/>
        </w:tabs>
        <w:spacing w:after="0"/>
        <w:ind w:left="0" w:firstLine="0"/>
        <w:jc w:val="both"/>
        <w:rPr>
          <w:rFonts w:ascii="Times New Roman" w:hAnsi="Times New Roman" w:cs="Times New Roman"/>
        </w:rPr>
      </w:pPr>
      <w:r>
        <w:rPr>
          <w:rFonts w:ascii="Times New Roman" w:hAnsi="Times New Roman" w:cs="Times New Roman"/>
          <w:sz w:val="24"/>
          <w:szCs w:val="24"/>
        </w:rPr>
        <w:t>Закон України «Про енергетичну ефективність будівель» від 22.06.2017 № 2118-19;</w:t>
      </w:r>
    </w:p>
    <w:p w:rsidR="00D227E2" w:rsidRDefault="00934FC4">
      <w:pPr>
        <w:numPr>
          <w:ilvl w:val="0"/>
          <w:numId w:val="1"/>
        </w:numPr>
        <w:tabs>
          <w:tab w:val="left" w:pos="450"/>
        </w:tabs>
        <w:spacing w:after="0"/>
        <w:ind w:left="0" w:firstLine="0"/>
        <w:jc w:val="both"/>
        <w:rPr>
          <w:rFonts w:ascii="Times New Roman" w:hAnsi="Times New Roman" w:cs="Times New Roman"/>
        </w:rPr>
      </w:pPr>
      <w:r>
        <w:rPr>
          <w:rFonts w:ascii="Times New Roman" w:hAnsi="Times New Roman" w:cs="Times New Roman"/>
          <w:sz w:val="24"/>
          <w:szCs w:val="24"/>
        </w:rPr>
        <w:t>Закон України «Про Основні засади (стратегію) державної екологічної політики України на період до 2030 року» від 28.02.2019 № 2697-VIII;</w:t>
      </w:r>
    </w:p>
    <w:p w:rsidR="00D227E2" w:rsidRDefault="00934FC4">
      <w:pPr>
        <w:numPr>
          <w:ilvl w:val="0"/>
          <w:numId w:val="1"/>
        </w:numPr>
        <w:tabs>
          <w:tab w:val="left" w:pos="450"/>
        </w:tabs>
        <w:spacing w:after="0"/>
        <w:ind w:left="0" w:firstLine="0"/>
        <w:jc w:val="both"/>
        <w:rPr>
          <w:rFonts w:ascii="Times New Roman" w:hAnsi="Times New Roman" w:cs="Times New Roman"/>
        </w:rPr>
      </w:pPr>
      <w:r>
        <w:rPr>
          <w:rFonts w:ascii="Times New Roman" w:hAnsi="Times New Roman" w:cs="Times New Roman"/>
          <w:sz w:val="24"/>
          <w:szCs w:val="24"/>
        </w:rPr>
        <w:t>Закон України «Про енергетичну ефективність», від 21.10.2021 № 1818-ІX;</w:t>
      </w:r>
    </w:p>
    <w:p w:rsidR="00D227E2" w:rsidRDefault="00934FC4">
      <w:pPr>
        <w:numPr>
          <w:ilvl w:val="0"/>
          <w:numId w:val="1"/>
        </w:numPr>
        <w:tabs>
          <w:tab w:val="left" w:pos="450"/>
        </w:tabs>
        <w:spacing w:after="0"/>
        <w:ind w:left="0" w:firstLine="0"/>
        <w:jc w:val="both"/>
        <w:rPr>
          <w:rFonts w:ascii="Times New Roman" w:hAnsi="Times New Roman" w:cs="Times New Roman"/>
        </w:rPr>
      </w:pPr>
      <w:r>
        <w:rPr>
          <w:rFonts w:ascii="Times New Roman" w:hAnsi="Times New Roman" w:cs="Times New Roman"/>
          <w:sz w:val="24"/>
          <w:szCs w:val="24"/>
        </w:rPr>
        <w:t>Закон України «Про  управління відходами» від 20.06.2022 № 2320-IX;</w:t>
      </w:r>
    </w:p>
    <w:p w:rsidR="00D227E2" w:rsidRDefault="00934FC4">
      <w:pPr>
        <w:numPr>
          <w:ilvl w:val="0"/>
          <w:numId w:val="1"/>
        </w:numPr>
        <w:tabs>
          <w:tab w:val="left" w:pos="450"/>
        </w:tabs>
        <w:spacing w:after="0"/>
        <w:ind w:left="0" w:firstLine="0"/>
        <w:jc w:val="both"/>
        <w:rPr>
          <w:rFonts w:ascii="Times New Roman" w:hAnsi="Times New Roman" w:cs="Times New Roman"/>
        </w:rPr>
      </w:pPr>
      <w:r>
        <w:rPr>
          <w:rFonts w:ascii="Times New Roman" w:hAnsi="Times New Roman" w:cs="Times New Roman"/>
          <w:sz w:val="24"/>
          <w:szCs w:val="24"/>
        </w:rPr>
        <w:t>Постанова Кабінету Міністрів України «Про затвердження Державної цільової економічної програми енергоефективності та розвитку сфери виробництва енергоносіїв з відновлюваних джерел енергії та альтернативних видів палива на 2010-2021 роки» від 01.03.2010 № 243;</w:t>
      </w:r>
    </w:p>
    <w:p w:rsidR="00D227E2" w:rsidRDefault="00934FC4">
      <w:pPr>
        <w:numPr>
          <w:ilvl w:val="0"/>
          <w:numId w:val="1"/>
        </w:numPr>
        <w:tabs>
          <w:tab w:val="left" w:pos="450"/>
        </w:tabs>
        <w:spacing w:after="0"/>
        <w:ind w:left="0" w:firstLine="0"/>
        <w:jc w:val="both"/>
        <w:rPr>
          <w:rFonts w:ascii="Times New Roman" w:hAnsi="Times New Roman" w:cs="Times New Roman"/>
        </w:rPr>
      </w:pPr>
      <w:r>
        <w:rPr>
          <w:rFonts w:ascii="Times New Roman" w:hAnsi="Times New Roman" w:cs="Times New Roman"/>
          <w:sz w:val="24"/>
          <w:szCs w:val="24"/>
        </w:rPr>
        <w:t>Розпорядження Кабінету Міністрів України «Про схвалення Стратегії екологічної безпеки та адаптації до зміни клімату на період до 2030 року» від 20.10.2021 № 1363-р;</w:t>
      </w:r>
    </w:p>
    <w:p w:rsidR="00D227E2" w:rsidRDefault="00934FC4">
      <w:pPr>
        <w:numPr>
          <w:ilvl w:val="0"/>
          <w:numId w:val="1"/>
        </w:numPr>
        <w:tabs>
          <w:tab w:val="left" w:pos="450"/>
        </w:tabs>
        <w:spacing w:after="0"/>
        <w:ind w:left="0" w:firstLine="0"/>
        <w:jc w:val="both"/>
        <w:rPr>
          <w:rFonts w:ascii="Times New Roman" w:hAnsi="Times New Roman" w:cs="Times New Roman"/>
        </w:rPr>
      </w:pPr>
      <w:r>
        <w:rPr>
          <w:rFonts w:ascii="Times New Roman" w:hAnsi="Times New Roman" w:cs="Times New Roman"/>
          <w:sz w:val="24"/>
          <w:szCs w:val="24"/>
        </w:rPr>
        <w:t>Розпорядження Кабінету Міністрів України «Про схвалення концепції реалізації державної політики у сфері зміни клімату на період до 2030 року» від 07.12.2016 № 932-р.;</w:t>
      </w:r>
    </w:p>
    <w:p w:rsidR="00D227E2" w:rsidRDefault="00934FC4">
      <w:pPr>
        <w:numPr>
          <w:ilvl w:val="0"/>
          <w:numId w:val="1"/>
        </w:numPr>
        <w:tabs>
          <w:tab w:val="left" w:pos="450"/>
        </w:tabs>
        <w:spacing w:after="0"/>
        <w:ind w:left="0" w:firstLine="0"/>
        <w:jc w:val="both"/>
        <w:rPr>
          <w:rFonts w:ascii="Times New Roman" w:hAnsi="Times New Roman" w:cs="Times New Roman"/>
        </w:rPr>
      </w:pPr>
      <w:r>
        <w:rPr>
          <w:rFonts w:ascii="Times New Roman" w:hAnsi="Times New Roman" w:cs="Times New Roman"/>
          <w:sz w:val="24"/>
          <w:szCs w:val="24"/>
        </w:rPr>
        <w:t xml:space="preserve">Розпорядження Кабінету Міністрів України «Про схвалення Енергетичної стратегії України на період до 2035 року «Безпека, енергоефективність, конкурентоспроможність» від 18.08.2017 року №605-р.; </w:t>
      </w:r>
    </w:p>
    <w:p w:rsidR="00D227E2" w:rsidRDefault="00934FC4">
      <w:pPr>
        <w:numPr>
          <w:ilvl w:val="0"/>
          <w:numId w:val="1"/>
        </w:numPr>
        <w:tabs>
          <w:tab w:val="left" w:pos="450"/>
        </w:tabs>
        <w:spacing w:after="0"/>
        <w:ind w:left="0" w:firstLine="0"/>
        <w:jc w:val="both"/>
        <w:rPr>
          <w:rFonts w:ascii="Times New Roman" w:hAnsi="Times New Roman" w:cs="Times New Roman"/>
        </w:rPr>
      </w:pPr>
      <w:r>
        <w:rPr>
          <w:rFonts w:ascii="Times New Roman" w:hAnsi="Times New Roman" w:cs="Times New Roman"/>
          <w:sz w:val="24"/>
          <w:szCs w:val="24"/>
        </w:rPr>
        <w:t>«Стратегія низько-вуглецевого розвитку України до 2050 року», від 18.07.2018;</w:t>
      </w:r>
    </w:p>
    <w:p w:rsidR="00D227E2" w:rsidRDefault="00934FC4">
      <w:pPr>
        <w:numPr>
          <w:ilvl w:val="0"/>
          <w:numId w:val="1"/>
        </w:numPr>
        <w:tabs>
          <w:tab w:val="left" w:pos="450"/>
        </w:tabs>
        <w:spacing w:after="0"/>
        <w:ind w:left="0" w:firstLine="0"/>
        <w:jc w:val="both"/>
        <w:rPr>
          <w:rFonts w:ascii="Times New Roman" w:hAnsi="Times New Roman" w:cs="Times New Roman"/>
        </w:rPr>
      </w:pPr>
      <w:r>
        <w:rPr>
          <w:rFonts w:ascii="Times New Roman" w:hAnsi="Times New Roman" w:cs="Times New Roman"/>
          <w:sz w:val="24"/>
          <w:szCs w:val="24"/>
        </w:rPr>
        <w:t>Стратегія розвитку Волинської області на період до 2027 року, рішення сесії обласної ради від 12.03.2020 № 29/16;</w:t>
      </w:r>
    </w:p>
    <w:p w:rsidR="00D227E2" w:rsidRDefault="00934FC4">
      <w:pPr>
        <w:numPr>
          <w:ilvl w:val="0"/>
          <w:numId w:val="1"/>
        </w:numPr>
        <w:tabs>
          <w:tab w:val="left" w:pos="450"/>
        </w:tabs>
        <w:spacing w:after="0"/>
        <w:ind w:left="0" w:firstLine="0"/>
        <w:jc w:val="both"/>
        <w:rPr>
          <w:rFonts w:ascii="Times New Roman" w:hAnsi="Times New Roman" w:cs="Times New Roman"/>
        </w:rPr>
      </w:pPr>
      <w:r>
        <w:rPr>
          <w:rFonts w:ascii="Times New Roman" w:hAnsi="Times New Roman" w:cs="Times New Roman"/>
          <w:sz w:val="24"/>
          <w:szCs w:val="24"/>
        </w:rPr>
        <w:t>Рішення Луцької міської ради «Про приєднання до європейської ініціативи «Угода мерів – Схід» від 30.11.2022 № 37/48.</w:t>
      </w:r>
    </w:p>
    <w:p w:rsidR="00D227E2" w:rsidRDefault="00D227E2">
      <w:pPr>
        <w:pStyle w:val="1"/>
        <w:jc w:val="center"/>
        <w:rPr>
          <w:rFonts w:ascii="Times New Roman" w:hAnsi="Times New Roman" w:cs="Times New Roman"/>
          <w:b w:val="0"/>
          <w:bCs w:val="0"/>
          <w:sz w:val="24"/>
          <w:szCs w:val="24"/>
        </w:rPr>
      </w:pPr>
    </w:p>
    <w:p w:rsidR="00D227E2" w:rsidRDefault="00D227E2">
      <w:pPr>
        <w:jc w:val="center"/>
        <w:rPr>
          <w:rFonts w:ascii="Times New Roman" w:hAnsi="Times New Roman" w:cs="Times New Roman"/>
          <w:sz w:val="24"/>
          <w:szCs w:val="24"/>
        </w:rPr>
      </w:pPr>
    </w:p>
    <w:p w:rsidR="00D227E2" w:rsidRDefault="00D227E2">
      <w:pPr>
        <w:jc w:val="center"/>
        <w:rPr>
          <w:rFonts w:ascii="Times New Roman" w:hAnsi="Times New Roman" w:cs="Times New Roman"/>
          <w:sz w:val="24"/>
          <w:szCs w:val="24"/>
        </w:rPr>
      </w:pPr>
    </w:p>
    <w:p w:rsidR="00D227E2" w:rsidRDefault="00D227E2">
      <w:pPr>
        <w:jc w:val="center"/>
        <w:rPr>
          <w:rFonts w:ascii="Times New Roman" w:hAnsi="Times New Roman" w:cs="Times New Roman"/>
          <w:sz w:val="24"/>
          <w:szCs w:val="24"/>
        </w:rPr>
      </w:pPr>
    </w:p>
    <w:p w:rsidR="00D227E2" w:rsidRDefault="00D227E2">
      <w:pPr>
        <w:jc w:val="center"/>
        <w:rPr>
          <w:rFonts w:ascii="Times New Roman" w:hAnsi="Times New Roman" w:cs="Times New Roman"/>
          <w:sz w:val="24"/>
          <w:szCs w:val="24"/>
        </w:rPr>
      </w:pPr>
    </w:p>
    <w:p w:rsidR="00D227E2" w:rsidRDefault="00D227E2">
      <w:pPr>
        <w:jc w:val="center"/>
        <w:rPr>
          <w:rFonts w:ascii="Times New Roman" w:hAnsi="Times New Roman" w:cs="Times New Roman"/>
          <w:sz w:val="24"/>
          <w:szCs w:val="24"/>
        </w:rPr>
      </w:pPr>
    </w:p>
    <w:p w:rsidR="00D227E2" w:rsidRDefault="00D227E2">
      <w:pPr>
        <w:jc w:val="center"/>
        <w:rPr>
          <w:rFonts w:ascii="Times New Roman" w:hAnsi="Times New Roman" w:cs="Times New Roman"/>
          <w:sz w:val="24"/>
          <w:szCs w:val="24"/>
        </w:rPr>
      </w:pPr>
    </w:p>
    <w:p w:rsidR="00D227E2" w:rsidRDefault="00D227E2">
      <w:pPr>
        <w:jc w:val="center"/>
        <w:rPr>
          <w:rFonts w:ascii="Times New Roman" w:hAnsi="Times New Roman" w:cs="Times New Roman"/>
          <w:sz w:val="24"/>
          <w:szCs w:val="24"/>
        </w:rPr>
      </w:pPr>
    </w:p>
    <w:p w:rsidR="00D227E2" w:rsidRDefault="00934FC4">
      <w:pPr>
        <w:pStyle w:val="1"/>
        <w:jc w:val="center"/>
        <w:rPr>
          <w:rFonts w:ascii="Times New Roman" w:hAnsi="Times New Roman" w:cs="Times New Roman"/>
        </w:rPr>
      </w:pPr>
      <w:bookmarkStart w:id="2" w:name="_Toc109399321"/>
      <w:r>
        <w:rPr>
          <w:rFonts w:ascii="Times New Roman" w:hAnsi="Times New Roman" w:cs="Times New Roman"/>
          <w:color w:val="auto"/>
          <w:sz w:val="24"/>
          <w:szCs w:val="24"/>
        </w:rPr>
        <w:lastRenderedPageBreak/>
        <w:t>Джерела інформації</w:t>
      </w:r>
      <w:bookmarkEnd w:id="2"/>
    </w:p>
    <w:p w:rsidR="00D227E2" w:rsidRDefault="00934FC4">
      <w:pPr>
        <w:numPr>
          <w:ilvl w:val="0"/>
          <w:numId w:val="2"/>
        </w:numPr>
        <w:tabs>
          <w:tab w:val="left" w:pos="426"/>
        </w:tabs>
        <w:spacing w:after="0"/>
        <w:ind w:left="0" w:firstLine="0"/>
        <w:jc w:val="both"/>
        <w:rPr>
          <w:rFonts w:ascii="Times New Roman" w:hAnsi="Times New Roman" w:cs="Times New Roman"/>
        </w:rPr>
      </w:pPr>
      <w:r>
        <w:rPr>
          <w:rFonts w:ascii="Times New Roman" w:hAnsi="Times New Roman" w:cs="Times New Roman"/>
          <w:sz w:val="24"/>
          <w:szCs w:val="24"/>
          <w:lang w:val="en-US"/>
        </w:rPr>
        <w:t>RETScreen</w:t>
      </w:r>
      <w:r>
        <w:rPr>
          <w:rFonts w:ascii="Times New Roman" w:hAnsi="Times New Roman" w:cs="Times New Roman"/>
          <w:sz w:val="24"/>
          <w:szCs w:val="24"/>
          <w:lang w:val="ru-RU"/>
        </w:rPr>
        <w:t xml:space="preserve"> </w:t>
      </w:r>
      <w:r>
        <w:rPr>
          <w:rFonts w:ascii="Times New Roman" w:hAnsi="Times New Roman" w:cs="Times New Roman"/>
          <w:color w:val="000000"/>
          <w:sz w:val="24"/>
          <w:szCs w:val="24"/>
        </w:rPr>
        <w:t>–</w:t>
      </w:r>
      <w:r>
        <w:rPr>
          <w:rFonts w:ascii="Times New Roman" w:hAnsi="Times New Roman" w:cs="Times New Roman"/>
          <w:sz w:val="24"/>
          <w:szCs w:val="24"/>
        </w:rPr>
        <w:t xml:space="preserve"> безкоштовний програмний пакет для аналізу проєктів з використанням джерел чистої енергії, включає в себе Базу кліматичних даних на основі інформації NASA;</w:t>
      </w:r>
    </w:p>
    <w:p w:rsidR="00D227E2" w:rsidRDefault="00301207">
      <w:pPr>
        <w:numPr>
          <w:ilvl w:val="0"/>
          <w:numId w:val="2"/>
        </w:numPr>
        <w:tabs>
          <w:tab w:val="left" w:pos="426"/>
        </w:tabs>
        <w:spacing w:after="0"/>
        <w:ind w:left="0" w:firstLine="0"/>
        <w:jc w:val="both"/>
        <w:rPr>
          <w:rFonts w:ascii="Times New Roman" w:hAnsi="Times New Roman" w:cs="Times New Roman"/>
        </w:rPr>
      </w:pPr>
      <w:hyperlink r:id="rId11">
        <w:r w:rsidR="00934FC4">
          <w:rPr>
            <w:rStyle w:val="a5"/>
            <w:rFonts w:ascii="Times New Roman" w:hAnsi="Times New Roman" w:cs="Times New Roman"/>
            <w:sz w:val="24"/>
            <w:szCs w:val="24"/>
          </w:rPr>
          <w:t>https://com-east.eu/</w:t>
        </w:r>
      </w:hyperlink>
      <w:r w:rsidR="00934FC4">
        <w:rPr>
          <w:rFonts w:ascii="Times New Roman" w:hAnsi="Times New Roman" w:cs="Times New Roman"/>
          <w:sz w:val="24"/>
          <w:szCs w:val="24"/>
        </w:rPr>
        <w:t xml:space="preserve"> </w:t>
      </w:r>
      <w:r w:rsidR="00934FC4">
        <w:rPr>
          <w:rFonts w:ascii="Times New Roman" w:hAnsi="Times New Roman" w:cs="Times New Roman"/>
          <w:color w:val="000000"/>
          <w:sz w:val="24"/>
          <w:szCs w:val="24"/>
        </w:rPr>
        <w:t>– вебсайт Угода мерів;</w:t>
      </w:r>
      <w:r w:rsidR="00934FC4">
        <w:rPr>
          <w:rFonts w:ascii="Times New Roman" w:hAnsi="Times New Roman" w:cs="Times New Roman"/>
          <w:sz w:val="24"/>
          <w:szCs w:val="24"/>
        </w:rPr>
        <w:t xml:space="preserve"> </w:t>
      </w:r>
    </w:p>
    <w:p w:rsidR="00D227E2" w:rsidRDefault="00301207">
      <w:pPr>
        <w:numPr>
          <w:ilvl w:val="0"/>
          <w:numId w:val="2"/>
        </w:numPr>
        <w:tabs>
          <w:tab w:val="left" w:pos="426"/>
        </w:tabs>
        <w:spacing w:after="0"/>
        <w:ind w:left="0" w:firstLine="0"/>
        <w:jc w:val="both"/>
        <w:rPr>
          <w:rFonts w:ascii="Times New Roman" w:hAnsi="Times New Roman" w:cs="Times New Roman"/>
        </w:rPr>
      </w:pPr>
      <w:hyperlink r:id="rId12">
        <w:r w:rsidR="00934FC4">
          <w:rPr>
            <w:rStyle w:val="a5"/>
            <w:rFonts w:ascii="Times New Roman" w:hAnsi="Times New Roman" w:cs="Times New Roman"/>
            <w:sz w:val="24"/>
            <w:szCs w:val="24"/>
          </w:rPr>
          <w:t>https://meteopost.com/pogoda/lutsk/</w:t>
        </w:r>
      </w:hyperlink>
      <w:r w:rsidR="00934FC4">
        <w:rPr>
          <w:rStyle w:val="a5"/>
          <w:rFonts w:ascii="Times New Roman" w:hAnsi="Times New Roman" w:cs="Times New Roman"/>
          <w:color w:val="C9211E"/>
          <w:sz w:val="24"/>
          <w:szCs w:val="24"/>
          <w:u w:val="none"/>
        </w:rPr>
        <w:t xml:space="preserve"> </w:t>
      </w:r>
      <w:r w:rsidR="00934FC4">
        <w:rPr>
          <w:rFonts w:ascii="Times New Roman" w:hAnsi="Times New Roman" w:cs="Times New Roman"/>
          <w:color w:val="000000"/>
          <w:sz w:val="24"/>
          <w:szCs w:val="24"/>
        </w:rPr>
        <w:t>– вебсайт кліматичні норми м. Луцьк для кліматичного періоду 1961-1990 роки;</w:t>
      </w:r>
    </w:p>
    <w:p w:rsidR="00D227E2" w:rsidRDefault="00301207">
      <w:pPr>
        <w:numPr>
          <w:ilvl w:val="0"/>
          <w:numId w:val="2"/>
        </w:numPr>
        <w:tabs>
          <w:tab w:val="left" w:pos="426"/>
        </w:tabs>
        <w:spacing w:after="0"/>
        <w:ind w:left="0" w:firstLine="0"/>
        <w:jc w:val="both"/>
        <w:rPr>
          <w:rFonts w:ascii="Times New Roman" w:hAnsi="Times New Roman" w:cs="Times New Roman"/>
        </w:rPr>
      </w:pPr>
      <w:hyperlink r:id="rId13">
        <w:r w:rsidR="00934FC4">
          <w:rPr>
            <w:rStyle w:val="a5"/>
            <w:rFonts w:ascii="Times New Roman" w:hAnsi="Times New Roman" w:cs="Times New Roman"/>
            <w:sz w:val="24"/>
            <w:szCs w:val="24"/>
          </w:rPr>
          <w:t>http://www.meteolutsk.net.ua/</w:t>
        </w:r>
      </w:hyperlink>
      <w:r w:rsidR="00934FC4">
        <w:rPr>
          <w:rFonts w:ascii="Times New Roman" w:hAnsi="Times New Roman" w:cs="Times New Roman"/>
          <w:color w:val="000000"/>
          <w:sz w:val="24"/>
          <w:szCs w:val="24"/>
        </w:rPr>
        <w:t xml:space="preserve"> – вебсайт Волинського обласного центру метеорології;</w:t>
      </w:r>
    </w:p>
    <w:p w:rsidR="00D227E2" w:rsidRDefault="00301207">
      <w:pPr>
        <w:numPr>
          <w:ilvl w:val="0"/>
          <w:numId w:val="2"/>
        </w:numPr>
        <w:tabs>
          <w:tab w:val="left" w:pos="426"/>
        </w:tabs>
        <w:spacing w:after="0"/>
        <w:ind w:left="0" w:firstLine="0"/>
        <w:jc w:val="both"/>
        <w:rPr>
          <w:rFonts w:ascii="Times New Roman" w:hAnsi="Times New Roman" w:cs="Times New Roman"/>
        </w:rPr>
      </w:pPr>
      <w:hyperlink r:id="rId14">
        <w:r w:rsidR="00934FC4">
          <w:rPr>
            <w:rStyle w:val="a5"/>
            <w:rFonts w:ascii="Times New Roman" w:hAnsi="Times New Roman" w:cs="Times New Roman"/>
            <w:color w:val="000000"/>
            <w:sz w:val="24"/>
            <w:szCs w:val="24"/>
          </w:rPr>
          <w:t>https://www.facebook.com/gidrometeovolyn</w:t>
        </w:r>
      </w:hyperlink>
      <w:hyperlink r:id="rId15">
        <w:r w:rsidR="00934FC4">
          <w:rPr>
            <w:rStyle w:val="a5"/>
            <w:rFonts w:ascii="Times New Roman" w:hAnsi="Times New Roman" w:cs="Times New Roman"/>
            <w:color w:val="000000"/>
            <w:sz w:val="24"/>
            <w:szCs w:val="24"/>
          </w:rPr>
          <w:t>/</w:t>
        </w:r>
      </w:hyperlink>
      <w:r w:rsidR="00934FC4">
        <w:rPr>
          <w:rStyle w:val="a5"/>
          <w:rFonts w:ascii="Times New Roman" w:hAnsi="Times New Roman" w:cs="Times New Roman"/>
          <w:color w:val="auto"/>
          <w:sz w:val="24"/>
          <w:szCs w:val="24"/>
          <w:u w:val="none"/>
        </w:rPr>
        <w:t xml:space="preserve"> </w:t>
      </w:r>
      <w:r w:rsidR="00934FC4">
        <w:rPr>
          <w:rFonts w:ascii="Times New Roman" w:hAnsi="Times New Roman" w:cs="Times New Roman"/>
          <w:color w:val="000000"/>
          <w:sz w:val="24"/>
          <w:szCs w:val="24"/>
        </w:rPr>
        <w:t>– вебсторінка фейсбук Волинського обласного центру метеорології;</w:t>
      </w:r>
    </w:p>
    <w:p w:rsidR="00D227E2" w:rsidRDefault="00301207">
      <w:pPr>
        <w:numPr>
          <w:ilvl w:val="0"/>
          <w:numId w:val="2"/>
        </w:numPr>
        <w:tabs>
          <w:tab w:val="left" w:pos="426"/>
        </w:tabs>
        <w:spacing w:after="0"/>
        <w:ind w:left="0" w:firstLine="0"/>
        <w:jc w:val="both"/>
        <w:rPr>
          <w:rFonts w:ascii="Times New Roman" w:hAnsi="Times New Roman" w:cs="Times New Roman"/>
        </w:rPr>
      </w:pPr>
      <w:hyperlink r:id="rId16">
        <w:r w:rsidR="00934FC4">
          <w:rPr>
            <w:rStyle w:val="a5"/>
            <w:rFonts w:ascii="Times New Roman" w:hAnsi="Times New Roman" w:cs="Times New Roman"/>
            <w:color w:val="000000"/>
            <w:sz w:val="24"/>
            <w:szCs w:val="24"/>
          </w:rPr>
          <w:t>https://razumkov.energy/meny/research/research-energy-uapolicy/</w:t>
        </w:r>
      </w:hyperlink>
      <w:r w:rsidR="00934FC4">
        <w:rPr>
          <w:rStyle w:val="12"/>
          <w:rFonts w:ascii="Times New Roman" w:hAnsi="Times New Roman" w:cs="Times New Roman"/>
          <w:b w:val="0"/>
          <w:bCs w:val="0"/>
          <w:color w:val="000000"/>
          <w:sz w:val="24"/>
          <w:szCs w:val="24"/>
        </w:rPr>
        <w:t xml:space="preserve"> – вебсайт Разумков центр;</w:t>
      </w:r>
    </w:p>
    <w:p w:rsidR="00D227E2" w:rsidRDefault="00301207">
      <w:pPr>
        <w:numPr>
          <w:ilvl w:val="0"/>
          <w:numId w:val="2"/>
        </w:numPr>
        <w:tabs>
          <w:tab w:val="left" w:pos="450"/>
        </w:tabs>
        <w:spacing w:after="0"/>
        <w:ind w:left="0" w:firstLine="0"/>
        <w:jc w:val="both"/>
        <w:rPr>
          <w:rFonts w:ascii="Times New Roman" w:hAnsi="Times New Roman" w:cs="Times New Roman"/>
        </w:rPr>
      </w:pPr>
      <w:hyperlink r:id="rId17">
        <w:r w:rsidR="00934FC4">
          <w:rPr>
            <w:rStyle w:val="a5"/>
            <w:rFonts w:ascii="Times New Roman" w:eastAsia="NSimSun" w:hAnsi="Times New Roman" w:cs="Times New Roman"/>
            <w:color w:val="000000"/>
            <w:kern w:val="2"/>
            <w:sz w:val="24"/>
            <w:szCs w:val="24"/>
            <w:shd w:val="clear" w:color="auto" w:fill="FFFFFF"/>
            <w:lang w:eastAsia="zh-CN" w:bidi="hi-IN"/>
          </w:rPr>
          <w:t>https://www.calculat.org/ua/</w:t>
        </w:r>
      </w:hyperlink>
      <w:r w:rsidR="00934FC4">
        <w:rPr>
          <w:rStyle w:val="12"/>
          <w:rFonts w:ascii="Times New Roman" w:eastAsia="NSimSun" w:hAnsi="Times New Roman" w:cs="Times New Roman"/>
          <w:b w:val="0"/>
          <w:bCs w:val="0"/>
          <w:color w:val="000000"/>
          <w:kern w:val="2"/>
          <w:sz w:val="24"/>
          <w:szCs w:val="24"/>
          <w:u w:val="single"/>
          <w:shd w:val="clear" w:color="auto" w:fill="FFFFFF"/>
          <w:lang w:eastAsia="zh-CN" w:bidi="hi-IN"/>
        </w:rPr>
        <w:t xml:space="preserve"> </w:t>
      </w:r>
      <w:r w:rsidR="00934FC4">
        <w:rPr>
          <w:rStyle w:val="12"/>
          <w:rFonts w:ascii="Times New Roman" w:eastAsia="NSimSun" w:hAnsi="Times New Roman" w:cs="Times New Roman"/>
          <w:b w:val="0"/>
          <w:bCs w:val="0"/>
          <w:color w:val="000000"/>
          <w:kern w:val="2"/>
          <w:sz w:val="24"/>
          <w:szCs w:val="24"/>
          <w:shd w:val="clear" w:color="auto" w:fill="FFFFFF"/>
          <w:lang w:eastAsia="zh-CN" w:bidi="hi-IN"/>
        </w:rPr>
        <w:t>- вебсторінка: онлайн калькулятор;</w:t>
      </w:r>
    </w:p>
    <w:p w:rsidR="00D227E2" w:rsidRDefault="00934FC4">
      <w:pPr>
        <w:numPr>
          <w:ilvl w:val="0"/>
          <w:numId w:val="2"/>
        </w:numPr>
        <w:tabs>
          <w:tab w:val="left" w:pos="426"/>
        </w:tabs>
        <w:spacing w:after="0"/>
        <w:ind w:left="0" w:firstLine="0"/>
        <w:jc w:val="both"/>
        <w:rPr>
          <w:rFonts w:ascii="Times New Roman" w:hAnsi="Times New Roman" w:cs="Times New Roman"/>
        </w:rPr>
      </w:pPr>
      <w:r>
        <w:rPr>
          <w:rFonts w:ascii="Times New Roman" w:hAnsi="Times New Roman" w:cs="Times New Roman"/>
          <w:sz w:val="24"/>
          <w:szCs w:val="24"/>
        </w:rPr>
        <w:t>ДСТУ-Н Б.В.1.1-27:2010 «Будівельна кліматологія»;</w:t>
      </w:r>
    </w:p>
    <w:p w:rsidR="00D227E2" w:rsidRDefault="00934FC4">
      <w:pPr>
        <w:numPr>
          <w:ilvl w:val="0"/>
          <w:numId w:val="2"/>
        </w:numPr>
        <w:tabs>
          <w:tab w:val="left" w:pos="426"/>
        </w:tabs>
        <w:spacing w:after="0"/>
        <w:ind w:left="0" w:firstLine="0"/>
        <w:jc w:val="both"/>
        <w:rPr>
          <w:rFonts w:ascii="Times New Roman" w:hAnsi="Times New Roman" w:cs="Times New Roman"/>
        </w:rPr>
      </w:pPr>
      <w:r>
        <w:rPr>
          <w:rFonts w:ascii="Times New Roman" w:hAnsi="Times New Roman" w:cs="Times New Roman"/>
          <w:sz w:val="24"/>
          <w:szCs w:val="24"/>
        </w:rPr>
        <w:t>Інформація від муніципальних установ та організацій Луцької міської територіальної громади;</w:t>
      </w:r>
    </w:p>
    <w:p w:rsidR="00D227E2" w:rsidRDefault="00934FC4">
      <w:pPr>
        <w:numPr>
          <w:ilvl w:val="0"/>
          <w:numId w:val="2"/>
        </w:numPr>
        <w:tabs>
          <w:tab w:val="left" w:pos="426"/>
        </w:tabs>
        <w:spacing w:after="0"/>
        <w:ind w:left="0" w:firstLine="0"/>
        <w:jc w:val="both"/>
        <w:rPr>
          <w:rFonts w:ascii="Times New Roman" w:hAnsi="Times New Roman" w:cs="Times New Roman"/>
        </w:rPr>
      </w:pPr>
      <w:r>
        <w:rPr>
          <w:rFonts w:ascii="Times New Roman" w:hAnsi="Times New Roman" w:cs="Times New Roman"/>
          <w:sz w:val="24"/>
          <w:szCs w:val="24"/>
        </w:rPr>
        <w:t>Матеріали серії тренінгів з планування адаптації міст України до зміни клімату» (14-15 вересня 2023 року) в рамках реалізації проєкту APENA 3 за підтримки Європейського Союзу (команда проєкту «Угода Мерів – Схід»);</w:t>
      </w:r>
    </w:p>
    <w:p w:rsidR="00D227E2" w:rsidRDefault="00934FC4">
      <w:pPr>
        <w:numPr>
          <w:ilvl w:val="0"/>
          <w:numId w:val="2"/>
        </w:numPr>
        <w:tabs>
          <w:tab w:val="left" w:pos="426"/>
        </w:tabs>
        <w:spacing w:after="0"/>
        <w:ind w:left="0" w:firstLine="0"/>
        <w:jc w:val="both"/>
        <w:rPr>
          <w:rFonts w:ascii="Times New Roman" w:hAnsi="Times New Roman" w:cs="Times New Roman"/>
        </w:rPr>
      </w:pPr>
      <w:r>
        <w:rPr>
          <w:rFonts w:ascii="Times New Roman" w:hAnsi="Times New Roman" w:cs="Times New Roman"/>
          <w:sz w:val="24"/>
          <w:szCs w:val="24"/>
        </w:rPr>
        <w:t>Результати моніторингу споживання енергоресурсів муніципальними установами та організаціями, що фінансуються з бюджету Луцької міської територіальної громади.</w:t>
      </w:r>
    </w:p>
    <w:p w:rsidR="00D227E2" w:rsidRDefault="00934FC4">
      <w:pPr>
        <w:pStyle w:val="1"/>
        <w:tabs>
          <w:tab w:val="left" w:pos="6660"/>
        </w:tabs>
        <w:rPr>
          <w:rFonts w:ascii="Times New Roman" w:hAnsi="Times New Roman" w:cs="Times New Roman"/>
        </w:rPr>
      </w:pPr>
      <w:r>
        <w:rPr>
          <w:rFonts w:ascii="Times New Roman" w:hAnsi="Times New Roman" w:cs="Times New Roman"/>
          <w:b w:val="0"/>
          <w:bCs w:val="0"/>
          <w:sz w:val="24"/>
          <w:szCs w:val="24"/>
        </w:rPr>
        <w:tab/>
      </w:r>
    </w:p>
    <w:p w:rsidR="00D227E2" w:rsidRDefault="00D227E2">
      <w:pPr>
        <w:rPr>
          <w:rFonts w:ascii="Times New Roman" w:hAnsi="Times New Roman" w:cs="Times New Roman"/>
          <w:sz w:val="24"/>
          <w:szCs w:val="24"/>
        </w:rPr>
      </w:pPr>
    </w:p>
    <w:p w:rsidR="00D227E2" w:rsidRDefault="00D227E2">
      <w:pPr>
        <w:rPr>
          <w:rFonts w:ascii="Times New Roman" w:hAnsi="Times New Roman" w:cs="Times New Roman"/>
          <w:sz w:val="24"/>
          <w:szCs w:val="24"/>
        </w:rPr>
      </w:pPr>
    </w:p>
    <w:p w:rsidR="00D227E2" w:rsidRDefault="00D227E2">
      <w:pPr>
        <w:rPr>
          <w:rFonts w:ascii="Times New Roman" w:hAnsi="Times New Roman" w:cs="Times New Roman"/>
          <w:sz w:val="24"/>
          <w:szCs w:val="24"/>
        </w:rPr>
      </w:pPr>
    </w:p>
    <w:p w:rsidR="00D227E2" w:rsidRDefault="00D227E2">
      <w:pPr>
        <w:rPr>
          <w:rFonts w:ascii="Times New Roman" w:hAnsi="Times New Roman" w:cs="Times New Roman"/>
          <w:sz w:val="24"/>
          <w:szCs w:val="24"/>
        </w:rPr>
      </w:pPr>
    </w:p>
    <w:p w:rsidR="00D227E2" w:rsidRDefault="00D227E2">
      <w:pPr>
        <w:rPr>
          <w:rFonts w:ascii="Times New Roman" w:hAnsi="Times New Roman" w:cs="Times New Roman"/>
          <w:sz w:val="24"/>
          <w:szCs w:val="24"/>
        </w:rPr>
      </w:pPr>
    </w:p>
    <w:p w:rsidR="00D227E2" w:rsidRDefault="00D227E2">
      <w:pPr>
        <w:rPr>
          <w:rFonts w:ascii="Times New Roman" w:hAnsi="Times New Roman" w:cs="Times New Roman"/>
          <w:sz w:val="24"/>
          <w:szCs w:val="24"/>
        </w:rPr>
      </w:pPr>
    </w:p>
    <w:p w:rsidR="00D227E2" w:rsidRDefault="00D227E2">
      <w:pPr>
        <w:rPr>
          <w:rFonts w:ascii="Times New Roman" w:hAnsi="Times New Roman" w:cs="Times New Roman"/>
          <w:sz w:val="24"/>
          <w:szCs w:val="24"/>
        </w:rPr>
      </w:pPr>
    </w:p>
    <w:p w:rsidR="00D227E2" w:rsidRDefault="00D227E2">
      <w:pPr>
        <w:rPr>
          <w:rFonts w:ascii="Times New Roman" w:hAnsi="Times New Roman" w:cs="Times New Roman"/>
          <w:sz w:val="24"/>
          <w:szCs w:val="24"/>
        </w:rPr>
      </w:pPr>
    </w:p>
    <w:p w:rsidR="00D227E2" w:rsidRDefault="00D227E2">
      <w:pPr>
        <w:rPr>
          <w:rFonts w:ascii="Times New Roman" w:hAnsi="Times New Roman" w:cs="Times New Roman"/>
          <w:sz w:val="24"/>
          <w:szCs w:val="24"/>
        </w:rPr>
      </w:pPr>
    </w:p>
    <w:p w:rsidR="00D227E2" w:rsidRDefault="00D227E2">
      <w:pPr>
        <w:rPr>
          <w:rFonts w:ascii="Times New Roman" w:hAnsi="Times New Roman" w:cs="Times New Roman"/>
          <w:sz w:val="24"/>
          <w:szCs w:val="24"/>
        </w:rPr>
      </w:pPr>
    </w:p>
    <w:p w:rsidR="00D227E2" w:rsidRDefault="00D227E2">
      <w:pPr>
        <w:rPr>
          <w:rFonts w:ascii="Times New Roman" w:hAnsi="Times New Roman" w:cs="Times New Roman"/>
          <w:sz w:val="24"/>
          <w:szCs w:val="24"/>
        </w:rPr>
      </w:pPr>
    </w:p>
    <w:p w:rsidR="00D227E2" w:rsidRDefault="00D227E2">
      <w:pPr>
        <w:rPr>
          <w:rFonts w:ascii="Times New Roman" w:hAnsi="Times New Roman" w:cs="Times New Roman"/>
          <w:sz w:val="24"/>
          <w:szCs w:val="24"/>
        </w:rPr>
      </w:pPr>
    </w:p>
    <w:p w:rsidR="00D227E2" w:rsidRDefault="00934FC4">
      <w:pPr>
        <w:pStyle w:val="1"/>
        <w:jc w:val="center"/>
        <w:rPr>
          <w:rFonts w:ascii="Times New Roman" w:hAnsi="Times New Roman" w:cs="Times New Roman"/>
        </w:rPr>
      </w:pPr>
      <w:bookmarkStart w:id="3" w:name="_Toc109399322"/>
      <w:r>
        <w:rPr>
          <w:rFonts w:ascii="Times New Roman" w:hAnsi="Times New Roman" w:cs="Times New Roman"/>
          <w:color w:val="auto"/>
          <w:sz w:val="24"/>
          <w:szCs w:val="24"/>
        </w:rPr>
        <w:lastRenderedPageBreak/>
        <w:t>Скорочення</w:t>
      </w:r>
      <w:bookmarkEnd w:id="3"/>
    </w:p>
    <w:p w:rsidR="00D227E2" w:rsidRDefault="00934FC4">
      <w:pPr>
        <w:spacing w:after="0"/>
        <w:jc w:val="both"/>
        <w:rPr>
          <w:rFonts w:ascii="Times New Roman" w:hAnsi="Times New Roman" w:cs="Times New Roman"/>
        </w:rPr>
      </w:pPr>
      <w:r>
        <w:rPr>
          <w:rFonts w:ascii="Times New Roman" w:hAnsi="Times New Roman" w:cs="Times New Roman"/>
          <w:sz w:val="24"/>
          <w:szCs w:val="24"/>
        </w:rPr>
        <w:t>БКВ – базовий кадастр викидів;</w:t>
      </w:r>
    </w:p>
    <w:p w:rsidR="00D227E2" w:rsidRDefault="00934FC4">
      <w:pPr>
        <w:spacing w:after="0"/>
        <w:jc w:val="both"/>
        <w:rPr>
          <w:rFonts w:ascii="Times New Roman" w:hAnsi="Times New Roman" w:cs="Times New Roman"/>
        </w:rPr>
      </w:pPr>
      <w:r>
        <w:rPr>
          <w:rFonts w:ascii="Times New Roman" w:hAnsi="Times New Roman" w:cs="Times New Roman"/>
          <w:sz w:val="24"/>
          <w:szCs w:val="24"/>
        </w:rPr>
        <w:t>ВДЕ – відновлювальні джерела енергії;</w:t>
      </w:r>
    </w:p>
    <w:p w:rsidR="00D227E2" w:rsidRDefault="00934FC4">
      <w:pPr>
        <w:spacing w:after="0"/>
        <w:jc w:val="both"/>
        <w:rPr>
          <w:rFonts w:ascii="Times New Roman" w:hAnsi="Times New Roman" w:cs="Times New Roman"/>
        </w:rPr>
      </w:pPr>
      <w:r>
        <w:rPr>
          <w:rFonts w:ascii="Times New Roman" w:hAnsi="Times New Roman" w:cs="Times New Roman"/>
          <w:sz w:val="24"/>
          <w:szCs w:val="24"/>
        </w:rPr>
        <w:t>СТВ – система торгівлі викидами;</w:t>
      </w:r>
    </w:p>
    <w:p w:rsidR="00D227E2" w:rsidRDefault="00934FC4">
      <w:pPr>
        <w:spacing w:after="0"/>
        <w:jc w:val="both"/>
        <w:rPr>
          <w:rFonts w:ascii="Times New Roman" w:hAnsi="Times New Roman" w:cs="Times New Roman"/>
        </w:rPr>
      </w:pPr>
      <w:r>
        <w:rPr>
          <w:rFonts w:ascii="Times New Roman" w:hAnsi="Times New Roman" w:cs="Times New Roman"/>
          <w:sz w:val="24"/>
          <w:szCs w:val="24"/>
        </w:rPr>
        <w:t>КГУ – когенераційна установка;</w:t>
      </w:r>
    </w:p>
    <w:p w:rsidR="00D227E2" w:rsidRDefault="00934FC4">
      <w:pPr>
        <w:spacing w:after="0"/>
        <w:jc w:val="both"/>
        <w:rPr>
          <w:rFonts w:ascii="Times New Roman" w:hAnsi="Times New Roman" w:cs="Times New Roman"/>
        </w:rPr>
      </w:pPr>
      <w:r>
        <w:rPr>
          <w:rFonts w:ascii="Times New Roman" w:hAnsi="Times New Roman" w:cs="Times New Roman"/>
          <w:sz w:val="24"/>
          <w:szCs w:val="24"/>
        </w:rPr>
        <w:t xml:space="preserve">СПД – суб’єкти підприємницької діяльності; </w:t>
      </w:r>
    </w:p>
    <w:p w:rsidR="00D227E2" w:rsidRDefault="00934FC4">
      <w:pPr>
        <w:spacing w:after="0"/>
        <w:jc w:val="both"/>
        <w:rPr>
          <w:rFonts w:ascii="Times New Roman" w:hAnsi="Times New Roman" w:cs="Times New Roman"/>
        </w:rPr>
      </w:pPr>
      <w:r>
        <w:rPr>
          <w:rFonts w:ascii="Times New Roman" w:hAnsi="Times New Roman" w:cs="Times New Roman"/>
          <w:sz w:val="24"/>
          <w:szCs w:val="24"/>
        </w:rPr>
        <w:t>ЮО – юридичні особи;</w:t>
      </w:r>
    </w:p>
    <w:p w:rsidR="00D227E2" w:rsidRDefault="00934FC4">
      <w:pPr>
        <w:spacing w:after="0"/>
        <w:jc w:val="both"/>
        <w:rPr>
          <w:rFonts w:ascii="Times New Roman" w:hAnsi="Times New Roman" w:cs="Times New Roman"/>
        </w:rPr>
      </w:pPr>
      <w:r>
        <w:rPr>
          <w:rFonts w:ascii="Times New Roman" w:hAnsi="Times New Roman" w:cs="Times New Roman"/>
          <w:sz w:val="24"/>
          <w:szCs w:val="24"/>
        </w:rPr>
        <w:t>ФОП – фізичні особи-підприємці;</w:t>
      </w:r>
    </w:p>
    <w:p w:rsidR="00D227E2" w:rsidRDefault="00934FC4">
      <w:pPr>
        <w:spacing w:after="0"/>
        <w:jc w:val="both"/>
        <w:rPr>
          <w:rFonts w:ascii="Times New Roman" w:hAnsi="Times New Roman" w:cs="Times New Roman"/>
        </w:rPr>
      </w:pPr>
      <w:r>
        <w:rPr>
          <w:rFonts w:ascii="Times New Roman" w:hAnsi="Times New Roman" w:cs="Times New Roman"/>
          <w:sz w:val="24"/>
          <w:szCs w:val="24"/>
        </w:rPr>
        <w:t>ПДСЕРК – План дій сталого енергетичного розвитку та клімату;</w:t>
      </w:r>
    </w:p>
    <w:p w:rsidR="00D227E2" w:rsidRDefault="00934FC4">
      <w:pPr>
        <w:spacing w:after="0"/>
        <w:jc w:val="both"/>
        <w:rPr>
          <w:rFonts w:ascii="Times New Roman" w:hAnsi="Times New Roman" w:cs="Times New Roman"/>
        </w:rPr>
      </w:pPr>
      <w:r>
        <w:rPr>
          <w:rFonts w:ascii="Times New Roman" w:hAnsi="Times New Roman" w:cs="Times New Roman"/>
          <w:sz w:val="24"/>
          <w:szCs w:val="24"/>
        </w:rPr>
        <w:t>ПДСЕР – План дій сталого енергетичного розвитку;</w:t>
      </w:r>
    </w:p>
    <w:p w:rsidR="00D227E2" w:rsidRDefault="00934FC4">
      <w:pPr>
        <w:spacing w:after="0"/>
        <w:jc w:val="both"/>
        <w:rPr>
          <w:rFonts w:ascii="Times New Roman" w:hAnsi="Times New Roman" w:cs="Times New Roman"/>
        </w:rPr>
      </w:pPr>
      <w:r>
        <w:rPr>
          <w:rFonts w:ascii="Times New Roman" w:hAnsi="Times New Roman" w:cs="Times New Roman"/>
          <w:sz w:val="24"/>
          <w:szCs w:val="24"/>
        </w:rPr>
        <w:t>ППУ – пінополіуретан;</w:t>
      </w:r>
    </w:p>
    <w:p w:rsidR="00D227E2" w:rsidRDefault="00934FC4">
      <w:pPr>
        <w:spacing w:after="0"/>
        <w:jc w:val="both"/>
        <w:rPr>
          <w:rFonts w:ascii="Times New Roman" w:hAnsi="Times New Roman" w:cs="Times New Roman"/>
        </w:rPr>
      </w:pPr>
      <w:r>
        <w:rPr>
          <w:rFonts w:ascii="Times New Roman" w:hAnsi="Times New Roman" w:cs="Times New Roman"/>
          <w:sz w:val="24"/>
          <w:szCs w:val="24"/>
        </w:rPr>
        <w:t>ЦТП – центральний тепловий пункт;</w:t>
      </w:r>
    </w:p>
    <w:p w:rsidR="00D227E2" w:rsidRDefault="00934FC4">
      <w:pPr>
        <w:spacing w:after="0"/>
        <w:jc w:val="both"/>
        <w:rPr>
          <w:rFonts w:ascii="Times New Roman" w:hAnsi="Times New Roman" w:cs="Times New Roman"/>
        </w:rPr>
      </w:pPr>
      <w:r>
        <w:rPr>
          <w:rFonts w:ascii="Times New Roman" w:hAnsi="Times New Roman" w:cs="Times New Roman"/>
          <w:sz w:val="24"/>
          <w:szCs w:val="24"/>
        </w:rPr>
        <w:t>ІТП – індивідуальний тепловий пункт;</w:t>
      </w:r>
    </w:p>
    <w:p w:rsidR="00D227E2" w:rsidRDefault="00934FC4">
      <w:pPr>
        <w:spacing w:after="0"/>
        <w:jc w:val="both"/>
        <w:rPr>
          <w:rFonts w:ascii="Times New Roman" w:hAnsi="Times New Roman" w:cs="Times New Roman"/>
        </w:rPr>
      </w:pPr>
      <w:r>
        <w:rPr>
          <w:rFonts w:ascii="Times New Roman" w:hAnsi="Times New Roman" w:cs="Times New Roman"/>
          <w:sz w:val="24"/>
          <w:szCs w:val="24"/>
        </w:rPr>
        <w:t>ГВП – гаряче водоспоживання;</w:t>
      </w:r>
    </w:p>
    <w:p w:rsidR="00D227E2" w:rsidRDefault="00934FC4">
      <w:pPr>
        <w:pStyle w:val="a1"/>
        <w:spacing w:after="0"/>
        <w:jc w:val="both"/>
        <w:rPr>
          <w:rFonts w:ascii="Times New Roman" w:hAnsi="Times New Roman" w:cs="Times New Roman"/>
        </w:rPr>
      </w:pPr>
      <w:r>
        <w:rPr>
          <w:rFonts w:ascii="Times New Roman" w:hAnsi="Times New Roman" w:cs="Times New Roman"/>
          <w:sz w:val="24"/>
          <w:szCs w:val="24"/>
        </w:rPr>
        <w:t>АГРС – автоматизована газорозподільна станція;</w:t>
      </w:r>
    </w:p>
    <w:p w:rsidR="00D227E2" w:rsidRDefault="00934FC4">
      <w:pPr>
        <w:pStyle w:val="a1"/>
        <w:spacing w:after="0"/>
        <w:jc w:val="both"/>
        <w:rPr>
          <w:rFonts w:ascii="Times New Roman" w:hAnsi="Times New Roman" w:cs="Times New Roman"/>
        </w:rPr>
      </w:pPr>
      <w:r>
        <w:rPr>
          <w:rFonts w:ascii="Times New Roman" w:hAnsi="Times New Roman" w:cs="Times New Roman"/>
          <w:sz w:val="24"/>
          <w:szCs w:val="24"/>
        </w:rPr>
        <w:t>ТПВ – тверді побутові відходи;</w:t>
      </w:r>
    </w:p>
    <w:p w:rsidR="00D227E2" w:rsidRDefault="00934FC4">
      <w:pPr>
        <w:pStyle w:val="a1"/>
        <w:spacing w:after="0"/>
        <w:jc w:val="both"/>
        <w:rPr>
          <w:rFonts w:ascii="Times New Roman" w:hAnsi="Times New Roman" w:cs="Times New Roman"/>
        </w:rPr>
      </w:pPr>
      <w:r>
        <w:rPr>
          <w:rFonts w:ascii="Times New Roman" w:hAnsi="Times New Roman" w:cs="Times New Roman"/>
          <w:sz w:val="24"/>
          <w:szCs w:val="24"/>
        </w:rPr>
        <w:t>ГРП – газорегулюючі пункти;</w:t>
      </w:r>
    </w:p>
    <w:p w:rsidR="00D227E2" w:rsidRDefault="00934FC4">
      <w:pPr>
        <w:pStyle w:val="a1"/>
        <w:spacing w:after="0"/>
        <w:jc w:val="both"/>
        <w:rPr>
          <w:rFonts w:ascii="Times New Roman" w:hAnsi="Times New Roman" w:cs="Times New Roman"/>
        </w:rPr>
      </w:pPr>
      <w:r>
        <w:rPr>
          <w:rFonts w:ascii="Times New Roman" w:hAnsi="Times New Roman" w:cs="Times New Roman"/>
          <w:sz w:val="24"/>
          <w:szCs w:val="24"/>
        </w:rPr>
        <w:t>ШРП – шафові газорегулюючі пункти;</w:t>
      </w:r>
    </w:p>
    <w:p w:rsidR="00D227E2" w:rsidRDefault="00934FC4">
      <w:pPr>
        <w:pStyle w:val="a1"/>
        <w:spacing w:after="0"/>
        <w:jc w:val="both"/>
        <w:rPr>
          <w:rFonts w:ascii="Times New Roman" w:hAnsi="Times New Roman" w:cs="Times New Roman"/>
        </w:rPr>
      </w:pPr>
      <w:r>
        <w:rPr>
          <w:rFonts w:ascii="Times New Roman" w:hAnsi="Times New Roman" w:cs="Times New Roman"/>
          <w:sz w:val="24"/>
          <w:szCs w:val="24"/>
        </w:rPr>
        <w:t>СО – старостинські округи;</w:t>
      </w:r>
    </w:p>
    <w:p w:rsidR="00D227E2" w:rsidRDefault="00934FC4">
      <w:pPr>
        <w:pStyle w:val="a1"/>
        <w:spacing w:after="0"/>
        <w:jc w:val="both"/>
        <w:rPr>
          <w:rFonts w:ascii="Times New Roman" w:hAnsi="Times New Roman" w:cs="Times New Roman"/>
        </w:rPr>
      </w:pPr>
      <w:r>
        <w:rPr>
          <w:rFonts w:ascii="Times New Roman" w:hAnsi="Times New Roman" w:cs="Times New Roman"/>
          <w:sz w:val="24"/>
          <w:szCs w:val="24"/>
        </w:rPr>
        <w:t xml:space="preserve">СМЯ – стихійне метеорологічне явище;  </w:t>
      </w:r>
    </w:p>
    <w:p w:rsidR="00D227E2" w:rsidRDefault="00934FC4">
      <w:pPr>
        <w:pStyle w:val="a1"/>
        <w:spacing w:after="0"/>
        <w:jc w:val="both"/>
        <w:rPr>
          <w:rFonts w:ascii="Times New Roman" w:hAnsi="Times New Roman" w:cs="Times New Roman"/>
        </w:rPr>
      </w:pPr>
      <w:r>
        <w:rPr>
          <w:rFonts w:ascii="Times New Roman" w:hAnsi="Times New Roman" w:cs="Times New Roman"/>
          <w:sz w:val="24"/>
          <w:szCs w:val="24"/>
        </w:rPr>
        <w:t>АГРС – автоматична газорозподільна станція;</w:t>
      </w:r>
    </w:p>
    <w:p w:rsidR="00D227E2" w:rsidRDefault="00934FC4">
      <w:pPr>
        <w:pStyle w:val="a1"/>
        <w:spacing w:after="0"/>
        <w:jc w:val="both"/>
        <w:rPr>
          <w:rFonts w:ascii="Times New Roman" w:hAnsi="Times New Roman" w:cs="Times New Roman"/>
        </w:rPr>
      </w:pPr>
      <w:r>
        <w:rPr>
          <w:rFonts w:ascii="Times New Roman" w:hAnsi="Times New Roman" w:cs="Times New Roman"/>
          <w:sz w:val="24"/>
          <w:szCs w:val="24"/>
        </w:rPr>
        <w:t>ГРП – газорегуляторні пункти;</w:t>
      </w:r>
    </w:p>
    <w:p w:rsidR="00D227E2" w:rsidRDefault="00934FC4">
      <w:pPr>
        <w:pStyle w:val="a1"/>
        <w:spacing w:after="0"/>
        <w:jc w:val="both"/>
        <w:rPr>
          <w:rFonts w:ascii="Times New Roman" w:hAnsi="Times New Roman" w:cs="Times New Roman"/>
        </w:rPr>
      </w:pPr>
      <w:r>
        <w:rPr>
          <w:rFonts w:ascii="Times New Roman" w:hAnsi="Times New Roman" w:cs="Times New Roman"/>
          <w:sz w:val="24"/>
          <w:szCs w:val="24"/>
        </w:rPr>
        <w:t>ШРП – шафовий регуляторний пункт.</w:t>
      </w:r>
    </w:p>
    <w:p w:rsidR="00D227E2" w:rsidRDefault="00D227E2">
      <w:pPr>
        <w:pStyle w:val="a1"/>
        <w:spacing w:after="0"/>
        <w:jc w:val="both"/>
        <w:rPr>
          <w:rFonts w:ascii="Times New Roman" w:hAnsi="Times New Roman" w:cs="Times New Roman"/>
        </w:rPr>
      </w:pPr>
    </w:p>
    <w:p w:rsidR="00D227E2" w:rsidRDefault="00D227E2">
      <w:pPr>
        <w:spacing w:after="0"/>
        <w:ind w:firstLine="567"/>
        <w:jc w:val="both"/>
        <w:rPr>
          <w:rFonts w:ascii="Times New Roman" w:hAnsi="Times New Roman" w:cs="Times New Roman"/>
          <w:sz w:val="24"/>
          <w:szCs w:val="24"/>
        </w:rPr>
      </w:pPr>
    </w:p>
    <w:p w:rsidR="00D227E2" w:rsidRDefault="00D227E2">
      <w:pPr>
        <w:spacing w:after="0"/>
        <w:ind w:firstLine="567"/>
        <w:jc w:val="both"/>
        <w:rPr>
          <w:rFonts w:ascii="Times New Roman" w:hAnsi="Times New Roman" w:cs="Times New Roman"/>
          <w:sz w:val="24"/>
          <w:szCs w:val="24"/>
        </w:rPr>
      </w:pPr>
    </w:p>
    <w:p w:rsidR="00D227E2" w:rsidRDefault="00D227E2">
      <w:pPr>
        <w:spacing w:after="0"/>
        <w:ind w:firstLine="567"/>
        <w:jc w:val="both"/>
        <w:rPr>
          <w:rFonts w:ascii="Times New Roman" w:hAnsi="Times New Roman" w:cs="Times New Roman"/>
          <w:sz w:val="24"/>
          <w:szCs w:val="24"/>
        </w:rPr>
      </w:pPr>
    </w:p>
    <w:p w:rsidR="00D227E2" w:rsidRDefault="00D227E2">
      <w:pPr>
        <w:spacing w:after="0"/>
        <w:ind w:firstLine="567"/>
        <w:jc w:val="both"/>
        <w:rPr>
          <w:rFonts w:ascii="Times New Roman" w:hAnsi="Times New Roman" w:cs="Times New Roman"/>
          <w:sz w:val="24"/>
          <w:szCs w:val="24"/>
        </w:rPr>
      </w:pPr>
    </w:p>
    <w:p w:rsidR="00D227E2" w:rsidRDefault="00D227E2">
      <w:pPr>
        <w:spacing w:after="0"/>
        <w:ind w:firstLine="567"/>
        <w:jc w:val="both"/>
        <w:rPr>
          <w:rFonts w:ascii="Times New Roman" w:hAnsi="Times New Roman" w:cs="Times New Roman"/>
          <w:sz w:val="24"/>
          <w:szCs w:val="24"/>
        </w:rPr>
      </w:pPr>
    </w:p>
    <w:p w:rsidR="00D227E2" w:rsidRDefault="00D227E2">
      <w:pPr>
        <w:spacing w:after="0"/>
        <w:ind w:firstLine="567"/>
        <w:jc w:val="both"/>
        <w:rPr>
          <w:rFonts w:ascii="Times New Roman" w:hAnsi="Times New Roman" w:cs="Times New Roman"/>
          <w:sz w:val="24"/>
          <w:szCs w:val="24"/>
        </w:rPr>
      </w:pPr>
    </w:p>
    <w:p w:rsidR="00D227E2" w:rsidRDefault="00D227E2">
      <w:pPr>
        <w:spacing w:after="0"/>
        <w:ind w:firstLine="567"/>
        <w:jc w:val="both"/>
        <w:rPr>
          <w:rFonts w:ascii="Times New Roman" w:hAnsi="Times New Roman" w:cs="Times New Roman"/>
          <w:sz w:val="24"/>
          <w:szCs w:val="24"/>
        </w:rPr>
      </w:pPr>
    </w:p>
    <w:p w:rsidR="00D227E2" w:rsidRDefault="00D227E2">
      <w:pPr>
        <w:spacing w:after="0"/>
        <w:ind w:firstLine="567"/>
        <w:jc w:val="both"/>
        <w:rPr>
          <w:rFonts w:ascii="Times New Roman" w:hAnsi="Times New Roman" w:cs="Times New Roman"/>
          <w:sz w:val="24"/>
          <w:szCs w:val="24"/>
        </w:rPr>
      </w:pPr>
    </w:p>
    <w:p w:rsidR="00D227E2" w:rsidRDefault="00D227E2">
      <w:pPr>
        <w:spacing w:after="0"/>
        <w:ind w:firstLine="567"/>
        <w:jc w:val="both"/>
        <w:rPr>
          <w:rFonts w:ascii="Times New Roman" w:hAnsi="Times New Roman" w:cs="Times New Roman"/>
          <w:sz w:val="24"/>
          <w:szCs w:val="24"/>
        </w:rPr>
      </w:pPr>
    </w:p>
    <w:p w:rsidR="00D227E2" w:rsidRDefault="00D227E2">
      <w:pPr>
        <w:spacing w:after="0"/>
        <w:ind w:firstLine="567"/>
        <w:jc w:val="both"/>
        <w:rPr>
          <w:rFonts w:ascii="Times New Roman" w:hAnsi="Times New Roman" w:cs="Times New Roman"/>
          <w:sz w:val="24"/>
          <w:szCs w:val="24"/>
        </w:rPr>
      </w:pPr>
    </w:p>
    <w:p w:rsidR="00D227E2" w:rsidRDefault="00D227E2">
      <w:pPr>
        <w:spacing w:after="0"/>
        <w:ind w:firstLine="567"/>
        <w:jc w:val="both"/>
        <w:rPr>
          <w:rFonts w:ascii="Times New Roman" w:hAnsi="Times New Roman" w:cs="Times New Roman"/>
          <w:sz w:val="24"/>
          <w:szCs w:val="24"/>
        </w:rPr>
      </w:pPr>
    </w:p>
    <w:p w:rsidR="00D227E2" w:rsidRDefault="00D227E2">
      <w:pPr>
        <w:spacing w:after="0"/>
        <w:ind w:firstLine="567"/>
        <w:jc w:val="both"/>
        <w:rPr>
          <w:rFonts w:ascii="Times New Roman" w:hAnsi="Times New Roman" w:cs="Times New Roman"/>
          <w:sz w:val="24"/>
          <w:szCs w:val="24"/>
        </w:rPr>
      </w:pPr>
    </w:p>
    <w:p w:rsidR="00D227E2" w:rsidRDefault="00D227E2">
      <w:pPr>
        <w:spacing w:after="0"/>
        <w:ind w:firstLine="567"/>
        <w:jc w:val="both"/>
        <w:rPr>
          <w:rFonts w:ascii="Times New Roman" w:hAnsi="Times New Roman" w:cs="Times New Roman"/>
          <w:sz w:val="24"/>
          <w:szCs w:val="24"/>
        </w:rPr>
      </w:pPr>
    </w:p>
    <w:p w:rsidR="00D227E2" w:rsidRDefault="00D227E2">
      <w:pPr>
        <w:spacing w:after="0"/>
        <w:ind w:firstLine="567"/>
        <w:jc w:val="both"/>
        <w:rPr>
          <w:rFonts w:ascii="Times New Roman" w:hAnsi="Times New Roman" w:cs="Times New Roman"/>
          <w:sz w:val="24"/>
          <w:szCs w:val="24"/>
        </w:rPr>
      </w:pPr>
    </w:p>
    <w:p w:rsidR="00D227E2" w:rsidRDefault="00D227E2">
      <w:pPr>
        <w:spacing w:after="0"/>
        <w:ind w:firstLine="567"/>
        <w:jc w:val="both"/>
        <w:rPr>
          <w:rFonts w:ascii="Times New Roman" w:hAnsi="Times New Roman" w:cs="Times New Roman"/>
          <w:sz w:val="24"/>
          <w:szCs w:val="24"/>
        </w:rPr>
      </w:pPr>
    </w:p>
    <w:p w:rsidR="00D227E2" w:rsidRDefault="00D227E2">
      <w:pPr>
        <w:spacing w:after="0"/>
        <w:ind w:firstLine="567"/>
        <w:jc w:val="both"/>
        <w:rPr>
          <w:rFonts w:ascii="Times New Roman" w:hAnsi="Times New Roman" w:cs="Times New Roman"/>
          <w:sz w:val="24"/>
          <w:szCs w:val="24"/>
        </w:rPr>
      </w:pPr>
    </w:p>
    <w:p w:rsidR="00D227E2" w:rsidRDefault="00D227E2">
      <w:pPr>
        <w:spacing w:after="0"/>
        <w:ind w:firstLine="567"/>
        <w:jc w:val="both"/>
        <w:rPr>
          <w:rFonts w:ascii="Times New Roman" w:hAnsi="Times New Roman" w:cs="Times New Roman"/>
          <w:sz w:val="24"/>
          <w:szCs w:val="24"/>
        </w:rPr>
      </w:pPr>
    </w:p>
    <w:p w:rsidR="00D227E2" w:rsidRDefault="00D227E2">
      <w:pPr>
        <w:spacing w:after="0"/>
        <w:ind w:firstLine="567"/>
        <w:jc w:val="both"/>
        <w:rPr>
          <w:rFonts w:ascii="Times New Roman" w:hAnsi="Times New Roman" w:cs="Times New Roman"/>
          <w:sz w:val="24"/>
          <w:szCs w:val="24"/>
        </w:rPr>
      </w:pPr>
    </w:p>
    <w:p w:rsidR="00D227E2" w:rsidRDefault="00D227E2">
      <w:pPr>
        <w:spacing w:after="0"/>
        <w:ind w:firstLine="567"/>
        <w:jc w:val="both"/>
        <w:rPr>
          <w:rFonts w:ascii="Times New Roman" w:hAnsi="Times New Roman" w:cs="Times New Roman"/>
          <w:sz w:val="24"/>
          <w:szCs w:val="24"/>
        </w:rPr>
      </w:pPr>
    </w:p>
    <w:p w:rsidR="00D227E2" w:rsidRDefault="00D227E2">
      <w:pPr>
        <w:spacing w:after="0"/>
        <w:ind w:firstLine="567"/>
        <w:jc w:val="both"/>
        <w:rPr>
          <w:rFonts w:ascii="Times New Roman" w:hAnsi="Times New Roman" w:cs="Times New Roman"/>
          <w:sz w:val="24"/>
          <w:szCs w:val="24"/>
        </w:rPr>
      </w:pPr>
    </w:p>
    <w:p w:rsidR="00D227E2" w:rsidRDefault="00D227E2">
      <w:pPr>
        <w:spacing w:after="0"/>
        <w:ind w:firstLine="567"/>
        <w:jc w:val="both"/>
        <w:rPr>
          <w:rFonts w:ascii="Times New Roman" w:hAnsi="Times New Roman" w:cs="Times New Roman"/>
          <w:sz w:val="24"/>
          <w:szCs w:val="24"/>
        </w:rPr>
      </w:pPr>
    </w:p>
    <w:p w:rsidR="00D227E2" w:rsidRDefault="00934FC4">
      <w:pPr>
        <w:spacing w:after="0"/>
        <w:jc w:val="center"/>
        <w:rPr>
          <w:rFonts w:ascii="Times New Roman" w:hAnsi="Times New Roman" w:cs="Times New Roman"/>
        </w:rPr>
      </w:pPr>
      <w:r>
        <w:rPr>
          <w:rFonts w:ascii="Times New Roman" w:hAnsi="Times New Roman" w:cs="Times New Roman"/>
          <w:b/>
          <w:bCs/>
          <w:sz w:val="24"/>
          <w:szCs w:val="24"/>
        </w:rPr>
        <w:lastRenderedPageBreak/>
        <w:t>ВСТУП</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sz w:val="24"/>
          <w:szCs w:val="24"/>
        </w:rPr>
        <w:t>29 січня 2008 року Європейська Комісія розпочала масштабну ініціативу «Угода мерів», яка об’єднує мерів міст Європи у мережу з метою обміну досвідом щодо впровадження ефективних заходів для підвищення енергоефективності міст.</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Завдяки Угоді мерів вперше на місцевому рівні запроваджено новий підхід «знизу-вгору» у проведенні енергетичної та кліматичної політики, що став успішним та завоював велику популярність у короткий період.</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У</w:t>
      </w:r>
      <w:r w:rsidRPr="009B31AB">
        <w:rPr>
          <w:rFonts w:ascii="Times New Roman" w:hAnsi="Times New Roman" w:cs="Times New Roman"/>
          <w:sz w:val="24"/>
          <w:szCs w:val="24"/>
        </w:rPr>
        <w:t xml:space="preserve"> 2009</w:t>
      </w:r>
      <w:r>
        <w:rPr>
          <w:rFonts w:ascii="Times New Roman" w:hAnsi="Times New Roman" w:cs="Times New Roman"/>
          <w:sz w:val="24"/>
          <w:szCs w:val="24"/>
        </w:rPr>
        <w:t xml:space="preserve"> році Луцьк приєднався до міжнародної ініціативи Європейської Комісії </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Угоди мерів.  </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15 жовтня 2015 року Європейська комісія ініціювала нову інтегровану Угоду мерів щодо клімату та енергії, яка має на меті допомогти містам зменшити викиди парникових газів і прийняти спільний підхід для адаптації до наслідків та боротьби зі зміною клімату.</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30</w:t>
      </w:r>
      <w:r w:rsidR="003B00E9">
        <w:rPr>
          <w:rFonts w:ascii="Times New Roman" w:hAnsi="Times New Roman" w:cs="Times New Roman"/>
          <w:sz w:val="24"/>
          <w:szCs w:val="24"/>
        </w:rPr>
        <w:t xml:space="preserve"> листопада </w:t>
      </w:r>
      <w:r>
        <w:rPr>
          <w:rFonts w:ascii="Times New Roman" w:hAnsi="Times New Roman" w:cs="Times New Roman"/>
          <w:sz w:val="24"/>
          <w:szCs w:val="24"/>
        </w:rPr>
        <w:t>2022</w:t>
      </w:r>
      <w:r w:rsidR="003B00E9">
        <w:rPr>
          <w:rFonts w:ascii="Times New Roman" w:hAnsi="Times New Roman" w:cs="Times New Roman"/>
          <w:sz w:val="24"/>
          <w:szCs w:val="24"/>
        </w:rPr>
        <w:t xml:space="preserve"> року</w:t>
      </w:r>
      <w:r>
        <w:rPr>
          <w:rFonts w:ascii="Times New Roman" w:hAnsi="Times New Roman" w:cs="Times New Roman"/>
          <w:sz w:val="24"/>
          <w:szCs w:val="24"/>
        </w:rPr>
        <w:t xml:space="preserve"> Луцька міська рада прийняла рішення</w:t>
      </w:r>
      <w:r w:rsidR="009B31AB">
        <w:rPr>
          <w:rFonts w:ascii="Times New Roman" w:hAnsi="Times New Roman" w:cs="Times New Roman"/>
          <w:sz w:val="24"/>
          <w:szCs w:val="24"/>
        </w:rPr>
        <w:t xml:space="preserve"> № 37/48</w:t>
      </w:r>
      <w:r>
        <w:rPr>
          <w:rFonts w:ascii="Times New Roman" w:hAnsi="Times New Roman" w:cs="Times New Roman"/>
          <w:sz w:val="24"/>
          <w:szCs w:val="24"/>
        </w:rPr>
        <w:t xml:space="preserve"> «Про приєднання до європейської ініціативи «Угода мерів </w:t>
      </w:r>
      <w:r>
        <w:rPr>
          <w:rFonts w:ascii="Times New Roman" w:hAnsi="Times New Roman" w:cs="Times New Roman"/>
          <w:color w:val="000000"/>
          <w:sz w:val="24"/>
          <w:szCs w:val="24"/>
        </w:rPr>
        <w:t>–</w:t>
      </w:r>
      <w:r>
        <w:rPr>
          <w:rFonts w:ascii="Times New Roman" w:hAnsi="Times New Roman" w:cs="Times New Roman"/>
          <w:sz w:val="24"/>
          <w:szCs w:val="24"/>
        </w:rPr>
        <w:t xml:space="preserve"> Схід». </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sz w:val="24"/>
          <w:szCs w:val="24"/>
        </w:rPr>
        <w:t>Міста та громади, що підписали Угоду мерів, взяли на себе зобов’язання скоротити викиди СО</w:t>
      </w:r>
      <w:r>
        <w:rPr>
          <w:rFonts w:ascii="Times New Roman" w:hAnsi="Times New Roman" w:cs="Times New Roman"/>
          <w:sz w:val="24"/>
          <w:szCs w:val="24"/>
          <w:vertAlign w:val="subscript"/>
        </w:rPr>
        <w:t>2</w:t>
      </w:r>
      <w:r>
        <w:rPr>
          <w:rFonts w:ascii="Times New Roman" w:hAnsi="Times New Roman" w:cs="Times New Roman"/>
          <w:sz w:val="24"/>
          <w:szCs w:val="24"/>
        </w:rPr>
        <w:t xml:space="preserve">, підвищити стійкість до негативних наслідків зміни клімату, а також вирішувати проблему енергетичної бідності та досягнення кліматичної нейтральності до 2050 року порівняно з базовим роком. </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sz w:val="24"/>
          <w:szCs w:val="24"/>
        </w:rPr>
        <w:t>З метою досягнення задекларованих цілей міста-підписанти Угоди мерів зобов’язуються розробити відповідний стратегічний документ План дій сталого енергетичного розвитку та клімату (далі – ПДСЕРК або План дій).</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sz w:val="24"/>
          <w:szCs w:val="24"/>
        </w:rPr>
        <w:t>План дій є одним з ключових документів у сфері енергоефективності у громадах, який на основі зібраних даних про поточний стан визначає та надає вказівки щодо реалізації проєктів, пов’язаних із заходами енергоефективності та використання відновлюваних джерел енергії, а також з адаптацією до наслідків зміни клімату на локальному рівні.</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sz w:val="24"/>
          <w:szCs w:val="24"/>
        </w:rPr>
        <w:t>Основною метою Плану дій є скорочення викидів СО</w:t>
      </w:r>
      <w:r>
        <w:rPr>
          <w:rFonts w:ascii="Times New Roman" w:hAnsi="Times New Roman" w:cs="Times New Roman"/>
          <w:sz w:val="24"/>
          <w:szCs w:val="24"/>
          <w:vertAlign w:val="subscript"/>
        </w:rPr>
        <w:t>2</w:t>
      </w:r>
      <w:r>
        <w:rPr>
          <w:rFonts w:ascii="Times New Roman" w:hAnsi="Times New Roman" w:cs="Times New Roman"/>
          <w:sz w:val="24"/>
          <w:szCs w:val="24"/>
        </w:rPr>
        <w:t xml:space="preserve"> більш ніж на 35 % до 2030 року та досягнення кліматичної нейтральності до 2050 року шляхом впровадження запропонованих заходів. </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sz w:val="24"/>
          <w:szCs w:val="24"/>
        </w:rPr>
        <w:t xml:space="preserve">План дій складається із наступних розділів: енергетична стратегія, характеристика Луцької МТГ, енергетичний баланс громади, базовий кадастр викидів (далі </w:t>
      </w:r>
      <w:r>
        <w:rPr>
          <w:rFonts w:ascii="Times New Roman" w:hAnsi="Times New Roman" w:cs="Times New Roman"/>
          <w:color w:val="000000"/>
          <w:sz w:val="24"/>
          <w:szCs w:val="24"/>
        </w:rPr>
        <w:t>–</w:t>
      </w:r>
      <w:r>
        <w:rPr>
          <w:rFonts w:ascii="Times New Roman" w:hAnsi="Times New Roman" w:cs="Times New Roman"/>
          <w:sz w:val="24"/>
          <w:szCs w:val="24"/>
        </w:rPr>
        <w:t xml:space="preserve"> БКВ), моніторинговий кадастр викидів (далі </w:t>
      </w:r>
      <w:r>
        <w:rPr>
          <w:rFonts w:ascii="Times New Roman" w:hAnsi="Times New Roman" w:cs="Times New Roman"/>
          <w:color w:val="000000"/>
          <w:sz w:val="24"/>
          <w:szCs w:val="24"/>
        </w:rPr>
        <w:t>–</w:t>
      </w:r>
      <w:r>
        <w:rPr>
          <w:rFonts w:ascii="Times New Roman" w:hAnsi="Times New Roman" w:cs="Times New Roman"/>
          <w:sz w:val="24"/>
          <w:szCs w:val="24"/>
        </w:rPr>
        <w:t xml:space="preserve"> МКВ), оцінка ризиків та вразливості громади до змін клімату, план заходів і джерела фінансування.</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sz w:val="24"/>
          <w:szCs w:val="24"/>
        </w:rPr>
        <w:t>БКВ та МКВ охоплюють основні обов’язкові сектори кінцевого споживання: муніципальний сектор, третинний сектор (сектор обслуговування), житловий сектор, сектор транспорту (муніципальний, громадський, приватний та комерційний). Ці сектори є основою для аналізу споживання енергії та викидів СО</w:t>
      </w:r>
      <w:r>
        <w:rPr>
          <w:rFonts w:ascii="Times New Roman" w:hAnsi="Times New Roman" w:cs="Times New Roman"/>
          <w:sz w:val="24"/>
          <w:szCs w:val="24"/>
          <w:vertAlign w:val="subscript"/>
        </w:rPr>
        <w:t>2</w:t>
      </w:r>
      <w:r>
        <w:rPr>
          <w:rFonts w:ascii="Times New Roman" w:hAnsi="Times New Roman" w:cs="Times New Roman"/>
          <w:sz w:val="24"/>
          <w:szCs w:val="24"/>
        </w:rPr>
        <w:t>.</w:t>
      </w:r>
    </w:p>
    <w:p w:rsidR="00D227E2" w:rsidRDefault="00D227E2">
      <w:pPr>
        <w:pStyle w:val="a1"/>
        <w:ind w:firstLine="567"/>
        <w:jc w:val="both"/>
        <w:rPr>
          <w:rFonts w:ascii="Times New Roman" w:hAnsi="Times New Roman" w:cs="Times New Roman"/>
          <w:sz w:val="24"/>
          <w:szCs w:val="24"/>
        </w:rPr>
      </w:pPr>
    </w:p>
    <w:p w:rsidR="00D227E2" w:rsidRDefault="00D227E2">
      <w:pPr>
        <w:pStyle w:val="a1"/>
        <w:ind w:firstLine="567"/>
        <w:jc w:val="both"/>
        <w:rPr>
          <w:rFonts w:ascii="Times New Roman" w:hAnsi="Times New Roman" w:cs="Times New Roman"/>
          <w:sz w:val="24"/>
          <w:szCs w:val="24"/>
        </w:rPr>
      </w:pPr>
    </w:p>
    <w:p w:rsidR="00D227E2" w:rsidRDefault="00D227E2">
      <w:pPr>
        <w:pStyle w:val="a1"/>
        <w:ind w:firstLine="567"/>
        <w:jc w:val="both"/>
        <w:rPr>
          <w:rFonts w:ascii="Times New Roman" w:hAnsi="Times New Roman" w:cs="Times New Roman"/>
          <w:sz w:val="24"/>
          <w:szCs w:val="24"/>
        </w:rPr>
      </w:pPr>
    </w:p>
    <w:p w:rsidR="00D227E2" w:rsidRDefault="00D227E2">
      <w:pPr>
        <w:pStyle w:val="a1"/>
        <w:ind w:firstLine="567"/>
        <w:jc w:val="both"/>
        <w:rPr>
          <w:rFonts w:ascii="Times New Roman" w:hAnsi="Times New Roman" w:cs="Times New Roman"/>
          <w:sz w:val="24"/>
          <w:szCs w:val="24"/>
        </w:rPr>
      </w:pPr>
    </w:p>
    <w:p w:rsidR="00D227E2" w:rsidRDefault="00D227E2">
      <w:pPr>
        <w:pStyle w:val="a1"/>
        <w:ind w:firstLine="567"/>
        <w:jc w:val="both"/>
        <w:rPr>
          <w:rFonts w:ascii="Times New Roman" w:hAnsi="Times New Roman" w:cs="Times New Roman"/>
          <w:sz w:val="24"/>
          <w:szCs w:val="24"/>
        </w:rPr>
      </w:pPr>
    </w:p>
    <w:p w:rsidR="00D227E2" w:rsidRDefault="00D227E2">
      <w:pPr>
        <w:pStyle w:val="a1"/>
        <w:ind w:firstLine="567"/>
        <w:jc w:val="both"/>
        <w:rPr>
          <w:rFonts w:ascii="Times New Roman" w:hAnsi="Times New Roman" w:cs="Times New Roman"/>
          <w:sz w:val="24"/>
          <w:szCs w:val="24"/>
        </w:rPr>
      </w:pPr>
    </w:p>
    <w:p w:rsidR="00D227E2" w:rsidRDefault="00934FC4">
      <w:pPr>
        <w:tabs>
          <w:tab w:val="left" w:pos="993"/>
        </w:tabs>
        <w:spacing w:after="0" w:line="240" w:lineRule="auto"/>
        <w:ind w:firstLine="567"/>
        <w:rPr>
          <w:rFonts w:ascii="Times New Roman" w:hAnsi="Times New Roman" w:cs="Times New Roman"/>
        </w:rPr>
      </w:pPr>
      <w:r>
        <w:rPr>
          <w:rFonts w:ascii="Times New Roman" w:hAnsi="Times New Roman" w:cs="Times New Roman"/>
          <w:b/>
          <w:bCs/>
          <w:sz w:val="24"/>
          <w:szCs w:val="24"/>
        </w:rPr>
        <w:lastRenderedPageBreak/>
        <w:t>РОЗДІЛ 1. ЕНЕРГЕТИЧНА СТРАТЕГІЯ</w:t>
      </w:r>
    </w:p>
    <w:p w:rsidR="00D227E2" w:rsidRDefault="00934FC4">
      <w:pPr>
        <w:numPr>
          <w:ilvl w:val="1"/>
          <w:numId w:val="33"/>
        </w:numPr>
        <w:tabs>
          <w:tab w:val="left" w:pos="993"/>
        </w:tabs>
        <w:spacing w:after="0"/>
        <w:ind w:left="0" w:firstLine="567"/>
        <w:jc w:val="both"/>
        <w:rPr>
          <w:rFonts w:ascii="Times New Roman" w:hAnsi="Times New Roman" w:cs="Times New Roman"/>
        </w:rPr>
      </w:pPr>
      <w:r>
        <w:rPr>
          <w:rFonts w:ascii="Times New Roman" w:hAnsi="Times New Roman" w:cs="Times New Roman"/>
          <w:b/>
          <w:bCs/>
        </w:rPr>
        <w:t xml:space="preserve"> Довгострокове бачення, цілі та стратегії громади до 2050 року</w:t>
      </w:r>
    </w:p>
    <w:p w:rsidR="00D227E2" w:rsidRDefault="00934FC4">
      <w:pPr>
        <w:pStyle w:val="a1"/>
        <w:tabs>
          <w:tab w:val="left" w:pos="993"/>
        </w:tabs>
        <w:spacing w:after="0"/>
        <w:ind w:firstLine="567"/>
        <w:jc w:val="both"/>
        <w:rPr>
          <w:rFonts w:ascii="Times New Roman" w:hAnsi="Times New Roman" w:cs="Times New Roman"/>
        </w:rPr>
      </w:pPr>
      <w:r>
        <w:rPr>
          <w:rFonts w:ascii="Times New Roman" w:hAnsi="Times New Roman" w:cs="Times New Roman"/>
          <w:sz w:val="24"/>
          <w:szCs w:val="24"/>
        </w:rPr>
        <w:t>Основні стратегічні документи, що діють на міжнародному рівні у сфері енергії та клімату є:</w:t>
      </w:r>
    </w:p>
    <w:p w:rsidR="00D227E2" w:rsidRDefault="00934FC4">
      <w:pPr>
        <w:pStyle w:val="a1"/>
        <w:tabs>
          <w:tab w:val="left" w:pos="993"/>
        </w:tabs>
        <w:spacing w:after="0"/>
        <w:ind w:firstLine="567"/>
        <w:jc w:val="both"/>
        <w:rPr>
          <w:rFonts w:ascii="Times New Roman" w:hAnsi="Times New Roman" w:cs="Times New Roman"/>
        </w:rPr>
      </w:pPr>
      <w:r>
        <w:rPr>
          <w:rFonts w:ascii="Times New Roman" w:hAnsi="Times New Roman" w:cs="Times New Roman"/>
          <w:color w:val="000000"/>
          <w:sz w:val="24"/>
          <w:szCs w:val="24"/>
        </w:rPr>
        <w:t xml:space="preserve">Паризька Угода (2015 рік), підписана Україною у 2016 році. 30 липня 2021 року уряд України схвалив Оновлений національний визначений внесок України до Паризької Угоди. У документі закладена ціль – до 2030 року скоротити викиди парникових газів до рівня 35 % порівняно з 1990 роком. </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sz w:val="24"/>
          <w:szCs w:val="24"/>
          <w:shd w:val="clear" w:color="auto" w:fill="FFFFFF"/>
        </w:rPr>
        <w:t>Європейський Зелений Курс (</w:t>
      </w:r>
      <w:r>
        <w:rPr>
          <w:rFonts w:ascii="Times New Roman" w:hAnsi="Times New Roman" w:cs="Times New Roman"/>
          <w:sz w:val="24"/>
          <w:szCs w:val="24"/>
          <w:shd w:val="clear" w:color="auto" w:fill="FFFFFF"/>
          <w:lang w:val="en-US"/>
        </w:rPr>
        <w:t>European</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en-US"/>
        </w:rPr>
        <w:t>Green</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en-US"/>
        </w:rPr>
        <w:t>Deal</w:t>
      </w:r>
      <w:r>
        <w:rPr>
          <w:rFonts w:ascii="Times New Roman" w:hAnsi="Times New Roman" w:cs="Times New Roman"/>
          <w:sz w:val="24"/>
          <w:szCs w:val="24"/>
          <w:shd w:val="clear" w:color="auto" w:fill="FFFFFF"/>
        </w:rPr>
        <w:t xml:space="preserve">) є дорожньою картою заходів для Європейського Союзу у сфері енергоефективності та кліматичної нейтральності. Цілі дорожньої карти </w:t>
      </w:r>
      <w:r>
        <w:rPr>
          <w:rFonts w:ascii="Times New Roman" w:hAnsi="Times New Roman" w:cs="Times New Roman"/>
          <w:color w:val="000000"/>
          <w:sz w:val="24"/>
          <w:szCs w:val="24"/>
          <w:shd w:val="clear" w:color="auto" w:fill="FFFFFF"/>
        </w:rPr>
        <w:t>–</w:t>
      </w:r>
      <w:r>
        <w:rPr>
          <w:rFonts w:ascii="Times New Roman" w:hAnsi="Times New Roman" w:cs="Times New Roman"/>
          <w:sz w:val="24"/>
          <w:szCs w:val="24"/>
          <w:shd w:val="clear" w:color="auto" w:fill="FFFFFF"/>
        </w:rPr>
        <w:t xml:space="preserve"> це перетворення Європи на перший у світі кліматично нейтральний континент до 2050 року, які стимулюють розвиток економіки, покращення здоров’я та якість життя людей, а також трансформують кліматичні та екологічні виклики на можливості у всіх сферах та політиках ЄС, гарантуючи справедливий та інклюзивний характер зеленого переходу.</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Для досягнення цілей Луцька МТГ зобов’язалася розробити План дій, впровадити і звітувати – в рамках визначених термінів.</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sz w:val="24"/>
          <w:szCs w:val="24"/>
        </w:rPr>
        <w:t>Основною метою «Плану дій сталого енергетичного розвитку та клімату Луцької міської територіальної громади до 2050 року» є забезпечення виконання зобов’язань, взятих на себе Луцькою МТГ, а саме: пом’якшення наслідків зміни клімату, адаптація до існуючих та потенційних наслідків зміни клімату, покращення соціального і фінансового забезпечення для подолання енергетичної бідності у Луцькій міській територіальній громаді.</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sz w:val="24"/>
          <w:szCs w:val="24"/>
        </w:rPr>
        <w:t>Конкретними довгостроковими цілями ПДСЕРК є:</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rPr>
        <w:t>Ціль 1. Декарбонізація громади</w:t>
      </w:r>
    </w:p>
    <w:p w:rsidR="00D227E2" w:rsidRDefault="00934FC4">
      <w:pPr>
        <w:spacing w:after="0"/>
        <w:jc w:val="right"/>
        <w:rPr>
          <w:rFonts w:ascii="Times New Roman" w:hAnsi="Times New Roman" w:cs="Times New Roman"/>
        </w:rPr>
      </w:pPr>
      <w:r>
        <w:rPr>
          <w:rFonts w:ascii="Times New Roman" w:hAnsi="Times New Roman" w:cs="Times New Roman"/>
          <w:color w:val="000000"/>
          <w:sz w:val="24"/>
          <w:szCs w:val="24"/>
          <w:shd w:val="clear" w:color="auto" w:fill="FFFFFF"/>
          <w:lang w:eastAsia="ru-RU"/>
        </w:rPr>
        <w:t>Таблиця 1</w:t>
      </w:r>
    </w:p>
    <w:tbl>
      <w:tblPr>
        <w:tblStyle w:val="aff4"/>
        <w:tblW w:w="9498" w:type="dxa"/>
        <w:tblInd w:w="108" w:type="dxa"/>
        <w:tblLayout w:type="fixed"/>
        <w:tblLook w:val="04A0" w:firstRow="1" w:lastRow="0" w:firstColumn="1" w:lastColumn="0" w:noHBand="0" w:noVBand="1"/>
      </w:tblPr>
      <w:tblGrid>
        <w:gridCol w:w="3969"/>
        <w:gridCol w:w="1839"/>
        <w:gridCol w:w="1563"/>
        <w:gridCol w:w="1134"/>
        <w:gridCol w:w="993"/>
      </w:tblGrid>
      <w:tr w:rsidR="00D227E2">
        <w:tc>
          <w:tcPr>
            <w:tcW w:w="9498" w:type="dxa"/>
            <w:gridSpan w:val="5"/>
          </w:tcPr>
          <w:p w:rsidR="00D227E2" w:rsidRPr="003B00E9" w:rsidRDefault="00934FC4">
            <w:pPr>
              <w:widowControl w:val="0"/>
              <w:suppressAutoHyphens w:val="0"/>
              <w:spacing w:after="0" w:line="240" w:lineRule="auto"/>
              <w:jc w:val="center"/>
              <w:rPr>
                <w:rFonts w:ascii="Times New Roman" w:hAnsi="Times New Roman" w:cs="Times New Roman"/>
                <w:lang w:val="uk-UA"/>
              </w:rPr>
            </w:pPr>
            <w:r w:rsidRPr="003B00E9">
              <w:rPr>
                <w:rFonts w:ascii="Times New Roman" w:hAnsi="Times New Roman" w:cs="Times New Roman"/>
                <w:color w:val="000000"/>
                <w:shd w:val="clear" w:color="auto" w:fill="FFFFFF"/>
                <w:lang w:val="uk-UA" w:eastAsia="ru-RU"/>
              </w:rPr>
              <w:t>Цілі з пом’якшення клімату Луцької МТГ до 2050 року</w:t>
            </w:r>
          </w:p>
        </w:tc>
      </w:tr>
      <w:tr w:rsidR="00D227E2">
        <w:tc>
          <w:tcPr>
            <w:tcW w:w="3969" w:type="dxa"/>
          </w:tcPr>
          <w:p w:rsidR="00D227E2" w:rsidRDefault="00934FC4">
            <w:pPr>
              <w:widowControl w:val="0"/>
              <w:suppressAutoHyphens w:val="0"/>
              <w:spacing w:after="0" w:line="240" w:lineRule="auto"/>
              <w:jc w:val="center"/>
              <w:rPr>
                <w:rFonts w:ascii="Times New Roman" w:hAnsi="Times New Roman" w:cs="Times New Roman"/>
              </w:rPr>
            </w:pPr>
            <w:r>
              <w:rPr>
                <w:rFonts w:ascii="Times New Roman" w:hAnsi="Times New Roman" w:cs="Times New Roman"/>
                <w:color w:val="000000"/>
                <w:shd w:val="clear" w:color="auto" w:fill="FFFFFF"/>
                <w:lang w:eastAsia="ru-RU"/>
              </w:rPr>
              <w:t>Ціль</w:t>
            </w:r>
          </w:p>
        </w:tc>
        <w:tc>
          <w:tcPr>
            <w:tcW w:w="1839" w:type="dxa"/>
          </w:tcPr>
          <w:p w:rsidR="00D227E2" w:rsidRDefault="00934FC4">
            <w:pPr>
              <w:widowControl w:val="0"/>
              <w:suppressAutoHyphens w:val="0"/>
              <w:spacing w:after="0" w:line="240" w:lineRule="auto"/>
              <w:jc w:val="center"/>
              <w:rPr>
                <w:rFonts w:ascii="Times New Roman" w:hAnsi="Times New Roman" w:cs="Times New Roman"/>
              </w:rPr>
            </w:pPr>
            <w:r>
              <w:rPr>
                <w:rFonts w:ascii="Times New Roman" w:hAnsi="Times New Roman" w:cs="Times New Roman"/>
                <w:color w:val="000000"/>
                <w:shd w:val="clear" w:color="auto" w:fill="FFFFFF"/>
                <w:lang w:eastAsia="ru-RU"/>
              </w:rPr>
              <w:t>Значення</w:t>
            </w:r>
          </w:p>
        </w:tc>
        <w:tc>
          <w:tcPr>
            <w:tcW w:w="1563" w:type="dxa"/>
          </w:tcPr>
          <w:p w:rsidR="00D227E2" w:rsidRDefault="00934FC4">
            <w:pPr>
              <w:widowControl w:val="0"/>
              <w:suppressAutoHyphens w:val="0"/>
              <w:spacing w:after="0" w:line="240" w:lineRule="auto"/>
              <w:jc w:val="center"/>
              <w:rPr>
                <w:rFonts w:ascii="Times New Roman" w:hAnsi="Times New Roman" w:cs="Times New Roman"/>
              </w:rPr>
            </w:pPr>
            <w:r>
              <w:rPr>
                <w:rFonts w:ascii="Times New Roman" w:hAnsi="Times New Roman" w:cs="Times New Roman"/>
                <w:color w:val="000000"/>
                <w:shd w:val="clear" w:color="auto" w:fill="FFFFFF"/>
                <w:lang w:eastAsia="ru-RU"/>
              </w:rPr>
              <w:t>Тип</w:t>
            </w:r>
          </w:p>
          <w:p w:rsidR="00D227E2" w:rsidRDefault="00934FC4">
            <w:pPr>
              <w:widowControl w:val="0"/>
              <w:suppressAutoHyphens w:val="0"/>
              <w:spacing w:after="0" w:line="240" w:lineRule="auto"/>
              <w:jc w:val="center"/>
              <w:rPr>
                <w:rFonts w:ascii="Times New Roman" w:hAnsi="Times New Roman" w:cs="Times New Roman"/>
              </w:rPr>
            </w:pPr>
            <w:r>
              <w:rPr>
                <w:rFonts w:ascii="Times New Roman" w:hAnsi="Times New Roman" w:cs="Times New Roman"/>
                <w:color w:val="000000"/>
                <w:shd w:val="clear" w:color="auto" w:fill="FFFFFF"/>
                <w:lang w:eastAsia="ru-RU"/>
              </w:rPr>
              <w:t>скорочення</w:t>
            </w:r>
          </w:p>
        </w:tc>
        <w:tc>
          <w:tcPr>
            <w:tcW w:w="1134" w:type="dxa"/>
          </w:tcPr>
          <w:p w:rsidR="00D227E2" w:rsidRDefault="00934FC4">
            <w:pPr>
              <w:widowControl w:val="0"/>
              <w:suppressAutoHyphens w:val="0"/>
              <w:spacing w:after="0" w:line="240" w:lineRule="auto"/>
              <w:jc w:val="center"/>
              <w:rPr>
                <w:rFonts w:ascii="Times New Roman" w:hAnsi="Times New Roman" w:cs="Times New Roman"/>
              </w:rPr>
            </w:pPr>
            <w:r>
              <w:rPr>
                <w:rFonts w:ascii="Times New Roman" w:hAnsi="Times New Roman" w:cs="Times New Roman"/>
                <w:color w:val="000000"/>
                <w:shd w:val="clear" w:color="auto" w:fill="FFFFFF"/>
                <w:lang w:eastAsia="ru-RU"/>
              </w:rPr>
              <w:t>Цільовий рік</w:t>
            </w:r>
          </w:p>
        </w:tc>
        <w:tc>
          <w:tcPr>
            <w:tcW w:w="993" w:type="dxa"/>
          </w:tcPr>
          <w:p w:rsidR="00D227E2" w:rsidRDefault="00934FC4">
            <w:pPr>
              <w:widowControl w:val="0"/>
              <w:suppressAutoHyphens w:val="0"/>
              <w:spacing w:after="0" w:line="240" w:lineRule="auto"/>
              <w:jc w:val="center"/>
              <w:rPr>
                <w:rFonts w:ascii="Times New Roman" w:hAnsi="Times New Roman" w:cs="Times New Roman"/>
              </w:rPr>
            </w:pPr>
            <w:r>
              <w:rPr>
                <w:rFonts w:ascii="Times New Roman" w:hAnsi="Times New Roman" w:cs="Times New Roman"/>
                <w:color w:val="000000"/>
                <w:shd w:val="clear" w:color="auto" w:fill="FFFFFF"/>
                <w:lang w:eastAsia="ru-RU"/>
              </w:rPr>
              <w:t>Базовий рік</w:t>
            </w:r>
          </w:p>
        </w:tc>
      </w:tr>
      <w:tr w:rsidR="00D227E2">
        <w:trPr>
          <w:cantSplit/>
          <w:trHeight w:val="525"/>
        </w:trPr>
        <w:tc>
          <w:tcPr>
            <w:tcW w:w="3969" w:type="dxa"/>
          </w:tcPr>
          <w:p w:rsidR="00D227E2" w:rsidRPr="003B00E9" w:rsidRDefault="00934FC4">
            <w:pPr>
              <w:spacing w:after="0"/>
              <w:rPr>
                <w:rFonts w:ascii="Times New Roman" w:hAnsi="Times New Roman" w:cs="Times New Roman"/>
                <w:lang w:val="ru-RU"/>
              </w:rPr>
            </w:pPr>
            <w:r w:rsidRPr="003B00E9">
              <w:rPr>
                <w:rFonts w:ascii="Times New Roman" w:hAnsi="Times New Roman" w:cs="Times New Roman"/>
                <w:shd w:val="clear" w:color="auto" w:fill="FFFFFF"/>
                <w:lang w:val="ru-RU"/>
              </w:rPr>
              <w:t>Скоротити викиди СО</w:t>
            </w:r>
            <w:r w:rsidRPr="003B00E9">
              <w:rPr>
                <w:rFonts w:ascii="Times New Roman" w:hAnsi="Times New Roman" w:cs="Times New Roman"/>
                <w:shd w:val="clear" w:color="auto" w:fill="FFFFFF"/>
                <w:vertAlign w:val="subscript"/>
                <w:lang w:val="ru-RU"/>
              </w:rPr>
              <w:t>2</w:t>
            </w:r>
            <w:r w:rsidRPr="003B00E9">
              <w:rPr>
                <w:rFonts w:ascii="Times New Roman" w:hAnsi="Times New Roman" w:cs="Times New Roman"/>
                <w:shd w:val="clear" w:color="auto" w:fill="FFFFFF"/>
                <w:lang w:val="ru-RU"/>
              </w:rPr>
              <w:t xml:space="preserve"> у визначених секторах не менш ніж на</w:t>
            </w:r>
          </w:p>
        </w:tc>
        <w:tc>
          <w:tcPr>
            <w:tcW w:w="1839" w:type="dxa"/>
            <w:vAlign w:val="center"/>
          </w:tcPr>
          <w:p w:rsidR="00D227E2" w:rsidRDefault="00934FC4">
            <w:pPr>
              <w:widowControl w:val="0"/>
              <w:suppressAutoHyphens w:val="0"/>
              <w:spacing w:after="0" w:line="240" w:lineRule="auto"/>
              <w:jc w:val="center"/>
              <w:rPr>
                <w:rFonts w:ascii="Times New Roman" w:hAnsi="Times New Roman" w:cs="Times New Roman"/>
              </w:rPr>
            </w:pPr>
            <w:r>
              <w:rPr>
                <w:rFonts w:ascii="Times New Roman" w:hAnsi="Times New Roman" w:cs="Times New Roman"/>
                <w:shd w:val="clear" w:color="auto" w:fill="FFFFFF"/>
                <w:lang w:eastAsia="ru-RU"/>
              </w:rPr>
              <w:t>70 %</w:t>
            </w:r>
          </w:p>
        </w:tc>
        <w:tc>
          <w:tcPr>
            <w:tcW w:w="1563" w:type="dxa"/>
          </w:tcPr>
          <w:p w:rsidR="00D227E2" w:rsidRDefault="00934FC4">
            <w:pPr>
              <w:widowControl w:val="0"/>
              <w:suppressAutoHyphens w:val="0"/>
              <w:spacing w:after="0" w:line="240" w:lineRule="auto"/>
              <w:jc w:val="center"/>
              <w:rPr>
                <w:rFonts w:ascii="Times New Roman" w:hAnsi="Times New Roman" w:cs="Times New Roman"/>
              </w:rPr>
            </w:pPr>
            <w:r>
              <w:rPr>
                <w:rFonts w:ascii="Times New Roman" w:hAnsi="Times New Roman" w:cs="Times New Roman"/>
                <w:shd w:val="clear" w:color="auto" w:fill="FFFFFF"/>
                <w:lang w:eastAsia="ru-RU"/>
              </w:rPr>
              <w:t>На одиницю населення</w:t>
            </w:r>
          </w:p>
        </w:tc>
        <w:tc>
          <w:tcPr>
            <w:tcW w:w="1134" w:type="dxa"/>
            <w:vAlign w:val="center"/>
          </w:tcPr>
          <w:p w:rsidR="00D227E2" w:rsidRDefault="00934FC4">
            <w:pPr>
              <w:widowControl w:val="0"/>
              <w:suppressAutoHyphens w:val="0"/>
              <w:spacing w:after="0" w:line="240" w:lineRule="auto"/>
              <w:jc w:val="center"/>
              <w:rPr>
                <w:rFonts w:ascii="Times New Roman" w:hAnsi="Times New Roman" w:cs="Times New Roman"/>
              </w:rPr>
            </w:pPr>
            <w:r>
              <w:rPr>
                <w:rFonts w:ascii="Times New Roman" w:hAnsi="Times New Roman" w:cs="Times New Roman"/>
                <w:color w:val="000000"/>
                <w:shd w:val="clear" w:color="auto" w:fill="FFFFFF"/>
                <w:lang w:eastAsia="ru-RU"/>
              </w:rPr>
              <w:t>2050</w:t>
            </w:r>
          </w:p>
        </w:tc>
        <w:tc>
          <w:tcPr>
            <w:tcW w:w="993" w:type="dxa"/>
            <w:vAlign w:val="center"/>
          </w:tcPr>
          <w:p w:rsidR="00D227E2" w:rsidRDefault="00934FC4">
            <w:pPr>
              <w:widowControl w:val="0"/>
              <w:suppressAutoHyphens w:val="0"/>
              <w:spacing w:after="0" w:line="240" w:lineRule="auto"/>
              <w:jc w:val="center"/>
              <w:rPr>
                <w:rFonts w:ascii="Times New Roman" w:hAnsi="Times New Roman" w:cs="Times New Roman"/>
              </w:rPr>
            </w:pPr>
            <w:r>
              <w:rPr>
                <w:rFonts w:ascii="Times New Roman" w:hAnsi="Times New Roman" w:cs="Times New Roman"/>
                <w:color w:val="000000"/>
                <w:shd w:val="clear" w:color="auto" w:fill="FFFFFF"/>
                <w:lang w:eastAsia="ru-RU"/>
              </w:rPr>
              <w:t>2007</w:t>
            </w:r>
          </w:p>
        </w:tc>
      </w:tr>
      <w:tr w:rsidR="00D227E2">
        <w:trPr>
          <w:cantSplit/>
          <w:trHeight w:val="240"/>
        </w:trPr>
        <w:tc>
          <w:tcPr>
            <w:tcW w:w="3969" w:type="dxa"/>
          </w:tcPr>
          <w:p w:rsidR="00D227E2" w:rsidRPr="003B00E9" w:rsidRDefault="00934FC4">
            <w:pPr>
              <w:spacing w:after="0"/>
              <w:rPr>
                <w:rFonts w:ascii="Times New Roman" w:hAnsi="Times New Roman" w:cs="Times New Roman"/>
                <w:lang w:val="ru-RU"/>
              </w:rPr>
            </w:pPr>
            <w:r w:rsidRPr="003B00E9">
              <w:rPr>
                <w:rFonts w:ascii="Times New Roman" w:hAnsi="Times New Roman" w:cs="Times New Roman"/>
                <w:shd w:val="clear" w:color="auto" w:fill="FFFFFF"/>
                <w:lang w:val="ru-RU"/>
              </w:rPr>
              <w:t>Збільшити використання енергії з ВДЕ</w:t>
            </w:r>
          </w:p>
        </w:tc>
        <w:tc>
          <w:tcPr>
            <w:tcW w:w="1839" w:type="dxa"/>
            <w:vAlign w:val="center"/>
          </w:tcPr>
          <w:p w:rsidR="00D227E2" w:rsidRDefault="00934FC4">
            <w:pPr>
              <w:widowControl w:val="0"/>
              <w:suppressAutoHyphens w:val="0"/>
              <w:spacing w:after="0" w:line="240" w:lineRule="auto"/>
              <w:jc w:val="center"/>
              <w:rPr>
                <w:rFonts w:ascii="Times New Roman" w:hAnsi="Times New Roman" w:cs="Times New Roman"/>
              </w:rPr>
            </w:pPr>
            <w:r>
              <w:rPr>
                <w:rFonts w:ascii="Times New Roman" w:hAnsi="Times New Roman" w:cs="Times New Roman"/>
                <w:color w:val="000000"/>
                <w:shd w:val="clear" w:color="auto" w:fill="FFFFFF"/>
                <w:lang w:eastAsia="ru-RU"/>
              </w:rPr>
              <w:t>30 тис. МВт.год</w:t>
            </w:r>
          </w:p>
        </w:tc>
        <w:tc>
          <w:tcPr>
            <w:tcW w:w="1563" w:type="dxa"/>
          </w:tcPr>
          <w:p w:rsidR="00D227E2" w:rsidRDefault="00934FC4">
            <w:pPr>
              <w:widowControl w:val="0"/>
              <w:suppressAutoHyphens w:val="0"/>
              <w:spacing w:after="0" w:line="240" w:lineRule="auto"/>
              <w:jc w:val="center"/>
              <w:rPr>
                <w:rFonts w:ascii="Times New Roman" w:hAnsi="Times New Roman" w:cs="Times New Roman"/>
              </w:rPr>
            </w:pPr>
            <w:r>
              <w:rPr>
                <w:rFonts w:ascii="Times New Roman" w:hAnsi="Times New Roman" w:cs="Times New Roman"/>
                <w:color w:val="000000"/>
                <w:shd w:val="clear" w:color="auto" w:fill="FFFFFF"/>
                <w:lang w:eastAsia="ru-RU"/>
              </w:rPr>
              <w:t>-</w:t>
            </w:r>
          </w:p>
        </w:tc>
        <w:tc>
          <w:tcPr>
            <w:tcW w:w="1134" w:type="dxa"/>
            <w:vAlign w:val="center"/>
          </w:tcPr>
          <w:p w:rsidR="00D227E2" w:rsidRDefault="00934FC4">
            <w:pPr>
              <w:widowControl w:val="0"/>
              <w:suppressAutoHyphens w:val="0"/>
              <w:spacing w:after="0" w:line="240" w:lineRule="auto"/>
              <w:jc w:val="center"/>
              <w:rPr>
                <w:rFonts w:ascii="Times New Roman" w:hAnsi="Times New Roman" w:cs="Times New Roman"/>
              </w:rPr>
            </w:pPr>
            <w:r>
              <w:rPr>
                <w:rFonts w:ascii="Times New Roman" w:hAnsi="Times New Roman" w:cs="Times New Roman"/>
                <w:color w:val="000000"/>
                <w:shd w:val="clear" w:color="auto" w:fill="FFFFFF"/>
                <w:lang w:eastAsia="ru-RU"/>
              </w:rPr>
              <w:t>2050</w:t>
            </w:r>
          </w:p>
        </w:tc>
        <w:tc>
          <w:tcPr>
            <w:tcW w:w="993" w:type="dxa"/>
            <w:vAlign w:val="center"/>
          </w:tcPr>
          <w:p w:rsidR="00D227E2" w:rsidRDefault="00934FC4">
            <w:pPr>
              <w:widowControl w:val="0"/>
              <w:suppressAutoHyphens w:val="0"/>
              <w:spacing w:after="0" w:line="240" w:lineRule="auto"/>
              <w:jc w:val="center"/>
              <w:rPr>
                <w:rFonts w:ascii="Times New Roman" w:hAnsi="Times New Roman" w:cs="Times New Roman"/>
              </w:rPr>
            </w:pPr>
            <w:r>
              <w:rPr>
                <w:rFonts w:ascii="Times New Roman" w:hAnsi="Times New Roman" w:cs="Times New Roman"/>
                <w:color w:val="000000"/>
                <w:shd w:val="clear" w:color="auto" w:fill="FFFFFF"/>
                <w:lang w:eastAsia="ru-RU"/>
              </w:rPr>
              <w:t>2007</w:t>
            </w:r>
          </w:p>
        </w:tc>
      </w:tr>
    </w:tbl>
    <w:p w:rsidR="00D227E2" w:rsidRDefault="00934FC4">
      <w:pPr>
        <w:shd w:val="clear" w:color="auto" w:fill="FFFFFF" w:themeFill="background1"/>
        <w:spacing w:after="0"/>
        <w:ind w:firstLine="567"/>
        <w:jc w:val="both"/>
        <w:rPr>
          <w:rFonts w:ascii="Times New Roman" w:hAnsi="Times New Roman" w:cs="Times New Roman"/>
        </w:rPr>
      </w:pPr>
      <w:r>
        <w:rPr>
          <w:rFonts w:ascii="Times New Roman" w:hAnsi="Times New Roman" w:cs="Times New Roman"/>
          <w:color w:val="000000"/>
          <w:sz w:val="24"/>
          <w:szCs w:val="24"/>
          <w:shd w:val="clear" w:color="auto" w:fill="FFFFFF"/>
          <w:lang w:eastAsia="ru-RU"/>
        </w:rPr>
        <w:t>У м. Луцьку та населених пунктах, що увійшли до Луцької МТГ кількість населення станом на 2007 рік (розрахунково) складало 227 764 особи. Оскільки за період від 2007 до 2020 року відмічається стійка тенденція на зростання населення у м. Луцьку, прийнято рішення встановити ціль щодо скорочення викидів СО</w:t>
      </w:r>
      <w:r>
        <w:rPr>
          <w:rFonts w:ascii="Times New Roman" w:hAnsi="Times New Roman" w:cs="Times New Roman"/>
          <w:color w:val="000000"/>
          <w:sz w:val="24"/>
          <w:szCs w:val="24"/>
          <w:shd w:val="clear" w:color="auto" w:fill="FFFFFF"/>
          <w:vertAlign w:val="subscript"/>
          <w:lang w:eastAsia="ru-RU"/>
        </w:rPr>
        <w:t>2</w:t>
      </w:r>
      <w:r>
        <w:rPr>
          <w:rFonts w:ascii="Times New Roman" w:hAnsi="Times New Roman" w:cs="Times New Roman"/>
          <w:color w:val="000000"/>
          <w:sz w:val="24"/>
          <w:szCs w:val="24"/>
          <w:shd w:val="clear" w:color="auto" w:fill="FFFFFF"/>
          <w:lang w:eastAsia="ru-RU"/>
        </w:rPr>
        <w:t xml:space="preserve"> на одиницю населення. Детальніше для ознайомлення з кількістю населення у Луцькій МТГ див. пункт 2.3 розділу 2. </w:t>
      </w:r>
    </w:p>
    <w:p w:rsidR="00D227E2" w:rsidRDefault="00934FC4">
      <w:pPr>
        <w:pStyle w:val="a1"/>
        <w:spacing w:after="0" w:line="240" w:lineRule="auto"/>
        <w:ind w:firstLine="567"/>
        <w:jc w:val="both"/>
        <w:rPr>
          <w:rFonts w:ascii="Times New Roman" w:hAnsi="Times New Roman" w:cs="Times New Roman"/>
        </w:rPr>
      </w:pPr>
      <w:r>
        <w:rPr>
          <w:rFonts w:ascii="Times New Roman" w:hAnsi="Times New Roman" w:cs="Times New Roman"/>
          <w:color w:val="000000"/>
          <w:sz w:val="24"/>
          <w:szCs w:val="24"/>
          <w:shd w:val="clear" w:color="auto" w:fill="FFFFFF"/>
        </w:rPr>
        <w:t>Ціль 2. Громада, стійка до змін клімату</w:t>
      </w:r>
    </w:p>
    <w:p w:rsidR="00D227E2" w:rsidRDefault="00934FC4">
      <w:pPr>
        <w:spacing w:after="0"/>
        <w:jc w:val="right"/>
        <w:rPr>
          <w:rFonts w:ascii="Times New Roman" w:hAnsi="Times New Roman" w:cs="Times New Roman"/>
        </w:rPr>
      </w:pPr>
      <w:r>
        <w:rPr>
          <w:rFonts w:ascii="Times New Roman" w:hAnsi="Times New Roman" w:cs="Times New Roman"/>
          <w:color w:val="000000"/>
          <w:sz w:val="24"/>
          <w:szCs w:val="24"/>
          <w:shd w:val="clear" w:color="auto" w:fill="FFFFFF"/>
          <w:lang w:eastAsia="ru-RU"/>
        </w:rPr>
        <w:t>Таблиця 2</w:t>
      </w:r>
    </w:p>
    <w:tbl>
      <w:tblPr>
        <w:tblStyle w:val="aff4"/>
        <w:tblW w:w="9570" w:type="dxa"/>
        <w:tblInd w:w="113" w:type="dxa"/>
        <w:tblLayout w:type="fixed"/>
        <w:tblLook w:val="04A0" w:firstRow="1" w:lastRow="0" w:firstColumn="1" w:lastColumn="0" w:noHBand="0" w:noVBand="1"/>
      </w:tblPr>
      <w:tblGrid>
        <w:gridCol w:w="3072"/>
        <w:gridCol w:w="1291"/>
        <w:gridCol w:w="1313"/>
        <w:gridCol w:w="1291"/>
        <w:gridCol w:w="1313"/>
        <w:gridCol w:w="1290"/>
      </w:tblGrid>
      <w:tr w:rsidR="00D227E2">
        <w:tc>
          <w:tcPr>
            <w:tcW w:w="9569" w:type="dxa"/>
            <w:gridSpan w:val="6"/>
          </w:tcPr>
          <w:p w:rsidR="00D227E2" w:rsidRPr="003B00E9" w:rsidRDefault="00934FC4">
            <w:pPr>
              <w:widowControl w:val="0"/>
              <w:suppressAutoHyphens w:val="0"/>
              <w:spacing w:after="0" w:line="240" w:lineRule="auto"/>
              <w:jc w:val="center"/>
              <w:rPr>
                <w:rFonts w:ascii="Times New Roman" w:hAnsi="Times New Roman" w:cs="Times New Roman"/>
                <w:lang w:val="ru-RU"/>
              </w:rPr>
            </w:pPr>
            <w:r w:rsidRPr="003B00E9">
              <w:rPr>
                <w:rFonts w:ascii="Times New Roman" w:hAnsi="Times New Roman" w:cs="Times New Roman"/>
                <w:color w:val="000000"/>
                <w:shd w:val="clear" w:color="auto" w:fill="FFFFFF"/>
                <w:lang w:val="ru-RU" w:eastAsia="ru-RU"/>
              </w:rPr>
              <w:t>Основні цілі з адаптації до змін клімату до 2050 року</w:t>
            </w:r>
          </w:p>
        </w:tc>
      </w:tr>
      <w:tr w:rsidR="00D227E2">
        <w:tc>
          <w:tcPr>
            <w:tcW w:w="3071" w:type="dxa"/>
          </w:tcPr>
          <w:p w:rsidR="00D227E2" w:rsidRDefault="00934FC4">
            <w:pPr>
              <w:widowControl w:val="0"/>
              <w:suppressAutoHyphens w:val="0"/>
              <w:spacing w:after="0" w:line="240" w:lineRule="auto"/>
              <w:jc w:val="center"/>
              <w:rPr>
                <w:rFonts w:ascii="Times New Roman" w:hAnsi="Times New Roman" w:cs="Times New Roman"/>
              </w:rPr>
            </w:pPr>
            <w:r>
              <w:rPr>
                <w:rFonts w:ascii="Times New Roman" w:hAnsi="Times New Roman" w:cs="Times New Roman"/>
                <w:shd w:val="clear" w:color="auto" w:fill="FFFFFF"/>
                <w:lang w:eastAsia="ru-RU"/>
              </w:rPr>
              <w:t>Ціль</w:t>
            </w:r>
          </w:p>
        </w:tc>
        <w:tc>
          <w:tcPr>
            <w:tcW w:w="1291" w:type="dxa"/>
          </w:tcPr>
          <w:p w:rsidR="00D227E2" w:rsidRDefault="00934FC4">
            <w:pPr>
              <w:widowControl w:val="0"/>
              <w:suppressAutoHyphens w:val="0"/>
              <w:spacing w:after="0" w:line="240" w:lineRule="auto"/>
              <w:jc w:val="center"/>
              <w:rPr>
                <w:rFonts w:ascii="Times New Roman" w:hAnsi="Times New Roman" w:cs="Times New Roman"/>
              </w:rPr>
            </w:pPr>
            <w:r>
              <w:rPr>
                <w:rFonts w:ascii="Times New Roman" w:hAnsi="Times New Roman" w:cs="Times New Roman"/>
                <w:shd w:val="clear" w:color="auto" w:fill="FFFFFF"/>
                <w:lang w:eastAsia="ru-RU"/>
              </w:rPr>
              <w:t>Одиниці виміру</w:t>
            </w:r>
          </w:p>
        </w:tc>
        <w:tc>
          <w:tcPr>
            <w:tcW w:w="1313" w:type="dxa"/>
          </w:tcPr>
          <w:p w:rsidR="00D227E2" w:rsidRDefault="00934FC4">
            <w:pPr>
              <w:widowControl w:val="0"/>
              <w:suppressAutoHyphens w:val="0"/>
              <w:spacing w:after="0" w:line="240" w:lineRule="auto"/>
              <w:jc w:val="center"/>
              <w:rPr>
                <w:rFonts w:ascii="Times New Roman" w:hAnsi="Times New Roman" w:cs="Times New Roman"/>
              </w:rPr>
            </w:pPr>
            <w:r>
              <w:rPr>
                <w:rFonts w:ascii="Times New Roman" w:hAnsi="Times New Roman" w:cs="Times New Roman"/>
                <w:shd w:val="clear" w:color="auto" w:fill="FFFFFF"/>
                <w:lang w:eastAsia="ru-RU"/>
              </w:rPr>
              <w:t>Значення в цільовому році</w:t>
            </w:r>
          </w:p>
        </w:tc>
        <w:tc>
          <w:tcPr>
            <w:tcW w:w="1291" w:type="dxa"/>
          </w:tcPr>
          <w:p w:rsidR="00D227E2" w:rsidRDefault="00934FC4">
            <w:pPr>
              <w:widowControl w:val="0"/>
              <w:suppressAutoHyphens w:val="0"/>
              <w:spacing w:after="0" w:line="240" w:lineRule="auto"/>
              <w:jc w:val="center"/>
              <w:rPr>
                <w:rFonts w:ascii="Times New Roman" w:hAnsi="Times New Roman" w:cs="Times New Roman"/>
              </w:rPr>
            </w:pPr>
            <w:r>
              <w:rPr>
                <w:rFonts w:ascii="Times New Roman" w:hAnsi="Times New Roman" w:cs="Times New Roman"/>
                <w:shd w:val="clear" w:color="auto" w:fill="FFFFFF"/>
                <w:lang w:eastAsia="ru-RU"/>
              </w:rPr>
              <w:t>Цільовий рік</w:t>
            </w:r>
          </w:p>
        </w:tc>
        <w:tc>
          <w:tcPr>
            <w:tcW w:w="1313" w:type="dxa"/>
          </w:tcPr>
          <w:p w:rsidR="00D227E2" w:rsidRDefault="00934FC4">
            <w:pPr>
              <w:widowControl w:val="0"/>
              <w:suppressAutoHyphens w:val="0"/>
              <w:spacing w:after="0" w:line="240" w:lineRule="auto"/>
              <w:jc w:val="center"/>
              <w:rPr>
                <w:rFonts w:ascii="Times New Roman" w:hAnsi="Times New Roman" w:cs="Times New Roman"/>
              </w:rPr>
            </w:pPr>
            <w:r>
              <w:rPr>
                <w:rFonts w:ascii="Times New Roman" w:hAnsi="Times New Roman" w:cs="Times New Roman"/>
                <w:shd w:val="clear" w:color="auto" w:fill="FFFFFF"/>
                <w:lang w:eastAsia="ru-RU"/>
              </w:rPr>
              <w:t>Значення в базовому році</w:t>
            </w:r>
          </w:p>
        </w:tc>
        <w:tc>
          <w:tcPr>
            <w:tcW w:w="1290" w:type="dxa"/>
          </w:tcPr>
          <w:p w:rsidR="00D227E2" w:rsidRDefault="00934FC4">
            <w:pPr>
              <w:widowControl w:val="0"/>
              <w:suppressAutoHyphens w:val="0"/>
              <w:spacing w:after="0" w:line="240" w:lineRule="auto"/>
              <w:jc w:val="center"/>
              <w:rPr>
                <w:rFonts w:ascii="Times New Roman" w:hAnsi="Times New Roman" w:cs="Times New Roman"/>
              </w:rPr>
            </w:pPr>
            <w:r>
              <w:rPr>
                <w:rFonts w:ascii="Times New Roman" w:hAnsi="Times New Roman" w:cs="Times New Roman"/>
                <w:shd w:val="clear" w:color="auto" w:fill="FFFFFF"/>
                <w:lang w:eastAsia="ru-RU"/>
              </w:rPr>
              <w:t>Базовий рік</w:t>
            </w:r>
          </w:p>
        </w:tc>
      </w:tr>
      <w:tr w:rsidR="00D227E2">
        <w:trPr>
          <w:cantSplit/>
        </w:trPr>
        <w:tc>
          <w:tcPr>
            <w:tcW w:w="3071" w:type="dxa"/>
          </w:tcPr>
          <w:p w:rsidR="00D227E2" w:rsidRPr="003B00E9" w:rsidRDefault="00934FC4">
            <w:pPr>
              <w:spacing w:after="0" w:line="240" w:lineRule="auto"/>
              <w:rPr>
                <w:rFonts w:ascii="Times New Roman" w:hAnsi="Times New Roman" w:cs="Times New Roman"/>
                <w:lang w:val="ru-RU"/>
              </w:rPr>
            </w:pPr>
            <w:r w:rsidRPr="003B00E9">
              <w:rPr>
                <w:rFonts w:ascii="Times New Roman" w:hAnsi="Times New Roman" w:cs="Times New Roman"/>
                <w:shd w:val="clear" w:color="auto" w:fill="FFFFFF"/>
                <w:lang w:val="ru-RU"/>
              </w:rPr>
              <w:t>Збільшення площі зелених зон у населених пунктах громади</w:t>
            </w:r>
          </w:p>
        </w:tc>
        <w:tc>
          <w:tcPr>
            <w:tcW w:w="1291"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rPr>
              <w:t>%</w:t>
            </w:r>
          </w:p>
        </w:tc>
        <w:tc>
          <w:tcPr>
            <w:tcW w:w="1313"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rPr>
              <w:t>20</w:t>
            </w:r>
          </w:p>
        </w:tc>
        <w:tc>
          <w:tcPr>
            <w:tcW w:w="1291"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lang w:eastAsia="ru-RU"/>
              </w:rPr>
              <w:t>2050</w:t>
            </w:r>
          </w:p>
        </w:tc>
        <w:tc>
          <w:tcPr>
            <w:tcW w:w="1313"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rPr>
              <w:t>0</w:t>
            </w:r>
          </w:p>
        </w:tc>
        <w:tc>
          <w:tcPr>
            <w:tcW w:w="1290" w:type="dxa"/>
          </w:tcPr>
          <w:p w:rsidR="00D227E2" w:rsidRDefault="00934FC4">
            <w:pPr>
              <w:jc w:val="center"/>
              <w:rPr>
                <w:rFonts w:ascii="Times New Roman" w:hAnsi="Times New Roman" w:cs="Times New Roman"/>
              </w:rPr>
            </w:pPr>
            <w:r>
              <w:rPr>
                <w:rFonts w:ascii="Times New Roman" w:hAnsi="Times New Roman" w:cs="Times New Roman"/>
                <w:shd w:val="clear" w:color="auto" w:fill="FFFFFF"/>
              </w:rPr>
              <w:t>2023</w:t>
            </w:r>
          </w:p>
        </w:tc>
      </w:tr>
      <w:tr w:rsidR="00D227E2">
        <w:trPr>
          <w:cantSplit/>
          <w:trHeight w:val="1470"/>
        </w:trPr>
        <w:tc>
          <w:tcPr>
            <w:tcW w:w="3071" w:type="dxa"/>
          </w:tcPr>
          <w:p w:rsidR="00D227E2" w:rsidRPr="003B00E9" w:rsidRDefault="00934FC4">
            <w:pPr>
              <w:spacing w:after="0" w:line="240" w:lineRule="auto"/>
              <w:rPr>
                <w:rFonts w:ascii="Times New Roman" w:hAnsi="Times New Roman" w:cs="Times New Roman"/>
                <w:lang w:val="ru-RU"/>
              </w:rPr>
            </w:pPr>
            <w:r w:rsidRPr="003B00E9">
              <w:rPr>
                <w:rFonts w:ascii="Times New Roman" w:hAnsi="Times New Roman" w:cs="Times New Roman"/>
                <w:shd w:val="clear" w:color="auto" w:fill="FFFFFF"/>
                <w:lang w:val="ru-RU"/>
              </w:rPr>
              <w:lastRenderedPageBreak/>
              <w:t>Зменшення кількості (громадських/житлових/третинних) будівель, пошкоджених внаслідок екстремальних опадів</w:t>
            </w:r>
          </w:p>
        </w:tc>
        <w:tc>
          <w:tcPr>
            <w:tcW w:w="1291"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rPr>
              <w:t>%</w:t>
            </w:r>
          </w:p>
        </w:tc>
        <w:tc>
          <w:tcPr>
            <w:tcW w:w="1313"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rPr>
              <w:t>50</w:t>
            </w:r>
          </w:p>
        </w:tc>
        <w:tc>
          <w:tcPr>
            <w:tcW w:w="1291"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rPr>
              <w:t>2050</w:t>
            </w:r>
          </w:p>
        </w:tc>
        <w:tc>
          <w:tcPr>
            <w:tcW w:w="1313"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rPr>
              <w:t>100</w:t>
            </w:r>
          </w:p>
        </w:tc>
        <w:tc>
          <w:tcPr>
            <w:tcW w:w="1290" w:type="dxa"/>
          </w:tcPr>
          <w:p w:rsidR="00D227E2" w:rsidRDefault="00934FC4">
            <w:pPr>
              <w:jc w:val="center"/>
              <w:rPr>
                <w:rFonts w:ascii="Times New Roman" w:hAnsi="Times New Roman" w:cs="Times New Roman"/>
              </w:rPr>
            </w:pPr>
            <w:r>
              <w:rPr>
                <w:rFonts w:ascii="Times New Roman" w:hAnsi="Times New Roman" w:cs="Times New Roman"/>
                <w:shd w:val="clear" w:color="auto" w:fill="FFFFFF"/>
              </w:rPr>
              <w:t>2023</w:t>
            </w:r>
          </w:p>
        </w:tc>
      </w:tr>
      <w:tr w:rsidR="00D227E2">
        <w:trPr>
          <w:cantSplit/>
        </w:trPr>
        <w:tc>
          <w:tcPr>
            <w:tcW w:w="3071" w:type="dxa"/>
          </w:tcPr>
          <w:p w:rsidR="00D227E2" w:rsidRPr="003B00E9" w:rsidRDefault="00934FC4">
            <w:pPr>
              <w:spacing w:after="0" w:line="240" w:lineRule="auto"/>
              <w:rPr>
                <w:rFonts w:ascii="Times New Roman" w:hAnsi="Times New Roman" w:cs="Times New Roman"/>
                <w:lang w:val="ru-RU"/>
              </w:rPr>
            </w:pPr>
            <w:r w:rsidRPr="003B00E9">
              <w:rPr>
                <w:rFonts w:ascii="Times New Roman" w:hAnsi="Times New Roman" w:cs="Times New Roman"/>
                <w:shd w:val="clear" w:color="auto" w:fill="FFFFFF"/>
                <w:lang w:val="ru-RU"/>
              </w:rPr>
              <w:t xml:space="preserve">Зменшення кількості випадків тимчасового припинення водопостачання </w:t>
            </w:r>
            <w:r w:rsidRPr="003B00E9">
              <w:rPr>
                <w:rFonts w:ascii="Times New Roman" w:hAnsi="Times New Roman" w:cs="Times New Roman"/>
                <w:color w:val="000000"/>
                <w:lang w:val="ru-RU"/>
              </w:rPr>
              <w:t>(в т.ч. аварійних)</w:t>
            </w:r>
          </w:p>
        </w:tc>
        <w:tc>
          <w:tcPr>
            <w:tcW w:w="1291"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lang w:eastAsia="ru-RU"/>
              </w:rPr>
              <w:t>од</w:t>
            </w:r>
          </w:p>
        </w:tc>
        <w:tc>
          <w:tcPr>
            <w:tcW w:w="1313"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lang w:eastAsia="ru-RU"/>
              </w:rPr>
              <w:t>118</w:t>
            </w:r>
          </w:p>
        </w:tc>
        <w:tc>
          <w:tcPr>
            <w:tcW w:w="1291"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lang w:eastAsia="ru-RU"/>
              </w:rPr>
              <w:t>2050</w:t>
            </w:r>
          </w:p>
        </w:tc>
        <w:tc>
          <w:tcPr>
            <w:tcW w:w="1313"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lang w:eastAsia="ru-RU"/>
              </w:rPr>
              <w:t>168</w:t>
            </w:r>
          </w:p>
        </w:tc>
        <w:tc>
          <w:tcPr>
            <w:tcW w:w="1290" w:type="dxa"/>
          </w:tcPr>
          <w:p w:rsidR="00D227E2" w:rsidRDefault="00934FC4">
            <w:pPr>
              <w:jc w:val="center"/>
              <w:rPr>
                <w:rFonts w:ascii="Times New Roman" w:hAnsi="Times New Roman" w:cs="Times New Roman"/>
              </w:rPr>
            </w:pPr>
            <w:r>
              <w:rPr>
                <w:rFonts w:ascii="Times New Roman" w:hAnsi="Times New Roman" w:cs="Times New Roman"/>
                <w:shd w:val="clear" w:color="auto" w:fill="FFFFFF"/>
              </w:rPr>
              <w:t>2023</w:t>
            </w:r>
          </w:p>
        </w:tc>
      </w:tr>
      <w:tr w:rsidR="00D227E2">
        <w:trPr>
          <w:cantSplit/>
        </w:trPr>
        <w:tc>
          <w:tcPr>
            <w:tcW w:w="3071" w:type="dxa"/>
          </w:tcPr>
          <w:p w:rsidR="00D227E2" w:rsidRPr="003B00E9" w:rsidRDefault="00934FC4">
            <w:pPr>
              <w:spacing w:after="0" w:line="240" w:lineRule="auto"/>
              <w:rPr>
                <w:rFonts w:ascii="Times New Roman" w:hAnsi="Times New Roman" w:cs="Times New Roman"/>
                <w:lang w:val="ru-RU"/>
              </w:rPr>
            </w:pPr>
            <w:r w:rsidRPr="003B00E9">
              <w:rPr>
                <w:rFonts w:ascii="Times New Roman" w:hAnsi="Times New Roman" w:cs="Times New Roman"/>
                <w:shd w:val="clear" w:color="auto" w:fill="FFFFFF"/>
                <w:lang w:val="ru-RU"/>
              </w:rPr>
              <w:t>Збільшення протяжності трубопроводів у системі водопостачання</w:t>
            </w:r>
          </w:p>
        </w:tc>
        <w:tc>
          <w:tcPr>
            <w:tcW w:w="1291"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lang w:eastAsia="ru-RU"/>
              </w:rPr>
              <w:t>км</w:t>
            </w:r>
          </w:p>
        </w:tc>
        <w:tc>
          <w:tcPr>
            <w:tcW w:w="1313"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lang w:eastAsia="ru-RU"/>
              </w:rPr>
              <w:t>610</w:t>
            </w:r>
          </w:p>
        </w:tc>
        <w:tc>
          <w:tcPr>
            <w:tcW w:w="1291"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lang w:eastAsia="ru-RU"/>
              </w:rPr>
              <w:t>2050</w:t>
            </w:r>
          </w:p>
        </w:tc>
        <w:tc>
          <w:tcPr>
            <w:tcW w:w="1313"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lang w:eastAsia="ru-RU"/>
              </w:rPr>
              <w:t>588,4</w:t>
            </w:r>
          </w:p>
        </w:tc>
        <w:tc>
          <w:tcPr>
            <w:tcW w:w="1290" w:type="dxa"/>
          </w:tcPr>
          <w:p w:rsidR="00D227E2" w:rsidRDefault="00934FC4">
            <w:pPr>
              <w:jc w:val="center"/>
              <w:rPr>
                <w:rFonts w:ascii="Times New Roman" w:hAnsi="Times New Roman" w:cs="Times New Roman"/>
              </w:rPr>
            </w:pPr>
            <w:r>
              <w:rPr>
                <w:rFonts w:ascii="Times New Roman" w:hAnsi="Times New Roman" w:cs="Times New Roman"/>
                <w:shd w:val="clear" w:color="auto" w:fill="FFFFFF"/>
              </w:rPr>
              <w:t>2023</w:t>
            </w:r>
          </w:p>
        </w:tc>
      </w:tr>
      <w:tr w:rsidR="00D227E2">
        <w:trPr>
          <w:cantSplit/>
          <w:trHeight w:val="903"/>
        </w:trPr>
        <w:tc>
          <w:tcPr>
            <w:tcW w:w="3071" w:type="dxa"/>
          </w:tcPr>
          <w:p w:rsidR="00D227E2" w:rsidRPr="003B00E9" w:rsidRDefault="00934FC4">
            <w:pPr>
              <w:spacing w:after="0" w:line="240" w:lineRule="auto"/>
              <w:rPr>
                <w:rFonts w:ascii="Times New Roman" w:hAnsi="Times New Roman" w:cs="Times New Roman"/>
                <w:lang w:val="ru-RU"/>
              </w:rPr>
            </w:pPr>
            <w:r w:rsidRPr="003B00E9">
              <w:rPr>
                <w:rFonts w:ascii="Times New Roman" w:hAnsi="Times New Roman" w:cs="Times New Roman"/>
                <w:shd w:val="clear" w:color="auto" w:fill="FFFFFF"/>
                <w:lang w:val="ru-RU"/>
              </w:rPr>
              <w:t>Збільшення протяжності трубопроводів у системі водовідведення</w:t>
            </w:r>
          </w:p>
        </w:tc>
        <w:tc>
          <w:tcPr>
            <w:tcW w:w="1291"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lang w:eastAsia="ru-RU"/>
              </w:rPr>
              <w:t>км</w:t>
            </w:r>
          </w:p>
        </w:tc>
        <w:tc>
          <w:tcPr>
            <w:tcW w:w="1313"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lang w:eastAsia="ru-RU"/>
              </w:rPr>
              <w:t>426,8</w:t>
            </w:r>
          </w:p>
        </w:tc>
        <w:tc>
          <w:tcPr>
            <w:tcW w:w="1291"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lang w:eastAsia="ru-RU"/>
              </w:rPr>
              <w:t>2050</w:t>
            </w:r>
          </w:p>
        </w:tc>
        <w:tc>
          <w:tcPr>
            <w:tcW w:w="1313"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lang w:eastAsia="ru-RU"/>
              </w:rPr>
              <w:t>418,7</w:t>
            </w:r>
          </w:p>
        </w:tc>
        <w:tc>
          <w:tcPr>
            <w:tcW w:w="1290" w:type="dxa"/>
          </w:tcPr>
          <w:p w:rsidR="00D227E2" w:rsidRDefault="00934FC4">
            <w:pPr>
              <w:jc w:val="center"/>
              <w:rPr>
                <w:rFonts w:ascii="Times New Roman" w:hAnsi="Times New Roman" w:cs="Times New Roman"/>
              </w:rPr>
            </w:pPr>
            <w:r>
              <w:rPr>
                <w:rFonts w:ascii="Times New Roman" w:hAnsi="Times New Roman" w:cs="Times New Roman"/>
                <w:shd w:val="clear" w:color="auto" w:fill="FFFFFF"/>
              </w:rPr>
              <w:t>2023</w:t>
            </w:r>
          </w:p>
        </w:tc>
      </w:tr>
    </w:tbl>
    <w:p w:rsidR="00D227E2" w:rsidRDefault="00D227E2">
      <w:pPr>
        <w:pStyle w:val="a1"/>
        <w:spacing w:after="0" w:line="240" w:lineRule="auto"/>
        <w:jc w:val="both"/>
        <w:rPr>
          <w:rFonts w:ascii="Times New Roman" w:hAnsi="Times New Roman" w:cs="Times New Roman"/>
          <w:color w:val="000000"/>
          <w:sz w:val="24"/>
          <w:szCs w:val="24"/>
          <w:shd w:val="clear" w:color="auto" w:fill="FFFFFF"/>
        </w:rPr>
      </w:pPr>
    </w:p>
    <w:p w:rsidR="00D227E2" w:rsidRDefault="00934FC4">
      <w:pPr>
        <w:pStyle w:val="a1"/>
        <w:spacing w:after="0" w:line="240" w:lineRule="auto"/>
        <w:ind w:firstLine="567"/>
        <w:jc w:val="both"/>
        <w:rPr>
          <w:rFonts w:ascii="Times New Roman" w:hAnsi="Times New Roman" w:cs="Times New Roman"/>
        </w:rPr>
      </w:pPr>
      <w:r>
        <w:rPr>
          <w:rFonts w:ascii="Times New Roman" w:hAnsi="Times New Roman" w:cs="Times New Roman"/>
          <w:color w:val="000000"/>
          <w:sz w:val="24"/>
          <w:szCs w:val="24"/>
          <w:shd w:val="clear" w:color="auto" w:fill="FFFFFF"/>
        </w:rPr>
        <w:t>Ціль 3. Доступна, безпечна, стала енергія</w:t>
      </w:r>
    </w:p>
    <w:p w:rsidR="00D227E2" w:rsidRDefault="00934FC4">
      <w:pPr>
        <w:pStyle w:val="a1"/>
        <w:spacing w:after="0" w:line="240" w:lineRule="auto"/>
        <w:jc w:val="right"/>
        <w:rPr>
          <w:rFonts w:ascii="Times New Roman" w:hAnsi="Times New Roman" w:cs="Times New Roman"/>
        </w:rPr>
      </w:pPr>
      <w:r>
        <w:rPr>
          <w:rFonts w:ascii="Times New Roman" w:hAnsi="Times New Roman" w:cs="Times New Roman"/>
          <w:color w:val="000000"/>
          <w:sz w:val="24"/>
          <w:szCs w:val="24"/>
          <w:shd w:val="clear" w:color="auto" w:fill="FFFFFF"/>
        </w:rPr>
        <w:t>Таблиця 3</w:t>
      </w:r>
    </w:p>
    <w:tbl>
      <w:tblPr>
        <w:tblStyle w:val="aff4"/>
        <w:tblW w:w="9640" w:type="dxa"/>
        <w:tblInd w:w="79" w:type="dxa"/>
        <w:tblLayout w:type="fixed"/>
        <w:tblLook w:val="04A0" w:firstRow="1" w:lastRow="0" w:firstColumn="1" w:lastColumn="0" w:noHBand="0" w:noVBand="1"/>
      </w:tblPr>
      <w:tblGrid>
        <w:gridCol w:w="9640"/>
      </w:tblGrid>
      <w:tr w:rsidR="00D227E2">
        <w:trPr>
          <w:trHeight w:val="330"/>
        </w:trPr>
        <w:tc>
          <w:tcPr>
            <w:tcW w:w="9640" w:type="dxa"/>
          </w:tcPr>
          <w:p w:rsidR="00D227E2" w:rsidRPr="003B00E9" w:rsidRDefault="00934FC4">
            <w:pPr>
              <w:widowControl w:val="0"/>
              <w:spacing w:after="0"/>
              <w:jc w:val="center"/>
              <w:rPr>
                <w:rFonts w:ascii="Times New Roman" w:hAnsi="Times New Roman" w:cs="Times New Roman"/>
                <w:lang w:val="ru-RU"/>
              </w:rPr>
            </w:pPr>
            <w:r w:rsidRPr="003B00E9">
              <w:rPr>
                <w:rFonts w:ascii="Times New Roman" w:hAnsi="Times New Roman" w:cs="Times New Roman"/>
                <w:color w:val="000000"/>
                <w:lang w:val="ru-RU"/>
              </w:rPr>
              <w:t>Цілі подолання енергетичної бідності</w:t>
            </w:r>
          </w:p>
          <w:p w:rsidR="00D227E2" w:rsidRPr="003B00E9" w:rsidRDefault="00934FC4">
            <w:pPr>
              <w:widowControl w:val="0"/>
              <w:spacing w:after="0"/>
              <w:jc w:val="center"/>
              <w:rPr>
                <w:rFonts w:ascii="Times New Roman" w:hAnsi="Times New Roman" w:cs="Times New Roman"/>
                <w:lang w:val="ru-RU"/>
              </w:rPr>
            </w:pPr>
            <w:r w:rsidRPr="003B00E9">
              <w:rPr>
                <w:rFonts w:ascii="Times New Roman" w:hAnsi="Times New Roman" w:cs="Times New Roman"/>
                <w:color w:val="000000"/>
                <w:lang w:val="ru-RU"/>
              </w:rPr>
              <w:t>(до 2050 року у порівнянні із 2022 роком)</w:t>
            </w:r>
          </w:p>
        </w:tc>
      </w:tr>
      <w:tr w:rsidR="00D227E2">
        <w:trPr>
          <w:trHeight w:val="1325"/>
        </w:trPr>
        <w:tc>
          <w:tcPr>
            <w:tcW w:w="9640" w:type="dxa"/>
          </w:tcPr>
          <w:p w:rsidR="00D227E2" w:rsidRPr="003B00E9" w:rsidRDefault="00934FC4">
            <w:pPr>
              <w:widowControl w:val="0"/>
              <w:spacing w:after="0"/>
              <w:jc w:val="both"/>
              <w:rPr>
                <w:rFonts w:ascii="Times New Roman" w:hAnsi="Times New Roman" w:cs="Times New Roman"/>
                <w:lang w:val="ru-RU"/>
              </w:rPr>
            </w:pPr>
            <w:r w:rsidRPr="003B00E9">
              <w:rPr>
                <w:rFonts w:ascii="Times New Roman" w:hAnsi="Times New Roman" w:cs="Times New Roman"/>
                <w:color w:val="000000"/>
                <w:shd w:val="clear" w:color="auto" w:fill="FFFFFF"/>
                <w:lang w:val="ru-RU"/>
              </w:rPr>
              <w:t>1. Скорочення на 80 % обсягів енергоспоживання, що потребує субсидіювання;</w:t>
            </w:r>
          </w:p>
          <w:p w:rsidR="00D227E2" w:rsidRPr="003B00E9" w:rsidRDefault="00934FC4">
            <w:pPr>
              <w:widowControl w:val="0"/>
              <w:spacing w:after="0"/>
              <w:jc w:val="both"/>
              <w:rPr>
                <w:rFonts w:ascii="Times New Roman" w:hAnsi="Times New Roman" w:cs="Times New Roman"/>
                <w:lang w:val="ru-RU"/>
              </w:rPr>
            </w:pPr>
            <w:r w:rsidRPr="003B00E9">
              <w:rPr>
                <w:rFonts w:ascii="Times New Roman" w:hAnsi="Times New Roman" w:cs="Times New Roman"/>
                <w:color w:val="000000"/>
                <w:shd w:val="clear" w:color="auto" w:fill="FFFFFF"/>
                <w:lang w:val="ru-RU"/>
              </w:rPr>
              <w:t>2. Провести</w:t>
            </w:r>
            <w:r>
              <w:rPr>
                <w:rFonts w:ascii="Times New Roman" w:hAnsi="Times New Roman" w:cs="Times New Roman"/>
                <w:color w:val="000000"/>
                <w:shd w:val="clear" w:color="auto" w:fill="FFFFFF"/>
              </w:rPr>
              <w:t> </w:t>
            </w:r>
            <w:r w:rsidRPr="003B00E9">
              <w:rPr>
                <w:rFonts w:ascii="Times New Roman" w:hAnsi="Times New Roman" w:cs="Times New Roman"/>
                <w:color w:val="000000"/>
                <w:shd w:val="clear" w:color="auto" w:fill="FFFFFF"/>
                <w:lang w:val="ru-RU"/>
              </w:rPr>
              <w:t>100 % інвентаризацію житлового фонду громади та визначити клас енергоефективності помешкань;</w:t>
            </w:r>
          </w:p>
          <w:p w:rsidR="00D227E2" w:rsidRPr="003B00E9" w:rsidRDefault="00934FC4">
            <w:pPr>
              <w:widowControl w:val="0"/>
              <w:spacing w:after="0"/>
              <w:jc w:val="both"/>
              <w:rPr>
                <w:rFonts w:ascii="Times New Roman" w:hAnsi="Times New Roman" w:cs="Times New Roman"/>
                <w:lang w:val="ru-RU"/>
              </w:rPr>
            </w:pPr>
            <w:r w:rsidRPr="003B00E9">
              <w:rPr>
                <w:rFonts w:ascii="Times New Roman" w:hAnsi="Times New Roman" w:cs="Times New Roman"/>
                <w:color w:val="000000"/>
                <w:shd w:val="clear" w:color="auto" w:fill="FFFFFF"/>
                <w:lang w:val="ru-RU"/>
              </w:rPr>
              <w:t>3. Провести 100 %</w:t>
            </w:r>
            <w:r>
              <w:rPr>
                <w:rFonts w:ascii="Times New Roman" w:hAnsi="Times New Roman" w:cs="Times New Roman"/>
                <w:color w:val="000000"/>
                <w:shd w:val="clear" w:color="auto" w:fill="FFFFFF"/>
              </w:rPr>
              <w:t> </w:t>
            </w:r>
            <w:r w:rsidRPr="003B00E9">
              <w:rPr>
                <w:rFonts w:ascii="Times New Roman" w:hAnsi="Times New Roman" w:cs="Times New Roman"/>
                <w:color w:val="000000"/>
                <w:shd w:val="clear" w:color="auto" w:fill="FFFFFF"/>
                <w:lang w:val="ru-RU"/>
              </w:rPr>
              <w:t>обов’язкову сертифікацію муніципальних будівель та окремих приміщень (в т.ч. тих, які знаходяться у довгостроковій оренді).</w:t>
            </w:r>
          </w:p>
        </w:tc>
      </w:tr>
    </w:tbl>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shd w:val="clear" w:color="auto" w:fill="FFFFFF"/>
        </w:rPr>
        <w:t xml:space="preserve">Впровадження мети та конкретних цілей, що передбачені Планом дій Луцької МТГ до 2050 року, здійснюються шляхом реалізації заходів з пом’якшення наслідків зміни клімату та заходів з адаптації до змін клімату, що наведені у </w:t>
      </w:r>
      <w:r>
        <w:rPr>
          <w:rFonts w:ascii="Times New Roman" w:hAnsi="Times New Roman" w:cs="Times New Roman"/>
          <w:sz w:val="24"/>
          <w:szCs w:val="24"/>
          <w:shd w:val="clear" w:color="auto" w:fill="FFFFFF"/>
        </w:rPr>
        <w:t>Розділі 7.</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shd w:val="clear" w:color="auto" w:fill="FFFFFF"/>
        </w:rPr>
        <w:t>Цілі Плану дій Луцької МТГ до 2050 року узгоджуються та відповідають:</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shd w:val="clear" w:color="auto" w:fill="FFFFFF"/>
        </w:rPr>
        <w:t>1. Цілям сталого розвитку України на період до 2030 року, які проголошені резолюцією Генеральної Асамблеї Організації Об’єднаних Націй від 25 вересня 2015 року № 70/1. Глобальні цілі сталого розвитку до 2030 року та результати їх адаптації з урахуванням специфіки розвитку України, викладені у Національній доповіді «Цілі сталого розвитку: Україна».</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sz w:val="24"/>
          <w:szCs w:val="24"/>
          <w:shd w:val="clear" w:color="auto" w:fill="FFFFFF"/>
        </w:rPr>
        <w:t>Цілі сталого розвитку в Україні</w:t>
      </w:r>
      <w:bookmarkStart w:id="4" w:name="sdg-icons"/>
      <w:bookmarkEnd w:id="4"/>
    </w:p>
    <w:p w:rsidR="00D227E2" w:rsidRDefault="00934FC4">
      <w:pPr>
        <w:pStyle w:val="2"/>
        <w:jc w:val="center"/>
        <w:rPr>
          <w:rFonts w:ascii="Times New Roman" w:hAnsi="Times New Roman" w:cs="Times New Roman"/>
        </w:rPr>
      </w:pPr>
      <w:r>
        <w:rPr>
          <w:noProof/>
          <w:lang w:eastAsia="uk-UA"/>
        </w:rPr>
        <w:drawing>
          <wp:inline distT="0" distB="0" distL="0" distR="0" wp14:anchorId="563AB168" wp14:editId="24B4C444">
            <wp:extent cx="953135" cy="953135"/>
            <wp:effectExtent l="0" t="0" r="0" b="0"/>
            <wp:docPr id="3" name="Зображення5">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Зображення5">
                      <a:hlinkClick r:id="rId18"/>
                    </pic:cNvPr>
                    <pic:cNvPicPr>
                      <a:picLocks noChangeAspect="1" noChangeArrowheads="1"/>
                    </pic:cNvPicPr>
                  </pic:nvPicPr>
                  <pic:blipFill>
                    <a:blip r:embed="rId19"/>
                    <a:srcRect l="-1080" t="-1080" r="-1080" b="-1080"/>
                    <a:stretch>
                      <a:fillRect/>
                    </a:stretch>
                  </pic:blipFill>
                  <pic:spPr bwMode="auto">
                    <a:xfrm>
                      <a:off x="0" y="0"/>
                      <a:ext cx="953135" cy="953135"/>
                    </a:xfrm>
                    <a:prstGeom prst="rect">
                      <a:avLst/>
                    </a:prstGeom>
                  </pic:spPr>
                </pic:pic>
              </a:graphicData>
            </a:graphic>
          </wp:inline>
        </w:drawing>
      </w:r>
      <w:r>
        <w:rPr>
          <w:noProof/>
          <w:lang w:eastAsia="uk-UA"/>
        </w:rPr>
        <w:drawing>
          <wp:inline distT="0" distB="0" distL="0" distR="0" wp14:anchorId="45DA243E" wp14:editId="5CAD398F">
            <wp:extent cx="953135" cy="953135"/>
            <wp:effectExtent l="0" t="0" r="0" b="0"/>
            <wp:docPr id="4" name="Зображення15">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Зображення15">
                      <a:hlinkClick r:id="rId20"/>
                    </pic:cNvPr>
                    <pic:cNvPicPr>
                      <a:picLocks noChangeAspect="1" noChangeArrowheads="1"/>
                    </pic:cNvPicPr>
                  </pic:nvPicPr>
                  <pic:blipFill>
                    <a:blip r:embed="rId21"/>
                    <a:srcRect l="-1080" t="-1080" r="-1080" b="-1080"/>
                    <a:stretch>
                      <a:fillRect/>
                    </a:stretch>
                  </pic:blipFill>
                  <pic:spPr bwMode="auto">
                    <a:xfrm>
                      <a:off x="0" y="0"/>
                      <a:ext cx="953135" cy="953135"/>
                    </a:xfrm>
                    <a:prstGeom prst="rect">
                      <a:avLst/>
                    </a:prstGeom>
                  </pic:spPr>
                </pic:pic>
              </a:graphicData>
            </a:graphic>
          </wp:inline>
        </w:drawing>
      </w:r>
      <w:r>
        <w:rPr>
          <w:noProof/>
          <w:lang w:eastAsia="uk-UA"/>
        </w:rPr>
        <w:drawing>
          <wp:inline distT="0" distB="0" distL="0" distR="0" wp14:anchorId="7C861762" wp14:editId="3F3C1525">
            <wp:extent cx="953135" cy="953135"/>
            <wp:effectExtent l="0" t="0" r="0" b="0"/>
            <wp:docPr id="5" name="Зображення17">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Зображення17">
                      <a:hlinkClick r:id="rId22"/>
                    </pic:cNvPr>
                    <pic:cNvPicPr>
                      <a:picLocks noChangeAspect="1" noChangeArrowheads="1"/>
                    </pic:cNvPicPr>
                  </pic:nvPicPr>
                  <pic:blipFill>
                    <a:blip r:embed="rId23"/>
                    <a:srcRect l="-1080" t="-1080" r="-1080" b="-1080"/>
                    <a:stretch>
                      <a:fillRect/>
                    </a:stretch>
                  </pic:blipFill>
                  <pic:spPr bwMode="auto">
                    <a:xfrm>
                      <a:off x="0" y="0"/>
                      <a:ext cx="953135" cy="953135"/>
                    </a:xfrm>
                    <a:prstGeom prst="rect">
                      <a:avLst/>
                    </a:prstGeom>
                  </pic:spPr>
                </pic:pic>
              </a:graphicData>
            </a:graphic>
          </wp:inline>
        </w:drawing>
      </w:r>
      <w:r>
        <w:rPr>
          <w:noProof/>
          <w:lang w:eastAsia="uk-UA"/>
        </w:rPr>
        <w:drawing>
          <wp:inline distT="0" distB="0" distL="0" distR="0" wp14:anchorId="7F0400BB" wp14:editId="579D1366">
            <wp:extent cx="953135" cy="953135"/>
            <wp:effectExtent l="0" t="0" r="0" b="0"/>
            <wp:docPr id="6" name="Зображення36">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Зображення36">
                      <a:hlinkClick r:id="rId24"/>
                    </pic:cNvPr>
                    <pic:cNvPicPr>
                      <a:picLocks noChangeAspect="1" noChangeArrowheads="1"/>
                    </pic:cNvPicPr>
                  </pic:nvPicPr>
                  <pic:blipFill>
                    <a:blip r:embed="rId25"/>
                    <a:srcRect l="-1080" t="-1080" r="-1080" b="-1080"/>
                    <a:stretch>
                      <a:fillRect/>
                    </a:stretch>
                  </pic:blipFill>
                  <pic:spPr bwMode="auto">
                    <a:xfrm>
                      <a:off x="0" y="0"/>
                      <a:ext cx="953135" cy="953135"/>
                    </a:xfrm>
                    <a:prstGeom prst="rect">
                      <a:avLst/>
                    </a:prstGeom>
                  </pic:spPr>
                </pic:pic>
              </a:graphicData>
            </a:graphic>
          </wp:inline>
        </w:drawing>
      </w:r>
      <w:r>
        <w:rPr>
          <w:rFonts w:ascii="Times New Roman" w:hAnsi="Times New Roman" w:cs="Times New Roman"/>
          <w:sz w:val="24"/>
          <w:szCs w:val="24"/>
          <w:shd w:val="clear" w:color="auto" w:fill="FFFFFF"/>
        </w:rPr>
        <w:br/>
      </w:r>
      <w:r>
        <w:rPr>
          <w:noProof/>
          <w:lang w:eastAsia="uk-UA"/>
        </w:rPr>
        <w:drawing>
          <wp:inline distT="0" distB="0" distL="0" distR="0" wp14:anchorId="3FFE077F" wp14:editId="0F726C01">
            <wp:extent cx="952500" cy="952500"/>
            <wp:effectExtent l="0" t="0" r="0" b="0"/>
            <wp:docPr id="7" name="Зображення37">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Зображення37">
                      <a:hlinkClick r:id="rId26"/>
                    </pic:cNvPr>
                    <pic:cNvPicPr>
                      <a:picLocks noChangeAspect="1" noChangeArrowheads="1"/>
                    </pic:cNvPicPr>
                  </pic:nvPicPr>
                  <pic:blipFill>
                    <a:blip r:embed="rId27"/>
                    <a:srcRect l="-1080" t="-1080" r="-1080" b="-1080"/>
                    <a:stretch>
                      <a:fillRect/>
                    </a:stretch>
                  </pic:blipFill>
                  <pic:spPr bwMode="auto">
                    <a:xfrm>
                      <a:off x="0" y="0"/>
                      <a:ext cx="952500" cy="952500"/>
                    </a:xfrm>
                    <a:prstGeom prst="rect">
                      <a:avLst/>
                    </a:prstGeom>
                  </pic:spPr>
                </pic:pic>
              </a:graphicData>
            </a:graphic>
          </wp:inline>
        </w:drawing>
      </w:r>
      <w:r>
        <w:rPr>
          <w:noProof/>
          <w:lang w:eastAsia="uk-UA"/>
        </w:rPr>
        <w:drawing>
          <wp:inline distT="0" distB="0" distL="0" distR="0" wp14:anchorId="33A6262D" wp14:editId="08134E97">
            <wp:extent cx="953135" cy="953135"/>
            <wp:effectExtent l="0" t="0" r="0" b="0"/>
            <wp:docPr id="8" name="Зображення38">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Зображення38">
                      <a:hlinkClick r:id="rId28"/>
                    </pic:cNvPr>
                    <pic:cNvPicPr>
                      <a:picLocks noChangeAspect="1" noChangeArrowheads="1"/>
                    </pic:cNvPicPr>
                  </pic:nvPicPr>
                  <pic:blipFill>
                    <a:blip r:embed="rId29"/>
                    <a:srcRect l="-1080" t="-1080" r="-1080" b="-1080"/>
                    <a:stretch>
                      <a:fillRect/>
                    </a:stretch>
                  </pic:blipFill>
                  <pic:spPr bwMode="auto">
                    <a:xfrm>
                      <a:off x="0" y="0"/>
                      <a:ext cx="953135" cy="953135"/>
                    </a:xfrm>
                    <a:prstGeom prst="rect">
                      <a:avLst/>
                    </a:prstGeom>
                  </pic:spPr>
                </pic:pic>
              </a:graphicData>
            </a:graphic>
          </wp:inline>
        </w:drawing>
      </w:r>
      <w:r>
        <w:rPr>
          <w:noProof/>
          <w:lang w:eastAsia="uk-UA"/>
        </w:rPr>
        <w:drawing>
          <wp:inline distT="0" distB="0" distL="0" distR="0" wp14:anchorId="67BA99D8" wp14:editId="7CACED00">
            <wp:extent cx="953135" cy="953135"/>
            <wp:effectExtent l="0" t="0" r="0" b="0"/>
            <wp:docPr id="9" name="Зображення40">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Зображення40">
                      <a:hlinkClick r:id="rId30"/>
                    </pic:cNvPr>
                    <pic:cNvPicPr>
                      <a:picLocks noChangeAspect="1" noChangeArrowheads="1"/>
                    </pic:cNvPicPr>
                  </pic:nvPicPr>
                  <pic:blipFill>
                    <a:blip r:embed="rId31"/>
                    <a:srcRect l="-1080" t="-1080" r="-1080" b="-1080"/>
                    <a:stretch>
                      <a:fillRect/>
                    </a:stretch>
                  </pic:blipFill>
                  <pic:spPr bwMode="auto">
                    <a:xfrm>
                      <a:off x="0" y="0"/>
                      <a:ext cx="953135" cy="953135"/>
                    </a:xfrm>
                    <a:prstGeom prst="rect">
                      <a:avLst/>
                    </a:prstGeom>
                  </pic:spPr>
                </pic:pic>
              </a:graphicData>
            </a:graphic>
          </wp:inline>
        </w:drawing>
      </w:r>
      <w:r>
        <w:rPr>
          <w:noProof/>
          <w:lang w:eastAsia="uk-UA"/>
        </w:rPr>
        <w:drawing>
          <wp:inline distT="0" distB="0" distL="0" distR="0" wp14:anchorId="110D0AAB" wp14:editId="3C5F0ABA">
            <wp:extent cx="953135" cy="953135"/>
            <wp:effectExtent l="0" t="0" r="0" b="0"/>
            <wp:docPr id="10" name="Зображення42">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Зображення42">
                      <a:hlinkClick r:id="rId32"/>
                    </pic:cNvPr>
                    <pic:cNvPicPr>
                      <a:picLocks noChangeAspect="1" noChangeArrowheads="1"/>
                    </pic:cNvPicPr>
                  </pic:nvPicPr>
                  <pic:blipFill>
                    <a:blip r:embed="rId33"/>
                    <a:srcRect l="-1080" t="-1080" r="-1080" b="-1080"/>
                    <a:stretch>
                      <a:fillRect/>
                    </a:stretch>
                  </pic:blipFill>
                  <pic:spPr bwMode="auto">
                    <a:xfrm>
                      <a:off x="0" y="0"/>
                      <a:ext cx="953135" cy="953135"/>
                    </a:xfrm>
                    <a:prstGeom prst="rect">
                      <a:avLst/>
                    </a:prstGeom>
                  </pic:spPr>
                </pic:pic>
              </a:graphicData>
            </a:graphic>
          </wp:inline>
        </w:drawing>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shd w:val="clear" w:color="auto" w:fill="FFFFFF"/>
        </w:rPr>
        <w:t>2. Стратегічним цілям розвитку Волинської області на період до 2027 року, затвердженим рішенням сесії обласної ради від 13.10.2020 № 32/3:</w:t>
      </w:r>
    </w:p>
    <w:p w:rsidR="00D227E2" w:rsidRDefault="00934FC4">
      <w:pPr>
        <w:spacing w:after="0"/>
        <w:ind w:firstLine="567"/>
        <w:jc w:val="both"/>
        <w:rPr>
          <w:rFonts w:ascii="Times New Roman" w:hAnsi="Times New Roman" w:cs="Times New Roman"/>
        </w:rPr>
      </w:pPr>
      <w:r>
        <w:rPr>
          <w:rStyle w:val="12"/>
          <w:rFonts w:ascii="Times New Roman" w:hAnsi="Times New Roman" w:cs="Times New Roman"/>
          <w:b w:val="0"/>
          <w:color w:val="000000"/>
          <w:sz w:val="24"/>
          <w:szCs w:val="24"/>
          <w:shd w:val="clear" w:color="auto" w:fill="FFFFFF"/>
        </w:rPr>
        <w:lastRenderedPageBreak/>
        <w:t>Стратегічна ціль 1.</w:t>
      </w:r>
      <w:r>
        <w:rPr>
          <w:rStyle w:val="12"/>
          <w:rFonts w:ascii="Times New Roman" w:hAnsi="Times New Roman" w:cs="Times New Roman"/>
          <w:color w:val="000000"/>
          <w:sz w:val="24"/>
          <w:szCs w:val="24"/>
          <w:shd w:val="clear" w:color="auto" w:fill="FFFFFF"/>
        </w:rPr>
        <w:t xml:space="preserve"> </w:t>
      </w:r>
      <w:r>
        <w:rPr>
          <w:rStyle w:val="12"/>
          <w:rFonts w:ascii="Times New Roman" w:hAnsi="Times New Roman" w:cs="Times New Roman"/>
          <w:b w:val="0"/>
          <w:color w:val="000000"/>
          <w:sz w:val="24"/>
          <w:szCs w:val="24"/>
          <w:shd w:val="clear" w:color="auto" w:fill="FFFFFF"/>
        </w:rPr>
        <w:t>Підвищення конкурентоспроможності регіональної економіки;</w:t>
      </w:r>
    </w:p>
    <w:p w:rsidR="00D227E2" w:rsidRDefault="00934FC4">
      <w:pPr>
        <w:spacing w:after="0"/>
        <w:ind w:firstLine="567"/>
        <w:jc w:val="both"/>
        <w:rPr>
          <w:rFonts w:ascii="Times New Roman" w:hAnsi="Times New Roman" w:cs="Times New Roman"/>
        </w:rPr>
      </w:pPr>
      <w:r>
        <w:rPr>
          <w:rStyle w:val="12"/>
          <w:rFonts w:ascii="Times New Roman" w:hAnsi="Times New Roman" w:cs="Times New Roman"/>
          <w:b w:val="0"/>
          <w:color w:val="000000"/>
          <w:sz w:val="24"/>
          <w:szCs w:val="24"/>
          <w:shd w:val="clear" w:color="auto" w:fill="FFFFFF"/>
        </w:rPr>
        <w:t>Стратегічна ціль 4. Розвиток транскордонного співробітництва;</w:t>
      </w:r>
      <w:r>
        <w:rPr>
          <w:rStyle w:val="a8"/>
          <w:rFonts w:ascii="Times New Roman" w:hAnsi="Times New Roman" w:cs="Times New Roman"/>
          <w:i w:val="0"/>
          <w:color w:val="000000"/>
          <w:sz w:val="24"/>
          <w:szCs w:val="24"/>
          <w:shd w:val="clear" w:color="auto" w:fill="FFFFFF"/>
        </w:rPr>
        <w:t xml:space="preserve"> </w:t>
      </w:r>
    </w:p>
    <w:p w:rsidR="00D227E2" w:rsidRDefault="00934FC4">
      <w:pPr>
        <w:spacing w:after="0"/>
        <w:ind w:firstLine="567"/>
        <w:jc w:val="both"/>
        <w:rPr>
          <w:rFonts w:ascii="Times New Roman" w:hAnsi="Times New Roman" w:cs="Times New Roman"/>
        </w:rPr>
      </w:pPr>
      <w:r>
        <w:rPr>
          <w:rStyle w:val="a8"/>
          <w:rFonts w:ascii="Times New Roman" w:hAnsi="Times New Roman" w:cs="Times New Roman"/>
          <w:i w:val="0"/>
          <w:color w:val="000000"/>
          <w:sz w:val="24"/>
          <w:szCs w:val="24"/>
          <w:shd w:val="clear" w:color="auto" w:fill="FFFFFF"/>
        </w:rPr>
        <w:t>Стратегічна ціль 5.</w:t>
      </w:r>
      <w:r>
        <w:rPr>
          <w:rStyle w:val="12"/>
          <w:rFonts w:ascii="Times New Roman" w:hAnsi="Times New Roman" w:cs="Times New Roman"/>
          <w:color w:val="000000"/>
          <w:sz w:val="24"/>
          <w:szCs w:val="24"/>
          <w:shd w:val="clear" w:color="auto" w:fill="FFFFFF"/>
        </w:rPr>
        <w:t xml:space="preserve"> </w:t>
      </w:r>
      <w:r>
        <w:rPr>
          <w:rStyle w:val="12"/>
          <w:rFonts w:ascii="Times New Roman" w:hAnsi="Times New Roman" w:cs="Times New Roman"/>
          <w:b w:val="0"/>
          <w:color w:val="000000"/>
          <w:sz w:val="24"/>
          <w:szCs w:val="24"/>
          <w:shd w:val="clear" w:color="auto" w:fill="FFFFFF"/>
        </w:rPr>
        <w:t>Раціональне використання природних ресурсів та екологічна безпека.</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shd w:val="clear" w:color="auto" w:fill="FFFFFF"/>
        </w:rPr>
        <w:t>3. Цілям м. Луцька, які визначені рішенням Луцької міської ради від 30.01.2019 №  52/78 «Про затвердження стратегічних цілей розвитку м. Луцька до 2030 року».</w:t>
      </w:r>
    </w:p>
    <w:p w:rsidR="00D227E2" w:rsidRDefault="00D227E2">
      <w:pPr>
        <w:pStyle w:val="a1"/>
        <w:spacing w:after="0"/>
        <w:ind w:firstLine="567"/>
        <w:jc w:val="both"/>
        <w:rPr>
          <w:rFonts w:ascii="Times New Roman" w:hAnsi="Times New Roman" w:cs="Times New Roman"/>
          <w:shd w:val="clear" w:color="auto" w:fill="FFFFFF"/>
        </w:rPr>
      </w:pPr>
    </w:p>
    <w:p w:rsidR="00D227E2" w:rsidRDefault="00934FC4">
      <w:pPr>
        <w:spacing w:after="0"/>
        <w:ind w:firstLine="567"/>
        <w:jc w:val="both"/>
        <w:rPr>
          <w:rFonts w:ascii="Times New Roman" w:hAnsi="Times New Roman" w:cs="Times New Roman"/>
        </w:rPr>
      </w:pPr>
      <w:r>
        <w:rPr>
          <w:rFonts w:ascii="Times New Roman" w:hAnsi="Times New Roman" w:cs="Times New Roman"/>
          <w:b/>
          <w:bCs/>
          <w:sz w:val="24"/>
          <w:szCs w:val="24"/>
          <w:shd w:val="clear" w:color="auto" w:fill="FFFFFF"/>
        </w:rPr>
        <w:t>1.2. Зобов’язання, цілі та стратегії до 2030 року</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sz w:val="24"/>
          <w:szCs w:val="24"/>
          <w:shd w:val="clear" w:color="auto" w:fill="FFFFFF"/>
        </w:rPr>
        <w:t xml:space="preserve">З 2009 року м. Луцьк є учасником міжнародної ініціативи Європейської Комісії </w:t>
      </w:r>
      <w:r>
        <w:rPr>
          <w:rFonts w:ascii="Times New Roman" w:hAnsi="Times New Roman" w:cs="Times New Roman"/>
          <w:sz w:val="24"/>
          <w:szCs w:val="24"/>
        </w:rPr>
        <w:t>–</w:t>
      </w:r>
      <w:r>
        <w:rPr>
          <w:rFonts w:ascii="Times New Roman" w:hAnsi="Times New Roman" w:cs="Times New Roman"/>
          <w:sz w:val="24"/>
          <w:szCs w:val="24"/>
          <w:shd w:val="clear" w:color="auto" w:fill="FFFFFF"/>
        </w:rPr>
        <w:t xml:space="preserve"> Угода мерів, яка охоплює місцеві та регіональні органи влади, що беруть на себе добровільні зобов’язання підвищувати енергоефективність і нарощувати використання відновлювальних джерел енергії на своїх територіях.</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shd w:val="clear" w:color="auto" w:fill="FFFFFF"/>
        </w:rPr>
        <w:t>Конкретні цілі Луцької МТГ до 2030 року</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sz w:val="24"/>
          <w:szCs w:val="24"/>
          <w:shd w:val="clear" w:color="auto" w:fill="FFFFFF"/>
        </w:rPr>
        <w:t>Ціль 1. Декарбонізація громади</w:t>
      </w:r>
    </w:p>
    <w:p w:rsidR="00D227E2" w:rsidRDefault="00934FC4">
      <w:pPr>
        <w:spacing w:after="0"/>
        <w:ind w:firstLine="567"/>
        <w:jc w:val="right"/>
        <w:rPr>
          <w:rFonts w:ascii="Times New Roman" w:hAnsi="Times New Roman" w:cs="Times New Roman"/>
        </w:rPr>
      </w:pPr>
      <w:r>
        <w:rPr>
          <w:rFonts w:ascii="Times New Roman" w:hAnsi="Times New Roman" w:cs="Times New Roman"/>
          <w:color w:val="000000"/>
          <w:sz w:val="24"/>
          <w:szCs w:val="24"/>
          <w:shd w:val="clear" w:color="auto" w:fill="FFFFFF"/>
          <w:lang w:eastAsia="ru-RU"/>
        </w:rPr>
        <w:t>Таблиця 4</w:t>
      </w:r>
    </w:p>
    <w:tbl>
      <w:tblPr>
        <w:tblStyle w:val="aff4"/>
        <w:tblW w:w="9456" w:type="dxa"/>
        <w:tblInd w:w="291" w:type="dxa"/>
        <w:tblLayout w:type="fixed"/>
        <w:tblLook w:val="04A0" w:firstRow="1" w:lastRow="0" w:firstColumn="1" w:lastColumn="0" w:noHBand="0" w:noVBand="1"/>
      </w:tblPr>
      <w:tblGrid>
        <w:gridCol w:w="3928"/>
        <w:gridCol w:w="1842"/>
        <w:gridCol w:w="1560"/>
        <w:gridCol w:w="1134"/>
        <w:gridCol w:w="992"/>
      </w:tblGrid>
      <w:tr w:rsidR="00D227E2">
        <w:trPr>
          <w:trHeight w:val="235"/>
        </w:trPr>
        <w:tc>
          <w:tcPr>
            <w:tcW w:w="9456" w:type="dxa"/>
            <w:gridSpan w:val="5"/>
          </w:tcPr>
          <w:p w:rsidR="00D227E2" w:rsidRPr="003B00E9" w:rsidRDefault="00934FC4">
            <w:pPr>
              <w:spacing w:after="0"/>
              <w:jc w:val="center"/>
              <w:rPr>
                <w:rFonts w:ascii="Times New Roman" w:hAnsi="Times New Roman" w:cs="Times New Roman"/>
                <w:lang w:val="uk-UA"/>
              </w:rPr>
            </w:pPr>
            <w:r w:rsidRPr="003B00E9">
              <w:rPr>
                <w:rFonts w:ascii="Times New Roman" w:hAnsi="Times New Roman" w:cs="Times New Roman"/>
                <w:lang w:val="uk-UA"/>
              </w:rPr>
              <w:t>Цілі з пом’якшення клімату Луцької МТГ до 2030 року</w:t>
            </w:r>
          </w:p>
        </w:tc>
      </w:tr>
      <w:tr w:rsidR="00D227E2">
        <w:trPr>
          <w:trHeight w:val="506"/>
        </w:trPr>
        <w:tc>
          <w:tcPr>
            <w:tcW w:w="3928" w:type="dxa"/>
          </w:tcPr>
          <w:p w:rsidR="00D227E2" w:rsidRDefault="00934FC4">
            <w:pPr>
              <w:spacing w:after="0"/>
              <w:jc w:val="center"/>
              <w:rPr>
                <w:rFonts w:ascii="Times New Roman" w:hAnsi="Times New Roman" w:cs="Times New Roman"/>
              </w:rPr>
            </w:pPr>
            <w:r>
              <w:rPr>
                <w:rFonts w:ascii="Times New Roman" w:hAnsi="Times New Roman" w:cs="Times New Roman"/>
              </w:rPr>
              <w:t>Ціль</w:t>
            </w:r>
          </w:p>
        </w:tc>
        <w:tc>
          <w:tcPr>
            <w:tcW w:w="1842" w:type="dxa"/>
          </w:tcPr>
          <w:p w:rsidR="00D227E2" w:rsidRDefault="00934FC4">
            <w:pPr>
              <w:spacing w:after="0"/>
              <w:jc w:val="center"/>
              <w:rPr>
                <w:rFonts w:ascii="Times New Roman" w:hAnsi="Times New Roman" w:cs="Times New Roman"/>
              </w:rPr>
            </w:pPr>
            <w:r>
              <w:rPr>
                <w:rFonts w:ascii="Times New Roman" w:hAnsi="Times New Roman" w:cs="Times New Roman"/>
              </w:rPr>
              <w:t>Значення</w:t>
            </w:r>
          </w:p>
        </w:tc>
        <w:tc>
          <w:tcPr>
            <w:tcW w:w="1560" w:type="dxa"/>
          </w:tcPr>
          <w:p w:rsidR="00D227E2" w:rsidRDefault="00934FC4">
            <w:pPr>
              <w:spacing w:after="0"/>
              <w:jc w:val="center"/>
              <w:rPr>
                <w:rFonts w:ascii="Times New Roman" w:hAnsi="Times New Roman" w:cs="Times New Roman"/>
              </w:rPr>
            </w:pPr>
            <w:r>
              <w:rPr>
                <w:rFonts w:ascii="Times New Roman" w:hAnsi="Times New Roman" w:cs="Times New Roman"/>
              </w:rPr>
              <w:t>Тип</w:t>
            </w:r>
          </w:p>
          <w:p w:rsidR="00D227E2" w:rsidRDefault="00934FC4">
            <w:pPr>
              <w:spacing w:after="0"/>
              <w:jc w:val="center"/>
              <w:rPr>
                <w:rFonts w:ascii="Times New Roman" w:hAnsi="Times New Roman" w:cs="Times New Roman"/>
              </w:rPr>
            </w:pPr>
            <w:r>
              <w:rPr>
                <w:rFonts w:ascii="Times New Roman" w:hAnsi="Times New Roman" w:cs="Times New Roman"/>
              </w:rPr>
              <w:t>скорочення</w:t>
            </w:r>
          </w:p>
        </w:tc>
        <w:tc>
          <w:tcPr>
            <w:tcW w:w="1134" w:type="dxa"/>
          </w:tcPr>
          <w:p w:rsidR="00D227E2" w:rsidRDefault="00934FC4">
            <w:pPr>
              <w:spacing w:after="0"/>
              <w:jc w:val="center"/>
              <w:rPr>
                <w:rFonts w:ascii="Times New Roman" w:hAnsi="Times New Roman" w:cs="Times New Roman"/>
              </w:rPr>
            </w:pPr>
            <w:r>
              <w:rPr>
                <w:rFonts w:ascii="Times New Roman" w:hAnsi="Times New Roman" w:cs="Times New Roman"/>
              </w:rPr>
              <w:t>Цільовий рік</w:t>
            </w:r>
          </w:p>
        </w:tc>
        <w:tc>
          <w:tcPr>
            <w:tcW w:w="992" w:type="dxa"/>
          </w:tcPr>
          <w:p w:rsidR="00D227E2" w:rsidRDefault="00934FC4">
            <w:pPr>
              <w:spacing w:after="0"/>
              <w:jc w:val="center"/>
              <w:rPr>
                <w:rFonts w:ascii="Times New Roman" w:hAnsi="Times New Roman" w:cs="Times New Roman"/>
              </w:rPr>
            </w:pPr>
            <w:r>
              <w:rPr>
                <w:rFonts w:ascii="Times New Roman" w:hAnsi="Times New Roman" w:cs="Times New Roman"/>
              </w:rPr>
              <w:t>Базовий рік</w:t>
            </w:r>
          </w:p>
        </w:tc>
      </w:tr>
      <w:tr w:rsidR="00D227E2">
        <w:trPr>
          <w:trHeight w:val="506"/>
        </w:trPr>
        <w:tc>
          <w:tcPr>
            <w:tcW w:w="3928" w:type="dxa"/>
          </w:tcPr>
          <w:p w:rsidR="00D227E2" w:rsidRPr="003B00E9" w:rsidRDefault="00934FC4">
            <w:pPr>
              <w:spacing w:after="0"/>
              <w:rPr>
                <w:rFonts w:ascii="Times New Roman" w:hAnsi="Times New Roman" w:cs="Times New Roman"/>
                <w:lang w:val="ru-RU"/>
              </w:rPr>
            </w:pPr>
            <w:r w:rsidRPr="003B00E9">
              <w:rPr>
                <w:rFonts w:ascii="Times New Roman" w:hAnsi="Times New Roman" w:cs="Times New Roman"/>
                <w:lang w:val="ru-RU"/>
              </w:rPr>
              <w:t>Скоротити викиди СО</w:t>
            </w:r>
            <w:r w:rsidRPr="003B00E9">
              <w:rPr>
                <w:rFonts w:ascii="Times New Roman" w:hAnsi="Times New Roman" w:cs="Times New Roman"/>
                <w:vertAlign w:val="subscript"/>
                <w:lang w:val="ru-RU"/>
              </w:rPr>
              <w:t>2</w:t>
            </w:r>
            <w:r w:rsidRPr="003B00E9">
              <w:rPr>
                <w:rFonts w:ascii="Times New Roman" w:hAnsi="Times New Roman" w:cs="Times New Roman"/>
                <w:lang w:val="ru-RU"/>
              </w:rPr>
              <w:t xml:space="preserve"> у визначених секторах не менш ніж на</w:t>
            </w:r>
          </w:p>
        </w:tc>
        <w:tc>
          <w:tcPr>
            <w:tcW w:w="1842" w:type="dxa"/>
            <w:vAlign w:val="center"/>
          </w:tcPr>
          <w:p w:rsidR="00D227E2" w:rsidRDefault="00934FC4">
            <w:pPr>
              <w:spacing w:after="0"/>
              <w:jc w:val="center"/>
              <w:rPr>
                <w:rFonts w:ascii="Times New Roman" w:hAnsi="Times New Roman" w:cs="Times New Roman"/>
              </w:rPr>
            </w:pPr>
            <w:r>
              <w:rPr>
                <w:rFonts w:ascii="Times New Roman" w:hAnsi="Times New Roman" w:cs="Times New Roman"/>
              </w:rPr>
              <w:t>35 %</w:t>
            </w:r>
          </w:p>
        </w:tc>
        <w:tc>
          <w:tcPr>
            <w:tcW w:w="1560" w:type="dxa"/>
          </w:tcPr>
          <w:p w:rsidR="00D227E2" w:rsidRDefault="00934FC4">
            <w:pPr>
              <w:spacing w:after="0"/>
              <w:jc w:val="center"/>
              <w:rPr>
                <w:rFonts w:ascii="Times New Roman" w:hAnsi="Times New Roman" w:cs="Times New Roman"/>
              </w:rPr>
            </w:pPr>
            <w:r>
              <w:rPr>
                <w:rFonts w:ascii="Times New Roman" w:hAnsi="Times New Roman" w:cs="Times New Roman"/>
              </w:rPr>
              <w:t>На одиницю</w:t>
            </w:r>
          </w:p>
          <w:p w:rsidR="00D227E2" w:rsidRDefault="00934FC4">
            <w:pPr>
              <w:spacing w:after="0"/>
              <w:jc w:val="center"/>
              <w:rPr>
                <w:rFonts w:ascii="Times New Roman" w:hAnsi="Times New Roman" w:cs="Times New Roman"/>
              </w:rPr>
            </w:pPr>
            <w:r>
              <w:rPr>
                <w:rFonts w:ascii="Times New Roman" w:hAnsi="Times New Roman" w:cs="Times New Roman"/>
              </w:rPr>
              <w:t>населення</w:t>
            </w:r>
          </w:p>
        </w:tc>
        <w:tc>
          <w:tcPr>
            <w:tcW w:w="1134" w:type="dxa"/>
            <w:vAlign w:val="center"/>
          </w:tcPr>
          <w:p w:rsidR="00D227E2" w:rsidRDefault="00934FC4">
            <w:pPr>
              <w:spacing w:after="0"/>
              <w:jc w:val="center"/>
              <w:rPr>
                <w:rFonts w:ascii="Times New Roman" w:hAnsi="Times New Roman" w:cs="Times New Roman"/>
              </w:rPr>
            </w:pPr>
            <w:r>
              <w:rPr>
                <w:rFonts w:ascii="Times New Roman" w:hAnsi="Times New Roman" w:cs="Times New Roman"/>
              </w:rPr>
              <w:t>2030</w:t>
            </w:r>
          </w:p>
        </w:tc>
        <w:tc>
          <w:tcPr>
            <w:tcW w:w="992" w:type="dxa"/>
            <w:vAlign w:val="center"/>
          </w:tcPr>
          <w:p w:rsidR="00D227E2" w:rsidRDefault="00934FC4">
            <w:pPr>
              <w:spacing w:after="0"/>
              <w:jc w:val="center"/>
              <w:rPr>
                <w:rFonts w:ascii="Times New Roman" w:hAnsi="Times New Roman" w:cs="Times New Roman"/>
              </w:rPr>
            </w:pPr>
            <w:r>
              <w:rPr>
                <w:rFonts w:ascii="Times New Roman" w:hAnsi="Times New Roman" w:cs="Times New Roman"/>
              </w:rPr>
              <w:t>2007</w:t>
            </w:r>
          </w:p>
        </w:tc>
      </w:tr>
      <w:tr w:rsidR="00D227E2">
        <w:trPr>
          <w:trHeight w:val="212"/>
        </w:trPr>
        <w:tc>
          <w:tcPr>
            <w:tcW w:w="3928" w:type="dxa"/>
          </w:tcPr>
          <w:p w:rsidR="00D227E2" w:rsidRPr="003B00E9" w:rsidRDefault="00934FC4">
            <w:pPr>
              <w:spacing w:after="0"/>
              <w:rPr>
                <w:rFonts w:ascii="Times New Roman" w:hAnsi="Times New Roman" w:cs="Times New Roman"/>
                <w:lang w:val="ru-RU"/>
              </w:rPr>
            </w:pPr>
            <w:r w:rsidRPr="003B00E9">
              <w:rPr>
                <w:rFonts w:ascii="Times New Roman" w:hAnsi="Times New Roman" w:cs="Times New Roman"/>
                <w:lang w:val="ru-RU"/>
              </w:rPr>
              <w:t>Збільшити використання енергії з ВДЕ</w:t>
            </w:r>
          </w:p>
        </w:tc>
        <w:tc>
          <w:tcPr>
            <w:tcW w:w="1842" w:type="dxa"/>
          </w:tcPr>
          <w:p w:rsidR="00D227E2" w:rsidRDefault="00934FC4">
            <w:pPr>
              <w:spacing w:after="0"/>
              <w:jc w:val="center"/>
              <w:rPr>
                <w:rFonts w:ascii="Times New Roman" w:hAnsi="Times New Roman" w:cs="Times New Roman"/>
              </w:rPr>
            </w:pPr>
            <w:r>
              <w:rPr>
                <w:rFonts w:ascii="Times New Roman" w:hAnsi="Times New Roman" w:cs="Times New Roman"/>
              </w:rPr>
              <w:t>10 тис. МВт.год</w:t>
            </w:r>
          </w:p>
        </w:tc>
        <w:tc>
          <w:tcPr>
            <w:tcW w:w="1560" w:type="dxa"/>
          </w:tcPr>
          <w:p w:rsidR="00D227E2" w:rsidRDefault="00934FC4">
            <w:pPr>
              <w:spacing w:after="0"/>
              <w:jc w:val="center"/>
              <w:rPr>
                <w:rFonts w:ascii="Times New Roman" w:hAnsi="Times New Roman" w:cs="Times New Roman"/>
              </w:rPr>
            </w:pPr>
            <w:r>
              <w:rPr>
                <w:rFonts w:ascii="Times New Roman" w:hAnsi="Times New Roman" w:cs="Times New Roman"/>
              </w:rPr>
              <w:t>-</w:t>
            </w:r>
          </w:p>
        </w:tc>
        <w:tc>
          <w:tcPr>
            <w:tcW w:w="1134" w:type="dxa"/>
          </w:tcPr>
          <w:p w:rsidR="00D227E2" w:rsidRDefault="00934FC4">
            <w:pPr>
              <w:spacing w:after="0"/>
              <w:jc w:val="center"/>
              <w:rPr>
                <w:rFonts w:ascii="Times New Roman" w:hAnsi="Times New Roman" w:cs="Times New Roman"/>
              </w:rPr>
            </w:pPr>
            <w:r>
              <w:rPr>
                <w:rFonts w:ascii="Times New Roman" w:hAnsi="Times New Roman" w:cs="Times New Roman"/>
              </w:rPr>
              <w:t>2030</w:t>
            </w:r>
          </w:p>
        </w:tc>
        <w:tc>
          <w:tcPr>
            <w:tcW w:w="992" w:type="dxa"/>
          </w:tcPr>
          <w:p w:rsidR="00D227E2" w:rsidRDefault="00934FC4">
            <w:pPr>
              <w:spacing w:after="0"/>
              <w:jc w:val="center"/>
              <w:rPr>
                <w:rFonts w:ascii="Times New Roman" w:hAnsi="Times New Roman" w:cs="Times New Roman"/>
              </w:rPr>
            </w:pPr>
            <w:r>
              <w:rPr>
                <w:rFonts w:ascii="Times New Roman" w:hAnsi="Times New Roman" w:cs="Times New Roman"/>
              </w:rPr>
              <w:t>2007</w:t>
            </w:r>
          </w:p>
        </w:tc>
      </w:tr>
    </w:tbl>
    <w:p w:rsidR="00D227E2" w:rsidRDefault="00934FC4">
      <w:pPr>
        <w:shd w:val="clear" w:color="auto" w:fill="FFFFFF" w:themeFill="background1"/>
        <w:spacing w:after="0"/>
        <w:ind w:firstLine="567"/>
        <w:jc w:val="both"/>
        <w:rPr>
          <w:rFonts w:ascii="Times New Roman" w:hAnsi="Times New Roman" w:cs="Times New Roman"/>
        </w:rPr>
      </w:pPr>
      <w:r>
        <w:rPr>
          <w:rFonts w:ascii="Times New Roman" w:hAnsi="Times New Roman" w:cs="Times New Roman"/>
          <w:color w:val="000000"/>
          <w:sz w:val="24"/>
          <w:szCs w:val="24"/>
          <w:shd w:val="clear" w:color="auto" w:fill="FFFFFF"/>
          <w:lang w:eastAsia="ru-RU"/>
        </w:rPr>
        <w:t>Оскільки за період від 2007 до 2020 року відмічається стійка тенденція на зростання населення у м. Луцьку, прийнято рішення встановити ціль щодо скорочення викидів СО</w:t>
      </w:r>
      <w:r>
        <w:rPr>
          <w:rFonts w:ascii="Times New Roman" w:hAnsi="Times New Roman" w:cs="Times New Roman"/>
          <w:color w:val="000000"/>
          <w:sz w:val="24"/>
          <w:szCs w:val="24"/>
          <w:shd w:val="clear" w:color="auto" w:fill="FFFFFF"/>
          <w:vertAlign w:val="subscript"/>
          <w:lang w:eastAsia="ru-RU"/>
        </w:rPr>
        <w:t>2</w:t>
      </w:r>
      <w:r>
        <w:rPr>
          <w:rFonts w:ascii="Times New Roman" w:hAnsi="Times New Roman" w:cs="Times New Roman"/>
          <w:color w:val="000000"/>
          <w:sz w:val="24"/>
          <w:szCs w:val="24"/>
          <w:shd w:val="clear" w:color="auto" w:fill="FFFFFF"/>
          <w:lang w:eastAsia="ru-RU"/>
        </w:rPr>
        <w:t xml:space="preserve"> на одиницю населення. Детальніше для ознайомлення з кількістю населення у Луцькій МТГ див. пункт 2.3 розділу 2. </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shd w:val="clear" w:color="auto" w:fill="FFFFFF"/>
        </w:rPr>
        <w:t>Ціль 2. Громада, стійка до змін клімату</w:t>
      </w:r>
    </w:p>
    <w:p w:rsidR="00D227E2" w:rsidRDefault="00934FC4">
      <w:pPr>
        <w:spacing w:after="0"/>
        <w:ind w:firstLine="567"/>
        <w:jc w:val="right"/>
        <w:rPr>
          <w:rFonts w:ascii="Times New Roman" w:hAnsi="Times New Roman" w:cs="Times New Roman"/>
        </w:rPr>
      </w:pPr>
      <w:r>
        <w:rPr>
          <w:rFonts w:ascii="Times New Roman" w:hAnsi="Times New Roman" w:cs="Times New Roman"/>
          <w:color w:val="000000"/>
          <w:sz w:val="24"/>
          <w:szCs w:val="24"/>
          <w:shd w:val="clear" w:color="auto" w:fill="FFFFFF"/>
          <w:lang w:eastAsia="ru-RU"/>
        </w:rPr>
        <w:t>Таблиця 5</w:t>
      </w:r>
    </w:p>
    <w:tbl>
      <w:tblPr>
        <w:tblStyle w:val="aff4"/>
        <w:tblW w:w="9285" w:type="dxa"/>
        <w:tblInd w:w="291" w:type="dxa"/>
        <w:tblLayout w:type="fixed"/>
        <w:tblLook w:val="04A0" w:firstRow="1" w:lastRow="0" w:firstColumn="1" w:lastColumn="0" w:noHBand="0" w:noVBand="1"/>
      </w:tblPr>
      <w:tblGrid>
        <w:gridCol w:w="2941"/>
        <w:gridCol w:w="1269"/>
        <w:gridCol w:w="1271"/>
        <w:gridCol w:w="1272"/>
        <w:gridCol w:w="1264"/>
        <w:gridCol w:w="1268"/>
      </w:tblGrid>
      <w:tr w:rsidR="00D227E2">
        <w:tc>
          <w:tcPr>
            <w:tcW w:w="9284" w:type="dxa"/>
            <w:gridSpan w:val="6"/>
          </w:tcPr>
          <w:p w:rsidR="00D227E2" w:rsidRPr="003B00E9" w:rsidRDefault="00934FC4">
            <w:pPr>
              <w:widowControl w:val="0"/>
              <w:suppressAutoHyphens w:val="0"/>
              <w:spacing w:after="0" w:line="240" w:lineRule="auto"/>
              <w:jc w:val="center"/>
              <w:rPr>
                <w:rFonts w:ascii="Times New Roman" w:hAnsi="Times New Roman" w:cs="Times New Roman"/>
                <w:lang w:val="ru-RU"/>
              </w:rPr>
            </w:pPr>
            <w:r w:rsidRPr="003B00E9">
              <w:rPr>
                <w:rFonts w:ascii="Times New Roman" w:hAnsi="Times New Roman" w:cs="Times New Roman"/>
                <w:color w:val="000000"/>
                <w:shd w:val="clear" w:color="auto" w:fill="FFFFFF"/>
                <w:lang w:val="ru-RU" w:eastAsia="ru-RU"/>
              </w:rPr>
              <w:t>Основні цілі з адаптації до змін клімату до 2030 року</w:t>
            </w:r>
          </w:p>
        </w:tc>
      </w:tr>
      <w:tr w:rsidR="00D227E2">
        <w:tc>
          <w:tcPr>
            <w:tcW w:w="2940" w:type="dxa"/>
          </w:tcPr>
          <w:p w:rsidR="00D227E2" w:rsidRDefault="00934FC4">
            <w:pPr>
              <w:widowControl w:val="0"/>
              <w:suppressAutoHyphens w:val="0"/>
              <w:spacing w:after="0" w:line="240" w:lineRule="auto"/>
              <w:jc w:val="center"/>
              <w:rPr>
                <w:rFonts w:ascii="Times New Roman" w:hAnsi="Times New Roman" w:cs="Times New Roman"/>
              </w:rPr>
            </w:pPr>
            <w:r>
              <w:rPr>
                <w:rFonts w:ascii="Times New Roman" w:hAnsi="Times New Roman" w:cs="Times New Roman"/>
                <w:shd w:val="clear" w:color="auto" w:fill="FFFFFF"/>
                <w:lang w:eastAsia="ru-RU"/>
              </w:rPr>
              <w:t>Ціль</w:t>
            </w:r>
          </w:p>
        </w:tc>
        <w:tc>
          <w:tcPr>
            <w:tcW w:w="1269" w:type="dxa"/>
          </w:tcPr>
          <w:p w:rsidR="00D227E2" w:rsidRDefault="00934FC4">
            <w:pPr>
              <w:widowControl w:val="0"/>
              <w:suppressAutoHyphens w:val="0"/>
              <w:spacing w:after="0" w:line="240" w:lineRule="auto"/>
              <w:jc w:val="center"/>
              <w:rPr>
                <w:rFonts w:ascii="Times New Roman" w:hAnsi="Times New Roman" w:cs="Times New Roman"/>
              </w:rPr>
            </w:pPr>
            <w:r>
              <w:rPr>
                <w:rFonts w:ascii="Times New Roman" w:hAnsi="Times New Roman" w:cs="Times New Roman"/>
                <w:shd w:val="clear" w:color="auto" w:fill="FFFFFF"/>
                <w:lang w:eastAsia="ru-RU"/>
              </w:rPr>
              <w:t>Одиниці виміру</w:t>
            </w:r>
          </w:p>
        </w:tc>
        <w:tc>
          <w:tcPr>
            <w:tcW w:w="1271" w:type="dxa"/>
          </w:tcPr>
          <w:p w:rsidR="00D227E2" w:rsidRDefault="00934FC4">
            <w:pPr>
              <w:widowControl w:val="0"/>
              <w:suppressAutoHyphens w:val="0"/>
              <w:spacing w:after="0" w:line="240" w:lineRule="auto"/>
              <w:jc w:val="center"/>
              <w:rPr>
                <w:rFonts w:ascii="Times New Roman" w:hAnsi="Times New Roman" w:cs="Times New Roman"/>
              </w:rPr>
            </w:pPr>
            <w:r>
              <w:rPr>
                <w:rFonts w:ascii="Times New Roman" w:hAnsi="Times New Roman" w:cs="Times New Roman"/>
                <w:shd w:val="clear" w:color="auto" w:fill="FFFFFF"/>
                <w:lang w:eastAsia="ru-RU"/>
              </w:rPr>
              <w:t>Значення в цільовому році</w:t>
            </w:r>
          </w:p>
        </w:tc>
        <w:tc>
          <w:tcPr>
            <w:tcW w:w="1272" w:type="dxa"/>
          </w:tcPr>
          <w:p w:rsidR="00D227E2" w:rsidRDefault="00934FC4">
            <w:pPr>
              <w:widowControl w:val="0"/>
              <w:suppressAutoHyphens w:val="0"/>
              <w:spacing w:after="0" w:line="240" w:lineRule="auto"/>
              <w:jc w:val="center"/>
              <w:rPr>
                <w:rFonts w:ascii="Times New Roman" w:hAnsi="Times New Roman" w:cs="Times New Roman"/>
              </w:rPr>
            </w:pPr>
            <w:r>
              <w:rPr>
                <w:rFonts w:ascii="Times New Roman" w:hAnsi="Times New Roman" w:cs="Times New Roman"/>
                <w:shd w:val="clear" w:color="auto" w:fill="FFFFFF"/>
                <w:lang w:eastAsia="ru-RU"/>
              </w:rPr>
              <w:t>Цільовий рік</w:t>
            </w:r>
          </w:p>
        </w:tc>
        <w:tc>
          <w:tcPr>
            <w:tcW w:w="1264" w:type="dxa"/>
          </w:tcPr>
          <w:p w:rsidR="00D227E2" w:rsidRDefault="00934FC4">
            <w:pPr>
              <w:widowControl w:val="0"/>
              <w:suppressAutoHyphens w:val="0"/>
              <w:spacing w:after="0" w:line="240" w:lineRule="auto"/>
              <w:jc w:val="center"/>
              <w:rPr>
                <w:rFonts w:ascii="Times New Roman" w:hAnsi="Times New Roman" w:cs="Times New Roman"/>
              </w:rPr>
            </w:pPr>
            <w:r>
              <w:rPr>
                <w:rFonts w:ascii="Times New Roman" w:hAnsi="Times New Roman" w:cs="Times New Roman"/>
                <w:shd w:val="clear" w:color="auto" w:fill="FFFFFF"/>
                <w:lang w:eastAsia="ru-RU"/>
              </w:rPr>
              <w:t>Значення в базовому році</w:t>
            </w:r>
          </w:p>
        </w:tc>
        <w:tc>
          <w:tcPr>
            <w:tcW w:w="1268" w:type="dxa"/>
          </w:tcPr>
          <w:p w:rsidR="00D227E2" w:rsidRDefault="00934FC4">
            <w:pPr>
              <w:widowControl w:val="0"/>
              <w:suppressAutoHyphens w:val="0"/>
              <w:spacing w:after="0" w:line="240" w:lineRule="auto"/>
              <w:jc w:val="center"/>
              <w:rPr>
                <w:rFonts w:ascii="Times New Roman" w:hAnsi="Times New Roman" w:cs="Times New Roman"/>
              </w:rPr>
            </w:pPr>
            <w:r>
              <w:rPr>
                <w:rFonts w:ascii="Times New Roman" w:hAnsi="Times New Roman" w:cs="Times New Roman"/>
                <w:shd w:val="clear" w:color="auto" w:fill="FFFFFF"/>
                <w:lang w:eastAsia="ru-RU"/>
              </w:rPr>
              <w:t>Базовий рік</w:t>
            </w:r>
          </w:p>
        </w:tc>
      </w:tr>
      <w:tr w:rsidR="00D227E2">
        <w:tc>
          <w:tcPr>
            <w:tcW w:w="2940" w:type="dxa"/>
          </w:tcPr>
          <w:p w:rsidR="00D227E2" w:rsidRPr="003B00E9" w:rsidRDefault="00934FC4">
            <w:pPr>
              <w:spacing w:after="0" w:line="240" w:lineRule="auto"/>
              <w:rPr>
                <w:rFonts w:ascii="Times New Roman" w:hAnsi="Times New Roman" w:cs="Times New Roman"/>
                <w:lang w:val="ru-RU"/>
              </w:rPr>
            </w:pPr>
            <w:r w:rsidRPr="003B00E9">
              <w:rPr>
                <w:rFonts w:ascii="Times New Roman" w:hAnsi="Times New Roman" w:cs="Times New Roman"/>
                <w:shd w:val="clear" w:color="auto" w:fill="FFFFFF"/>
                <w:lang w:val="ru-RU"/>
              </w:rPr>
              <w:t>Збільшення площі зелених зон у населених пунктах громади</w:t>
            </w:r>
          </w:p>
        </w:tc>
        <w:tc>
          <w:tcPr>
            <w:tcW w:w="1269"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rPr>
              <w:t>%</w:t>
            </w:r>
          </w:p>
        </w:tc>
        <w:tc>
          <w:tcPr>
            <w:tcW w:w="1271"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rPr>
              <w:t>5</w:t>
            </w:r>
          </w:p>
        </w:tc>
        <w:tc>
          <w:tcPr>
            <w:tcW w:w="1272"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lang w:eastAsia="ru-RU"/>
              </w:rPr>
              <w:t>2030</w:t>
            </w:r>
          </w:p>
        </w:tc>
        <w:tc>
          <w:tcPr>
            <w:tcW w:w="1264"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rPr>
              <w:t>0</w:t>
            </w:r>
          </w:p>
        </w:tc>
        <w:tc>
          <w:tcPr>
            <w:tcW w:w="1268"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rPr>
              <w:t>2023</w:t>
            </w:r>
          </w:p>
        </w:tc>
      </w:tr>
      <w:tr w:rsidR="00D227E2">
        <w:tc>
          <w:tcPr>
            <w:tcW w:w="2940" w:type="dxa"/>
          </w:tcPr>
          <w:p w:rsidR="00D227E2" w:rsidRPr="003B00E9" w:rsidRDefault="00934FC4">
            <w:pPr>
              <w:spacing w:after="0" w:line="240" w:lineRule="auto"/>
              <w:rPr>
                <w:rFonts w:ascii="Times New Roman" w:hAnsi="Times New Roman" w:cs="Times New Roman"/>
                <w:lang w:val="ru-RU"/>
              </w:rPr>
            </w:pPr>
            <w:r w:rsidRPr="003B00E9">
              <w:rPr>
                <w:rFonts w:ascii="Times New Roman" w:hAnsi="Times New Roman" w:cs="Times New Roman"/>
                <w:shd w:val="clear" w:color="auto" w:fill="FFFFFF"/>
                <w:lang w:val="ru-RU"/>
              </w:rPr>
              <w:t>Зменшення кількості (громадських/житлових/третинних) будівель, пошкоджених внаслідок екстремальних опадів</w:t>
            </w:r>
          </w:p>
        </w:tc>
        <w:tc>
          <w:tcPr>
            <w:tcW w:w="1269"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rPr>
              <w:t>%</w:t>
            </w:r>
          </w:p>
        </w:tc>
        <w:tc>
          <w:tcPr>
            <w:tcW w:w="1271"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rPr>
              <w:t>20</w:t>
            </w:r>
          </w:p>
        </w:tc>
        <w:tc>
          <w:tcPr>
            <w:tcW w:w="1272" w:type="dxa"/>
          </w:tcPr>
          <w:p w:rsidR="00D227E2" w:rsidRDefault="00934FC4">
            <w:pPr>
              <w:jc w:val="center"/>
              <w:rPr>
                <w:rFonts w:ascii="Times New Roman" w:hAnsi="Times New Roman" w:cs="Times New Roman"/>
              </w:rPr>
            </w:pPr>
            <w:r>
              <w:rPr>
                <w:rFonts w:ascii="Times New Roman" w:hAnsi="Times New Roman" w:cs="Times New Roman"/>
                <w:shd w:val="clear" w:color="auto" w:fill="FFFFFF"/>
                <w:lang w:eastAsia="ru-RU"/>
              </w:rPr>
              <w:t>2030</w:t>
            </w:r>
          </w:p>
        </w:tc>
        <w:tc>
          <w:tcPr>
            <w:tcW w:w="1264"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rPr>
              <w:t>100</w:t>
            </w:r>
          </w:p>
        </w:tc>
        <w:tc>
          <w:tcPr>
            <w:tcW w:w="1268" w:type="dxa"/>
          </w:tcPr>
          <w:p w:rsidR="00D227E2" w:rsidRDefault="00934FC4">
            <w:pPr>
              <w:jc w:val="center"/>
              <w:rPr>
                <w:rFonts w:ascii="Times New Roman" w:hAnsi="Times New Roman" w:cs="Times New Roman"/>
              </w:rPr>
            </w:pPr>
            <w:r>
              <w:rPr>
                <w:rFonts w:ascii="Times New Roman" w:hAnsi="Times New Roman" w:cs="Times New Roman"/>
                <w:shd w:val="clear" w:color="auto" w:fill="FFFFFF"/>
              </w:rPr>
              <w:t>2023</w:t>
            </w:r>
          </w:p>
        </w:tc>
      </w:tr>
      <w:tr w:rsidR="00D227E2">
        <w:tc>
          <w:tcPr>
            <w:tcW w:w="2940" w:type="dxa"/>
          </w:tcPr>
          <w:p w:rsidR="00D227E2" w:rsidRPr="003B00E9" w:rsidRDefault="00934FC4">
            <w:pPr>
              <w:spacing w:after="0" w:line="240" w:lineRule="auto"/>
              <w:rPr>
                <w:rFonts w:ascii="Times New Roman" w:hAnsi="Times New Roman" w:cs="Times New Roman"/>
                <w:lang w:val="ru-RU"/>
              </w:rPr>
            </w:pPr>
            <w:r w:rsidRPr="003B00E9">
              <w:rPr>
                <w:rFonts w:ascii="Times New Roman" w:hAnsi="Times New Roman" w:cs="Times New Roman"/>
                <w:shd w:val="clear" w:color="auto" w:fill="FFFFFF"/>
                <w:lang w:val="ru-RU"/>
              </w:rPr>
              <w:t xml:space="preserve">Зменшення кількості випадків тимчасового припинення водопостачання </w:t>
            </w:r>
            <w:r w:rsidRPr="003B00E9">
              <w:rPr>
                <w:rFonts w:ascii="Times New Roman" w:hAnsi="Times New Roman" w:cs="Times New Roman"/>
                <w:color w:val="000000"/>
                <w:lang w:val="ru-RU"/>
              </w:rPr>
              <w:t>(в т.ч. аварійних)</w:t>
            </w:r>
          </w:p>
        </w:tc>
        <w:tc>
          <w:tcPr>
            <w:tcW w:w="1269"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lang w:eastAsia="ru-RU"/>
              </w:rPr>
              <w:t>од</w:t>
            </w:r>
          </w:p>
        </w:tc>
        <w:tc>
          <w:tcPr>
            <w:tcW w:w="1271"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lang w:eastAsia="ru-RU"/>
              </w:rPr>
              <w:t>128</w:t>
            </w:r>
          </w:p>
        </w:tc>
        <w:tc>
          <w:tcPr>
            <w:tcW w:w="1272" w:type="dxa"/>
          </w:tcPr>
          <w:p w:rsidR="00D227E2" w:rsidRDefault="00934FC4">
            <w:pPr>
              <w:jc w:val="center"/>
              <w:rPr>
                <w:rFonts w:ascii="Times New Roman" w:hAnsi="Times New Roman" w:cs="Times New Roman"/>
              </w:rPr>
            </w:pPr>
            <w:r>
              <w:rPr>
                <w:rFonts w:ascii="Times New Roman" w:hAnsi="Times New Roman" w:cs="Times New Roman"/>
                <w:shd w:val="clear" w:color="auto" w:fill="FFFFFF"/>
                <w:lang w:eastAsia="ru-RU"/>
              </w:rPr>
              <w:t>2030</w:t>
            </w:r>
          </w:p>
        </w:tc>
        <w:tc>
          <w:tcPr>
            <w:tcW w:w="1264"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lang w:eastAsia="ru-RU"/>
              </w:rPr>
              <w:t>168</w:t>
            </w:r>
          </w:p>
        </w:tc>
        <w:tc>
          <w:tcPr>
            <w:tcW w:w="1268" w:type="dxa"/>
          </w:tcPr>
          <w:p w:rsidR="00D227E2" w:rsidRDefault="00934FC4">
            <w:pPr>
              <w:jc w:val="center"/>
              <w:rPr>
                <w:rFonts w:ascii="Times New Roman" w:hAnsi="Times New Roman" w:cs="Times New Roman"/>
              </w:rPr>
            </w:pPr>
            <w:r>
              <w:rPr>
                <w:rFonts w:ascii="Times New Roman" w:hAnsi="Times New Roman" w:cs="Times New Roman"/>
                <w:shd w:val="clear" w:color="auto" w:fill="FFFFFF"/>
              </w:rPr>
              <w:t>2023</w:t>
            </w:r>
          </w:p>
        </w:tc>
      </w:tr>
      <w:tr w:rsidR="00D227E2">
        <w:tc>
          <w:tcPr>
            <w:tcW w:w="2940" w:type="dxa"/>
          </w:tcPr>
          <w:p w:rsidR="00D227E2" w:rsidRPr="003B00E9" w:rsidRDefault="00934FC4">
            <w:pPr>
              <w:spacing w:after="0" w:line="240" w:lineRule="auto"/>
              <w:rPr>
                <w:rFonts w:ascii="Times New Roman" w:hAnsi="Times New Roman" w:cs="Times New Roman"/>
                <w:lang w:val="ru-RU"/>
              </w:rPr>
            </w:pPr>
            <w:r w:rsidRPr="003B00E9">
              <w:rPr>
                <w:rFonts w:ascii="Times New Roman" w:hAnsi="Times New Roman" w:cs="Times New Roman"/>
                <w:shd w:val="clear" w:color="auto" w:fill="FFFFFF"/>
                <w:lang w:val="ru-RU"/>
              </w:rPr>
              <w:t>Збільшення протяжності трубопроводів у системі водопостачання</w:t>
            </w:r>
          </w:p>
        </w:tc>
        <w:tc>
          <w:tcPr>
            <w:tcW w:w="1269"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lang w:eastAsia="ru-RU"/>
              </w:rPr>
              <w:t>км</w:t>
            </w:r>
          </w:p>
        </w:tc>
        <w:tc>
          <w:tcPr>
            <w:tcW w:w="1271"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lang w:eastAsia="ru-RU"/>
              </w:rPr>
              <w:t>594</w:t>
            </w:r>
          </w:p>
        </w:tc>
        <w:tc>
          <w:tcPr>
            <w:tcW w:w="1272" w:type="dxa"/>
          </w:tcPr>
          <w:p w:rsidR="00D227E2" w:rsidRDefault="00934FC4">
            <w:pPr>
              <w:jc w:val="center"/>
              <w:rPr>
                <w:rFonts w:ascii="Times New Roman" w:hAnsi="Times New Roman" w:cs="Times New Roman"/>
              </w:rPr>
            </w:pPr>
            <w:r>
              <w:rPr>
                <w:rFonts w:ascii="Times New Roman" w:hAnsi="Times New Roman" w:cs="Times New Roman"/>
                <w:shd w:val="clear" w:color="auto" w:fill="FFFFFF"/>
                <w:lang w:eastAsia="ru-RU"/>
              </w:rPr>
              <w:t>2030</w:t>
            </w:r>
          </w:p>
        </w:tc>
        <w:tc>
          <w:tcPr>
            <w:tcW w:w="1264"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lang w:eastAsia="ru-RU"/>
              </w:rPr>
              <w:t>588,4</w:t>
            </w:r>
          </w:p>
        </w:tc>
        <w:tc>
          <w:tcPr>
            <w:tcW w:w="1268" w:type="dxa"/>
          </w:tcPr>
          <w:p w:rsidR="00D227E2" w:rsidRDefault="00934FC4">
            <w:pPr>
              <w:jc w:val="center"/>
              <w:rPr>
                <w:rFonts w:ascii="Times New Roman" w:hAnsi="Times New Roman" w:cs="Times New Roman"/>
              </w:rPr>
            </w:pPr>
            <w:r>
              <w:rPr>
                <w:rFonts w:ascii="Times New Roman" w:hAnsi="Times New Roman" w:cs="Times New Roman"/>
                <w:shd w:val="clear" w:color="auto" w:fill="FFFFFF"/>
              </w:rPr>
              <w:t>2023</w:t>
            </w:r>
          </w:p>
        </w:tc>
      </w:tr>
      <w:tr w:rsidR="00D227E2">
        <w:tc>
          <w:tcPr>
            <w:tcW w:w="2940" w:type="dxa"/>
          </w:tcPr>
          <w:p w:rsidR="00D227E2" w:rsidRPr="003B00E9" w:rsidRDefault="00934FC4">
            <w:pPr>
              <w:spacing w:after="0" w:line="240" w:lineRule="auto"/>
              <w:rPr>
                <w:rFonts w:ascii="Times New Roman" w:hAnsi="Times New Roman" w:cs="Times New Roman"/>
                <w:lang w:val="ru-RU"/>
              </w:rPr>
            </w:pPr>
            <w:r w:rsidRPr="003B00E9">
              <w:rPr>
                <w:rFonts w:ascii="Times New Roman" w:hAnsi="Times New Roman" w:cs="Times New Roman"/>
                <w:shd w:val="clear" w:color="auto" w:fill="FFFFFF"/>
                <w:lang w:val="ru-RU"/>
              </w:rPr>
              <w:t>Збільшення протяжності трубопроводів у системі водовідведення</w:t>
            </w:r>
          </w:p>
        </w:tc>
        <w:tc>
          <w:tcPr>
            <w:tcW w:w="1269"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lang w:eastAsia="ru-RU"/>
              </w:rPr>
              <w:t>км</w:t>
            </w:r>
          </w:p>
        </w:tc>
        <w:tc>
          <w:tcPr>
            <w:tcW w:w="1271"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lang w:eastAsia="ru-RU"/>
              </w:rPr>
              <w:t>420,8</w:t>
            </w:r>
          </w:p>
        </w:tc>
        <w:tc>
          <w:tcPr>
            <w:tcW w:w="1272" w:type="dxa"/>
          </w:tcPr>
          <w:p w:rsidR="00D227E2" w:rsidRDefault="00934FC4">
            <w:pPr>
              <w:jc w:val="center"/>
              <w:rPr>
                <w:rFonts w:ascii="Times New Roman" w:hAnsi="Times New Roman" w:cs="Times New Roman"/>
              </w:rPr>
            </w:pPr>
            <w:r>
              <w:rPr>
                <w:rFonts w:ascii="Times New Roman" w:hAnsi="Times New Roman" w:cs="Times New Roman"/>
                <w:shd w:val="clear" w:color="auto" w:fill="FFFFFF"/>
                <w:lang w:eastAsia="ru-RU"/>
              </w:rPr>
              <w:t>2030</w:t>
            </w:r>
          </w:p>
        </w:tc>
        <w:tc>
          <w:tcPr>
            <w:tcW w:w="1264" w:type="dxa"/>
          </w:tcPr>
          <w:p w:rsidR="00D227E2" w:rsidRDefault="00934FC4">
            <w:pPr>
              <w:widowControl w:val="0"/>
              <w:jc w:val="center"/>
              <w:rPr>
                <w:rFonts w:ascii="Times New Roman" w:hAnsi="Times New Roman" w:cs="Times New Roman"/>
              </w:rPr>
            </w:pPr>
            <w:r>
              <w:rPr>
                <w:rFonts w:ascii="Times New Roman" w:hAnsi="Times New Roman" w:cs="Times New Roman"/>
                <w:shd w:val="clear" w:color="auto" w:fill="FFFFFF"/>
                <w:lang w:eastAsia="ru-RU"/>
              </w:rPr>
              <w:t>418,7</w:t>
            </w:r>
          </w:p>
        </w:tc>
        <w:tc>
          <w:tcPr>
            <w:tcW w:w="1268" w:type="dxa"/>
          </w:tcPr>
          <w:p w:rsidR="00D227E2" w:rsidRDefault="00934FC4">
            <w:pPr>
              <w:jc w:val="center"/>
              <w:rPr>
                <w:rFonts w:ascii="Times New Roman" w:hAnsi="Times New Roman" w:cs="Times New Roman"/>
              </w:rPr>
            </w:pPr>
            <w:r>
              <w:rPr>
                <w:rFonts w:ascii="Times New Roman" w:hAnsi="Times New Roman" w:cs="Times New Roman"/>
                <w:shd w:val="clear" w:color="auto" w:fill="FFFFFF"/>
              </w:rPr>
              <w:t>2023</w:t>
            </w:r>
          </w:p>
        </w:tc>
      </w:tr>
    </w:tbl>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shd w:val="clear" w:color="auto" w:fill="FFFFFF"/>
        </w:rPr>
        <w:t>Ціль 3. Доступна, безпечна, стала енергія</w:t>
      </w:r>
    </w:p>
    <w:p w:rsidR="00D227E2" w:rsidRDefault="00934FC4">
      <w:pPr>
        <w:spacing w:after="0"/>
        <w:ind w:firstLine="567"/>
        <w:jc w:val="right"/>
        <w:rPr>
          <w:rFonts w:ascii="Times New Roman" w:hAnsi="Times New Roman" w:cs="Times New Roman"/>
        </w:rPr>
      </w:pPr>
      <w:r>
        <w:rPr>
          <w:rFonts w:ascii="Times New Roman" w:hAnsi="Times New Roman" w:cs="Times New Roman"/>
          <w:color w:val="000000"/>
          <w:sz w:val="24"/>
          <w:szCs w:val="24"/>
          <w:shd w:val="clear" w:color="auto" w:fill="FFFFFF"/>
          <w:lang w:eastAsia="ru-RU"/>
        </w:rPr>
        <w:lastRenderedPageBreak/>
        <w:t>Таблиця 6</w:t>
      </w:r>
    </w:p>
    <w:tbl>
      <w:tblPr>
        <w:tblStyle w:val="aff4"/>
        <w:tblW w:w="9585" w:type="dxa"/>
        <w:tblInd w:w="321" w:type="dxa"/>
        <w:tblLayout w:type="fixed"/>
        <w:tblLook w:val="04A0" w:firstRow="1" w:lastRow="0" w:firstColumn="1" w:lastColumn="0" w:noHBand="0" w:noVBand="1"/>
      </w:tblPr>
      <w:tblGrid>
        <w:gridCol w:w="9585"/>
      </w:tblGrid>
      <w:tr w:rsidR="00D227E2">
        <w:tc>
          <w:tcPr>
            <w:tcW w:w="9585" w:type="dxa"/>
          </w:tcPr>
          <w:p w:rsidR="00D227E2" w:rsidRPr="003B00E9" w:rsidRDefault="00934FC4">
            <w:pPr>
              <w:widowControl w:val="0"/>
              <w:spacing w:after="0"/>
              <w:jc w:val="center"/>
              <w:rPr>
                <w:rFonts w:ascii="Times New Roman" w:hAnsi="Times New Roman" w:cs="Times New Roman"/>
                <w:lang w:val="ru-RU"/>
              </w:rPr>
            </w:pPr>
            <w:r w:rsidRPr="003B00E9">
              <w:rPr>
                <w:rFonts w:ascii="Times New Roman" w:hAnsi="Times New Roman" w:cs="Times New Roman"/>
                <w:color w:val="000000"/>
                <w:shd w:val="clear" w:color="auto" w:fill="FFFFFF"/>
                <w:lang w:val="ru-RU"/>
              </w:rPr>
              <w:t>Цілі подолання енергетичної бідності</w:t>
            </w:r>
          </w:p>
          <w:p w:rsidR="00D227E2" w:rsidRPr="003B00E9" w:rsidRDefault="00934FC4">
            <w:pPr>
              <w:widowControl w:val="0"/>
              <w:spacing w:after="0"/>
              <w:jc w:val="center"/>
              <w:rPr>
                <w:rFonts w:ascii="Times New Roman" w:hAnsi="Times New Roman" w:cs="Times New Roman"/>
                <w:lang w:val="ru-RU"/>
              </w:rPr>
            </w:pPr>
            <w:r w:rsidRPr="003B00E9">
              <w:rPr>
                <w:rFonts w:ascii="Times New Roman" w:hAnsi="Times New Roman" w:cs="Times New Roman"/>
                <w:color w:val="000000"/>
                <w:shd w:val="clear" w:color="auto" w:fill="FFFFFF"/>
                <w:lang w:val="ru-RU"/>
              </w:rPr>
              <w:t>(до 2030 року у порівнянні із 2022 роком)</w:t>
            </w:r>
          </w:p>
        </w:tc>
      </w:tr>
      <w:tr w:rsidR="00D227E2">
        <w:tc>
          <w:tcPr>
            <w:tcW w:w="9585" w:type="dxa"/>
          </w:tcPr>
          <w:p w:rsidR="00D227E2" w:rsidRPr="003B00E9" w:rsidRDefault="00934FC4">
            <w:pPr>
              <w:widowControl w:val="0"/>
              <w:spacing w:after="0"/>
              <w:jc w:val="both"/>
              <w:rPr>
                <w:rFonts w:ascii="Times New Roman" w:hAnsi="Times New Roman" w:cs="Times New Roman"/>
                <w:lang w:val="ru-RU"/>
              </w:rPr>
            </w:pPr>
            <w:r w:rsidRPr="003B00E9">
              <w:rPr>
                <w:rFonts w:ascii="Times New Roman" w:hAnsi="Times New Roman" w:cs="Times New Roman"/>
                <w:color w:val="000000"/>
                <w:shd w:val="clear" w:color="auto" w:fill="FFFFFF"/>
                <w:lang w:val="ru-RU"/>
              </w:rPr>
              <w:t>1. Скорочення на 35 % обсягів енергоспоживання, що потребує субсидіювання;</w:t>
            </w:r>
          </w:p>
          <w:p w:rsidR="00D227E2" w:rsidRPr="003B00E9" w:rsidRDefault="00934FC4">
            <w:pPr>
              <w:widowControl w:val="0"/>
              <w:spacing w:after="0"/>
              <w:jc w:val="both"/>
              <w:rPr>
                <w:rFonts w:ascii="Times New Roman" w:hAnsi="Times New Roman" w:cs="Times New Roman"/>
                <w:lang w:val="ru-RU"/>
              </w:rPr>
            </w:pPr>
            <w:r w:rsidRPr="003B00E9">
              <w:rPr>
                <w:rFonts w:ascii="Times New Roman" w:hAnsi="Times New Roman" w:cs="Times New Roman"/>
                <w:color w:val="000000"/>
                <w:shd w:val="clear" w:color="auto" w:fill="FFFFFF"/>
                <w:lang w:val="ru-RU"/>
              </w:rPr>
              <w:t>2. Провести 35 % інвентаризацію житлового фонду громади та визначити клас енергоефективності помешкань;</w:t>
            </w:r>
          </w:p>
          <w:p w:rsidR="00D227E2" w:rsidRPr="003B00E9" w:rsidRDefault="00934FC4">
            <w:pPr>
              <w:widowControl w:val="0"/>
              <w:spacing w:after="0"/>
              <w:jc w:val="both"/>
              <w:rPr>
                <w:rFonts w:ascii="Times New Roman" w:hAnsi="Times New Roman" w:cs="Times New Roman"/>
                <w:lang w:val="ru-RU"/>
              </w:rPr>
            </w:pPr>
            <w:r w:rsidRPr="003B00E9">
              <w:rPr>
                <w:rFonts w:ascii="Times New Roman" w:hAnsi="Times New Roman" w:cs="Times New Roman"/>
                <w:color w:val="000000"/>
                <w:shd w:val="clear" w:color="auto" w:fill="FFFFFF"/>
                <w:lang w:val="ru-RU"/>
              </w:rPr>
              <w:t>3. Провести 35 % обов’язкову сертифікацію муніципальних будівель та окремих приміщень (в т.ч. тих, які знаходяться у довгостроковій оренді).</w:t>
            </w:r>
          </w:p>
        </w:tc>
      </w:tr>
    </w:tbl>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rPr>
        <w:t xml:space="preserve">Реалізація стратегічної мети та цілей Плану дій Луцької МТГ до 2030 року у напрямку пом’якшення наслідків зміни клімату планується шляхом впровадження енергоефективних заходів у таких ключових секторах: </w:t>
      </w:r>
    </w:p>
    <w:p w:rsidR="00D227E2" w:rsidRDefault="00934FC4">
      <w:pPr>
        <w:pStyle w:val="a1"/>
        <w:numPr>
          <w:ilvl w:val="0"/>
          <w:numId w:val="9"/>
        </w:numPr>
        <w:tabs>
          <w:tab w:val="left" w:pos="851"/>
        </w:tabs>
        <w:spacing w:after="0"/>
        <w:ind w:left="0" w:firstLine="567"/>
        <w:jc w:val="both"/>
        <w:rPr>
          <w:rFonts w:ascii="Times New Roman" w:hAnsi="Times New Roman" w:cs="Times New Roman"/>
        </w:rPr>
      </w:pPr>
      <w:r>
        <w:rPr>
          <w:rFonts w:ascii="Times New Roman" w:hAnsi="Times New Roman" w:cs="Times New Roman"/>
          <w:color w:val="000000"/>
          <w:sz w:val="24"/>
          <w:szCs w:val="24"/>
        </w:rPr>
        <w:t>муніципальні будівлі, що фінансуються з бюджету Луцької міської територіальної громади;</w:t>
      </w:r>
    </w:p>
    <w:p w:rsidR="00D227E2" w:rsidRDefault="00934FC4">
      <w:pPr>
        <w:pStyle w:val="a1"/>
        <w:numPr>
          <w:ilvl w:val="0"/>
          <w:numId w:val="9"/>
        </w:numPr>
        <w:tabs>
          <w:tab w:val="left" w:pos="851"/>
        </w:tabs>
        <w:spacing w:after="0"/>
        <w:ind w:left="0" w:firstLine="567"/>
        <w:jc w:val="both"/>
        <w:rPr>
          <w:rFonts w:ascii="Times New Roman" w:hAnsi="Times New Roman" w:cs="Times New Roman"/>
        </w:rPr>
      </w:pPr>
      <w:r>
        <w:rPr>
          <w:rFonts w:ascii="Times New Roman" w:hAnsi="Times New Roman" w:cs="Times New Roman"/>
          <w:color w:val="000000"/>
          <w:sz w:val="24"/>
          <w:szCs w:val="24"/>
        </w:rPr>
        <w:t>обладнання/об’єкти комунального та за можливості іншого підпорядкування;</w:t>
      </w:r>
    </w:p>
    <w:p w:rsidR="00D227E2" w:rsidRDefault="00934FC4">
      <w:pPr>
        <w:pStyle w:val="a1"/>
        <w:numPr>
          <w:ilvl w:val="0"/>
          <w:numId w:val="9"/>
        </w:numPr>
        <w:tabs>
          <w:tab w:val="left" w:pos="851"/>
        </w:tabs>
        <w:spacing w:after="0"/>
        <w:ind w:left="0" w:firstLine="567"/>
        <w:jc w:val="both"/>
        <w:rPr>
          <w:rFonts w:ascii="Times New Roman" w:hAnsi="Times New Roman" w:cs="Times New Roman"/>
        </w:rPr>
      </w:pPr>
      <w:r>
        <w:rPr>
          <w:rFonts w:ascii="Times New Roman" w:hAnsi="Times New Roman" w:cs="Times New Roman"/>
          <w:color w:val="000000"/>
          <w:sz w:val="24"/>
          <w:szCs w:val="24"/>
        </w:rPr>
        <w:t>комунальні підприємства Луцької МТГ;</w:t>
      </w:r>
    </w:p>
    <w:p w:rsidR="00D227E2" w:rsidRDefault="00934FC4">
      <w:pPr>
        <w:pStyle w:val="a1"/>
        <w:numPr>
          <w:ilvl w:val="0"/>
          <w:numId w:val="9"/>
        </w:numPr>
        <w:tabs>
          <w:tab w:val="left" w:pos="851"/>
        </w:tabs>
        <w:spacing w:after="0"/>
        <w:ind w:left="0" w:firstLine="567"/>
        <w:jc w:val="both"/>
        <w:rPr>
          <w:rFonts w:ascii="Times New Roman" w:hAnsi="Times New Roman" w:cs="Times New Roman"/>
        </w:rPr>
      </w:pPr>
      <w:r>
        <w:rPr>
          <w:rFonts w:ascii="Times New Roman" w:hAnsi="Times New Roman" w:cs="Times New Roman"/>
          <w:color w:val="000000"/>
          <w:sz w:val="24"/>
          <w:szCs w:val="24"/>
        </w:rPr>
        <w:t>зовнішнє та внутрішнє вуличне освітлення громади;</w:t>
      </w:r>
    </w:p>
    <w:p w:rsidR="00D227E2" w:rsidRDefault="00934FC4">
      <w:pPr>
        <w:pStyle w:val="a1"/>
        <w:numPr>
          <w:ilvl w:val="0"/>
          <w:numId w:val="9"/>
        </w:numPr>
        <w:tabs>
          <w:tab w:val="left" w:pos="851"/>
        </w:tabs>
        <w:spacing w:after="0"/>
        <w:ind w:left="0" w:firstLine="567"/>
        <w:jc w:val="both"/>
        <w:rPr>
          <w:rFonts w:ascii="Times New Roman" w:hAnsi="Times New Roman" w:cs="Times New Roman"/>
        </w:rPr>
      </w:pPr>
      <w:r>
        <w:rPr>
          <w:rFonts w:ascii="Times New Roman" w:hAnsi="Times New Roman" w:cs="Times New Roman"/>
          <w:color w:val="000000"/>
          <w:sz w:val="24"/>
          <w:szCs w:val="24"/>
        </w:rPr>
        <w:t xml:space="preserve">третинний сектор (малий та середній бізнес, сфера обслуговування); </w:t>
      </w:r>
    </w:p>
    <w:p w:rsidR="00D227E2" w:rsidRDefault="00934FC4">
      <w:pPr>
        <w:pStyle w:val="a1"/>
        <w:numPr>
          <w:ilvl w:val="0"/>
          <w:numId w:val="9"/>
        </w:numPr>
        <w:tabs>
          <w:tab w:val="left" w:pos="851"/>
        </w:tabs>
        <w:spacing w:after="0"/>
        <w:ind w:left="0" w:firstLine="567"/>
        <w:jc w:val="both"/>
        <w:rPr>
          <w:rFonts w:ascii="Times New Roman" w:hAnsi="Times New Roman" w:cs="Times New Roman"/>
        </w:rPr>
      </w:pPr>
      <w:r>
        <w:rPr>
          <w:rFonts w:ascii="Times New Roman" w:hAnsi="Times New Roman" w:cs="Times New Roman"/>
          <w:color w:val="000000"/>
          <w:sz w:val="24"/>
          <w:szCs w:val="24"/>
        </w:rPr>
        <w:t>житловий сектор Луцької МТГ;</w:t>
      </w:r>
    </w:p>
    <w:p w:rsidR="00D227E2" w:rsidRDefault="00934FC4">
      <w:pPr>
        <w:pStyle w:val="a1"/>
        <w:numPr>
          <w:ilvl w:val="0"/>
          <w:numId w:val="9"/>
        </w:numPr>
        <w:tabs>
          <w:tab w:val="left" w:pos="851"/>
        </w:tabs>
        <w:spacing w:after="0"/>
        <w:ind w:left="0" w:firstLine="567"/>
        <w:jc w:val="both"/>
        <w:rPr>
          <w:rFonts w:ascii="Times New Roman" w:hAnsi="Times New Roman" w:cs="Times New Roman"/>
        </w:rPr>
      </w:pPr>
      <w:r>
        <w:rPr>
          <w:rFonts w:ascii="Times New Roman" w:hAnsi="Times New Roman" w:cs="Times New Roman"/>
          <w:color w:val="000000"/>
          <w:sz w:val="24"/>
          <w:szCs w:val="24"/>
        </w:rPr>
        <w:t>транспорт;</w:t>
      </w:r>
    </w:p>
    <w:p w:rsidR="00D227E2" w:rsidRDefault="00934FC4">
      <w:pPr>
        <w:pStyle w:val="a1"/>
        <w:numPr>
          <w:ilvl w:val="0"/>
          <w:numId w:val="9"/>
        </w:numPr>
        <w:tabs>
          <w:tab w:val="left" w:pos="851"/>
        </w:tabs>
        <w:spacing w:after="0"/>
        <w:ind w:left="0" w:firstLine="567"/>
        <w:jc w:val="both"/>
        <w:rPr>
          <w:rFonts w:ascii="Times New Roman" w:hAnsi="Times New Roman" w:cs="Times New Roman"/>
        </w:rPr>
      </w:pPr>
      <w:r>
        <w:rPr>
          <w:rFonts w:ascii="Times New Roman" w:hAnsi="Times New Roman" w:cs="Times New Roman"/>
          <w:color w:val="000000"/>
          <w:sz w:val="24"/>
          <w:szCs w:val="24"/>
        </w:rPr>
        <w:t>поводження з твердими побутовими відходами;</w:t>
      </w:r>
    </w:p>
    <w:p w:rsidR="00D227E2" w:rsidRDefault="00934FC4">
      <w:pPr>
        <w:pStyle w:val="a1"/>
        <w:numPr>
          <w:ilvl w:val="0"/>
          <w:numId w:val="9"/>
        </w:numPr>
        <w:tabs>
          <w:tab w:val="left" w:pos="851"/>
        </w:tabs>
        <w:spacing w:after="0"/>
        <w:ind w:left="0" w:firstLine="567"/>
        <w:jc w:val="both"/>
        <w:rPr>
          <w:rFonts w:ascii="Times New Roman" w:hAnsi="Times New Roman" w:cs="Times New Roman"/>
        </w:rPr>
      </w:pPr>
      <w:r>
        <w:rPr>
          <w:rFonts w:ascii="Times New Roman" w:hAnsi="Times New Roman" w:cs="Times New Roman"/>
          <w:color w:val="000000"/>
          <w:sz w:val="24"/>
          <w:szCs w:val="24"/>
        </w:rPr>
        <w:t>сільське господарство (в т.ч. реалізація проєктів із будівництва біостанцій).</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rPr>
        <w:t xml:space="preserve">Основна увага буде приділятися заходам з енергоефективності, особливо таким, які стосуються термомодернізації будівель та модернізації обладнання, заходів транспортної сфери щодо розбудови велосипедної інфраструктури та оптимізації транспортної схеми міста. </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rPr>
        <w:t>Під час здійснення моніторингу Луцької МТГ, поряд з енергоефективністю та енергозбереженням, визначено низку інших важливих факторів, пов’язаних із впливом наслідків зміни клімату на громаду.</w:t>
      </w:r>
    </w:p>
    <w:p w:rsidR="00D227E2" w:rsidRDefault="00D227E2">
      <w:pPr>
        <w:pStyle w:val="a1"/>
        <w:spacing w:after="0"/>
        <w:ind w:firstLine="567"/>
        <w:jc w:val="both"/>
        <w:rPr>
          <w:rFonts w:ascii="Times New Roman" w:hAnsi="Times New Roman" w:cs="Times New Roman"/>
          <w:sz w:val="24"/>
          <w:szCs w:val="24"/>
        </w:rPr>
      </w:pPr>
    </w:p>
    <w:p w:rsidR="00D227E2" w:rsidRDefault="00934FC4">
      <w:pPr>
        <w:spacing w:after="0"/>
        <w:ind w:firstLine="567"/>
        <w:jc w:val="both"/>
        <w:rPr>
          <w:rFonts w:ascii="Times New Roman" w:hAnsi="Times New Roman" w:cs="Times New Roman"/>
        </w:rPr>
      </w:pPr>
      <w:r>
        <w:rPr>
          <w:rFonts w:ascii="Times New Roman" w:hAnsi="Times New Roman" w:cs="Times New Roman"/>
          <w:b/>
          <w:bCs/>
          <w:sz w:val="24"/>
          <w:szCs w:val="24"/>
        </w:rPr>
        <w:t>1.3. Енергетична бідність та енергетична безпека</w:t>
      </w:r>
    </w:p>
    <w:p w:rsidR="00D227E2" w:rsidRDefault="00934FC4">
      <w:pPr>
        <w:pStyle w:val="a1"/>
        <w:spacing w:after="0"/>
        <w:ind w:firstLine="567"/>
        <w:jc w:val="both"/>
        <w:rPr>
          <w:rFonts w:ascii="Times New Roman" w:hAnsi="Times New Roman" w:cs="Times New Roman"/>
        </w:rPr>
      </w:pPr>
      <w:r>
        <w:rPr>
          <w:rStyle w:val="a8"/>
          <w:rFonts w:ascii="Times New Roman" w:hAnsi="Times New Roman" w:cs="Times New Roman"/>
          <w:i w:val="0"/>
          <w:color w:val="000000"/>
          <w:sz w:val="24"/>
          <w:szCs w:val="24"/>
        </w:rPr>
        <w:t>Енергетична бідність залишається системною проблемою у всьому світі, адже більше 4 млрд домогосподарств із низьким рівнем доходу або не мають доступу до енергоносіїв або не можуть повноцінно ними скористатись і змушені скорочувати їх споживання, що безумовно впливає на здоров’я, рівень і тривалість життя населення.</w:t>
      </w:r>
    </w:p>
    <w:p w:rsidR="00D227E2" w:rsidRDefault="00934FC4">
      <w:pPr>
        <w:pStyle w:val="a1"/>
        <w:spacing w:after="0"/>
        <w:ind w:firstLine="567"/>
        <w:jc w:val="both"/>
        <w:rPr>
          <w:rFonts w:ascii="Times New Roman" w:hAnsi="Times New Roman" w:cs="Times New Roman"/>
        </w:rPr>
      </w:pPr>
      <w:r>
        <w:rPr>
          <w:rStyle w:val="a8"/>
          <w:rFonts w:ascii="Times New Roman" w:hAnsi="Times New Roman" w:cs="Times New Roman"/>
          <w:i w:val="0"/>
          <w:color w:val="000000"/>
          <w:sz w:val="24"/>
          <w:szCs w:val="24"/>
        </w:rPr>
        <w:t xml:space="preserve">Особливо вразливою категорією споживачів є пенсіонери, малозабезпечені родини, неповні сім’ї, люди із обмеженими можливостями та хронічними захворюваннями. </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rPr>
        <w:t>Причини енергетичної бідності:</w:t>
      </w:r>
    </w:p>
    <w:p w:rsidR="00D227E2" w:rsidRDefault="00934FC4">
      <w:pPr>
        <w:pStyle w:val="a1"/>
        <w:numPr>
          <w:ilvl w:val="0"/>
          <w:numId w:val="8"/>
        </w:numPr>
        <w:tabs>
          <w:tab w:val="left" w:pos="851"/>
        </w:tabs>
        <w:spacing w:after="0"/>
        <w:ind w:left="0" w:firstLine="567"/>
        <w:jc w:val="both"/>
        <w:rPr>
          <w:rFonts w:ascii="Times New Roman" w:hAnsi="Times New Roman" w:cs="Times New Roman"/>
        </w:rPr>
      </w:pPr>
      <w:r>
        <w:rPr>
          <w:rFonts w:ascii="Times New Roman" w:hAnsi="Times New Roman" w:cs="Times New Roman"/>
          <w:color w:val="000000"/>
          <w:sz w:val="24"/>
          <w:szCs w:val="24"/>
        </w:rPr>
        <w:t>необґрунтовано високі ціни;</w:t>
      </w:r>
    </w:p>
    <w:p w:rsidR="00D227E2" w:rsidRDefault="00934FC4">
      <w:pPr>
        <w:pStyle w:val="a1"/>
        <w:numPr>
          <w:ilvl w:val="0"/>
          <w:numId w:val="8"/>
        </w:numPr>
        <w:tabs>
          <w:tab w:val="left" w:pos="851"/>
        </w:tabs>
        <w:spacing w:after="0"/>
        <w:ind w:left="0" w:firstLine="567"/>
        <w:jc w:val="both"/>
        <w:rPr>
          <w:rFonts w:ascii="Times New Roman" w:hAnsi="Times New Roman" w:cs="Times New Roman"/>
        </w:rPr>
      </w:pPr>
      <w:r>
        <w:rPr>
          <w:rFonts w:ascii="Times New Roman" w:hAnsi="Times New Roman" w:cs="Times New Roman"/>
          <w:color w:val="000000"/>
          <w:sz w:val="24"/>
          <w:szCs w:val="24"/>
        </w:rPr>
        <w:t>низькі доходи;</w:t>
      </w:r>
    </w:p>
    <w:p w:rsidR="00D227E2" w:rsidRDefault="00934FC4">
      <w:pPr>
        <w:pStyle w:val="a1"/>
        <w:numPr>
          <w:ilvl w:val="0"/>
          <w:numId w:val="8"/>
        </w:numPr>
        <w:tabs>
          <w:tab w:val="left" w:pos="851"/>
        </w:tabs>
        <w:spacing w:after="0"/>
        <w:ind w:left="0" w:firstLine="567"/>
        <w:jc w:val="both"/>
        <w:rPr>
          <w:rFonts w:ascii="Times New Roman" w:hAnsi="Times New Roman" w:cs="Times New Roman"/>
        </w:rPr>
      </w:pPr>
      <w:r>
        <w:rPr>
          <w:rFonts w:ascii="Times New Roman" w:hAnsi="Times New Roman" w:cs="Times New Roman"/>
          <w:color w:val="000000"/>
          <w:sz w:val="24"/>
          <w:szCs w:val="24"/>
        </w:rPr>
        <w:t>технічна відсутність модернізації енергоємного обладнання у застарілих багатоповерхових житлових будинках.</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rPr>
        <w:t xml:space="preserve">Країни ЄС також потерпають від енергетичної бідності, для прикладу доходи 20 % громадян у 18 країнах ЄС зростають повільніше за ціни на енергоресурси. Таким чином, більше 57 мільйонів європейців не мають достатньої кількості коштів для підтримки </w:t>
      </w:r>
      <w:r>
        <w:rPr>
          <w:rFonts w:ascii="Times New Roman" w:hAnsi="Times New Roman" w:cs="Times New Roman"/>
          <w:color w:val="000000"/>
          <w:sz w:val="24"/>
          <w:szCs w:val="24"/>
        </w:rPr>
        <w:lastRenderedPageBreak/>
        <w:t xml:space="preserve">належної температури в своєму помешканні під час опалювального періоду, а 52 млн осіб не можуть вчасно сплачувати комунальні платежі. </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rPr>
        <w:t>Найвищі показники енергетичної бідності зосереджені в країнах Південної та Центрально-Східної Європи, але навіть у Західній Європі мільйони людей залишаються бідними через обмежений доступ до енергоресурсів. Таким чином, високий рівень розвитку держави не виключає поширеності енергетичної бідності (наприклад у Литві та Греції частка таких домогосподарств складає понад 22 %).</w:t>
      </w:r>
    </w:p>
    <w:p w:rsidR="00D227E2" w:rsidRDefault="00934FC4">
      <w:pPr>
        <w:pStyle w:val="a1"/>
        <w:spacing w:after="0"/>
        <w:jc w:val="both"/>
        <w:rPr>
          <w:rFonts w:ascii="Times New Roman" w:hAnsi="Times New Roman" w:cs="Times New Roman"/>
        </w:rPr>
      </w:pPr>
      <w:r>
        <w:rPr>
          <w:noProof/>
          <w:lang w:eastAsia="uk-UA"/>
        </w:rPr>
        <w:drawing>
          <wp:inline distT="0" distB="0" distL="0" distR="0" wp14:anchorId="252B5BC9" wp14:editId="0B6CFC2C">
            <wp:extent cx="6120130" cy="3599815"/>
            <wp:effectExtent l="0" t="0" r="0" b="0"/>
            <wp:docPr id="11" name="Зображення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Зображення3"/>
                    <pic:cNvPicPr>
                      <a:picLocks noChangeAspect="1" noChangeArrowheads="1"/>
                    </pic:cNvPicPr>
                  </pic:nvPicPr>
                  <pic:blipFill>
                    <a:blip r:embed="rId34"/>
                    <a:stretch>
                      <a:fillRect/>
                    </a:stretch>
                  </pic:blipFill>
                  <pic:spPr bwMode="auto">
                    <a:xfrm>
                      <a:off x="0" y="0"/>
                      <a:ext cx="6120130" cy="3599815"/>
                    </a:xfrm>
                    <a:prstGeom prst="rect">
                      <a:avLst/>
                    </a:prstGeom>
                  </pic:spPr>
                </pic:pic>
              </a:graphicData>
            </a:graphic>
          </wp:inline>
        </w:drawing>
      </w:r>
      <w:r>
        <w:rPr>
          <w:rFonts w:ascii="Times New Roman" w:hAnsi="Times New Roman" w:cs="Times New Roman"/>
          <w:sz w:val="24"/>
          <w:szCs w:val="24"/>
        </w:rPr>
        <w:t xml:space="preserve"> </w:t>
      </w:r>
    </w:p>
    <w:p w:rsidR="00D227E2" w:rsidRDefault="00934FC4">
      <w:pPr>
        <w:pStyle w:val="a1"/>
        <w:spacing w:after="0"/>
        <w:ind w:firstLine="567"/>
        <w:jc w:val="center"/>
        <w:rPr>
          <w:rFonts w:ascii="Times New Roman" w:hAnsi="Times New Roman" w:cs="Times New Roman"/>
        </w:rPr>
      </w:pPr>
      <w:r>
        <w:rPr>
          <w:rStyle w:val="12"/>
          <w:rFonts w:ascii="Times New Roman" w:hAnsi="Times New Roman" w:cs="Times New Roman"/>
          <w:b w:val="0"/>
          <w:bCs w:val="0"/>
          <w:color w:val="000000"/>
          <w:sz w:val="24"/>
          <w:szCs w:val="24"/>
        </w:rPr>
        <w:t>Рисунок 3. Рівень енергетичної бідності в Україні та країнах ЄС</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rPr>
        <w:t xml:space="preserve">Практичні заходи країн ЄС щодо подолання енергетичної бідності умовно можливо класифікувати за трьома напрямками: </w:t>
      </w:r>
      <w:r>
        <w:rPr>
          <w:rStyle w:val="a8"/>
          <w:rFonts w:ascii="Times New Roman" w:hAnsi="Times New Roman" w:cs="Times New Roman"/>
          <w:i w:val="0"/>
          <w:color w:val="000000"/>
          <w:sz w:val="24"/>
          <w:szCs w:val="24"/>
        </w:rPr>
        <w:t>енергоефективні заходи; інформаційна та соціальна політики.</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rPr>
        <w:t>Однією із перших європейських країн, яка розпочала у 1998 році практичну боротьбу із енергетичною бідністю була Бельгія. Головний вектор державної політики стосувався фінансових грантів і позик для покриття витрат незахищених споживачів на ремонт помешкань, утеплення будинків, енергетичний аудит та нові системи опалення.</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rPr>
        <w:t>Франція з 2007 року і дотепер реалізовує державну програму «</w:t>
      </w:r>
      <w:r>
        <w:rPr>
          <w:rFonts w:ascii="Times New Roman" w:hAnsi="Times New Roman" w:cs="Times New Roman"/>
          <w:color w:val="000000"/>
          <w:sz w:val="24"/>
          <w:szCs w:val="24"/>
          <w:lang w:val="en-US"/>
        </w:rPr>
        <w:t>Living</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better</w:t>
      </w:r>
      <w:r>
        <w:rPr>
          <w:rFonts w:ascii="Times New Roman" w:hAnsi="Times New Roman" w:cs="Times New Roman"/>
          <w:color w:val="000000"/>
          <w:sz w:val="24"/>
          <w:szCs w:val="24"/>
        </w:rPr>
        <w:t xml:space="preserve">», яка передбачає надання фінансової підтримки для реконструкції житлових будинків, де проживають громадяни із низьким рівнем доходів. </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rPr>
        <w:t>В 2009 році уряд Уельсу запровадив подібну програму для 7 500 домогосподарств, яка передбачала заходи із утеплення, модернізації системи опалення, а також встановлення сонячних панелей.</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rPr>
        <w:t xml:space="preserve">Влада Люксембургу надає субсидії домогосподарствам на так зване енергетичне оновлення будинків та помешкань, які експлуатуються більше 10 років та пройшли енергетичний аудит. </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rPr>
        <w:t xml:space="preserve">Іспанія чи не єдина країна ЄС, яка у 2013 році закріпила поняття енергетичної бідності та стратегію її подолання у Законі, який визначає енергоефективність – головним інструментом досягнення поставленої мети. Також іспанська влада розвиває регіональні </w:t>
      </w:r>
      <w:r>
        <w:rPr>
          <w:rFonts w:ascii="Times New Roman" w:hAnsi="Times New Roman" w:cs="Times New Roman"/>
          <w:color w:val="000000"/>
          <w:sz w:val="24"/>
          <w:szCs w:val="24"/>
        </w:rPr>
        <w:lastRenderedPageBreak/>
        <w:t>програми з енергоефективності та геотермальну енергетику, всіляко сприяє реконструкції будинків та виробництву енергії із біомаси.</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rPr>
        <w:t>Швеція практикує видачу субсидій для домашніх сонячних електростанцій та малих накопичувачів електроенергії, встановлення податкової знижки для домогосподарств на закупівлю робіт і товарів, які призначені для енергетичного оновлення помешкання.</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rPr>
        <w:t xml:space="preserve">Такі країни як Словаччина та Естонія підтримують енергоефективні заходи через децентралізацію енергосистеми і надає фінансову допомогу домогосподарствам на встановлення сонячних електростанцій та накопичувачів електроенергії. Також ця державна підтримка виділяється на реконструкцію багатоквартирних будинків, встановлення вузлів обліку теплоносіїв, та оновлення системи опалення для приватних помешкань, зокрема через переведення старих твердопаливних котлів на споживання деревинної біомаси. </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rPr>
        <w:t>Португалія здійснює фінансування енергоефективних заходів, в тому числі у домогосподарствах через спеціально створену установу – «Фонд енергоефективності», а у Словаччині діє відразу два проєкти «</w:t>
      </w:r>
      <w:r>
        <w:rPr>
          <w:rFonts w:ascii="Times New Roman" w:hAnsi="Times New Roman" w:cs="Times New Roman"/>
          <w:color w:val="000000"/>
          <w:sz w:val="24"/>
          <w:szCs w:val="24"/>
          <w:lang w:val="en-US"/>
        </w:rPr>
        <w:t>SlovSEFF</w:t>
      </w:r>
      <w:r>
        <w:rPr>
          <w:rFonts w:ascii="Times New Roman" w:hAnsi="Times New Roman" w:cs="Times New Roman"/>
          <w:color w:val="000000"/>
          <w:sz w:val="24"/>
          <w:szCs w:val="24"/>
        </w:rPr>
        <w:t>» та «</w:t>
      </w:r>
      <w:r>
        <w:rPr>
          <w:rFonts w:ascii="Times New Roman" w:hAnsi="Times New Roman" w:cs="Times New Roman"/>
          <w:color w:val="000000"/>
          <w:sz w:val="24"/>
          <w:szCs w:val="24"/>
          <w:lang w:val="en-US"/>
        </w:rPr>
        <w:t>MunSEFF</w:t>
      </w:r>
      <w:r>
        <w:rPr>
          <w:rFonts w:ascii="Times New Roman" w:hAnsi="Times New Roman" w:cs="Times New Roman"/>
          <w:color w:val="000000"/>
          <w:sz w:val="24"/>
          <w:szCs w:val="24"/>
        </w:rPr>
        <w:t>» в рамках яких надається фінансова підтримка.</w:t>
      </w:r>
    </w:p>
    <w:p w:rsidR="00D227E2" w:rsidRDefault="00934FC4">
      <w:pPr>
        <w:pStyle w:val="3"/>
        <w:spacing w:before="0" w:after="0"/>
        <w:ind w:firstLine="567"/>
        <w:jc w:val="both"/>
        <w:rPr>
          <w:rFonts w:ascii="Times New Roman" w:hAnsi="Times New Roman" w:cs="Times New Roman"/>
        </w:rPr>
      </w:pPr>
      <w:r>
        <w:rPr>
          <w:rFonts w:ascii="Times New Roman" w:hAnsi="Times New Roman" w:cs="Times New Roman"/>
          <w:b w:val="0"/>
          <w:bCs w:val="0"/>
          <w:color w:val="000000"/>
          <w:sz w:val="24"/>
          <w:szCs w:val="24"/>
        </w:rPr>
        <w:t xml:space="preserve">В Україні система підтримки малозабезпечених категорій громадян базується на інструментах державного та місцевого рівнів. </w:t>
      </w:r>
    </w:p>
    <w:p w:rsidR="00D227E2" w:rsidRDefault="00934FC4">
      <w:pPr>
        <w:spacing w:after="0"/>
        <w:ind w:firstLine="567"/>
        <w:jc w:val="both"/>
        <w:rPr>
          <w:rFonts w:ascii="Times New Roman" w:hAnsi="Times New Roman" w:cs="Times New Roman"/>
        </w:rPr>
      </w:pPr>
      <w:r>
        <w:rPr>
          <w:rFonts w:ascii="Times New Roman" w:hAnsi="Times New Roman" w:cs="Times New Roman"/>
          <w:color w:val="000000"/>
          <w:sz w:val="24"/>
          <w:szCs w:val="24"/>
        </w:rPr>
        <w:t xml:space="preserve">Інструментом національного рівня є програма субсидій для малозабезпечених категорій громадян. </w:t>
      </w:r>
    </w:p>
    <w:p w:rsidR="00D227E2" w:rsidRDefault="00934FC4">
      <w:pPr>
        <w:spacing w:after="0"/>
        <w:ind w:firstLine="567"/>
        <w:jc w:val="both"/>
        <w:rPr>
          <w:rFonts w:ascii="Times New Roman" w:hAnsi="Times New Roman" w:cs="Times New Roman"/>
        </w:rPr>
      </w:pPr>
      <w:r>
        <w:rPr>
          <w:rFonts w:ascii="Times New Roman" w:hAnsi="Times New Roman" w:cs="Times New Roman"/>
          <w:color w:val="000000"/>
          <w:sz w:val="24"/>
          <w:szCs w:val="24"/>
        </w:rPr>
        <w:t>Згідно з даними департаменту соціальної політики, в Луцьку проживає 217 тисяч мешканців, з них 20 тис. осіб є одержувачами державних соціальних допомог, понад 18 тисяч сімей користуються житловими субсидіями.</w:t>
      </w:r>
    </w:p>
    <w:p w:rsidR="00D227E2" w:rsidRDefault="00934FC4">
      <w:pPr>
        <w:spacing w:after="0"/>
        <w:ind w:firstLine="567"/>
        <w:jc w:val="both"/>
        <w:rPr>
          <w:rFonts w:ascii="Times New Roman" w:hAnsi="Times New Roman" w:cs="Times New Roman"/>
        </w:rPr>
      </w:pPr>
      <w:r>
        <w:rPr>
          <w:rFonts w:ascii="Times New Roman" w:hAnsi="Times New Roman" w:cs="Times New Roman"/>
          <w:color w:val="000000"/>
          <w:sz w:val="24"/>
          <w:szCs w:val="24"/>
        </w:rPr>
        <w:t>На обліку в Єдиному державному автоматизованому реєстрі осіб, які мають право на пільги перебуває 50 тис. осіб, в таблиці 7 наведено основні дані пільгових категорій мешканців міста Луцька.</w:t>
      </w:r>
    </w:p>
    <w:p w:rsidR="00D227E2" w:rsidRDefault="00934FC4">
      <w:pPr>
        <w:spacing w:after="0"/>
        <w:ind w:firstLine="567"/>
        <w:jc w:val="center"/>
        <w:rPr>
          <w:rFonts w:ascii="Times New Roman" w:hAnsi="Times New Roman" w:cs="Times New Roman"/>
        </w:rPr>
      </w:pPr>
      <w:r>
        <w:rPr>
          <w:rFonts w:ascii="Times New Roman" w:hAnsi="Times New Roman" w:cs="Times New Roman"/>
          <w:color w:val="000000"/>
          <w:sz w:val="24"/>
          <w:szCs w:val="24"/>
        </w:rPr>
        <w:t xml:space="preserve">Таблиця 7. Кількість мешканців м. Луцька, що знаходяться на обліку в Єдиному державному автоматизованому реєстрі осіб, які мають право на пільги </w:t>
      </w:r>
    </w:p>
    <w:tbl>
      <w:tblPr>
        <w:tblW w:w="5000" w:type="pct"/>
        <w:tblInd w:w="61" w:type="dxa"/>
        <w:tblLayout w:type="fixed"/>
        <w:tblCellMar>
          <w:top w:w="28" w:type="dxa"/>
          <w:left w:w="28" w:type="dxa"/>
          <w:bottom w:w="28" w:type="dxa"/>
          <w:right w:w="28" w:type="dxa"/>
        </w:tblCellMar>
        <w:tblLook w:val="04A0" w:firstRow="1" w:lastRow="0" w:firstColumn="1" w:lastColumn="0" w:noHBand="0" w:noVBand="1"/>
      </w:tblPr>
      <w:tblGrid>
        <w:gridCol w:w="694"/>
        <w:gridCol w:w="7386"/>
        <w:gridCol w:w="1614"/>
      </w:tblGrid>
      <w:tr w:rsidR="00D227E2">
        <w:tc>
          <w:tcPr>
            <w:tcW w:w="690" w:type="dxa"/>
            <w:tcBorders>
              <w:top w:val="single" w:sz="4" w:space="0" w:color="000000"/>
              <w:left w:val="single" w:sz="4" w:space="0" w:color="000000"/>
              <w:bottom w:val="single" w:sz="4" w:space="0" w:color="000000"/>
              <w:right w:val="single" w:sz="4" w:space="0" w:color="000000"/>
            </w:tcBorders>
          </w:tcPr>
          <w:p w:rsidR="00D227E2" w:rsidRDefault="00934FC4">
            <w:pPr>
              <w:pStyle w:val="af9"/>
              <w:spacing w:after="0" w:line="240" w:lineRule="auto"/>
              <w:jc w:val="center"/>
              <w:rPr>
                <w:rFonts w:ascii="Times New Roman" w:hAnsi="Times New Roman" w:cs="Times New Roman"/>
              </w:rPr>
            </w:pPr>
            <w:r>
              <w:rPr>
                <w:rFonts w:ascii="Times New Roman" w:hAnsi="Times New Roman" w:cs="Times New Roman"/>
              </w:rPr>
              <w:t>№</w:t>
            </w:r>
          </w:p>
        </w:tc>
        <w:tc>
          <w:tcPr>
            <w:tcW w:w="7343" w:type="dxa"/>
            <w:tcBorders>
              <w:top w:val="single" w:sz="4" w:space="0" w:color="000000"/>
              <w:left w:val="single" w:sz="4" w:space="0" w:color="000000"/>
              <w:bottom w:val="single" w:sz="4" w:space="0" w:color="000000"/>
              <w:right w:val="single" w:sz="4" w:space="0" w:color="000000"/>
            </w:tcBorders>
          </w:tcPr>
          <w:p w:rsidR="00D227E2" w:rsidRDefault="00934FC4">
            <w:pPr>
              <w:pStyle w:val="af9"/>
              <w:spacing w:after="0" w:line="240" w:lineRule="auto"/>
              <w:jc w:val="center"/>
              <w:rPr>
                <w:rFonts w:ascii="Times New Roman" w:hAnsi="Times New Roman" w:cs="Times New Roman"/>
              </w:rPr>
            </w:pPr>
            <w:r>
              <w:rPr>
                <w:rFonts w:ascii="Times New Roman" w:hAnsi="Times New Roman" w:cs="Times New Roman"/>
              </w:rPr>
              <w:t>Пільгові категорії</w:t>
            </w:r>
          </w:p>
        </w:tc>
        <w:tc>
          <w:tcPr>
            <w:tcW w:w="1605" w:type="dxa"/>
            <w:tcBorders>
              <w:top w:val="single" w:sz="4" w:space="0" w:color="000000"/>
              <w:left w:val="single" w:sz="4" w:space="0" w:color="000000"/>
              <w:bottom w:val="single" w:sz="4" w:space="0" w:color="000000"/>
              <w:right w:val="single" w:sz="4" w:space="0" w:color="000000"/>
            </w:tcBorders>
          </w:tcPr>
          <w:p w:rsidR="00D227E2" w:rsidRDefault="00934FC4">
            <w:pPr>
              <w:pStyle w:val="af9"/>
              <w:spacing w:after="0" w:line="240" w:lineRule="auto"/>
              <w:jc w:val="center"/>
              <w:rPr>
                <w:rFonts w:ascii="Times New Roman" w:hAnsi="Times New Roman" w:cs="Times New Roman"/>
              </w:rPr>
            </w:pPr>
            <w:r>
              <w:rPr>
                <w:rFonts w:ascii="Times New Roman" w:hAnsi="Times New Roman" w:cs="Times New Roman"/>
              </w:rPr>
              <w:t>Кількість осіб</w:t>
            </w:r>
          </w:p>
        </w:tc>
      </w:tr>
      <w:tr w:rsidR="00D227E2">
        <w:tc>
          <w:tcPr>
            <w:tcW w:w="690" w:type="dxa"/>
            <w:tcBorders>
              <w:top w:val="single" w:sz="4" w:space="0" w:color="000000"/>
              <w:left w:val="single" w:sz="4" w:space="0" w:color="000000"/>
              <w:bottom w:val="single" w:sz="4" w:space="0" w:color="000000"/>
              <w:right w:val="single" w:sz="4" w:space="0" w:color="000000"/>
            </w:tcBorders>
          </w:tcPr>
          <w:p w:rsidR="00D227E2" w:rsidRDefault="00934FC4">
            <w:pPr>
              <w:pStyle w:val="af9"/>
              <w:spacing w:after="0" w:line="240" w:lineRule="auto"/>
              <w:jc w:val="center"/>
              <w:rPr>
                <w:rFonts w:ascii="Times New Roman" w:hAnsi="Times New Roman" w:cs="Times New Roman"/>
              </w:rPr>
            </w:pPr>
            <w:r>
              <w:rPr>
                <w:rFonts w:ascii="Times New Roman" w:hAnsi="Times New Roman" w:cs="Times New Roman"/>
              </w:rPr>
              <w:t>1</w:t>
            </w:r>
          </w:p>
        </w:tc>
        <w:tc>
          <w:tcPr>
            <w:tcW w:w="7343" w:type="dxa"/>
            <w:tcBorders>
              <w:top w:val="single" w:sz="4" w:space="0" w:color="000000"/>
              <w:left w:val="single" w:sz="4" w:space="0" w:color="000000"/>
              <w:bottom w:val="single" w:sz="4" w:space="0" w:color="000000"/>
              <w:right w:val="single" w:sz="4" w:space="0" w:color="000000"/>
            </w:tcBorders>
          </w:tcPr>
          <w:p w:rsidR="00D227E2" w:rsidRDefault="00934FC4">
            <w:pPr>
              <w:pStyle w:val="af9"/>
              <w:spacing w:after="0" w:line="240" w:lineRule="auto"/>
              <w:rPr>
                <w:rFonts w:ascii="Times New Roman" w:hAnsi="Times New Roman" w:cs="Times New Roman"/>
              </w:rPr>
            </w:pPr>
            <w:r>
              <w:rPr>
                <w:rFonts w:ascii="Times New Roman" w:hAnsi="Times New Roman" w:cs="Times New Roman"/>
              </w:rPr>
              <w:t>Загальна кількість осіб, які мають право на пільги у м. Луцьку, в т.ч.</w:t>
            </w:r>
          </w:p>
        </w:tc>
        <w:tc>
          <w:tcPr>
            <w:tcW w:w="1605" w:type="dxa"/>
            <w:tcBorders>
              <w:top w:val="single" w:sz="4" w:space="0" w:color="000000"/>
              <w:left w:val="single" w:sz="4" w:space="0" w:color="000000"/>
              <w:bottom w:val="single" w:sz="4" w:space="0" w:color="000000"/>
              <w:right w:val="single" w:sz="4" w:space="0" w:color="000000"/>
            </w:tcBorders>
          </w:tcPr>
          <w:p w:rsidR="00D227E2" w:rsidRDefault="00934FC4">
            <w:pPr>
              <w:pStyle w:val="af9"/>
              <w:spacing w:after="0" w:line="240" w:lineRule="auto"/>
              <w:jc w:val="center"/>
              <w:rPr>
                <w:rFonts w:ascii="Times New Roman" w:hAnsi="Times New Roman" w:cs="Times New Roman"/>
              </w:rPr>
            </w:pPr>
            <w:r>
              <w:rPr>
                <w:rFonts w:ascii="Times New Roman" w:hAnsi="Times New Roman" w:cs="Times New Roman"/>
              </w:rPr>
              <w:t>50 000</w:t>
            </w:r>
          </w:p>
        </w:tc>
      </w:tr>
      <w:tr w:rsidR="00D227E2">
        <w:tc>
          <w:tcPr>
            <w:tcW w:w="690" w:type="dxa"/>
            <w:tcBorders>
              <w:top w:val="single" w:sz="4" w:space="0" w:color="000000"/>
              <w:left w:val="single" w:sz="4" w:space="0" w:color="000000"/>
              <w:bottom w:val="single" w:sz="4" w:space="0" w:color="000000"/>
              <w:right w:val="single" w:sz="4" w:space="0" w:color="000000"/>
            </w:tcBorders>
          </w:tcPr>
          <w:p w:rsidR="00D227E2" w:rsidRDefault="00934FC4">
            <w:pPr>
              <w:pStyle w:val="af9"/>
              <w:spacing w:after="0" w:line="240" w:lineRule="auto"/>
              <w:jc w:val="center"/>
              <w:rPr>
                <w:rFonts w:ascii="Times New Roman" w:hAnsi="Times New Roman" w:cs="Times New Roman"/>
              </w:rPr>
            </w:pPr>
            <w:r>
              <w:rPr>
                <w:rFonts w:ascii="Times New Roman" w:hAnsi="Times New Roman" w:cs="Times New Roman"/>
              </w:rPr>
              <w:t>1.1</w:t>
            </w:r>
          </w:p>
        </w:tc>
        <w:tc>
          <w:tcPr>
            <w:tcW w:w="7343" w:type="dxa"/>
            <w:tcBorders>
              <w:top w:val="single" w:sz="4" w:space="0" w:color="000000"/>
              <w:left w:val="single" w:sz="4" w:space="0" w:color="000000"/>
              <w:bottom w:val="single" w:sz="4" w:space="0" w:color="000000"/>
              <w:right w:val="single" w:sz="4" w:space="0" w:color="000000"/>
            </w:tcBorders>
          </w:tcPr>
          <w:p w:rsidR="00D227E2" w:rsidRDefault="00934FC4">
            <w:pPr>
              <w:pStyle w:val="af9"/>
              <w:spacing w:after="0" w:line="240" w:lineRule="auto"/>
              <w:rPr>
                <w:rFonts w:ascii="Times New Roman" w:hAnsi="Times New Roman" w:cs="Times New Roman"/>
              </w:rPr>
            </w:pPr>
            <w:r>
              <w:rPr>
                <w:rFonts w:ascii="Times New Roman" w:hAnsi="Times New Roman" w:cs="Times New Roman"/>
              </w:rPr>
              <w:t>ветерани війни</w:t>
            </w:r>
          </w:p>
        </w:tc>
        <w:tc>
          <w:tcPr>
            <w:tcW w:w="1605" w:type="dxa"/>
            <w:tcBorders>
              <w:top w:val="single" w:sz="4" w:space="0" w:color="000000"/>
              <w:left w:val="single" w:sz="4" w:space="0" w:color="000000"/>
              <w:bottom w:val="single" w:sz="4" w:space="0" w:color="000000"/>
              <w:right w:val="single" w:sz="4" w:space="0" w:color="000000"/>
            </w:tcBorders>
          </w:tcPr>
          <w:p w:rsidR="00D227E2" w:rsidRDefault="00934FC4">
            <w:pPr>
              <w:pStyle w:val="af9"/>
              <w:spacing w:after="0" w:line="240" w:lineRule="auto"/>
              <w:jc w:val="center"/>
              <w:rPr>
                <w:rFonts w:ascii="Times New Roman" w:hAnsi="Times New Roman" w:cs="Times New Roman"/>
              </w:rPr>
            </w:pPr>
            <w:r>
              <w:rPr>
                <w:rFonts w:ascii="Times New Roman" w:hAnsi="Times New Roman" w:cs="Times New Roman"/>
              </w:rPr>
              <w:t>7 000</w:t>
            </w:r>
          </w:p>
        </w:tc>
      </w:tr>
      <w:tr w:rsidR="00D227E2">
        <w:tc>
          <w:tcPr>
            <w:tcW w:w="690" w:type="dxa"/>
            <w:tcBorders>
              <w:top w:val="single" w:sz="4" w:space="0" w:color="000000"/>
              <w:left w:val="single" w:sz="4" w:space="0" w:color="000000"/>
              <w:bottom w:val="single" w:sz="4" w:space="0" w:color="000000"/>
              <w:right w:val="single" w:sz="4" w:space="0" w:color="000000"/>
            </w:tcBorders>
          </w:tcPr>
          <w:p w:rsidR="00D227E2" w:rsidRDefault="00934FC4">
            <w:pPr>
              <w:pStyle w:val="af9"/>
              <w:spacing w:after="0" w:line="240" w:lineRule="auto"/>
              <w:jc w:val="center"/>
              <w:rPr>
                <w:rFonts w:ascii="Times New Roman" w:hAnsi="Times New Roman" w:cs="Times New Roman"/>
              </w:rPr>
            </w:pPr>
            <w:r>
              <w:rPr>
                <w:rFonts w:ascii="Times New Roman" w:hAnsi="Times New Roman" w:cs="Times New Roman"/>
              </w:rPr>
              <w:t>1.2</w:t>
            </w:r>
          </w:p>
        </w:tc>
        <w:tc>
          <w:tcPr>
            <w:tcW w:w="7343" w:type="dxa"/>
            <w:tcBorders>
              <w:top w:val="single" w:sz="4" w:space="0" w:color="000000"/>
              <w:left w:val="single" w:sz="4" w:space="0" w:color="000000"/>
              <w:bottom w:val="single" w:sz="4" w:space="0" w:color="000000"/>
              <w:right w:val="single" w:sz="4" w:space="0" w:color="000000"/>
            </w:tcBorders>
          </w:tcPr>
          <w:p w:rsidR="00D227E2" w:rsidRDefault="00934FC4">
            <w:pPr>
              <w:pStyle w:val="af9"/>
              <w:spacing w:after="0" w:line="240" w:lineRule="auto"/>
              <w:rPr>
                <w:rFonts w:ascii="Times New Roman" w:hAnsi="Times New Roman" w:cs="Times New Roman"/>
              </w:rPr>
            </w:pPr>
            <w:r>
              <w:rPr>
                <w:rFonts w:ascii="Times New Roman" w:hAnsi="Times New Roman" w:cs="Times New Roman"/>
              </w:rPr>
              <w:t>ветерани праці</w:t>
            </w:r>
          </w:p>
        </w:tc>
        <w:tc>
          <w:tcPr>
            <w:tcW w:w="1605" w:type="dxa"/>
            <w:tcBorders>
              <w:top w:val="single" w:sz="4" w:space="0" w:color="000000"/>
              <w:left w:val="single" w:sz="4" w:space="0" w:color="000000"/>
              <w:bottom w:val="single" w:sz="4" w:space="0" w:color="000000"/>
              <w:right w:val="single" w:sz="4" w:space="0" w:color="000000"/>
            </w:tcBorders>
          </w:tcPr>
          <w:p w:rsidR="00D227E2" w:rsidRDefault="00934FC4">
            <w:pPr>
              <w:pStyle w:val="af9"/>
              <w:spacing w:after="0" w:line="240" w:lineRule="auto"/>
              <w:jc w:val="center"/>
              <w:rPr>
                <w:rFonts w:ascii="Times New Roman" w:hAnsi="Times New Roman" w:cs="Times New Roman"/>
              </w:rPr>
            </w:pPr>
            <w:r>
              <w:rPr>
                <w:rFonts w:ascii="Times New Roman" w:hAnsi="Times New Roman" w:cs="Times New Roman"/>
              </w:rPr>
              <w:t>15 000</w:t>
            </w:r>
          </w:p>
        </w:tc>
      </w:tr>
      <w:tr w:rsidR="00D227E2">
        <w:tc>
          <w:tcPr>
            <w:tcW w:w="690" w:type="dxa"/>
            <w:tcBorders>
              <w:top w:val="single" w:sz="4" w:space="0" w:color="000000"/>
              <w:left w:val="single" w:sz="4" w:space="0" w:color="000000"/>
              <w:bottom w:val="single" w:sz="4" w:space="0" w:color="000000"/>
              <w:right w:val="single" w:sz="4" w:space="0" w:color="000000"/>
            </w:tcBorders>
          </w:tcPr>
          <w:p w:rsidR="00D227E2" w:rsidRDefault="00934FC4">
            <w:pPr>
              <w:pStyle w:val="af9"/>
              <w:spacing w:after="0" w:line="240" w:lineRule="auto"/>
              <w:jc w:val="center"/>
              <w:rPr>
                <w:rFonts w:ascii="Times New Roman" w:hAnsi="Times New Roman" w:cs="Times New Roman"/>
              </w:rPr>
            </w:pPr>
            <w:r>
              <w:rPr>
                <w:rFonts w:ascii="Times New Roman" w:hAnsi="Times New Roman" w:cs="Times New Roman"/>
              </w:rPr>
              <w:t>1.3</w:t>
            </w:r>
          </w:p>
        </w:tc>
        <w:tc>
          <w:tcPr>
            <w:tcW w:w="7343" w:type="dxa"/>
            <w:tcBorders>
              <w:top w:val="single" w:sz="4" w:space="0" w:color="000000"/>
              <w:left w:val="single" w:sz="4" w:space="0" w:color="000000"/>
              <w:bottom w:val="single" w:sz="4" w:space="0" w:color="000000"/>
              <w:right w:val="single" w:sz="4" w:space="0" w:color="000000"/>
            </w:tcBorders>
          </w:tcPr>
          <w:p w:rsidR="00D227E2" w:rsidRDefault="00934FC4">
            <w:pPr>
              <w:pStyle w:val="af9"/>
              <w:spacing w:after="0" w:line="240" w:lineRule="auto"/>
              <w:rPr>
                <w:rFonts w:ascii="Times New Roman" w:hAnsi="Times New Roman" w:cs="Times New Roman"/>
              </w:rPr>
            </w:pPr>
            <w:r>
              <w:rPr>
                <w:rFonts w:ascii="Times New Roman" w:hAnsi="Times New Roman" w:cs="Times New Roman"/>
              </w:rPr>
              <w:t xml:space="preserve">постраждалі </w:t>
            </w:r>
            <w:r>
              <w:rPr>
                <w:rFonts w:ascii="Times New Roman" w:hAnsi="Times New Roman" w:cs="Times New Roman"/>
                <w:color w:val="000000"/>
              </w:rPr>
              <w:t>внаслідок Чорнобильської катастрофи</w:t>
            </w:r>
          </w:p>
        </w:tc>
        <w:tc>
          <w:tcPr>
            <w:tcW w:w="1605" w:type="dxa"/>
            <w:tcBorders>
              <w:top w:val="single" w:sz="4" w:space="0" w:color="000000"/>
              <w:left w:val="single" w:sz="4" w:space="0" w:color="000000"/>
              <w:bottom w:val="single" w:sz="4" w:space="0" w:color="000000"/>
              <w:right w:val="single" w:sz="4" w:space="0" w:color="000000"/>
            </w:tcBorders>
          </w:tcPr>
          <w:p w:rsidR="00D227E2" w:rsidRDefault="00934FC4">
            <w:pPr>
              <w:pStyle w:val="af9"/>
              <w:spacing w:after="0" w:line="240" w:lineRule="auto"/>
              <w:jc w:val="center"/>
              <w:rPr>
                <w:rFonts w:ascii="Times New Roman" w:hAnsi="Times New Roman" w:cs="Times New Roman"/>
              </w:rPr>
            </w:pPr>
            <w:r>
              <w:rPr>
                <w:rFonts w:ascii="Times New Roman" w:hAnsi="Times New Roman" w:cs="Times New Roman"/>
              </w:rPr>
              <w:t>4 800</w:t>
            </w:r>
          </w:p>
        </w:tc>
      </w:tr>
      <w:tr w:rsidR="00D227E2">
        <w:tc>
          <w:tcPr>
            <w:tcW w:w="690" w:type="dxa"/>
            <w:tcBorders>
              <w:top w:val="single" w:sz="4" w:space="0" w:color="000000"/>
              <w:left w:val="single" w:sz="4" w:space="0" w:color="000000"/>
              <w:bottom w:val="single" w:sz="4" w:space="0" w:color="000000"/>
              <w:right w:val="single" w:sz="4" w:space="0" w:color="000000"/>
            </w:tcBorders>
          </w:tcPr>
          <w:p w:rsidR="00D227E2" w:rsidRDefault="00934FC4">
            <w:pPr>
              <w:pStyle w:val="af9"/>
              <w:spacing w:after="0" w:line="240" w:lineRule="auto"/>
              <w:jc w:val="center"/>
              <w:rPr>
                <w:rFonts w:ascii="Times New Roman" w:hAnsi="Times New Roman" w:cs="Times New Roman"/>
              </w:rPr>
            </w:pPr>
            <w:r>
              <w:rPr>
                <w:rFonts w:ascii="Times New Roman" w:hAnsi="Times New Roman" w:cs="Times New Roman"/>
              </w:rPr>
              <w:t>1.4</w:t>
            </w:r>
          </w:p>
        </w:tc>
        <w:tc>
          <w:tcPr>
            <w:tcW w:w="734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hAnsi="Times New Roman" w:cs="Times New Roman"/>
                <w:color w:val="000000"/>
              </w:rPr>
              <w:t>ветерани військової служби та органів внутрішніх справ</w:t>
            </w:r>
          </w:p>
        </w:tc>
        <w:tc>
          <w:tcPr>
            <w:tcW w:w="1605" w:type="dxa"/>
            <w:tcBorders>
              <w:top w:val="single" w:sz="4" w:space="0" w:color="000000"/>
              <w:left w:val="single" w:sz="4" w:space="0" w:color="000000"/>
              <w:bottom w:val="single" w:sz="4" w:space="0" w:color="000000"/>
              <w:right w:val="single" w:sz="4" w:space="0" w:color="000000"/>
            </w:tcBorders>
          </w:tcPr>
          <w:p w:rsidR="00D227E2" w:rsidRDefault="00934FC4">
            <w:pPr>
              <w:pStyle w:val="af9"/>
              <w:spacing w:after="0" w:line="240" w:lineRule="auto"/>
              <w:jc w:val="center"/>
              <w:rPr>
                <w:rFonts w:ascii="Times New Roman" w:hAnsi="Times New Roman" w:cs="Times New Roman"/>
              </w:rPr>
            </w:pPr>
            <w:r>
              <w:rPr>
                <w:rFonts w:ascii="Times New Roman" w:hAnsi="Times New Roman" w:cs="Times New Roman"/>
              </w:rPr>
              <w:t>2 000</w:t>
            </w:r>
          </w:p>
        </w:tc>
      </w:tr>
      <w:tr w:rsidR="00D227E2">
        <w:tc>
          <w:tcPr>
            <w:tcW w:w="690" w:type="dxa"/>
            <w:tcBorders>
              <w:top w:val="single" w:sz="4" w:space="0" w:color="000000"/>
              <w:left w:val="single" w:sz="4" w:space="0" w:color="000000"/>
              <w:bottom w:val="single" w:sz="4" w:space="0" w:color="000000"/>
              <w:right w:val="single" w:sz="4" w:space="0" w:color="000000"/>
            </w:tcBorders>
          </w:tcPr>
          <w:p w:rsidR="00D227E2" w:rsidRDefault="00934FC4">
            <w:pPr>
              <w:pStyle w:val="af9"/>
              <w:spacing w:after="0" w:line="240" w:lineRule="auto"/>
              <w:jc w:val="center"/>
              <w:rPr>
                <w:rFonts w:ascii="Times New Roman" w:hAnsi="Times New Roman" w:cs="Times New Roman"/>
              </w:rPr>
            </w:pPr>
            <w:r>
              <w:rPr>
                <w:rFonts w:ascii="Times New Roman" w:hAnsi="Times New Roman" w:cs="Times New Roman"/>
              </w:rPr>
              <w:t>1.5</w:t>
            </w:r>
          </w:p>
        </w:tc>
        <w:tc>
          <w:tcPr>
            <w:tcW w:w="734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hAnsi="Times New Roman" w:cs="Times New Roman"/>
                <w:color w:val="000000"/>
              </w:rPr>
              <w:t>діти війни</w:t>
            </w:r>
          </w:p>
        </w:tc>
        <w:tc>
          <w:tcPr>
            <w:tcW w:w="160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10 400</w:t>
            </w:r>
          </w:p>
        </w:tc>
      </w:tr>
      <w:tr w:rsidR="00D227E2">
        <w:tc>
          <w:tcPr>
            <w:tcW w:w="690" w:type="dxa"/>
            <w:tcBorders>
              <w:top w:val="single" w:sz="4" w:space="0" w:color="000000"/>
              <w:left w:val="single" w:sz="4" w:space="0" w:color="000000"/>
              <w:bottom w:val="single" w:sz="4" w:space="0" w:color="000000"/>
              <w:right w:val="single" w:sz="4" w:space="0" w:color="000000"/>
            </w:tcBorders>
          </w:tcPr>
          <w:p w:rsidR="00D227E2" w:rsidRDefault="00934FC4">
            <w:pPr>
              <w:pStyle w:val="af9"/>
              <w:spacing w:after="0" w:line="240" w:lineRule="auto"/>
              <w:jc w:val="center"/>
              <w:rPr>
                <w:rFonts w:ascii="Times New Roman" w:hAnsi="Times New Roman" w:cs="Times New Roman"/>
              </w:rPr>
            </w:pPr>
            <w:r>
              <w:rPr>
                <w:rFonts w:ascii="Times New Roman" w:hAnsi="Times New Roman" w:cs="Times New Roman"/>
              </w:rPr>
              <w:t>1.6</w:t>
            </w:r>
          </w:p>
        </w:tc>
        <w:tc>
          <w:tcPr>
            <w:tcW w:w="734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hAnsi="Times New Roman" w:cs="Times New Roman"/>
              </w:rPr>
              <w:t>інші</w:t>
            </w:r>
          </w:p>
        </w:tc>
        <w:tc>
          <w:tcPr>
            <w:tcW w:w="160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rPr>
              <w:t>10 800</w:t>
            </w:r>
          </w:p>
        </w:tc>
      </w:tr>
      <w:tr w:rsidR="00D227E2">
        <w:tc>
          <w:tcPr>
            <w:tcW w:w="690" w:type="dxa"/>
            <w:tcBorders>
              <w:top w:val="single" w:sz="4" w:space="0" w:color="000000"/>
              <w:left w:val="single" w:sz="4" w:space="0" w:color="000000"/>
              <w:bottom w:val="single" w:sz="4" w:space="0" w:color="000000"/>
              <w:right w:val="single" w:sz="4" w:space="0" w:color="000000"/>
            </w:tcBorders>
          </w:tcPr>
          <w:p w:rsidR="00D227E2" w:rsidRDefault="00934FC4">
            <w:pPr>
              <w:pStyle w:val="af9"/>
              <w:spacing w:after="0" w:line="240" w:lineRule="auto"/>
              <w:jc w:val="center"/>
              <w:rPr>
                <w:rFonts w:ascii="Times New Roman" w:hAnsi="Times New Roman" w:cs="Times New Roman"/>
              </w:rPr>
            </w:pPr>
            <w:r>
              <w:rPr>
                <w:rFonts w:ascii="Times New Roman" w:hAnsi="Times New Roman" w:cs="Times New Roman"/>
              </w:rPr>
              <w:t>2</w:t>
            </w:r>
          </w:p>
        </w:tc>
        <w:tc>
          <w:tcPr>
            <w:tcW w:w="734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hAnsi="Times New Roman" w:cs="Times New Roman"/>
              </w:rPr>
              <w:t>Особи з інвалідністю різних нозологій, в т.ч.</w:t>
            </w:r>
          </w:p>
        </w:tc>
        <w:tc>
          <w:tcPr>
            <w:tcW w:w="160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rPr>
              <w:t>9 600</w:t>
            </w:r>
          </w:p>
        </w:tc>
      </w:tr>
      <w:tr w:rsidR="00D227E2">
        <w:tc>
          <w:tcPr>
            <w:tcW w:w="690" w:type="dxa"/>
            <w:tcBorders>
              <w:top w:val="single" w:sz="4" w:space="0" w:color="000000"/>
              <w:left w:val="single" w:sz="4" w:space="0" w:color="000000"/>
              <w:bottom w:val="single" w:sz="4" w:space="0" w:color="000000"/>
              <w:right w:val="single" w:sz="4" w:space="0" w:color="000000"/>
            </w:tcBorders>
          </w:tcPr>
          <w:p w:rsidR="00D227E2" w:rsidRDefault="00934FC4">
            <w:pPr>
              <w:pStyle w:val="af9"/>
              <w:spacing w:after="0" w:line="240" w:lineRule="auto"/>
              <w:jc w:val="center"/>
              <w:rPr>
                <w:rFonts w:ascii="Times New Roman" w:hAnsi="Times New Roman" w:cs="Times New Roman"/>
              </w:rPr>
            </w:pPr>
            <w:r>
              <w:rPr>
                <w:rFonts w:ascii="Times New Roman" w:hAnsi="Times New Roman" w:cs="Times New Roman"/>
              </w:rPr>
              <w:t>2.1</w:t>
            </w:r>
          </w:p>
        </w:tc>
        <w:tc>
          <w:tcPr>
            <w:tcW w:w="734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color w:val="000000"/>
              </w:rPr>
              <w:t>особи з інвалідністю 1 групи</w:t>
            </w:r>
          </w:p>
        </w:tc>
        <w:tc>
          <w:tcPr>
            <w:tcW w:w="160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rPr>
              <w:t>1 100</w:t>
            </w:r>
          </w:p>
        </w:tc>
      </w:tr>
      <w:tr w:rsidR="00D227E2">
        <w:tc>
          <w:tcPr>
            <w:tcW w:w="690" w:type="dxa"/>
            <w:tcBorders>
              <w:top w:val="single" w:sz="4" w:space="0" w:color="000000"/>
              <w:left w:val="single" w:sz="4" w:space="0" w:color="000000"/>
              <w:bottom w:val="single" w:sz="4" w:space="0" w:color="000000"/>
              <w:right w:val="single" w:sz="4" w:space="0" w:color="000000"/>
            </w:tcBorders>
          </w:tcPr>
          <w:p w:rsidR="00D227E2" w:rsidRDefault="00934FC4">
            <w:pPr>
              <w:pStyle w:val="af9"/>
              <w:spacing w:after="0" w:line="240" w:lineRule="auto"/>
              <w:jc w:val="center"/>
              <w:rPr>
                <w:rFonts w:ascii="Times New Roman" w:hAnsi="Times New Roman" w:cs="Times New Roman"/>
              </w:rPr>
            </w:pPr>
            <w:r>
              <w:rPr>
                <w:rFonts w:ascii="Times New Roman" w:hAnsi="Times New Roman" w:cs="Times New Roman"/>
              </w:rPr>
              <w:t>2.2</w:t>
            </w:r>
          </w:p>
        </w:tc>
        <w:tc>
          <w:tcPr>
            <w:tcW w:w="734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color w:val="000000"/>
              </w:rPr>
              <w:t>особи з інвалідністю 2 групи</w:t>
            </w:r>
          </w:p>
        </w:tc>
        <w:tc>
          <w:tcPr>
            <w:tcW w:w="160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rPr>
              <w:t>3 600</w:t>
            </w:r>
          </w:p>
        </w:tc>
      </w:tr>
      <w:tr w:rsidR="00D227E2">
        <w:tc>
          <w:tcPr>
            <w:tcW w:w="690" w:type="dxa"/>
            <w:tcBorders>
              <w:top w:val="single" w:sz="4" w:space="0" w:color="000000"/>
              <w:left w:val="single" w:sz="4" w:space="0" w:color="000000"/>
              <w:bottom w:val="single" w:sz="4" w:space="0" w:color="000000"/>
              <w:right w:val="single" w:sz="4" w:space="0" w:color="000000"/>
            </w:tcBorders>
          </w:tcPr>
          <w:p w:rsidR="00D227E2" w:rsidRDefault="00934FC4">
            <w:pPr>
              <w:pStyle w:val="af9"/>
              <w:spacing w:after="0" w:line="240" w:lineRule="auto"/>
              <w:jc w:val="center"/>
              <w:rPr>
                <w:rFonts w:ascii="Times New Roman" w:hAnsi="Times New Roman" w:cs="Times New Roman"/>
              </w:rPr>
            </w:pPr>
            <w:r>
              <w:rPr>
                <w:rFonts w:ascii="Times New Roman" w:hAnsi="Times New Roman" w:cs="Times New Roman"/>
              </w:rPr>
              <w:t>2.3</w:t>
            </w:r>
          </w:p>
        </w:tc>
        <w:tc>
          <w:tcPr>
            <w:tcW w:w="734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color w:val="000000"/>
              </w:rPr>
              <w:t>особи з інвалідністю 3 групи</w:t>
            </w:r>
          </w:p>
        </w:tc>
        <w:tc>
          <w:tcPr>
            <w:tcW w:w="160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rPr>
              <w:t>4 200</w:t>
            </w:r>
          </w:p>
        </w:tc>
      </w:tr>
      <w:tr w:rsidR="00D227E2">
        <w:tc>
          <w:tcPr>
            <w:tcW w:w="690" w:type="dxa"/>
            <w:tcBorders>
              <w:top w:val="single" w:sz="4" w:space="0" w:color="000000"/>
              <w:left w:val="single" w:sz="4" w:space="0" w:color="000000"/>
              <w:bottom w:val="single" w:sz="4" w:space="0" w:color="000000"/>
              <w:right w:val="single" w:sz="4" w:space="0" w:color="000000"/>
            </w:tcBorders>
          </w:tcPr>
          <w:p w:rsidR="00D227E2" w:rsidRDefault="00934FC4">
            <w:pPr>
              <w:pStyle w:val="af9"/>
              <w:spacing w:after="0" w:line="240" w:lineRule="auto"/>
              <w:jc w:val="center"/>
              <w:rPr>
                <w:rFonts w:ascii="Times New Roman" w:hAnsi="Times New Roman" w:cs="Times New Roman"/>
              </w:rPr>
            </w:pPr>
            <w:r>
              <w:rPr>
                <w:rFonts w:ascii="Times New Roman" w:hAnsi="Times New Roman" w:cs="Times New Roman"/>
              </w:rPr>
              <w:t>2.4</w:t>
            </w:r>
          </w:p>
        </w:tc>
        <w:tc>
          <w:tcPr>
            <w:tcW w:w="734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color w:val="000000"/>
              </w:rPr>
              <w:t>діти з інвалідністю</w:t>
            </w:r>
          </w:p>
        </w:tc>
        <w:tc>
          <w:tcPr>
            <w:tcW w:w="160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rPr>
              <w:t>700</w:t>
            </w:r>
          </w:p>
        </w:tc>
      </w:tr>
    </w:tbl>
    <w:p w:rsidR="00D227E2" w:rsidRDefault="00934FC4">
      <w:pPr>
        <w:spacing w:after="0"/>
        <w:ind w:firstLine="567"/>
        <w:jc w:val="both"/>
        <w:rPr>
          <w:rFonts w:ascii="Times New Roman" w:hAnsi="Times New Roman" w:cs="Times New Roman"/>
        </w:rPr>
      </w:pPr>
      <w:r>
        <w:rPr>
          <w:rFonts w:ascii="Times New Roman" w:hAnsi="Times New Roman" w:cs="Times New Roman"/>
          <w:color w:val="000000"/>
          <w:sz w:val="24"/>
          <w:szCs w:val="24"/>
        </w:rPr>
        <w:t>За даними органів Пенсійного фонду кількість пенсіонерів м. Луцька становить понад 50,8 тис. осіб.</w:t>
      </w:r>
    </w:p>
    <w:p w:rsidR="00D227E2" w:rsidRDefault="00934FC4">
      <w:pPr>
        <w:spacing w:after="0"/>
        <w:ind w:firstLine="567"/>
        <w:jc w:val="both"/>
        <w:rPr>
          <w:rFonts w:ascii="Times New Roman" w:hAnsi="Times New Roman" w:cs="Times New Roman"/>
        </w:rPr>
      </w:pPr>
      <w:r>
        <w:rPr>
          <w:rFonts w:ascii="Times New Roman" w:hAnsi="Times New Roman" w:cs="Times New Roman"/>
          <w:color w:val="000000"/>
          <w:sz w:val="24"/>
          <w:szCs w:val="24"/>
        </w:rPr>
        <w:t>Статистика свідчить про те, що кожен четвертий житель м. Луцька відноситься до пільгової категорії, що покладає на органи місцевого самоврядування серйозні зобов’язання по забезпеченню соціального захисту громадян.</w:t>
      </w:r>
    </w:p>
    <w:p w:rsidR="00D227E2" w:rsidRDefault="00934FC4">
      <w:pPr>
        <w:spacing w:after="0"/>
        <w:ind w:firstLine="567"/>
        <w:jc w:val="both"/>
        <w:rPr>
          <w:rFonts w:ascii="Times New Roman" w:hAnsi="Times New Roman" w:cs="Times New Roman"/>
        </w:rPr>
      </w:pPr>
      <w:r>
        <w:rPr>
          <w:rFonts w:ascii="Times New Roman" w:hAnsi="Times New Roman" w:cs="Times New Roman"/>
          <w:color w:val="000000"/>
          <w:sz w:val="24"/>
          <w:szCs w:val="24"/>
        </w:rPr>
        <w:lastRenderedPageBreak/>
        <w:t xml:space="preserve">Слід враховувати, що з огляду на обмеження з призначення субсидій, кількість субсидіантів та розмір субсидій за останні роки зменшується, таким чином рівень прихованої енергетичної бідності постійно зростає. </w:t>
      </w:r>
    </w:p>
    <w:p w:rsidR="00D227E2" w:rsidRDefault="00934FC4">
      <w:pPr>
        <w:spacing w:after="0"/>
        <w:ind w:firstLine="567"/>
        <w:jc w:val="both"/>
        <w:rPr>
          <w:rFonts w:ascii="Times New Roman" w:hAnsi="Times New Roman" w:cs="Times New Roman"/>
        </w:rPr>
      </w:pPr>
      <w:r>
        <w:rPr>
          <w:rFonts w:ascii="Times New Roman" w:hAnsi="Times New Roman" w:cs="Times New Roman"/>
          <w:color w:val="000000"/>
          <w:sz w:val="24"/>
          <w:szCs w:val="24"/>
        </w:rPr>
        <w:t xml:space="preserve">Громада не має прямого впливу на формування правил призначення субсидій. </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В свою чергу, органи місцевого самоврядування можуть впливати на зменшення енергетичної бідності у громаді через:</w:t>
      </w:r>
    </w:p>
    <w:p w:rsidR="00D227E2" w:rsidRDefault="00934FC4">
      <w:pPr>
        <w:numPr>
          <w:ilvl w:val="0"/>
          <w:numId w:val="7"/>
        </w:numPr>
        <w:tabs>
          <w:tab w:val="left" w:pos="851"/>
        </w:tabs>
        <w:spacing w:after="0"/>
        <w:ind w:left="0" w:firstLine="567"/>
        <w:jc w:val="both"/>
        <w:rPr>
          <w:rFonts w:ascii="Times New Roman" w:hAnsi="Times New Roman" w:cs="Times New Roman"/>
        </w:rPr>
      </w:pPr>
      <w:r>
        <w:rPr>
          <w:rFonts w:ascii="Times New Roman" w:hAnsi="Times New Roman" w:cs="Times New Roman"/>
          <w:sz w:val="24"/>
          <w:szCs w:val="24"/>
        </w:rPr>
        <w:t>розроблення та затвердження місцевих енергетичних планів;</w:t>
      </w:r>
    </w:p>
    <w:p w:rsidR="00D227E2" w:rsidRDefault="00934FC4">
      <w:pPr>
        <w:numPr>
          <w:ilvl w:val="0"/>
          <w:numId w:val="7"/>
        </w:numPr>
        <w:tabs>
          <w:tab w:val="left" w:pos="851"/>
        </w:tabs>
        <w:spacing w:after="0"/>
        <w:ind w:left="0" w:firstLine="567"/>
        <w:jc w:val="both"/>
        <w:rPr>
          <w:rFonts w:ascii="Times New Roman" w:hAnsi="Times New Roman" w:cs="Times New Roman"/>
        </w:rPr>
      </w:pPr>
      <w:r>
        <w:rPr>
          <w:rFonts w:ascii="Times New Roman" w:hAnsi="Times New Roman" w:cs="Times New Roman"/>
          <w:sz w:val="24"/>
          <w:szCs w:val="24"/>
        </w:rPr>
        <w:t>затвердження місцевих цільових програм енергоефективності;</w:t>
      </w:r>
    </w:p>
    <w:p w:rsidR="00D227E2" w:rsidRDefault="00934FC4">
      <w:pPr>
        <w:numPr>
          <w:ilvl w:val="0"/>
          <w:numId w:val="7"/>
        </w:numPr>
        <w:tabs>
          <w:tab w:val="left" w:pos="851"/>
        </w:tabs>
        <w:spacing w:after="0"/>
        <w:ind w:left="0" w:firstLine="567"/>
        <w:jc w:val="both"/>
        <w:rPr>
          <w:rFonts w:ascii="Times New Roman" w:hAnsi="Times New Roman" w:cs="Times New Roman"/>
        </w:rPr>
      </w:pPr>
      <w:r>
        <w:rPr>
          <w:rFonts w:ascii="Times New Roman" w:hAnsi="Times New Roman" w:cs="Times New Roman"/>
          <w:sz w:val="24"/>
          <w:szCs w:val="24"/>
        </w:rPr>
        <w:t>прийняття рішення щодо впровадження систем енергетичного менеджменту;</w:t>
      </w:r>
    </w:p>
    <w:p w:rsidR="00D227E2" w:rsidRDefault="00934FC4">
      <w:pPr>
        <w:numPr>
          <w:ilvl w:val="0"/>
          <w:numId w:val="7"/>
        </w:numPr>
        <w:tabs>
          <w:tab w:val="left" w:pos="851"/>
        </w:tabs>
        <w:spacing w:after="0"/>
        <w:ind w:left="0" w:firstLine="567"/>
        <w:jc w:val="both"/>
        <w:rPr>
          <w:rFonts w:ascii="Times New Roman" w:hAnsi="Times New Roman" w:cs="Times New Roman"/>
        </w:rPr>
      </w:pPr>
      <w:r>
        <w:rPr>
          <w:rFonts w:ascii="Times New Roman" w:hAnsi="Times New Roman" w:cs="Times New Roman"/>
          <w:sz w:val="24"/>
          <w:szCs w:val="24"/>
        </w:rPr>
        <w:t>створення місцевих цільових фондів для фінансової підтримки місцевих енергетичних планів, місцевих цільових програм енергоефективності, енергоефективних заходів та здійснення контролю за використанням коштів таких фондів;</w:t>
      </w:r>
    </w:p>
    <w:p w:rsidR="00D227E2" w:rsidRDefault="00934FC4">
      <w:pPr>
        <w:numPr>
          <w:ilvl w:val="0"/>
          <w:numId w:val="7"/>
        </w:numPr>
        <w:tabs>
          <w:tab w:val="left" w:pos="851"/>
        </w:tabs>
        <w:spacing w:after="0"/>
        <w:ind w:left="0" w:firstLine="567"/>
        <w:jc w:val="both"/>
        <w:rPr>
          <w:rFonts w:ascii="Times New Roman" w:hAnsi="Times New Roman" w:cs="Times New Roman"/>
        </w:rPr>
      </w:pPr>
      <w:r>
        <w:rPr>
          <w:rFonts w:ascii="Times New Roman" w:hAnsi="Times New Roman" w:cs="Times New Roman"/>
          <w:sz w:val="24"/>
          <w:szCs w:val="24"/>
        </w:rPr>
        <w:t>реалізацію енергоефективних заходів та здійснення контролю за їх виконанням за умови, що вони фінансуються з бюджету територіальної громади;</w:t>
      </w:r>
    </w:p>
    <w:p w:rsidR="00D227E2" w:rsidRDefault="00934FC4">
      <w:pPr>
        <w:numPr>
          <w:ilvl w:val="0"/>
          <w:numId w:val="7"/>
        </w:numPr>
        <w:tabs>
          <w:tab w:val="left" w:pos="851"/>
        </w:tabs>
        <w:spacing w:after="0"/>
        <w:ind w:left="0" w:firstLine="567"/>
        <w:jc w:val="both"/>
        <w:rPr>
          <w:rFonts w:ascii="Times New Roman" w:hAnsi="Times New Roman" w:cs="Times New Roman"/>
        </w:rPr>
      </w:pPr>
      <w:r>
        <w:rPr>
          <w:rFonts w:ascii="Times New Roman" w:hAnsi="Times New Roman" w:cs="Times New Roman"/>
          <w:sz w:val="24"/>
          <w:szCs w:val="24"/>
        </w:rPr>
        <w:t>здійснення моніторингу результатів впроваджених енергоефективних заходів.</w:t>
      </w:r>
    </w:p>
    <w:p w:rsidR="00D227E2" w:rsidRDefault="00934FC4">
      <w:pPr>
        <w:numPr>
          <w:ilvl w:val="0"/>
          <w:numId w:val="7"/>
        </w:numPr>
        <w:tabs>
          <w:tab w:val="left" w:pos="851"/>
        </w:tabs>
        <w:spacing w:after="0"/>
        <w:ind w:left="0" w:firstLine="567"/>
        <w:jc w:val="both"/>
        <w:rPr>
          <w:rFonts w:ascii="Times New Roman" w:hAnsi="Times New Roman" w:cs="Times New Roman"/>
        </w:rPr>
      </w:pPr>
      <w:r>
        <w:rPr>
          <w:rFonts w:ascii="Times New Roman" w:hAnsi="Times New Roman" w:cs="Times New Roman"/>
          <w:sz w:val="24"/>
          <w:szCs w:val="24"/>
        </w:rPr>
        <w:t>Детальніше заходи щодо подолання енергетичної бідності будуть наведені у додатку 4 «Перелік заходів щодо пом’якшення наслідків зміни клімату».</w:t>
      </w:r>
    </w:p>
    <w:p w:rsidR="00D227E2" w:rsidRDefault="00934FC4">
      <w:pPr>
        <w:spacing w:after="0"/>
        <w:ind w:firstLine="567"/>
        <w:jc w:val="both"/>
        <w:rPr>
          <w:rFonts w:ascii="Times New Roman" w:hAnsi="Times New Roman" w:cs="Times New Roman"/>
        </w:rPr>
      </w:pPr>
      <w:r>
        <w:rPr>
          <w:rFonts w:ascii="Times New Roman" w:hAnsi="Times New Roman" w:cs="Times New Roman"/>
          <w:color w:val="000000"/>
          <w:sz w:val="24"/>
          <w:szCs w:val="24"/>
          <w:shd w:val="clear" w:color="auto" w:fill="FFFFFF"/>
        </w:rPr>
        <w:t xml:space="preserve">Основні напрямки роботи громади для подолання енергетичної бідності: </w:t>
      </w:r>
    </w:p>
    <w:p w:rsidR="00D227E2" w:rsidRDefault="00934FC4">
      <w:pPr>
        <w:numPr>
          <w:ilvl w:val="0"/>
          <w:numId w:val="6"/>
        </w:numPr>
        <w:tabs>
          <w:tab w:val="left" w:pos="993"/>
        </w:tabs>
        <w:spacing w:after="0"/>
        <w:ind w:left="0" w:firstLine="567"/>
        <w:jc w:val="both"/>
        <w:rPr>
          <w:rFonts w:ascii="Times New Roman" w:hAnsi="Times New Roman" w:cs="Times New Roman"/>
        </w:rPr>
      </w:pPr>
      <w:r>
        <w:rPr>
          <w:rFonts w:ascii="Times New Roman" w:hAnsi="Times New Roman" w:cs="Times New Roman"/>
          <w:color w:val="000000"/>
          <w:sz w:val="24"/>
          <w:szCs w:val="24"/>
          <w:shd w:val="clear" w:color="auto" w:fill="FFFFFF"/>
        </w:rPr>
        <w:t>створити умови безперешкодного доступу мешканців громади до альтернативних джерел енергії;</w:t>
      </w:r>
    </w:p>
    <w:p w:rsidR="00D227E2" w:rsidRDefault="00934FC4">
      <w:pPr>
        <w:numPr>
          <w:ilvl w:val="0"/>
          <w:numId w:val="6"/>
        </w:numPr>
        <w:tabs>
          <w:tab w:val="left" w:pos="993"/>
        </w:tabs>
        <w:spacing w:after="0"/>
        <w:ind w:left="0" w:firstLine="567"/>
        <w:jc w:val="both"/>
        <w:rPr>
          <w:rFonts w:ascii="Times New Roman" w:hAnsi="Times New Roman" w:cs="Times New Roman"/>
        </w:rPr>
      </w:pPr>
      <w:r>
        <w:rPr>
          <w:rFonts w:ascii="Times New Roman" w:hAnsi="Times New Roman" w:cs="Times New Roman"/>
          <w:color w:val="000000"/>
          <w:sz w:val="24"/>
          <w:szCs w:val="24"/>
          <w:shd w:val="clear" w:color="auto" w:fill="FFFFFF"/>
        </w:rPr>
        <w:t>посилити роз’яснювальну роботу в частині поінформованості споживачів про наявні пропозиції, програми підтримки та заходи енергозбереження в побуті;</w:t>
      </w:r>
    </w:p>
    <w:p w:rsidR="00D227E2" w:rsidRDefault="00934FC4">
      <w:pPr>
        <w:numPr>
          <w:ilvl w:val="0"/>
          <w:numId w:val="6"/>
        </w:numPr>
        <w:tabs>
          <w:tab w:val="left" w:pos="993"/>
        </w:tabs>
        <w:spacing w:after="0"/>
        <w:ind w:left="0" w:firstLine="567"/>
        <w:jc w:val="both"/>
        <w:rPr>
          <w:rFonts w:ascii="Times New Roman" w:hAnsi="Times New Roman" w:cs="Times New Roman"/>
        </w:rPr>
      </w:pPr>
      <w:r>
        <w:rPr>
          <w:rFonts w:ascii="Times New Roman" w:hAnsi="Times New Roman" w:cs="Times New Roman"/>
          <w:color w:val="000000"/>
          <w:sz w:val="24"/>
          <w:szCs w:val="24"/>
          <w:shd w:val="clear" w:color="auto" w:fill="FFFFFF"/>
        </w:rPr>
        <w:t>посилити роботу з мешканцями багатоквартирних будинків з метою створення ОСББ;</w:t>
      </w:r>
    </w:p>
    <w:p w:rsidR="00D227E2" w:rsidRDefault="00934FC4">
      <w:pPr>
        <w:numPr>
          <w:ilvl w:val="0"/>
          <w:numId w:val="6"/>
        </w:numPr>
        <w:tabs>
          <w:tab w:val="left" w:pos="993"/>
        </w:tabs>
        <w:spacing w:after="0"/>
        <w:ind w:left="0" w:firstLine="567"/>
        <w:jc w:val="both"/>
        <w:rPr>
          <w:rFonts w:ascii="Times New Roman" w:hAnsi="Times New Roman" w:cs="Times New Roman"/>
        </w:rPr>
      </w:pPr>
      <w:r>
        <w:rPr>
          <w:rFonts w:ascii="Times New Roman" w:hAnsi="Times New Roman" w:cs="Times New Roman"/>
          <w:color w:val="000000"/>
          <w:sz w:val="24"/>
          <w:szCs w:val="24"/>
          <w:shd w:val="clear" w:color="auto" w:fill="FFFFFF"/>
        </w:rPr>
        <w:t>впровадження заходів з енергоефективності в рамках програми «Енергодім» у будівлях ОСББ;</w:t>
      </w:r>
    </w:p>
    <w:p w:rsidR="00D227E2" w:rsidRDefault="00934FC4">
      <w:pPr>
        <w:numPr>
          <w:ilvl w:val="0"/>
          <w:numId w:val="6"/>
        </w:numPr>
        <w:tabs>
          <w:tab w:val="left" w:pos="993"/>
        </w:tabs>
        <w:spacing w:after="0"/>
        <w:ind w:left="0" w:firstLine="567"/>
        <w:jc w:val="both"/>
        <w:rPr>
          <w:rFonts w:ascii="Times New Roman" w:hAnsi="Times New Roman" w:cs="Times New Roman"/>
        </w:rPr>
      </w:pPr>
      <w:r>
        <w:rPr>
          <w:rFonts w:ascii="Times New Roman" w:hAnsi="Times New Roman" w:cs="Times New Roman"/>
          <w:sz w:val="24"/>
          <w:szCs w:val="24"/>
          <w:shd w:val="clear" w:color="auto" w:fill="FFFFFF"/>
        </w:rPr>
        <w:t>стимулювання енергомодернізації багатоквартирних житлових будинків за рахунок фінансової підтримки ініціатив ОСББ через цільові програми громади, виходячи з реальних можливостей бюджету та його пріоритетів.</w:t>
      </w:r>
    </w:p>
    <w:p w:rsidR="00D227E2" w:rsidRDefault="00D227E2">
      <w:pPr>
        <w:tabs>
          <w:tab w:val="left" w:pos="993"/>
        </w:tabs>
        <w:spacing w:after="0"/>
        <w:jc w:val="both"/>
        <w:rPr>
          <w:rFonts w:ascii="Times New Roman" w:hAnsi="Times New Roman" w:cs="Times New Roman"/>
          <w:shd w:val="clear" w:color="auto" w:fill="FFFFFF"/>
        </w:rPr>
      </w:pPr>
    </w:p>
    <w:p w:rsidR="00D227E2" w:rsidRDefault="00934FC4">
      <w:pPr>
        <w:spacing w:after="0"/>
        <w:ind w:firstLine="567"/>
        <w:jc w:val="both"/>
        <w:rPr>
          <w:rFonts w:ascii="Times New Roman" w:hAnsi="Times New Roman" w:cs="Times New Roman"/>
        </w:rPr>
      </w:pPr>
      <w:r>
        <w:rPr>
          <w:rFonts w:ascii="Times New Roman" w:hAnsi="Times New Roman" w:cs="Times New Roman"/>
          <w:b/>
          <w:bCs/>
          <w:sz w:val="24"/>
          <w:szCs w:val="24"/>
        </w:rPr>
        <w:t>1.4. Організаційна структура на виконання ПДСЕРК</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 xml:space="preserve">Однією з умов виконання зобов`язань передбачених Угодою Мерів є оптимізація структурних підрозділів муніципалітету, забезпечення їх компетентними кадрами, а також визначення структур, які будуть брати участь у розробці та реалізації ПДСЕРК. </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 xml:space="preserve">З метою </w:t>
      </w:r>
      <w:r>
        <w:rPr>
          <w:rFonts w:ascii="Times New Roman" w:eastAsia="Times New Roman" w:hAnsi="Times New Roman" w:cs="Times New Roman"/>
          <w:sz w:val="24"/>
          <w:szCs w:val="24"/>
          <w:lang w:eastAsia="ru-RU" w:bidi="he-IL"/>
        </w:rPr>
        <w:t xml:space="preserve">впровадження заходів для ефективного використання енергетичних ресурсів, зменшення видатків на утримання інфраструктури міста, залучення зовнішніх ресурсів для міста, зниження викидів </w:t>
      </w:r>
      <w:r>
        <w:rPr>
          <w:rFonts w:ascii="Times New Roman" w:hAnsi="Times New Roman" w:cs="Times New Roman"/>
          <w:color w:val="000000"/>
          <w:sz w:val="24"/>
          <w:szCs w:val="24"/>
          <w:shd w:val="clear" w:color="auto" w:fill="FEFEFE"/>
          <w:lang w:eastAsia="ru-RU"/>
        </w:rPr>
        <w:t>СО</w:t>
      </w:r>
      <w:r>
        <w:rPr>
          <w:rFonts w:ascii="Times New Roman" w:hAnsi="Times New Roman" w:cs="Times New Roman"/>
          <w:color w:val="000000"/>
          <w:sz w:val="24"/>
          <w:szCs w:val="24"/>
          <w:shd w:val="clear" w:color="auto" w:fill="FEFEFE"/>
          <w:vertAlign w:val="subscript"/>
          <w:lang w:eastAsia="ru-RU"/>
        </w:rPr>
        <w:t>2</w:t>
      </w:r>
      <w:r>
        <w:rPr>
          <w:rFonts w:ascii="Times New Roman" w:eastAsia="Times New Roman" w:hAnsi="Times New Roman" w:cs="Times New Roman"/>
          <w:sz w:val="24"/>
          <w:szCs w:val="24"/>
          <w:lang w:eastAsia="ru-RU" w:bidi="he-IL"/>
        </w:rPr>
        <w:t>, підтримуючи ініціативу Європейського Союзу «Угода мерів – Схід»</w:t>
      </w:r>
      <w:r>
        <w:rPr>
          <w:rFonts w:ascii="Times New Roman" w:hAnsi="Times New Roman" w:cs="Times New Roman"/>
          <w:sz w:val="24"/>
          <w:szCs w:val="24"/>
        </w:rPr>
        <w:t xml:space="preserve">, розпорядженням міського голови від 05.05.2023 № 132 утворено робочу групу </w:t>
      </w:r>
      <w:r>
        <w:rPr>
          <w:rFonts w:ascii="Times New Roman" w:eastAsia="Arial Unicode MS" w:hAnsi="Times New Roman" w:cs="Times New Roman"/>
          <w:color w:val="000000"/>
          <w:sz w:val="24"/>
          <w:szCs w:val="24"/>
        </w:rPr>
        <w:t xml:space="preserve">з формування Плану дій сталого енергетичного розвитку та клімату Луцької міської територіальної громади до 2050 року (далі </w:t>
      </w:r>
      <w:r>
        <w:rPr>
          <w:rFonts w:ascii="Times New Roman" w:hAnsi="Times New Roman" w:cs="Times New Roman"/>
          <w:sz w:val="24"/>
          <w:szCs w:val="24"/>
        </w:rPr>
        <w:t>–</w:t>
      </w:r>
      <w:r>
        <w:rPr>
          <w:rFonts w:ascii="Times New Roman" w:eastAsia="Arial Unicode MS" w:hAnsi="Times New Roman" w:cs="Times New Roman"/>
          <w:color w:val="000000"/>
          <w:sz w:val="24"/>
          <w:szCs w:val="24"/>
        </w:rPr>
        <w:t xml:space="preserve"> робоча група).</w:t>
      </w:r>
      <w:r>
        <w:rPr>
          <w:rFonts w:ascii="Times New Roman" w:hAnsi="Times New Roman" w:cs="Times New Roman"/>
          <w:sz w:val="24"/>
          <w:szCs w:val="24"/>
        </w:rPr>
        <w:t xml:space="preserve"> </w:t>
      </w:r>
    </w:p>
    <w:p w:rsidR="00D227E2" w:rsidRDefault="00934FC4">
      <w:pPr>
        <w:spacing w:after="0"/>
        <w:ind w:firstLine="567"/>
        <w:jc w:val="both"/>
        <w:rPr>
          <w:rFonts w:ascii="Times New Roman" w:hAnsi="Times New Roman" w:cs="Times New Roman"/>
        </w:rPr>
      </w:pPr>
      <w:r>
        <w:rPr>
          <w:rFonts w:ascii="Times New Roman" w:hAnsi="Times New Roman" w:cs="Times New Roman"/>
          <w:color w:val="000000"/>
          <w:sz w:val="24"/>
          <w:szCs w:val="24"/>
        </w:rPr>
        <w:t>До складу робочої групи залучені делеговані представники Луцької міської ради та її виконавчих органів, представники комунальних підприємств міста і наукових установ.</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 xml:space="preserve">Очолює робочу групу заступник міського голови з питань діяльності виконавчих органів Луцької міської ради. </w:t>
      </w:r>
    </w:p>
    <w:p w:rsidR="00D227E2" w:rsidRDefault="00934FC4">
      <w:pPr>
        <w:spacing w:after="0"/>
        <w:ind w:firstLine="567"/>
        <w:jc w:val="both"/>
        <w:rPr>
          <w:rFonts w:ascii="Times New Roman" w:hAnsi="Times New Roman" w:cs="Times New Roman"/>
        </w:rPr>
      </w:pPr>
      <w:r>
        <w:rPr>
          <w:rFonts w:ascii="Times New Roman" w:hAnsi="Times New Roman" w:cs="Times New Roman"/>
          <w:color w:val="000000"/>
          <w:sz w:val="24"/>
          <w:szCs w:val="24"/>
        </w:rPr>
        <w:t>У межах своєї компетенції робоча група:</w:t>
      </w:r>
    </w:p>
    <w:p w:rsidR="00D227E2" w:rsidRDefault="00934FC4">
      <w:pPr>
        <w:numPr>
          <w:ilvl w:val="0"/>
          <w:numId w:val="5"/>
        </w:numPr>
        <w:tabs>
          <w:tab w:val="left" w:pos="851"/>
        </w:tabs>
        <w:spacing w:after="0"/>
        <w:ind w:left="0" w:firstLine="567"/>
        <w:jc w:val="both"/>
        <w:rPr>
          <w:rFonts w:ascii="Times New Roman" w:hAnsi="Times New Roman" w:cs="Times New Roman"/>
        </w:rPr>
      </w:pPr>
      <w:r>
        <w:rPr>
          <w:rFonts w:ascii="Times New Roman" w:hAnsi="Times New Roman" w:cs="Times New Roman"/>
          <w:color w:val="000000"/>
          <w:sz w:val="24"/>
          <w:szCs w:val="24"/>
        </w:rPr>
        <w:lastRenderedPageBreak/>
        <w:t>формує концепцію міської енергетичної політики;</w:t>
      </w:r>
    </w:p>
    <w:p w:rsidR="00D227E2" w:rsidRDefault="00934FC4">
      <w:pPr>
        <w:numPr>
          <w:ilvl w:val="0"/>
          <w:numId w:val="5"/>
        </w:numPr>
        <w:tabs>
          <w:tab w:val="left" w:pos="851"/>
        </w:tabs>
        <w:spacing w:after="0"/>
        <w:ind w:left="0" w:firstLine="567"/>
        <w:jc w:val="both"/>
        <w:rPr>
          <w:rFonts w:ascii="Times New Roman" w:hAnsi="Times New Roman" w:cs="Times New Roman"/>
        </w:rPr>
      </w:pPr>
      <w:r>
        <w:rPr>
          <w:rFonts w:ascii="Times New Roman" w:hAnsi="Times New Roman" w:cs="Times New Roman"/>
          <w:color w:val="000000"/>
          <w:sz w:val="24"/>
          <w:szCs w:val="24"/>
        </w:rPr>
        <w:t>розробляє та подає пропозиції щодо вдосконалення системи енергоменеджменту у місті;</w:t>
      </w:r>
    </w:p>
    <w:p w:rsidR="00D227E2" w:rsidRDefault="00934FC4">
      <w:pPr>
        <w:numPr>
          <w:ilvl w:val="0"/>
          <w:numId w:val="5"/>
        </w:numPr>
        <w:tabs>
          <w:tab w:val="left" w:pos="851"/>
        </w:tabs>
        <w:spacing w:after="0"/>
        <w:ind w:left="0" w:firstLine="567"/>
        <w:jc w:val="both"/>
        <w:rPr>
          <w:rFonts w:ascii="Times New Roman" w:hAnsi="Times New Roman" w:cs="Times New Roman"/>
        </w:rPr>
      </w:pPr>
      <w:r>
        <w:rPr>
          <w:rFonts w:ascii="Times New Roman" w:hAnsi="Times New Roman" w:cs="Times New Roman"/>
          <w:color w:val="000000"/>
          <w:sz w:val="24"/>
          <w:szCs w:val="24"/>
        </w:rPr>
        <w:t>подає запити та отримує необхідну інформацію щодо функціонування енергетичної сфери міста у підприємств, організацій та установ всіх форм власності;</w:t>
      </w:r>
    </w:p>
    <w:p w:rsidR="00D227E2" w:rsidRDefault="00934FC4">
      <w:pPr>
        <w:numPr>
          <w:ilvl w:val="0"/>
          <w:numId w:val="5"/>
        </w:numPr>
        <w:tabs>
          <w:tab w:val="left" w:pos="851"/>
        </w:tabs>
        <w:spacing w:after="0"/>
        <w:ind w:left="0" w:firstLine="567"/>
        <w:jc w:val="both"/>
        <w:rPr>
          <w:rFonts w:ascii="Times New Roman" w:hAnsi="Times New Roman" w:cs="Times New Roman"/>
        </w:rPr>
      </w:pPr>
      <w:r>
        <w:rPr>
          <w:rFonts w:ascii="Times New Roman" w:hAnsi="Times New Roman" w:cs="Times New Roman"/>
          <w:color w:val="000000"/>
          <w:sz w:val="24"/>
          <w:szCs w:val="24"/>
        </w:rPr>
        <w:t>розробляє План дій Луцької МТГ до 2050 року.</w:t>
      </w:r>
    </w:p>
    <w:p w:rsidR="00D227E2" w:rsidRDefault="00934FC4">
      <w:pPr>
        <w:spacing w:after="0"/>
        <w:ind w:firstLine="567"/>
        <w:jc w:val="both"/>
        <w:rPr>
          <w:rFonts w:ascii="Times New Roman" w:hAnsi="Times New Roman" w:cs="Times New Roman"/>
        </w:rPr>
      </w:pPr>
      <w:r>
        <w:rPr>
          <w:rFonts w:ascii="Times New Roman" w:hAnsi="Times New Roman" w:cs="Times New Roman"/>
          <w:color w:val="000000"/>
          <w:sz w:val="24"/>
          <w:szCs w:val="24"/>
        </w:rPr>
        <w:t>Після затвердження Луцькою міською радою ПДСЕРК, розпорядженням міського голови буде створено Робочу групу</w:t>
      </w:r>
      <w:r>
        <w:rPr>
          <w:rFonts w:ascii="Times New Roman" w:eastAsia="Arial Unicode MS" w:hAnsi="Times New Roman" w:cs="Times New Roman"/>
          <w:color w:val="000000"/>
          <w:sz w:val="24"/>
          <w:szCs w:val="24"/>
        </w:rPr>
        <w:t xml:space="preserve"> з виконання Плану дій сталого енергетичного розвитку та клімату Луцької міської територіальної громади до 2050 року</w:t>
      </w:r>
      <w:r>
        <w:rPr>
          <w:rFonts w:ascii="Times New Roman" w:hAnsi="Times New Roman" w:cs="Times New Roman"/>
          <w:color w:val="000000"/>
          <w:sz w:val="24"/>
          <w:szCs w:val="24"/>
        </w:rPr>
        <w:t xml:space="preserve">. </w:t>
      </w:r>
    </w:p>
    <w:p w:rsidR="00D227E2" w:rsidRDefault="00934FC4">
      <w:pPr>
        <w:spacing w:after="0"/>
        <w:ind w:firstLine="567"/>
        <w:jc w:val="both"/>
        <w:rPr>
          <w:rFonts w:ascii="Times New Roman" w:hAnsi="Times New Roman" w:cs="Times New Roman"/>
        </w:rPr>
      </w:pPr>
      <w:r>
        <w:rPr>
          <w:rFonts w:ascii="Times New Roman" w:hAnsi="Times New Roman" w:cs="Times New Roman"/>
          <w:color w:val="000000"/>
          <w:sz w:val="24"/>
          <w:szCs w:val="24"/>
        </w:rPr>
        <w:t>З метою інформування Офісу Угоди Мерів про хід підготовки та виконання ПДСЕРК визначено відповідальну особу за комунікацію.</w:t>
      </w:r>
    </w:p>
    <w:p w:rsidR="00D227E2" w:rsidRDefault="00934FC4">
      <w:pPr>
        <w:spacing w:after="0"/>
        <w:ind w:firstLine="567"/>
        <w:jc w:val="both"/>
        <w:rPr>
          <w:rFonts w:ascii="Times New Roman" w:hAnsi="Times New Roman" w:cs="Times New Roman"/>
        </w:rPr>
      </w:pPr>
      <w:r>
        <w:rPr>
          <w:rFonts w:ascii="Times New Roman" w:hAnsi="Times New Roman" w:cs="Times New Roman"/>
          <w:color w:val="000000"/>
          <w:sz w:val="24"/>
          <w:szCs w:val="24"/>
        </w:rPr>
        <w:t xml:space="preserve">Організаційна структура впровадження ПДСЕРК є суттєвим елементом у системі енергоменеджменту громади. </w:t>
      </w:r>
    </w:p>
    <w:p w:rsidR="00D227E2" w:rsidRDefault="00934FC4">
      <w:pPr>
        <w:spacing w:after="0"/>
        <w:ind w:firstLine="567"/>
        <w:jc w:val="both"/>
        <w:rPr>
          <w:rFonts w:ascii="Times New Roman" w:hAnsi="Times New Roman" w:cs="Times New Roman"/>
        </w:rPr>
      </w:pPr>
      <w:r>
        <w:rPr>
          <w:rFonts w:ascii="Times New Roman" w:hAnsi="Times New Roman" w:cs="Times New Roman"/>
          <w:color w:val="000000"/>
          <w:sz w:val="24"/>
          <w:szCs w:val="24"/>
        </w:rPr>
        <w:t>Поточний контроль, обмін інформацією між зацікавленими сторонами та координацію дій усіх учасників забезпечує департамент економічної політики Луцької міської ради.</w:t>
      </w:r>
    </w:p>
    <w:p w:rsidR="00D227E2" w:rsidRDefault="00D227E2">
      <w:pPr>
        <w:spacing w:after="0"/>
        <w:ind w:firstLine="567"/>
        <w:jc w:val="both"/>
        <w:rPr>
          <w:rFonts w:ascii="Times New Roman" w:hAnsi="Times New Roman" w:cs="Times New Roman"/>
          <w:sz w:val="24"/>
          <w:szCs w:val="24"/>
        </w:rPr>
      </w:pPr>
    </w:p>
    <w:p w:rsidR="00D227E2" w:rsidRDefault="00934FC4">
      <w:pPr>
        <w:spacing w:after="0"/>
        <w:ind w:firstLine="567"/>
        <w:jc w:val="both"/>
        <w:rPr>
          <w:rFonts w:ascii="Times New Roman" w:hAnsi="Times New Roman" w:cs="Times New Roman"/>
        </w:rPr>
      </w:pPr>
      <w:r>
        <w:rPr>
          <w:rFonts w:ascii="Times New Roman" w:hAnsi="Times New Roman" w:cs="Times New Roman"/>
          <w:b/>
          <w:bCs/>
          <w:sz w:val="24"/>
          <w:szCs w:val="24"/>
        </w:rPr>
        <w:t>1.5. Ідентифікація та залучення зацікавлених сторін</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Для виконання поставлених цілей до 2050 року громада залучає до співпраці всі зацікавлені сторони, які безпосередньо беруть участь у реалізації проєктів, або є бенефіціарами, мають ідеї і можуть зробити свій посильний внесок в досягненні цілей ПДСЕРК:</w:t>
      </w:r>
    </w:p>
    <w:p w:rsidR="00D227E2" w:rsidRDefault="00934FC4">
      <w:pPr>
        <w:numPr>
          <w:ilvl w:val="0"/>
          <w:numId w:val="4"/>
        </w:numPr>
        <w:tabs>
          <w:tab w:val="left" w:pos="855"/>
        </w:tabs>
        <w:spacing w:after="0"/>
        <w:ind w:left="0" w:firstLine="567"/>
        <w:jc w:val="both"/>
        <w:rPr>
          <w:rFonts w:ascii="Times New Roman" w:hAnsi="Times New Roman" w:cs="Times New Roman"/>
        </w:rPr>
      </w:pPr>
      <w:r>
        <w:rPr>
          <w:rFonts w:ascii="Times New Roman" w:hAnsi="Times New Roman" w:cs="Times New Roman"/>
          <w:sz w:val="24"/>
          <w:szCs w:val="24"/>
        </w:rPr>
        <w:t>депутатський корпус;</w:t>
      </w:r>
    </w:p>
    <w:p w:rsidR="00D227E2" w:rsidRDefault="00934FC4">
      <w:pPr>
        <w:numPr>
          <w:ilvl w:val="0"/>
          <w:numId w:val="4"/>
        </w:numPr>
        <w:tabs>
          <w:tab w:val="left" w:pos="855"/>
        </w:tabs>
        <w:spacing w:after="0"/>
        <w:ind w:left="0" w:firstLine="567"/>
        <w:jc w:val="both"/>
        <w:rPr>
          <w:rFonts w:ascii="Times New Roman" w:hAnsi="Times New Roman" w:cs="Times New Roman"/>
        </w:rPr>
      </w:pPr>
      <w:r>
        <w:rPr>
          <w:rFonts w:ascii="Times New Roman" w:hAnsi="Times New Roman" w:cs="Times New Roman"/>
          <w:sz w:val="24"/>
          <w:szCs w:val="24"/>
        </w:rPr>
        <w:t>виконавчі органи Луцької МТГ;</w:t>
      </w:r>
    </w:p>
    <w:p w:rsidR="00D227E2" w:rsidRDefault="00934FC4">
      <w:pPr>
        <w:numPr>
          <w:ilvl w:val="0"/>
          <w:numId w:val="4"/>
        </w:numPr>
        <w:tabs>
          <w:tab w:val="left" w:pos="855"/>
        </w:tabs>
        <w:spacing w:after="0"/>
        <w:ind w:left="0" w:firstLine="567"/>
        <w:jc w:val="both"/>
        <w:rPr>
          <w:rFonts w:ascii="Times New Roman" w:hAnsi="Times New Roman" w:cs="Times New Roman"/>
        </w:rPr>
      </w:pPr>
      <w:r>
        <w:rPr>
          <w:rFonts w:ascii="Times New Roman" w:hAnsi="Times New Roman" w:cs="Times New Roman"/>
          <w:sz w:val="24"/>
          <w:szCs w:val="24"/>
        </w:rPr>
        <w:t>комунальні підприємства, організації та установи громади;</w:t>
      </w:r>
    </w:p>
    <w:p w:rsidR="00D227E2" w:rsidRDefault="00934FC4">
      <w:pPr>
        <w:numPr>
          <w:ilvl w:val="0"/>
          <w:numId w:val="4"/>
        </w:numPr>
        <w:tabs>
          <w:tab w:val="left" w:pos="855"/>
        </w:tabs>
        <w:spacing w:after="0"/>
        <w:ind w:left="0" w:firstLine="567"/>
        <w:jc w:val="both"/>
        <w:rPr>
          <w:rFonts w:ascii="Times New Roman" w:hAnsi="Times New Roman" w:cs="Times New Roman"/>
        </w:rPr>
      </w:pPr>
      <w:r>
        <w:rPr>
          <w:rFonts w:ascii="Times New Roman" w:hAnsi="Times New Roman" w:cs="Times New Roman"/>
          <w:sz w:val="24"/>
          <w:szCs w:val="24"/>
        </w:rPr>
        <w:t>асоціації ОСББ;</w:t>
      </w:r>
    </w:p>
    <w:p w:rsidR="00D227E2" w:rsidRDefault="00934FC4">
      <w:pPr>
        <w:numPr>
          <w:ilvl w:val="0"/>
          <w:numId w:val="4"/>
        </w:numPr>
        <w:tabs>
          <w:tab w:val="left" w:pos="855"/>
        </w:tabs>
        <w:spacing w:after="0"/>
        <w:ind w:left="0" w:firstLine="567"/>
        <w:jc w:val="both"/>
        <w:rPr>
          <w:rFonts w:ascii="Times New Roman" w:hAnsi="Times New Roman" w:cs="Times New Roman"/>
        </w:rPr>
      </w:pPr>
      <w:r>
        <w:rPr>
          <w:rFonts w:ascii="Times New Roman" w:hAnsi="Times New Roman" w:cs="Times New Roman"/>
          <w:sz w:val="24"/>
          <w:szCs w:val="24"/>
        </w:rPr>
        <w:t>громадські організації;</w:t>
      </w:r>
    </w:p>
    <w:p w:rsidR="00D227E2" w:rsidRDefault="00934FC4">
      <w:pPr>
        <w:numPr>
          <w:ilvl w:val="0"/>
          <w:numId w:val="4"/>
        </w:numPr>
        <w:tabs>
          <w:tab w:val="left" w:pos="855"/>
        </w:tabs>
        <w:spacing w:after="0"/>
        <w:ind w:left="0" w:firstLine="567"/>
        <w:jc w:val="both"/>
        <w:rPr>
          <w:rFonts w:ascii="Times New Roman" w:hAnsi="Times New Roman" w:cs="Times New Roman"/>
        </w:rPr>
      </w:pPr>
      <w:r>
        <w:rPr>
          <w:rFonts w:ascii="Times New Roman" w:hAnsi="Times New Roman" w:cs="Times New Roman"/>
          <w:sz w:val="24"/>
          <w:szCs w:val="24"/>
        </w:rPr>
        <w:t>молодь;</w:t>
      </w:r>
    </w:p>
    <w:p w:rsidR="00D227E2" w:rsidRDefault="00934FC4">
      <w:pPr>
        <w:numPr>
          <w:ilvl w:val="0"/>
          <w:numId w:val="4"/>
        </w:numPr>
        <w:tabs>
          <w:tab w:val="left" w:pos="855"/>
        </w:tabs>
        <w:spacing w:after="0"/>
        <w:ind w:left="0" w:firstLine="567"/>
        <w:jc w:val="both"/>
        <w:rPr>
          <w:rFonts w:ascii="Times New Roman" w:hAnsi="Times New Roman" w:cs="Times New Roman"/>
        </w:rPr>
      </w:pPr>
      <w:r>
        <w:rPr>
          <w:rFonts w:ascii="Times New Roman" w:hAnsi="Times New Roman" w:cs="Times New Roman"/>
          <w:sz w:val="24"/>
          <w:szCs w:val="24"/>
        </w:rPr>
        <w:t>представники велосипедного руху;</w:t>
      </w:r>
    </w:p>
    <w:p w:rsidR="00D227E2" w:rsidRDefault="00934FC4">
      <w:pPr>
        <w:numPr>
          <w:ilvl w:val="0"/>
          <w:numId w:val="4"/>
        </w:numPr>
        <w:tabs>
          <w:tab w:val="left" w:pos="855"/>
        </w:tabs>
        <w:spacing w:after="0"/>
        <w:ind w:left="0" w:firstLine="567"/>
        <w:jc w:val="both"/>
        <w:rPr>
          <w:rFonts w:ascii="Times New Roman" w:hAnsi="Times New Roman" w:cs="Times New Roman"/>
        </w:rPr>
      </w:pPr>
      <w:r>
        <w:rPr>
          <w:rFonts w:ascii="Times New Roman" w:hAnsi="Times New Roman" w:cs="Times New Roman"/>
          <w:sz w:val="24"/>
          <w:szCs w:val="24"/>
        </w:rPr>
        <w:t>підприємці;</w:t>
      </w:r>
    </w:p>
    <w:p w:rsidR="00D227E2" w:rsidRDefault="00934FC4">
      <w:pPr>
        <w:numPr>
          <w:ilvl w:val="0"/>
          <w:numId w:val="4"/>
        </w:numPr>
        <w:tabs>
          <w:tab w:val="left" w:pos="855"/>
        </w:tabs>
        <w:spacing w:after="0"/>
        <w:ind w:left="0" w:firstLine="567"/>
        <w:jc w:val="both"/>
        <w:rPr>
          <w:rFonts w:ascii="Times New Roman" w:hAnsi="Times New Roman" w:cs="Times New Roman"/>
        </w:rPr>
      </w:pPr>
      <w:r>
        <w:rPr>
          <w:rFonts w:ascii="Times New Roman" w:hAnsi="Times New Roman" w:cs="Times New Roman"/>
          <w:sz w:val="24"/>
          <w:szCs w:val="24"/>
        </w:rPr>
        <w:t>експерти та консультанти з енергоефективності, адаптації до змін клімату та мобільності;</w:t>
      </w:r>
    </w:p>
    <w:p w:rsidR="00D227E2" w:rsidRDefault="00934FC4">
      <w:pPr>
        <w:numPr>
          <w:ilvl w:val="0"/>
          <w:numId w:val="4"/>
        </w:numPr>
        <w:tabs>
          <w:tab w:val="left" w:pos="855"/>
          <w:tab w:val="left" w:pos="900"/>
        </w:tabs>
        <w:spacing w:after="0"/>
        <w:ind w:left="0" w:firstLine="567"/>
        <w:jc w:val="both"/>
        <w:rPr>
          <w:rFonts w:ascii="Times New Roman" w:hAnsi="Times New Roman" w:cs="Times New Roman"/>
        </w:rPr>
      </w:pPr>
      <w:r>
        <w:rPr>
          <w:rFonts w:ascii="Times New Roman" w:hAnsi="Times New Roman" w:cs="Times New Roman"/>
          <w:sz w:val="24"/>
          <w:szCs w:val="24"/>
        </w:rPr>
        <w:t>архітектори, проєктні та будівельні організації;</w:t>
      </w:r>
    </w:p>
    <w:p w:rsidR="00D227E2" w:rsidRDefault="00934FC4">
      <w:pPr>
        <w:numPr>
          <w:ilvl w:val="0"/>
          <w:numId w:val="4"/>
        </w:numPr>
        <w:tabs>
          <w:tab w:val="left" w:pos="855"/>
          <w:tab w:val="left" w:pos="900"/>
        </w:tabs>
        <w:spacing w:after="0"/>
        <w:ind w:left="0" w:firstLine="567"/>
        <w:jc w:val="both"/>
        <w:rPr>
          <w:rFonts w:ascii="Times New Roman" w:hAnsi="Times New Roman" w:cs="Times New Roman"/>
        </w:rPr>
      </w:pPr>
      <w:r>
        <w:rPr>
          <w:rFonts w:ascii="Times New Roman" w:hAnsi="Times New Roman" w:cs="Times New Roman"/>
          <w:sz w:val="24"/>
          <w:szCs w:val="24"/>
        </w:rPr>
        <w:t>спеціалісти з містобудування, урбаністики, озеленення територій.</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Основні завдання для залучення зацікавлених сторін до впровадження ПДСЕРК є:</w:t>
      </w:r>
    </w:p>
    <w:p w:rsidR="00D227E2" w:rsidRDefault="00934FC4">
      <w:pPr>
        <w:numPr>
          <w:ilvl w:val="0"/>
          <w:numId w:val="10"/>
        </w:numPr>
        <w:tabs>
          <w:tab w:val="left" w:pos="851"/>
        </w:tabs>
        <w:spacing w:after="0"/>
        <w:ind w:left="0" w:firstLine="567"/>
        <w:jc w:val="both"/>
        <w:rPr>
          <w:rFonts w:ascii="Times New Roman" w:hAnsi="Times New Roman" w:cs="Times New Roman"/>
        </w:rPr>
      </w:pPr>
      <w:r>
        <w:rPr>
          <w:rFonts w:ascii="Times New Roman" w:hAnsi="Times New Roman" w:cs="Times New Roman"/>
          <w:sz w:val="24"/>
          <w:szCs w:val="24"/>
        </w:rPr>
        <w:t>популяризація ідей енергоефективності і кліматичної нейтральності;</w:t>
      </w:r>
    </w:p>
    <w:p w:rsidR="00D227E2" w:rsidRDefault="00934FC4">
      <w:pPr>
        <w:numPr>
          <w:ilvl w:val="0"/>
          <w:numId w:val="10"/>
        </w:numPr>
        <w:tabs>
          <w:tab w:val="left" w:pos="851"/>
        </w:tabs>
        <w:spacing w:after="0"/>
        <w:ind w:left="0" w:firstLine="567"/>
        <w:jc w:val="both"/>
        <w:rPr>
          <w:rFonts w:ascii="Times New Roman" w:hAnsi="Times New Roman" w:cs="Times New Roman"/>
        </w:rPr>
      </w:pPr>
      <w:r>
        <w:rPr>
          <w:rFonts w:ascii="Times New Roman" w:hAnsi="Times New Roman" w:cs="Times New Roman"/>
          <w:sz w:val="24"/>
          <w:szCs w:val="24"/>
        </w:rPr>
        <w:t>реалізація проєктів з безпосереднім демонстраційним ефектом;</w:t>
      </w:r>
    </w:p>
    <w:p w:rsidR="00D227E2" w:rsidRDefault="00934FC4">
      <w:pPr>
        <w:numPr>
          <w:ilvl w:val="0"/>
          <w:numId w:val="10"/>
        </w:numPr>
        <w:tabs>
          <w:tab w:val="left" w:pos="851"/>
        </w:tabs>
        <w:spacing w:after="0"/>
        <w:ind w:left="0" w:firstLine="567"/>
        <w:jc w:val="both"/>
        <w:rPr>
          <w:rFonts w:ascii="Times New Roman" w:hAnsi="Times New Roman" w:cs="Times New Roman"/>
        </w:rPr>
      </w:pPr>
      <w:r>
        <w:rPr>
          <w:rFonts w:ascii="Times New Roman" w:hAnsi="Times New Roman" w:cs="Times New Roman"/>
          <w:sz w:val="24"/>
          <w:szCs w:val="24"/>
        </w:rPr>
        <w:t>організація робочих груп, проведення обговорень проєктів;</w:t>
      </w:r>
    </w:p>
    <w:p w:rsidR="00D227E2" w:rsidRDefault="00934FC4">
      <w:pPr>
        <w:numPr>
          <w:ilvl w:val="0"/>
          <w:numId w:val="10"/>
        </w:numPr>
        <w:tabs>
          <w:tab w:val="left" w:pos="851"/>
        </w:tabs>
        <w:spacing w:after="0"/>
        <w:ind w:left="0" w:firstLine="567"/>
        <w:jc w:val="both"/>
        <w:rPr>
          <w:rFonts w:ascii="Times New Roman" w:hAnsi="Times New Roman" w:cs="Times New Roman"/>
        </w:rPr>
      </w:pPr>
      <w:r>
        <w:rPr>
          <w:rFonts w:ascii="Times New Roman" w:hAnsi="Times New Roman" w:cs="Times New Roman"/>
          <w:sz w:val="24"/>
          <w:szCs w:val="24"/>
        </w:rPr>
        <w:t>інформування (публікації на сайті міської ради, на сайтах і інтернет-сторінках, в засобах масової інформації);</w:t>
      </w:r>
    </w:p>
    <w:p w:rsidR="00D227E2" w:rsidRDefault="00934FC4">
      <w:pPr>
        <w:numPr>
          <w:ilvl w:val="0"/>
          <w:numId w:val="10"/>
        </w:numPr>
        <w:tabs>
          <w:tab w:val="left" w:pos="851"/>
        </w:tabs>
        <w:spacing w:after="0"/>
        <w:ind w:left="0" w:firstLine="567"/>
        <w:jc w:val="both"/>
        <w:rPr>
          <w:rFonts w:ascii="Times New Roman" w:hAnsi="Times New Roman" w:cs="Times New Roman"/>
        </w:rPr>
      </w:pPr>
      <w:r>
        <w:rPr>
          <w:rFonts w:ascii="Times New Roman" w:hAnsi="Times New Roman" w:cs="Times New Roman"/>
          <w:sz w:val="24"/>
          <w:szCs w:val="24"/>
        </w:rPr>
        <w:t>збір інформації, проведення опитувань.</w:t>
      </w:r>
    </w:p>
    <w:p w:rsidR="00D227E2" w:rsidRDefault="00934FC4">
      <w:pPr>
        <w:spacing w:after="0"/>
        <w:ind w:firstLine="567"/>
        <w:jc w:val="both"/>
        <w:rPr>
          <w:rFonts w:ascii="Times New Roman" w:hAnsi="Times New Roman" w:cs="Times New Roman"/>
        </w:rPr>
      </w:pPr>
      <w:r>
        <w:rPr>
          <w:rFonts w:ascii="Times New Roman" w:hAnsi="Times New Roman" w:cs="Times New Roman"/>
          <w:color w:val="000000"/>
          <w:sz w:val="24"/>
          <w:szCs w:val="24"/>
          <w:shd w:val="clear" w:color="auto" w:fill="FFFFFF"/>
        </w:rPr>
        <w:t xml:space="preserve">Муніципальна влада Луцької МТГ постійно веде роботу із залучення жителів до управління громадою, проводить заходи, що сприяють формуванню активної позиції мешканців. </w:t>
      </w:r>
    </w:p>
    <w:p w:rsidR="00D227E2" w:rsidRDefault="00934FC4">
      <w:pPr>
        <w:spacing w:after="0"/>
        <w:ind w:firstLine="567"/>
        <w:jc w:val="both"/>
        <w:rPr>
          <w:rFonts w:ascii="Times New Roman" w:hAnsi="Times New Roman" w:cs="Times New Roman"/>
        </w:rPr>
      </w:pPr>
      <w:r>
        <w:rPr>
          <w:rFonts w:ascii="Times New Roman" w:hAnsi="Times New Roman" w:cs="Times New Roman"/>
          <w:color w:val="000000"/>
          <w:sz w:val="24"/>
          <w:szCs w:val="24"/>
          <w:shd w:val="clear" w:color="auto" w:fill="FFFFFF"/>
        </w:rPr>
        <w:lastRenderedPageBreak/>
        <w:t xml:space="preserve">Щороку в м. Луцьку проводяться Дні сталої енергії, в рамках яких організовуються зустрічі і обговорення досягнень, проблемних питань та основних завдань розвитку на майбутнє. </w:t>
      </w:r>
    </w:p>
    <w:p w:rsidR="00D227E2" w:rsidRDefault="00934FC4">
      <w:pPr>
        <w:spacing w:after="0"/>
        <w:ind w:firstLine="567"/>
        <w:jc w:val="both"/>
        <w:rPr>
          <w:rFonts w:ascii="Times New Roman" w:hAnsi="Times New Roman" w:cs="Times New Roman"/>
        </w:rPr>
      </w:pPr>
      <w:r>
        <w:rPr>
          <w:rFonts w:ascii="Times New Roman" w:hAnsi="Times New Roman" w:cs="Times New Roman"/>
          <w:color w:val="000000"/>
          <w:sz w:val="24"/>
          <w:szCs w:val="24"/>
          <w:shd w:val="clear" w:color="auto" w:fill="FFFFFF"/>
        </w:rPr>
        <w:t>Для реалізації окремих проєктів в разі потреби проводяться робочі засідання за участі представників експертного середовища та бізнесу.</w:t>
      </w:r>
    </w:p>
    <w:p w:rsidR="00D227E2" w:rsidRDefault="00D227E2">
      <w:pPr>
        <w:spacing w:after="0"/>
        <w:ind w:firstLine="567"/>
        <w:jc w:val="both"/>
        <w:rPr>
          <w:rFonts w:ascii="Times New Roman" w:hAnsi="Times New Roman" w:cs="Times New Roman"/>
          <w:sz w:val="24"/>
          <w:szCs w:val="24"/>
        </w:rPr>
      </w:pPr>
    </w:p>
    <w:p w:rsidR="00D227E2" w:rsidRDefault="00934FC4">
      <w:pPr>
        <w:spacing w:after="0"/>
        <w:ind w:firstLine="567"/>
        <w:jc w:val="both"/>
        <w:rPr>
          <w:rFonts w:ascii="Times New Roman" w:hAnsi="Times New Roman" w:cs="Times New Roman"/>
        </w:rPr>
      </w:pPr>
      <w:r>
        <w:rPr>
          <w:rFonts w:ascii="Times New Roman" w:hAnsi="Times New Roman" w:cs="Times New Roman"/>
          <w:b/>
          <w:bCs/>
          <w:sz w:val="24"/>
          <w:szCs w:val="24"/>
        </w:rPr>
        <w:t>1.6. План моніторингу та звітності щодо виконання ПДСЕРК</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 xml:space="preserve">Одним із зобов’язань муніципальної влади Луцької МТГ є постійний моніторинг впровадження Плану дій та подача регулярної моніторингової звітності. </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 xml:space="preserve">З метою підготовки моніторингового звіту, департамент економічної політики Луцької міської ради збирає дані по реалізованих проєктах за відповідний період, оновлює план заходів, робить відповідні розрахунки щодо скорочення викидів та заповнює шаблон звіту і через сторінку «Моя Угода» на сайті Угоди мерів завантажує документи для перевірки та затвердження з боку офісу Угоди мерів. </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 xml:space="preserve">Шаблон моніторингового звіту складається з таких самих розділів, як і шаблон Плану дій та містить такі розділи: </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Розділ 1. Загальна стратегія громади (заповнюється у випадку, якщо відбулись зміни які стосуються цілей, фінансових та людських ресурсів);</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Розділ 2. Кадастр викидів парникових газів (проводиться розрахунок досягнутого скорочення викидів парникових газів);</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Розділ 3. План заходів щодо сталого енергетичного розвитку і клімату (зазначаються усі зміни в плані заходів з енергоефективності).</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 xml:space="preserve">Робочій групі при підготовці моніторингової звітності необхідно користуватись посібником з підготовки моніторингової звітності «Керівництво з подання звітності» та діючими шаблонами доступними на сайті Угоди мерів: </w:t>
      </w:r>
      <w:hyperlink r:id="rId35">
        <w:r>
          <w:rPr>
            <w:rStyle w:val="a5"/>
            <w:rFonts w:ascii="Times New Roman" w:hAnsi="Times New Roman" w:cs="Times New Roman"/>
            <w:sz w:val="24"/>
            <w:szCs w:val="24"/>
          </w:rPr>
          <w:t>https://com-east.eu/</w:t>
        </w:r>
      </w:hyperlink>
      <w:r>
        <w:rPr>
          <w:rFonts w:ascii="Times New Roman" w:hAnsi="Times New Roman" w:cs="Times New Roman"/>
          <w:sz w:val="24"/>
          <w:szCs w:val="24"/>
        </w:rPr>
        <w:t xml:space="preserve">. </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 xml:space="preserve">Процедуру покрокового подання звітності і здійснення моніторингу для підписантів Угоди наведено нижче: </w:t>
      </w:r>
    </w:p>
    <w:p w:rsidR="00D227E2" w:rsidRDefault="00934FC4">
      <w:pPr>
        <w:spacing w:after="0"/>
        <w:ind w:firstLine="567"/>
        <w:jc w:val="both"/>
        <w:rPr>
          <w:rFonts w:ascii="Times New Roman" w:hAnsi="Times New Roman" w:cs="Times New Roman"/>
          <w:sz w:val="24"/>
          <w:szCs w:val="24"/>
        </w:rPr>
      </w:pPr>
      <w:r>
        <w:rPr>
          <w:rFonts w:ascii="Times New Roman" w:hAnsi="Times New Roman" w:cs="Times New Roman"/>
          <w:noProof/>
          <w:sz w:val="24"/>
          <w:szCs w:val="24"/>
          <w:lang w:eastAsia="uk-UA"/>
        </w:rPr>
        <w:drawing>
          <wp:anchor distT="0" distB="0" distL="0" distR="0" simplePos="0" relativeHeight="76" behindDoc="0" locked="0" layoutInCell="0" allowOverlap="1" wp14:anchorId="6F12E8C4" wp14:editId="43789DAA">
            <wp:simplePos x="0" y="0"/>
            <wp:positionH relativeFrom="column">
              <wp:posOffset>772160</wp:posOffset>
            </wp:positionH>
            <wp:positionV relativeFrom="paragraph">
              <wp:posOffset>8890</wp:posOffset>
            </wp:positionV>
            <wp:extent cx="4646930" cy="2051685"/>
            <wp:effectExtent l="0" t="0" r="0" b="0"/>
            <wp:wrapSquare wrapText="largest"/>
            <wp:docPr id="12" name="Зображення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Зображення4"/>
                    <pic:cNvPicPr>
                      <a:picLocks noChangeAspect="1" noChangeArrowheads="1"/>
                    </pic:cNvPicPr>
                  </pic:nvPicPr>
                  <pic:blipFill>
                    <a:blip r:embed="rId36"/>
                    <a:srcRect l="23501" t="14351" r="25349" b="46721"/>
                    <a:stretch>
                      <a:fillRect/>
                    </a:stretch>
                  </pic:blipFill>
                  <pic:spPr bwMode="auto">
                    <a:xfrm>
                      <a:off x="0" y="0"/>
                      <a:ext cx="4646930" cy="2051685"/>
                    </a:xfrm>
                    <a:prstGeom prst="rect">
                      <a:avLst/>
                    </a:prstGeom>
                  </pic:spPr>
                </pic:pic>
              </a:graphicData>
            </a:graphic>
          </wp:anchor>
        </w:drawing>
      </w:r>
    </w:p>
    <w:p w:rsidR="00D227E2" w:rsidRDefault="00D227E2">
      <w:pPr>
        <w:spacing w:after="0"/>
        <w:ind w:firstLine="567"/>
        <w:jc w:val="both"/>
        <w:rPr>
          <w:rFonts w:ascii="Times New Roman" w:hAnsi="Times New Roman" w:cs="Times New Roman"/>
          <w:sz w:val="24"/>
          <w:szCs w:val="24"/>
        </w:rPr>
      </w:pPr>
    </w:p>
    <w:p w:rsidR="00D227E2" w:rsidRDefault="00D227E2">
      <w:pPr>
        <w:spacing w:after="0"/>
        <w:ind w:firstLine="567"/>
        <w:jc w:val="both"/>
        <w:rPr>
          <w:rFonts w:ascii="Times New Roman" w:hAnsi="Times New Roman" w:cs="Times New Roman"/>
          <w:sz w:val="24"/>
          <w:szCs w:val="24"/>
        </w:rPr>
      </w:pPr>
    </w:p>
    <w:p w:rsidR="00D227E2" w:rsidRDefault="00D227E2">
      <w:pPr>
        <w:spacing w:after="0"/>
        <w:ind w:firstLine="567"/>
        <w:jc w:val="both"/>
        <w:rPr>
          <w:rFonts w:ascii="Times New Roman" w:hAnsi="Times New Roman" w:cs="Times New Roman"/>
          <w:sz w:val="24"/>
          <w:szCs w:val="24"/>
        </w:rPr>
      </w:pPr>
    </w:p>
    <w:p w:rsidR="00D227E2" w:rsidRDefault="00D227E2">
      <w:pPr>
        <w:spacing w:after="0"/>
        <w:ind w:firstLine="567"/>
        <w:jc w:val="both"/>
        <w:rPr>
          <w:rFonts w:ascii="Times New Roman" w:hAnsi="Times New Roman" w:cs="Times New Roman"/>
          <w:sz w:val="24"/>
          <w:szCs w:val="24"/>
        </w:rPr>
      </w:pPr>
    </w:p>
    <w:p w:rsidR="00D227E2" w:rsidRDefault="00D227E2">
      <w:pPr>
        <w:spacing w:after="0"/>
        <w:ind w:firstLine="567"/>
        <w:jc w:val="center"/>
        <w:rPr>
          <w:rFonts w:ascii="Times New Roman" w:hAnsi="Times New Roman" w:cs="Times New Roman"/>
          <w:sz w:val="24"/>
          <w:szCs w:val="24"/>
        </w:rPr>
      </w:pPr>
    </w:p>
    <w:p w:rsidR="00D227E2" w:rsidRDefault="00D227E2">
      <w:pPr>
        <w:spacing w:after="0"/>
        <w:ind w:firstLine="567"/>
        <w:jc w:val="both"/>
        <w:rPr>
          <w:rFonts w:ascii="Times New Roman" w:hAnsi="Times New Roman" w:cs="Times New Roman"/>
          <w:sz w:val="24"/>
          <w:szCs w:val="24"/>
        </w:rPr>
      </w:pPr>
    </w:p>
    <w:p w:rsidR="00D227E2" w:rsidRDefault="00D227E2">
      <w:pPr>
        <w:spacing w:after="0"/>
        <w:ind w:firstLine="567"/>
        <w:jc w:val="both"/>
        <w:rPr>
          <w:rFonts w:ascii="Times New Roman" w:hAnsi="Times New Roman" w:cs="Times New Roman"/>
          <w:sz w:val="24"/>
          <w:szCs w:val="24"/>
        </w:rPr>
      </w:pPr>
    </w:p>
    <w:p w:rsidR="00D227E2" w:rsidRDefault="00D227E2">
      <w:pPr>
        <w:spacing w:after="0"/>
        <w:ind w:firstLine="567"/>
        <w:jc w:val="both"/>
        <w:rPr>
          <w:rFonts w:ascii="Times New Roman" w:hAnsi="Times New Roman" w:cs="Times New Roman"/>
          <w:sz w:val="24"/>
          <w:szCs w:val="24"/>
        </w:rPr>
      </w:pPr>
    </w:p>
    <w:p w:rsidR="00D227E2" w:rsidRDefault="00D227E2">
      <w:pPr>
        <w:spacing w:after="0"/>
        <w:ind w:firstLine="567"/>
        <w:jc w:val="both"/>
        <w:rPr>
          <w:rFonts w:ascii="Times New Roman" w:hAnsi="Times New Roman" w:cs="Times New Roman"/>
          <w:sz w:val="24"/>
          <w:szCs w:val="24"/>
        </w:rPr>
      </w:pPr>
    </w:p>
    <w:p w:rsidR="00D227E2" w:rsidRDefault="00D227E2">
      <w:pPr>
        <w:spacing w:after="0"/>
        <w:ind w:firstLine="567"/>
        <w:jc w:val="both"/>
        <w:rPr>
          <w:rFonts w:ascii="Times New Roman" w:hAnsi="Times New Roman" w:cs="Times New Roman"/>
          <w:sz w:val="24"/>
          <w:szCs w:val="24"/>
        </w:rPr>
      </w:pPr>
    </w:p>
    <w:p w:rsidR="00D227E2" w:rsidRDefault="00934FC4">
      <w:pPr>
        <w:spacing w:after="0" w:line="240" w:lineRule="auto"/>
        <w:ind w:firstLine="567"/>
        <w:jc w:val="center"/>
        <w:rPr>
          <w:rFonts w:ascii="Times New Roman" w:hAnsi="Times New Roman" w:cs="Times New Roman"/>
        </w:rPr>
      </w:pPr>
      <w:r>
        <w:rPr>
          <w:rFonts w:ascii="Times New Roman" w:hAnsi="Times New Roman" w:cs="Times New Roman"/>
          <w:sz w:val="24"/>
          <w:szCs w:val="24"/>
        </w:rPr>
        <w:t xml:space="preserve">Рисунок 4. Покрокове подання звітності і здійснення моніторингу </w:t>
      </w:r>
    </w:p>
    <w:p w:rsidR="00D227E2" w:rsidRDefault="00934FC4">
      <w:pPr>
        <w:spacing w:after="0" w:line="240" w:lineRule="auto"/>
        <w:jc w:val="center"/>
        <w:rPr>
          <w:rFonts w:ascii="Times New Roman" w:hAnsi="Times New Roman" w:cs="Times New Roman"/>
        </w:rPr>
      </w:pPr>
      <w:r>
        <w:rPr>
          <w:rFonts w:ascii="Times New Roman" w:hAnsi="Times New Roman" w:cs="Times New Roman"/>
          <w:sz w:val="24"/>
          <w:szCs w:val="24"/>
        </w:rPr>
        <w:t>Таблиця 8. Графік звітності по реалізації Плану дій</w:t>
      </w:r>
    </w:p>
    <w:tbl>
      <w:tblPr>
        <w:tblW w:w="9645" w:type="dxa"/>
        <w:tblInd w:w="30" w:type="dxa"/>
        <w:tblLayout w:type="fixed"/>
        <w:tblCellMar>
          <w:top w:w="28" w:type="dxa"/>
          <w:left w:w="28" w:type="dxa"/>
          <w:bottom w:w="28" w:type="dxa"/>
          <w:right w:w="28" w:type="dxa"/>
        </w:tblCellMar>
        <w:tblLook w:val="04A0" w:firstRow="1" w:lastRow="0" w:firstColumn="1" w:lastColumn="0" w:noHBand="0" w:noVBand="1"/>
      </w:tblPr>
      <w:tblGrid>
        <w:gridCol w:w="1711"/>
        <w:gridCol w:w="6113"/>
        <w:gridCol w:w="1821"/>
      </w:tblGrid>
      <w:tr w:rsidR="00D227E2">
        <w:tc>
          <w:tcPr>
            <w:tcW w:w="1711" w:type="dxa"/>
            <w:tcBorders>
              <w:top w:val="single" w:sz="4" w:space="0" w:color="000000"/>
              <w:left w:val="single" w:sz="4" w:space="0" w:color="000000"/>
              <w:bottom w:val="single" w:sz="4" w:space="0" w:color="000000"/>
              <w:right w:val="single" w:sz="4" w:space="0" w:color="000000"/>
            </w:tcBorders>
          </w:tcPr>
          <w:p w:rsidR="00D227E2" w:rsidRDefault="00934FC4">
            <w:pPr>
              <w:spacing w:after="0" w:line="240" w:lineRule="auto"/>
              <w:jc w:val="center"/>
              <w:rPr>
                <w:rFonts w:ascii="Times New Roman" w:hAnsi="Times New Roman" w:cs="Times New Roman"/>
              </w:rPr>
            </w:pPr>
            <w:r>
              <w:rPr>
                <w:rFonts w:ascii="Times New Roman" w:hAnsi="Times New Roman" w:cs="Times New Roman"/>
              </w:rPr>
              <w:t>Тип звіту</w:t>
            </w:r>
          </w:p>
        </w:tc>
        <w:tc>
          <w:tcPr>
            <w:tcW w:w="6113" w:type="dxa"/>
            <w:tcBorders>
              <w:top w:val="single" w:sz="4" w:space="0" w:color="000000"/>
              <w:left w:val="single" w:sz="4" w:space="0" w:color="000000"/>
              <w:bottom w:val="single" w:sz="4" w:space="0" w:color="000000"/>
              <w:right w:val="single" w:sz="4" w:space="0" w:color="000000"/>
            </w:tcBorders>
          </w:tcPr>
          <w:p w:rsidR="00D227E2" w:rsidRDefault="00934FC4">
            <w:pPr>
              <w:spacing w:after="0" w:line="240" w:lineRule="auto"/>
              <w:jc w:val="center"/>
              <w:rPr>
                <w:rFonts w:ascii="Times New Roman" w:hAnsi="Times New Roman" w:cs="Times New Roman"/>
              </w:rPr>
            </w:pPr>
            <w:r>
              <w:rPr>
                <w:rFonts w:ascii="Times New Roman" w:hAnsi="Times New Roman" w:cs="Times New Roman"/>
              </w:rPr>
              <w:t>Розділи звіту</w:t>
            </w:r>
          </w:p>
        </w:tc>
        <w:tc>
          <w:tcPr>
            <w:tcW w:w="1821" w:type="dxa"/>
            <w:tcBorders>
              <w:top w:val="single" w:sz="4" w:space="0" w:color="000000"/>
              <w:left w:val="single" w:sz="4" w:space="0" w:color="000000"/>
              <w:bottom w:val="single" w:sz="4" w:space="0" w:color="000000"/>
              <w:right w:val="single" w:sz="4" w:space="0" w:color="000000"/>
            </w:tcBorders>
          </w:tcPr>
          <w:p w:rsidR="00D227E2" w:rsidRDefault="00934FC4">
            <w:pPr>
              <w:spacing w:after="0" w:line="240" w:lineRule="auto"/>
              <w:jc w:val="center"/>
              <w:rPr>
                <w:rFonts w:ascii="Times New Roman" w:hAnsi="Times New Roman" w:cs="Times New Roman"/>
              </w:rPr>
            </w:pPr>
            <w:r>
              <w:rPr>
                <w:rFonts w:ascii="Times New Roman" w:hAnsi="Times New Roman" w:cs="Times New Roman"/>
              </w:rPr>
              <w:t>Періодичність</w:t>
            </w:r>
          </w:p>
        </w:tc>
      </w:tr>
      <w:tr w:rsidR="00D227E2">
        <w:tc>
          <w:tcPr>
            <w:tcW w:w="1711" w:type="dxa"/>
            <w:tcBorders>
              <w:top w:val="single" w:sz="4" w:space="0" w:color="000000"/>
              <w:left w:val="single" w:sz="4" w:space="0" w:color="000000"/>
              <w:bottom w:val="single" w:sz="4" w:space="0" w:color="000000"/>
              <w:right w:val="single" w:sz="4" w:space="0" w:color="000000"/>
            </w:tcBorders>
          </w:tcPr>
          <w:p w:rsidR="00D227E2" w:rsidRDefault="00934FC4">
            <w:pPr>
              <w:spacing w:after="0" w:line="240" w:lineRule="auto"/>
              <w:rPr>
                <w:rFonts w:ascii="Times New Roman" w:hAnsi="Times New Roman" w:cs="Times New Roman"/>
              </w:rPr>
            </w:pPr>
            <w:r>
              <w:rPr>
                <w:rFonts w:ascii="Times New Roman" w:hAnsi="Times New Roman" w:cs="Times New Roman"/>
              </w:rPr>
              <w:t>Звіт по заходах</w:t>
            </w:r>
          </w:p>
        </w:tc>
        <w:tc>
          <w:tcPr>
            <w:tcW w:w="6113" w:type="dxa"/>
            <w:tcBorders>
              <w:top w:val="single" w:sz="4" w:space="0" w:color="000000"/>
              <w:left w:val="single" w:sz="4" w:space="0" w:color="000000"/>
              <w:bottom w:val="single" w:sz="4" w:space="0" w:color="000000"/>
              <w:right w:val="single" w:sz="4" w:space="0" w:color="000000"/>
            </w:tcBorders>
          </w:tcPr>
          <w:p w:rsidR="00D227E2" w:rsidRDefault="00934FC4">
            <w:pPr>
              <w:spacing w:after="0" w:line="240" w:lineRule="auto"/>
              <w:rPr>
                <w:rFonts w:ascii="Times New Roman" w:hAnsi="Times New Roman" w:cs="Times New Roman"/>
              </w:rPr>
            </w:pPr>
            <w:r>
              <w:rPr>
                <w:rFonts w:ascii="Times New Roman" w:hAnsi="Times New Roman" w:cs="Times New Roman"/>
              </w:rPr>
              <w:t>1. Загальна стратегія</w:t>
            </w:r>
          </w:p>
          <w:p w:rsidR="00D227E2" w:rsidRDefault="00934FC4">
            <w:pPr>
              <w:spacing w:after="0" w:line="240" w:lineRule="auto"/>
              <w:rPr>
                <w:rFonts w:ascii="Times New Roman" w:hAnsi="Times New Roman" w:cs="Times New Roman"/>
              </w:rPr>
            </w:pPr>
            <w:r>
              <w:rPr>
                <w:rFonts w:ascii="Times New Roman" w:hAnsi="Times New Roman" w:cs="Times New Roman"/>
              </w:rPr>
              <w:t>2. План заходів зі сталого енергетичного розвитку і клімату</w:t>
            </w:r>
          </w:p>
        </w:tc>
        <w:tc>
          <w:tcPr>
            <w:tcW w:w="1821" w:type="dxa"/>
            <w:tcBorders>
              <w:top w:val="single" w:sz="4" w:space="0" w:color="000000"/>
              <w:left w:val="single" w:sz="4" w:space="0" w:color="000000"/>
              <w:bottom w:val="single" w:sz="4" w:space="0" w:color="000000"/>
              <w:right w:val="single" w:sz="4" w:space="0" w:color="000000"/>
            </w:tcBorders>
          </w:tcPr>
          <w:p w:rsidR="00D227E2" w:rsidRDefault="00934FC4">
            <w:pPr>
              <w:spacing w:after="0" w:line="240" w:lineRule="auto"/>
              <w:rPr>
                <w:rFonts w:ascii="Times New Roman" w:hAnsi="Times New Roman" w:cs="Times New Roman"/>
              </w:rPr>
            </w:pPr>
            <w:r>
              <w:rPr>
                <w:rFonts w:ascii="Times New Roman" w:hAnsi="Times New Roman" w:cs="Times New Roman"/>
              </w:rPr>
              <w:t>1 раз на 2 роки</w:t>
            </w:r>
          </w:p>
        </w:tc>
      </w:tr>
      <w:tr w:rsidR="00D227E2">
        <w:tc>
          <w:tcPr>
            <w:tcW w:w="1711" w:type="dxa"/>
            <w:tcBorders>
              <w:top w:val="single" w:sz="4" w:space="0" w:color="000000"/>
              <w:left w:val="single" w:sz="4" w:space="0" w:color="000000"/>
              <w:bottom w:val="single" w:sz="4" w:space="0" w:color="000000"/>
              <w:right w:val="single" w:sz="4" w:space="0" w:color="000000"/>
            </w:tcBorders>
          </w:tcPr>
          <w:p w:rsidR="00D227E2" w:rsidRDefault="00934FC4">
            <w:pPr>
              <w:spacing w:after="0" w:line="240" w:lineRule="auto"/>
              <w:rPr>
                <w:rFonts w:ascii="Times New Roman" w:hAnsi="Times New Roman" w:cs="Times New Roman"/>
              </w:rPr>
            </w:pPr>
            <w:r>
              <w:rPr>
                <w:rFonts w:ascii="Times New Roman" w:hAnsi="Times New Roman" w:cs="Times New Roman"/>
              </w:rPr>
              <w:t>Повний моніторинговий звіт</w:t>
            </w:r>
          </w:p>
        </w:tc>
        <w:tc>
          <w:tcPr>
            <w:tcW w:w="6113" w:type="dxa"/>
            <w:tcBorders>
              <w:top w:val="single" w:sz="4" w:space="0" w:color="000000"/>
              <w:left w:val="single" w:sz="4" w:space="0" w:color="000000"/>
              <w:bottom w:val="single" w:sz="4" w:space="0" w:color="000000"/>
              <w:right w:val="single" w:sz="4" w:space="0" w:color="000000"/>
            </w:tcBorders>
          </w:tcPr>
          <w:p w:rsidR="00D227E2" w:rsidRDefault="00934FC4">
            <w:pPr>
              <w:spacing w:after="0" w:line="240" w:lineRule="auto"/>
              <w:rPr>
                <w:rFonts w:ascii="Times New Roman" w:hAnsi="Times New Roman" w:cs="Times New Roman"/>
              </w:rPr>
            </w:pPr>
            <w:r>
              <w:rPr>
                <w:rFonts w:ascii="Times New Roman" w:hAnsi="Times New Roman" w:cs="Times New Roman"/>
              </w:rPr>
              <w:t>1. Загальна стратегія</w:t>
            </w:r>
          </w:p>
          <w:p w:rsidR="00D227E2" w:rsidRDefault="00934FC4">
            <w:pPr>
              <w:spacing w:after="0" w:line="240" w:lineRule="auto"/>
              <w:rPr>
                <w:rFonts w:ascii="Times New Roman" w:hAnsi="Times New Roman" w:cs="Times New Roman"/>
              </w:rPr>
            </w:pPr>
            <w:r>
              <w:rPr>
                <w:rFonts w:ascii="Times New Roman" w:hAnsi="Times New Roman" w:cs="Times New Roman"/>
              </w:rPr>
              <w:t>2. Кадастр викидів</w:t>
            </w:r>
          </w:p>
          <w:p w:rsidR="00D227E2" w:rsidRDefault="00934FC4">
            <w:pPr>
              <w:spacing w:after="0" w:line="240" w:lineRule="auto"/>
              <w:rPr>
                <w:rFonts w:ascii="Times New Roman" w:hAnsi="Times New Roman" w:cs="Times New Roman"/>
              </w:rPr>
            </w:pPr>
            <w:r>
              <w:rPr>
                <w:rFonts w:ascii="Times New Roman" w:hAnsi="Times New Roman" w:cs="Times New Roman"/>
              </w:rPr>
              <w:t>3. План заходів зі сталого енергетичного розвитку і клімату</w:t>
            </w:r>
          </w:p>
        </w:tc>
        <w:tc>
          <w:tcPr>
            <w:tcW w:w="1821" w:type="dxa"/>
            <w:tcBorders>
              <w:top w:val="single" w:sz="4" w:space="0" w:color="000000"/>
              <w:left w:val="single" w:sz="4" w:space="0" w:color="000000"/>
              <w:bottom w:val="single" w:sz="4" w:space="0" w:color="000000"/>
              <w:right w:val="single" w:sz="4" w:space="0" w:color="000000"/>
            </w:tcBorders>
          </w:tcPr>
          <w:p w:rsidR="00D227E2" w:rsidRDefault="00934FC4">
            <w:pPr>
              <w:spacing w:after="0" w:line="240" w:lineRule="auto"/>
              <w:rPr>
                <w:rFonts w:ascii="Times New Roman" w:hAnsi="Times New Roman" w:cs="Times New Roman"/>
              </w:rPr>
            </w:pPr>
            <w:r>
              <w:rPr>
                <w:rFonts w:ascii="Times New Roman" w:hAnsi="Times New Roman" w:cs="Times New Roman"/>
              </w:rPr>
              <w:t>1 раз на 4 роки</w:t>
            </w:r>
          </w:p>
        </w:tc>
      </w:tr>
    </w:tbl>
    <w:p w:rsidR="00D227E2" w:rsidRDefault="00934FC4">
      <w:pPr>
        <w:spacing w:after="0" w:line="240" w:lineRule="auto"/>
        <w:ind w:left="567"/>
        <w:rPr>
          <w:rFonts w:ascii="Times New Roman" w:hAnsi="Times New Roman" w:cs="Times New Roman"/>
        </w:rPr>
      </w:pPr>
      <w:r>
        <w:rPr>
          <w:rFonts w:ascii="Times New Roman" w:hAnsi="Times New Roman" w:cs="Times New Roman"/>
          <w:b/>
          <w:bCs/>
          <w:sz w:val="24"/>
          <w:szCs w:val="24"/>
        </w:rPr>
        <w:lastRenderedPageBreak/>
        <w:t>РОЗДІЛ 2. ХАРАКТЕРИСТИКА ЛУЦЬКОЇ МІСЬКОЇ ТЕРИТОРІАЛЬНОЇ ГРОМАДИ</w:t>
      </w:r>
      <w:r>
        <w:rPr>
          <w:rFonts w:ascii="Times New Roman" w:hAnsi="Times New Roman" w:cs="Times New Roman"/>
          <w:sz w:val="24"/>
          <w:szCs w:val="24"/>
        </w:rPr>
        <w:t xml:space="preserve"> </w:t>
      </w:r>
    </w:p>
    <w:p w:rsidR="00D227E2" w:rsidRDefault="00934FC4">
      <w:pPr>
        <w:spacing w:after="0"/>
        <w:ind w:firstLine="567"/>
        <w:jc w:val="both"/>
        <w:rPr>
          <w:rFonts w:ascii="Times New Roman" w:hAnsi="Times New Roman" w:cs="Times New Roman"/>
        </w:rPr>
      </w:pPr>
      <w:r>
        <w:rPr>
          <w:rFonts w:ascii="Times New Roman" w:hAnsi="Times New Roman" w:cs="Times New Roman"/>
          <w:b/>
          <w:bCs/>
          <w:sz w:val="24"/>
          <w:szCs w:val="24"/>
        </w:rPr>
        <w:t>2.1. Історична довідка</w:t>
      </w:r>
    </w:p>
    <w:p w:rsidR="00D227E2" w:rsidRDefault="00934FC4">
      <w:pPr>
        <w:pStyle w:val="LO-normal"/>
        <w:spacing w:line="276" w:lineRule="auto"/>
        <w:ind w:firstLine="567"/>
        <w:jc w:val="both"/>
      </w:pPr>
      <w:r>
        <w:t>Луцьк – одне із найдревніших міст України. Перша літописна згадка про Луцьк датується 1085 роком в Іпатіївському літописі, коли місто опинилося в центрі міжусобної боротьби нащадків Ярослава Мудрого. Проте археологічні дослідження дають підстави вважати, що поселення на місці сучасного Луцька виникло ще до ХІ століття.</w:t>
      </w:r>
    </w:p>
    <w:p w:rsidR="00D227E2" w:rsidRDefault="00934FC4">
      <w:pPr>
        <w:pStyle w:val="LO-normal"/>
        <w:spacing w:line="276" w:lineRule="auto"/>
        <w:ind w:firstLine="567"/>
        <w:jc w:val="both"/>
      </w:pPr>
      <w:r>
        <w:t xml:space="preserve">В часи Київської Русі Луцьк виступає столицею удільного князівства, що входило у склад Волинської, а згодом Волинсько-Галицької землі. </w:t>
      </w:r>
    </w:p>
    <w:p w:rsidR="00D227E2" w:rsidRDefault="00934FC4">
      <w:pPr>
        <w:pStyle w:val="LO-normal"/>
        <w:spacing w:line="276" w:lineRule="auto"/>
        <w:ind w:firstLine="567"/>
        <w:jc w:val="both"/>
      </w:pPr>
      <w:r>
        <w:t xml:space="preserve">Піднесення ролі Луцька в якості столиці Волинської землі тісно пов’язане з князюванням Любарта-Димитрія в другій половині ХІV століття. Саме він, шляхом будівництва цегляних укріплень на місці дерев’яних, змінив зовнішній вигляд фортифікаційних споруд Луцька. Після смерті Любарта Луцьк продовжує залишатися резиденцією литовсько-руських князів: Вітовта (1392-1430 рр.) та Свидригайла (1431-1452 рр.). </w:t>
      </w:r>
    </w:p>
    <w:p w:rsidR="00D227E2" w:rsidRDefault="00934FC4">
      <w:pPr>
        <w:pStyle w:val="LO-normal"/>
        <w:spacing w:line="276" w:lineRule="auto"/>
        <w:ind w:firstLine="567"/>
        <w:jc w:val="both"/>
      </w:pPr>
      <w:r>
        <w:t xml:space="preserve">В 1429 році в Луцьку відбувся З’їзд європейських монархів, на якому обговорювалися проблеми захисту Європи від османських завойовників. </w:t>
      </w:r>
    </w:p>
    <w:p w:rsidR="00D227E2" w:rsidRDefault="00934FC4">
      <w:pPr>
        <w:pStyle w:val="LO-normal"/>
        <w:spacing w:line="276" w:lineRule="auto"/>
        <w:ind w:firstLine="567"/>
        <w:jc w:val="both"/>
      </w:pPr>
      <w:r>
        <w:t>У 1432 році Луцьк здобуває магдебурзьке право, внаслідок чого лучани одержали виборні органи самоуправління.</w:t>
      </w:r>
    </w:p>
    <w:p w:rsidR="00D227E2" w:rsidRDefault="00934FC4">
      <w:pPr>
        <w:pStyle w:val="LO-normal"/>
        <w:spacing w:line="276" w:lineRule="auto"/>
        <w:ind w:firstLine="567"/>
        <w:jc w:val="both"/>
      </w:pPr>
      <w:r>
        <w:t>Починаючи з кінця ХVІ століття Луцький замок втрачає значення оборонної твердині, проте місто залишається світською і духовною столицею краю. З огляду на велику кількість сакральних споруд сучасники називали його «Римом Волині».</w:t>
      </w:r>
    </w:p>
    <w:p w:rsidR="00D227E2" w:rsidRDefault="00934FC4">
      <w:pPr>
        <w:pStyle w:val="LO-normal"/>
        <w:spacing w:line="276" w:lineRule="auto"/>
        <w:ind w:firstLine="567"/>
        <w:jc w:val="both"/>
      </w:pPr>
      <w:r>
        <w:t>Після Люблінської унії 1569 року Волинь потрапляє до складу Королівства Польського, а Луцьк стає столицею новоутвореного воєводства. В цей час місто поступово полонізується. З метою опору ополяченню і Берестейській церковній унії (1596 р.) в Луцьку на початку ХVІІ ст. виникає братство, яке отримало офіційне визнання короля з наданням привілею на будівництво церкви і притулку.</w:t>
      </w:r>
    </w:p>
    <w:p w:rsidR="00D227E2" w:rsidRDefault="00934FC4">
      <w:pPr>
        <w:pStyle w:val="LO-normal"/>
        <w:spacing w:line="276" w:lineRule="auto"/>
        <w:ind w:firstLine="567"/>
        <w:jc w:val="both"/>
      </w:pPr>
      <w:r>
        <w:t>У кінці XVII-XVIII ст. Луцьк повільно занепадає. Його спустошують часті пожежі, повені та епідемії. Поступово згасає в місті культурне та релігійне життя. Українську мову замінює польська, а урядовцями стають поляки.</w:t>
      </w:r>
    </w:p>
    <w:p w:rsidR="00D227E2" w:rsidRDefault="00934FC4">
      <w:pPr>
        <w:pStyle w:val="LO-normal"/>
        <w:spacing w:line="276" w:lineRule="auto"/>
        <w:ind w:firstLine="567"/>
        <w:jc w:val="both"/>
      </w:pPr>
      <w:r>
        <w:t>У 1795 році, після третього поділу Польщі, Волинський край разом з Луцьком анексовано Російською імперією. Столицею новоутвореної Волинської губернії стає Житомир, а Луцьк лишається центром повіту.</w:t>
      </w:r>
    </w:p>
    <w:p w:rsidR="00D227E2" w:rsidRDefault="00934FC4">
      <w:pPr>
        <w:pStyle w:val="LO-normal"/>
        <w:spacing w:line="276" w:lineRule="auto"/>
        <w:ind w:firstLine="567"/>
        <w:jc w:val="both"/>
      </w:pPr>
      <w:r>
        <w:t>ХІХ століття не призвело до пожвавлення економічного та суспільного життя міста. Лише з побудовою в дев’яностих роках ХІХ ст. гілки Південно-Західної залізниці починається економічне піднесення Луцька. На той час (1895 р.) кількість мешканців становила 15 125 осіб.</w:t>
      </w:r>
    </w:p>
    <w:p w:rsidR="00D227E2" w:rsidRDefault="00934FC4">
      <w:pPr>
        <w:pStyle w:val="LO-normal"/>
        <w:spacing w:line="276" w:lineRule="auto"/>
        <w:ind w:firstLine="567"/>
        <w:jc w:val="both"/>
      </w:pPr>
      <w:r>
        <w:t>Під час першої світової війни у 1915 році в околицях Луцька стався переломний Луцький (Брусиловський) прорив, внаслідок якого російська армія завдала серйозної поразки австро-угорським військам, окупувавши деякі території Волині, Галичини та Буковини, включно з Луцьком.</w:t>
      </w:r>
    </w:p>
    <w:p w:rsidR="00D227E2" w:rsidRDefault="00934FC4">
      <w:pPr>
        <w:pStyle w:val="LO-normal"/>
        <w:spacing w:line="276" w:lineRule="auto"/>
        <w:ind w:firstLine="567"/>
        <w:jc w:val="both"/>
      </w:pPr>
      <w:r>
        <w:t>Після Лютневої революції 1917 року над Луцьком вперше замайорів синьо-жовтий прапор. В квітні 1917 року в місті постає перше українське соціально-політичне товариство «Українська Громада». За гетьманату в серпні 1918 року було утворено «Просвіту». 20 грудня 1918 року до Луцька входять загони отамана Симона Петлюри.</w:t>
      </w:r>
    </w:p>
    <w:p w:rsidR="00D227E2" w:rsidRDefault="00934FC4">
      <w:pPr>
        <w:pStyle w:val="LO-normal"/>
        <w:spacing w:line="276" w:lineRule="auto"/>
        <w:ind w:firstLine="567"/>
        <w:jc w:val="both"/>
      </w:pPr>
      <w:r>
        <w:lastRenderedPageBreak/>
        <w:t xml:space="preserve">16 травня 1919 року Луцьк захоплюють польські війська, а згідно Ризького договору 1920 р. західна Волинь потрапляє до складу ІІ Речі Посполитої. В березні 1921 р. Луцьк стає столицею нового Волинського воєводства та починає активно відбудовуватись. </w:t>
      </w:r>
    </w:p>
    <w:p w:rsidR="00D227E2" w:rsidRDefault="00934FC4">
      <w:pPr>
        <w:pStyle w:val="LO-normal"/>
        <w:spacing w:line="276" w:lineRule="auto"/>
        <w:ind w:firstLine="567"/>
        <w:jc w:val="both"/>
      </w:pPr>
      <w:r>
        <w:t>Восени 1939 року місто опиняється у складі СРСР, стає центром Волинської області, яку склала західна половина колишнього Волинського воєводства.</w:t>
      </w:r>
    </w:p>
    <w:p w:rsidR="00D227E2" w:rsidRDefault="00934FC4">
      <w:pPr>
        <w:pStyle w:val="LO-normal"/>
        <w:spacing w:line="276" w:lineRule="auto"/>
        <w:ind w:firstLine="567"/>
        <w:jc w:val="both"/>
      </w:pPr>
      <w:r>
        <w:t xml:space="preserve">25 червня 1941 року місто було окуповане німецькими військами. </w:t>
      </w:r>
    </w:p>
    <w:p w:rsidR="00D227E2" w:rsidRDefault="00934FC4">
      <w:pPr>
        <w:pStyle w:val="LO-normal"/>
        <w:spacing w:line="276" w:lineRule="auto"/>
        <w:ind w:firstLine="567"/>
        <w:jc w:val="both"/>
      </w:pPr>
      <w:r>
        <w:t>Цьому передувала жахлива подія – 23 червня вояками НКВС на подвір’ї Луцької тюрми було без суду страчено близько 3 тисяч в’язнів.</w:t>
      </w:r>
    </w:p>
    <w:p w:rsidR="00D227E2" w:rsidRDefault="00934FC4">
      <w:pPr>
        <w:pStyle w:val="LO-normal"/>
        <w:spacing w:line="276" w:lineRule="auto"/>
        <w:ind w:firstLine="567"/>
        <w:jc w:val="both"/>
      </w:pPr>
      <w:r>
        <w:t xml:space="preserve">У повоєнний період Луцьк поступово відбудовується. Особливо бурхливо місто розвивається в 60-70-х роках ХХ ст. В 1973 році були затверджені нові кордони міста. Тоді ж почалося будівництво потужних підприємств: підшипникового заводу, меланжевої фабрики та інших промислових об’єктів, що призвело до стрімкого росту кількості населення. Починається забудова значних житлових масивів: Завокзального та Гнідавського. </w:t>
      </w:r>
    </w:p>
    <w:p w:rsidR="00D227E2" w:rsidRDefault="00934FC4">
      <w:pPr>
        <w:pStyle w:val="LO-normal"/>
        <w:spacing w:line="276" w:lineRule="auto"/>
        <w:ind w:firstLine="567"/>
        <w:jc w:val="both"/>
      </w:pPr>
      <w:r>
        <w:t>Зі здобуттям Україною незалежності місто Луцьк зберігає провідні позиції в політичному, економічному, культурному та релігійному житті регіону. У 2020 році внаслідок адміністративної реформи утворено Луцьку міську територіальну громаду, до якої крім Луцька входять 35 сіл і 1 селище. Наразі Луцьк активно розвивається та модернізується</w:t>
      </w:r>
      <w:r>
        <w:rPr>
          <w:shd w:val="clear" w:color="auto" w:fill="FFFFFF"/>
        </w:rPr>
        <w:t>. Відкриваються нові підприємства, інфраструктурні та соціальні об’єкти, ведеться активне житлове та комерційне будівництво.</w:t>
      </w:r>
    </w:p>
    <w:p w:rsidR="00D227E2" w:rsidRDefault="00D227E2">
      <w:pPr>
        <w:pStyle w:val="LO-normal"/>
        <w:spacing w:line="276" w:lineRule="auto"/>
        <w:ind w:firstLine="567"/>
        <w:jc w:val="both"/>
        <w:rPr>
          <w:shd w:val="clear" w:color="auto" w:fill="FFFFFF"/>
        </w:rPr>
      </w:pPr>
    </w:p>
    <w:p w:rsidR="00D227E2" w:rsidRDefault="00934FC4">
      <w:pPr>
        <w:spacing w:after="0"/>
        <w:ind w:firstLine="567"/>
        <w:jc w:val="both"/>
        <w:rPr>
          <w:rFonts w:ascii="Times New Roman" w:hAnsi="Times New Roman" w:cs="Times New Roman"/>
        </w:rPr>
      </w:pPr>
      <w:r>
        <w:rPr>
          <w:rFonts w:ascii="Times New Roman" w:hAnsi="Times New Roman" w:cs="Times New Roman"/>
          <w:b/>
          <w:bCs/>
          <w:sz w:val="24"/>
          <w:szCs w:val="24"/>
          <w:shd w:val="clear" w:color="auto" w:fill="FFFFFF"/>
        </w:rPr>
        <w:t>2.2. Географічне розташування громади</w:t>
      </w:r>
    </w:p>
    <w:p w:rsidR="00D227E2" w:rsidRDefault="00934FC4">
      <w:pPr>
        <w:pStyle w:val="LO-normal"/>
        <w:spacing w:line="276" w:lineRule="auto"/>
        <w:ind w:firstLine="567"/>
        <w:jc w:val="both"/>
      </w:pPr>
      <w:r>
        <w:rPr>
          <w:shd w:val="clear" w:color="auto" w:fill="FFFFFF"/>
        </w:rPr>
        <w:t xml:space="preserve">Луцька міська територіальна громада розташована на північному заході України в південно-східній частині Волинської області. </w:t>
      </w:r>
    </w:p>
    <w:p w:rsidR="00D227E2" w:rsidRDefault="00934FC4">
      <w:pPr>
        <w:pStyle w:val="LO-normal"/>
        <w:spacing w:line="276" w:lineRule="auto"/>
        <w:ind w:firstLine="567"/>
        <w:jc w:val="both"/>
      </w:pPr>
      <w:r>
        <w:rPr>
          <w:color w:val="000000"/>
          <w:shd w:val="clear" w:color="auto" w:fill="FFFFFF"/>
        </w:rPr>
        <w:t>Територія громади знаходиться в межах Волинської височини і входить у морфоструктуру Луцько-Рівненського лесового пасма. Луцьк розташований в лісостеповій зоні типових чорноземів і сірих опідзолених ґрунтів. Корисні копалини відсутні.</w:t>
      </w:r>
    </w:p>
    <w:p w:rsidR="00D227E2" w:rsidRDefault="00934FC4">
      <w:pPr>
        <w:pStyle w:val="LO-normal"/>
        <w:spacing w:line="276" w:lineRule="auto"/>
        <w:ind w:firstLine="567"/>
        <w:jc w:val="both"/>
      </w:pPr>
      <w:r>
        <w:rPr>
          <w:color w:val="000000"/>
          <w:shd w:val="clear" w:color="auto" w:fill="FFFFFF"/>
        </w:rPr>
        <w:t>Географічні координати: 50°44′52″ північної широти, 25°19′28″ східної довготи.</w:t>
      </w:r>
    </w:p>
    <w:p w:rsidR="00D227E2" w:rsidRDefault="00934FC4">
      <w:pPr>
        <w:pStyle w:val="LO-normal"/>
        <w:spacing w:line="276" w:lineRule="auto"/>
        <w:ind w:firstLine="567"/>
        <w:jc w:val="both"/>
      </w:pPr>
      <w:r>
        <w:rPr>
          <w:color w:val="000000"/>
          <w:shd w:val="clear" w:color="auto" w:fill="FFFFFF"/>
        </w:rPr>
        <w:t xml:space="preserve">Площа Луцької МТГ становить 38 257,4307 га, м. Луцька – 3 960,8307 га. </w:t>
      </w:r>
    </w:p>
    <w:p w:rsidR="00D227E2" w:rsidRDefault="00934FC4">
      <w:pPr>
        <w:pStyle w:val="LO-normal"/>
        <w:spacing w:line="276" w:lineRule="auto"/>
        <w:ind w:firstLine="567"/>
        <w:jc w:val="both"/>
      </w:pPr>
      <w:r>
        <w:rPr>
          <w:color w:val="000000"/>
          <w:shd w:val="clear" w:color="auto" w:fill="FFFFFF"/>
        </w:rPr>
        <w:t>Висота над рівнем моря: 181 м.</w:t>
      </w:r>
    </w:p>
    <w:p w:rsidR="00D227E2" w:rsidRDefault="00934FC4">
      <w:pPr>
        <w:pStyle w:val="LO-normal"/>
        <w:spacing w:line="276" w:lineRule="auto"/>
        <w:ind w:firstLine="567"/>
        <w:jc w:val="both"/>
      </w:pPr>
      <w:r>
        <w:rPr>
          <w:color w:val="000000"/>
        </w:rPr>
        <w:t>Луцьк – обласний адміністративний центр Волинської області, важливий промислово-економічний вузол західного регіону України.</w:t>
      </w:r>
    </w:p>
    <w:p w:rsidR="00D227E2" w:rsidRDefault="00934FC4">
      <w:pPr>
        <w:pStyle w:val="LO-normal"/>
        <w:spacing w:line="276" w:lineRule="auto"/>
        <w:ind w:firstLine="567"/>
        <w:jc w:val="both"/>
      </w:pPr>
      <w:r>
        <w:rPr>
          <w:color w:val="000000"/>
        </w:rPr>
        <w:t>Найближчі діючі аеропорти розташовані у м. Рівному, м. Львові та м. Києві (65 км, 150 км та 399 км від Луцька відповідно).</w:t>
      </w:r>
    </w:p>
    <w:p w:rsidR="00D227E2" w:rsidRDefault="00934FC4">
      <w:pPr>
        <w:pStyle w:val="LO-normal"/>
        <w:spacing w:line="276" w:lineRule="auto"/>
        <w:ind w:firstLine="567"/>
        <w:jc w:val="both"/>
      </w:pPr>
      <w:r>
        <w:rPr>
          <w:color w:val="000000"/>
        </w:rPr>
        <w:t>Через місто проходять важливі автомобільні шляхи: Луцьк-Ковель-Доманове, Луцьк-Київ, Луцьк-Львів, Луцьк-Чернівці, Луцьк-Ягодин-Хелм, Луцьк-Люблін.</w:t>
      </w:r>
    </w:p>
    <w:p w:rsidR="00D227E2" w:rsidRDefault="00934FC4">
      <w:pPr>
        <w:pStyle w:val="LO-normal"/>
        <w:spacing w:line="276" w:lineRule="auto"/>
        <w:ind w:firstLine="567"/>
        <w:jc w:val="both"/>
      </w:pPr>
      <w:r>
        <w:t xml:space="preserve">Відстань від м. Луцька до столиці України – м. Києва становить – 398 км. Луцьк знаходиться на невеликій відстані від інших великих міст Західної України та з’єднаний з ними якісними автомобільними магістралями. Відстань до міста Рівного становить 70 км, Львова - 178 км, Тернополя – 176 км. </w:t>
      </w:r>
    </w:p>
    <w:p w:rsidR="00D227E2" w:rsidRDefault="00934FC4">
      <w:pPr>
        <w:spacing w:after="0"/>
        <w:ind w:firstLine="567"/>
        <w:jc w:val="center"/>
        <w:rPr>
          <w:rFonts w:ascii="Times New Roman" w:hAnsi="Times New Roman" w:cs="Times New Roman"/>
        </w:rPr>
      </w:pPr>
      <w:r>
        <w:rPr>
          <w:noProof/>
          <w:lang w:eastAsia="uk-UA"/>
        </w:rPr>
        <w:lastRenderedPageBreak/>
        <w:drawing>
          <wp:anchor distT="0" distB="0" distL="0" distR="0" simplePos="0" relativeHeight="90" behindDoc="0" locked="0" layoutInCell="0" allowOverlap="1" wp14:anchorId="05456358" wp14:editId="5200DF9D">
            <wp:simplePos x="0" y="0"/>
            <wp:positionH relativeFrom="column">
              <wp:align>center</wp:align>
            </wp:positionH>
            <wp:positionV relativeFrom="paragraph">
              <wp:posOffset>635</wp:posOffset>
            </wp:positionV>
            <wp:extent cx="4135120" cy="2712720"/>
            <wp:effectExtent l="0" t="0" r="0" b="0"/>
            <wp:wrapTopAndBottom/>
            <wp:docPr id="13" name="Зображення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Зображення10"/>
                    <pic:cNvPicPr>
                      <a:picLocks noChangeAspect="1" noChangeArrowheads="1"/>
                    </pic:cNvPicPr>
                  </pic:nvPicPr>
                  <pic:blipFill>
                    <a:blip r:embed="rId37"/>
                    <a:stretch>
                      <a:fillRect/>
                    </a:stretch>
                  </pic:blipFill>
                  <pic:spPr bwMode="auto">
                    <a:xfrm>
                      <a:off x="0" y="0"/>
                      <a:ext cx="4135120" cy="2712720"/>
                    </a:xfrm>
                    <a:prstGeom prst="rect">
                      <a:avLst/>
                    </a:prstGeom>
                  </pic:spPr>
                </pic:pic>
              </a:graphicData>
            </a:graphic>
          </wp:anchor>
        </w:drawing>
      </w:r>
      <w:r>
        <w:rPr>
          <w:noProof/>
          <w:lang w:eastAsia="uk-UA"/>
        </w:rPr>
        <mc:AlternateContent>
          <mc:Choice Requires="wps">
            <w:drawing>
              <wp:anchor distT="5080" distB="5080" distL="5715" distR="4445" simplePos="0" relativeHeight="100" behindDoc="0" locked="0" layoutInCell="1" allowOverlap="1" wp14:anchorId="068F702B" wp14:editId="47CEC4D6">
                <wp:simplePos x="0" y="0"/>
                <wp:positionH relativeFrom="column">
                  <wp:posOffset>1669415</wp:posOffset>
                </wp:positionH>
                <wp:positionV relativeFrom="paragraph">
                  <wp:posOffset>447675</wp:posOffset>
                </wp:positionV>
                <wp:extent cx="254635" cy="105410"/>
                <wp:effectExtent l="5715" t="5080" r="4445" b="5080"/>
                <wp:wrapNone/>
                <wp:docPr id="14" name="Фігура 2"/>
                <wp:cNvGraphicFramePr/>
                <a:graphic xmlns:a="http://schemas.openxmlformats.org/drawingml/2006/main">
                  <a:graphicData uri="http://schemas.microsoft.com/office/word/2010/wordprocessingShape">
                    <wps:wsp>
                      <wps:cNvSpPr/>
                      <wps:spPr>
                        <a:xfrm>
                          <a:off x="0" y="0"/>
                          <a:ext cx="254520" cy="105480"/>
                        </a:xfrm>
                        <a:custGeom>
                          <a:avLst/>
                          <a:gdLst>
                            <a:gd name="textAreaLeft" fmla="*/ 0 w 144360"/>
                            <a:gd name="textAreaRight" fmla="*/ 162360 w 144360"/>
                            <a:gd name="textAreaTop" fmla="*/ 0 h 59760"/>
                            <a:gd name="textAreaBottom" fmla="*/ 77760 h 59760"/>
                          </a:gdLst>
                          <a:ahLst/>
                          <a:cxnLst/>
                          <a:rect l="textAreaLeft" t="textAreaTop" r="textAreaRight" b="textAreaBottom"/>
                          <a:pathLst>
                            <a:path w="711" h="295">
                              <a:moveTo>
                                <a:pt x="0" y="0"/>
                              </a:moveTo>
                              <a:lnTo>
                                <a:pt x="710" y="0"/>
                              </a:lnTo>
                              <a:lnTo>
                                <a:pt x="710" y="294"/>
                              </a:lnTo>
                              <a:lnTo>
                                <a:pt x="0" y="294"/>
                              </a:lnTo>
                              <a:lnTo>
                                <a:pt x="0" y="0"/>
                              </a:lnTo>
                              <a:close/>
                              <a:moveTo>
                                <a:pt x="28" y="28"/>
                              </a:moveTo>
                              <a:lnTo>
                                <a:pt x="28" y="266"/>
                              </a:lnTo>
                              <a:lnTo>
                                <a:pt x="682" y="266"/>
                              </a:lnTo>
                              <a:lnTo>
                                <a:pt x="682" y="28"/>
                              </a:lnTo>
                              <a:lnTo>
                                <a:pt x="28" y="28"/>
                              </a:lnTo>
                              <a:close/>
                            </a:path>
                          </a:pathLst>
                        </a:custGeom>
                        <a:solidFill>
                          <a:srgbClr val="FF0000"/>
                        </a:solidFill>
                        <a:ln w="9525">
                          <a:solidFill>
                            <a:srgbClr val="3465A4"/>
                          </a:solidFill>
                          <a:round/>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lang w:eastAsia="uk-UA"/>
        </w:rPr>
        <mc:AlternateContent>
          <mc:Choice Requires="wps">
            <w:drawing>
              <wp:anchor distT="5715" distB="4445" distL="5715" distR="4445" simplePos="0" relativeHeight="104" behindDoc="0" locked="0" layoutInCell="1" allowOverlap="1" wp14:anchorId="62622DD1" wp14:editId="6B84903A">
                <wp:simplePos x="0" y="0"/>
                <wp:positionH relativeFrom="column">
                  <wp:posOffset>1760220</wp:posOffset>
                </wp:positionH>
                <wp:positionV relativeFrom="paragraph">
                  <wp:posOffset>533400</wp:posOffset>
                </wp:positionV>
                <wp:extent cx="635" cy="635"/>
                <wp:effectExtent l="5715" t="5715" r="4445" b="4445"/>
                <wp:wrapNone/>
                <wp:docPr id="15" name="Фігура 1"/>
                <wp:cNvGraphicFramePr/>
                <a:graphic xmlns:a="http://schemas.openxmlformats.org/drawingml/2006/main">
                  <a:graphicData uri="http://schemas.microsoft.com/office/word/2010/wordprocessingShape">
                    <wps:wsp>
                      <wps:cNvSpPr/>
                      <wps:spPr>
                        <a:xfrm>
                          <a:off x="0" y="0"/>
                          <a:ext cx="720" cy="720"/>
                        </a:xfrm>
                        <a:custGeom>
                          <a:avLst/>
                          <a:gdLst>
                            <a:gd name="textAreaLeft" fmla="*/ 0 w 360"/>
                            <a:gd name="textAreaRight" fmla="*/ 2880 w 360"/>
                            <a:gd name="textAreaTop" fmla="*/ 0 h 360"/>
                            <a:gd name="textAreaBottom" fmla="*/ 2880 h 360"/>
                          </a:gdLst>
                          <a:ahLst/>
                          <a:cxnLst/>
                          <a:rect l="textAreaLeft" t="textAreaTop" r="textAreaRight" b="textAreaBottom"/>
                          <a:pathLst>
                            <a:path w="2" h="2">
                              <a:moveTo>
                                <a:pt x="1" y="1"/>
                              </a:moveTo>
                              <a:lnTo>
                                <a:pt x="0" y="0"/>
                              </a:lnTo>
                              <a:lnTo>
                                <a:pt x="1" y="1"/>
                              </a:lnTo>
                              <a:close/>
                              <a:moveTo>
                                <a:pt x="1" y="1"/>
                              </a:moveTo>
                              <a:lnTo>
                                <a:pt x="0" y="0"/>
                              </a:lnTo>
                              <a:lnTo>
                                <a:pt x="1" y="1"/>
                              </a:lnTo>
                              <a:close/>
                            </a:path>
                          </a:pathLst>
                        </a:custGeom>
                        <a:solidFill>
                          <a:srgbClr val="FF0000"/>
                        </a:solidFill>
                        <a:ln w="9525">
                          <a:solidFill>
                            <a:srgbClr val="3465A4"/>
                          </a:solidFill>
                          <a:round/>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rFonts w:ascii="Times New Roman" w:hAnsi="Times New Roman" w:cs="Times New Roman"/>
          <w:sz w:val="24"/>
          <w:szCs w:val="24"/>
        </w:rPr>
        <w:t>Рисунок 5. Місто на карті України</w:t>
      </w:r>
    </w:p>
    <w:p w:rsidR="00D227E2" w:rsidRDefault="00934FC4">
      <w:pPr>
        <w:pStyle w:val="LO-normal"/>
        <w:spacing w:line="276" w:lineRule="auto"/>
        <w:ind w:firstLine="567"/>
        <w:jc w:val="both"/>
      </w:pPr>
      <w:r>
        <w:t xml:space="preserve">Крім того, Луцька громада розташована на перетині шляхів з України в країни Європейського Союзу. Через місто проходять автодороги міждержавного значення, що сполучають Україну з Польщею. </w:t>
      </w:r>
    </w:p>
    <w:p w:rsidR="00D227E2" w:rsidRDefault="00934FC4">
      <w:pPr>
        <w:pStyle w:val="LO-normal"/>
        <w:spacing w:line="276" w:lineRule="auto"/>
        <w:ind w:firstLine="567"/>
        <w:jc w:val="both"/>
      </w:pPr>
      <w:r>
        <w:rPr>
          <w:color w:val="000000"/>
        </w:rPr>
        <w:t>Відстань до державного кордону з Республікою Польща (МПП «Устилуг») – 85 км.</w:t>
      </w:r>
    </w:p>
    <w:p w:rsidR="00D227E2" w:rsidRDefault="00934FC4">
      <w:pPr>
        <w:pStyle w:val="LO-normal"/>
        <w:spacing w:line="276" w:lineRule="auto"/>
        <w:ind w:firstLine="567"/>
        <w:jc w:val="both"/>
      </w:pPr>
      <w:r>
        <w:rPr>
          <w:color w:val="000000"/>
        </w:rPr>
        <w:t xml:space="preserve">Через залізничну станцію «Луцьк» проходять пасажирські залізничні маршрути: Ківерці-Івано-Франківськ, Ківерці-Львів, Ковель-Київ, Ковель-Одеса, Ковель-Миколаїв, Ковель – Новоолексіївка та інші. Приміські поїзди курсують на Здолбунів, Ковель, Ківерці, Стоянів, Сапіжанку. </w:t>
      </w:r>
    </w:p>
    <w:p w:rsidR="00D227E2" w:rsidRDefault="00934FC4">
      <w:pPr>
        <w:pStyle w:val="LO-normal"/>
        <w:spacing w:line="276" w:lineRule="auto"/>
        <w:ind w:firstLine="567"/>
        <w:jc w:val="both"/>
      </w:pPr>
      <w:r>
        <w:rPr>
          <w:color w:val="000000"/>
        </w:rPr>
        <w:t xml:space="preserve">Через місто протікає частково судноплавна річка Стир, яка є притокою Прип’яті та має сполучення з Дніпром. </w:t>
      </w:r>
    </w:p>
    <w:p w:rsidR="00D227E2" w:rsidRDefault="00934FC4">
      <w:pPr>
        <w:pStyle w:val="LO-normal"/>
        <w:spacing w:line="276" w:lineRule="auto"/>
        <w:ind w:firstLine="567"/>
        <w:jc w:val="both"/>
      </w:pPr>
      <w:r>
        <w:t xml:space="preserve">Гідрографічна мережа міської агломерації належить до басейну річки Стир (притока Прип'яті, басейн Дніпра). Сучасний Луцьк розміщується на першій надзаплавній терасі (правій і лівій), на місцевості, яка прилягає до долини. </w:t>
      </w:r>
    </w:p>
    <w:p w:rsidR="00D227E2" w:rsidRDefault="00934FC4">
      <w:pPr>
        <w:pStyle w:val="LO-normal"/>
        <w:spacing w:line="276" w:lineRule="auto"/>
        <w:ind w:firstLine="567"/>
        <w:jc w:val="both"/>
      </w:pPr>
      <w:r>
        <w:rPr>
          <w:color w:val="000000"/>
        </w:rPr>
        <w:t xml:space="preserve">Основна частина міста, в тому числі центр, знаходяться на правому березі ріки Стир. На території міста є три малі річки: Сапалаївка (довжина - 12,4 км) – права притока Стиру; Омеляник (12,6 км) та Жидувка (4 км) </w:t>
      </w:r>
      <w:r>
        <w:t>–</w:t>
      </w:r>
      <w:r>
        <w:rPr>
          <w:color w:val="000000"/>
        </w:rPr>
        <w:t xml:space="preserve"> ліві притоки Стиру. </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 xml:space="preserve">Клімат громади – помірно континентальний з м'якою зимою і теплим літом. Середньорічна температура повітря у 2022 році становила 9,4 °С, найнижча середньо-зимова температура повітря (-0,1 °С), найвища середньо-весняна температура повітря (+7,9 °С), найвища середньо-літня температура повітря (+20,4 °С), найвища середньо-осіння температура повітря (+8,7 °С). Відносна вологість повітря в середньому за рік становить 78  %, найменша вона у травні (64 %), найбільша у грудні (89 %).  </w:t>
      </w:r>
    </w:p>
    <w:p w:rsidR="00D227E2" w:rsidRDefault="00934FC4">
      <w:pPr>
        <w:pStyle w:val="LO-normal"/>
        <w:spacing w:line="276" w:lineRule="auto"/>
        <w:ind w:firstLine="567"/>
        <w:jc w:val="both"/>
      </w:pPr>
      <w:r>
        <w:rPr>
          <w:color w:val="000000"/>
        </w:rPr>
        <w:t>Детальніше інформацію по клімату Луцької МТГ можна побачити у п. 6.1. Кліматична характеристика громади.</w:t>
      </w:r>
    </w:p>
    <w:p w:rsidR="00D227E2" w:rsidRDefault="00D227E2">
      <w:pPr>
        <w:pStyle w:val="LO-normal"/>
        <w:spacing w:line="276" w:lineRule="auto"/>
        <w:ind w:firstLine="567"/>
        <w:jc w:val="both"/>
        <w:rPr>
          <w:color w:val="000000"/>
        </w:rPr>
      </w:pPr>
    </w:p>
    <w:p w:rsidR="00D227E2" w:rsidRDefault="00934FC4">
      <w:pPr>
        <w:spacing w:after="0"/>
        <w:ind w:firstLine="567"/>
        <w:jc w:val="both"/>
        <w:rPr>
          <w:rFonts w:ascii="Times New Roman" w:hAnsi="Times New Roman" w:cs="Times New Roman"/>
        </w:rPr>
      </w:pPr>
      <w:r>
        <w:rPr>
          <w:rFonts w:ascii="Times New Roman" w:hAnsi="Times New Roman" w:cs="Times New Roman"/>
          <w:b/>
          <w:bCs/>
          <w:sz w:val="24"/>
          <w:szCs w:val="24"/>
        </w:rPr>
        <w:t>2.3. Соціально-економічний розвиток громади</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sz w:val="24"/>
          <w:szCs w:val="24"/>
        </w:rPr>
        <w:t>Луцька МТГ складається з обласного адміністративного центра м. Луцька, Прилуцького, Жидичинського, Боголюбського, Княгининівського, Заборольського старостинських округів (детальна інформація зазначена у таблиці 9).</w:t>
      </w:r>
    </w:p>
    <w:p w:rsidR="00D227E2" w:rsidRDefault="00D227E2">
      <w:pPr>
        <w:jc w:val="center"/>
        <w:rPr>
          <w:rFonts w:ascii="Times New Roman" w:hAnsi="Times New Roman" w:cs="Times New Roman"/>
        </w:rPr>
      </w:pPr>
    </w:p>
    <w:p w:rsidR="00D227E2" w:rsidRDefault="00934FC4">
      <w:pPr>
        <w:jc w:val="center"/>
        <w:rPr>
          <w:rFonts w:ascii="Times New Roman" w:hAnsi="Times New Roman" w:cs="Times New Roman"/>
        </w:rPr>
      </w:pPr>
      <w:r>
        <w:rPr>
          <w:rFonts w:ascii="Times New Roman" w:hAnsi="Times New Roman" w:cs="Times New Roman"/>
          <w:sz w:val="24"/>
          <w:szCs w:val="24"/>
        </w:rPr>
        <w:lastRenderedPageBreak/>
        <w:t>Таблиця 9. Перелік СО, що увійшли до складу МТГ</w:t>
      </w:r>
    </w:p>
    <w:tbl>
      <w:tblPr>
        <w:tblW w:w="9406" w:type="dxa"/>
        <w:jc w:val="center"/>
        <w:tblLayout w:type="fixed"/>
        <w:tblCellMar>
          <w:top w:w="55" w:type="dxa"/>
          <w:bottom w:w="55" w:type="dxa"/>
        </w:tblCellMar>
        <w:tblLook w:val="04A0" w:firstRow="1" w:lastRow="0" w:firstColumn="1" w:lastColumn="0" w:noHBand="0" w:noVBand="1"/>
      </w:tblPr>
      <w:tblGrid>
        <w:gridCol w:w="444"/>
        <w:gridCol w:w="2138"/>
        <w:gridCol w:w="2407"/>
        <w:gridCol w:w="1282"/>
        <w:gridCol w:w="1837"/>
        <w:gridCol w:w="1298"/>
      </w:tblGrid>
      <w:tr w:rsidR="00D227E2">
        <w:trPr>
          <w:trHeight w:val="888"/>
          <w:jc w:val="center"/>
        </w:trPr>
        <w:tc>
          <w:tcPr>
            <w:tcW w:w="44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w:t>
            </w:r>
          </w:p>
        </w:tc>
        <w:tc>
          <w:tcPr>
            <w:tcW w:w="213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СО, що приєдналися</w:t>
            </w:r>
          </w:p>
        </w:tc>
        <w:tc>
          <w:tcPr>
            <w:tcW w:w="240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Села, що увійшли до складу МТГ</w:t>
            </w:r>
          </w:p>
        </w:tc>
        <w:tc>
          <w:tcPr>
            <w:tcW w:w="128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Площа населених пунктів, га</w:t>
            </w:r>
          </w:p>
        </w:tc>
        <w:tc>
          <w:tcPr>
            <w:tcW w:w="183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Кількість населення, осіб на</w:t>
            </w:r>
            <w:r>
              <w:rPr>
                <w:rFonts w:ascii="Times New Roman" w:hAnsi="Times New Roman" w:cs="Times New Roman"/>
                <w:sz w:val="20"/>
                <w:szCs w:val="20"/>
              </w:rPr>
              <w:br/>
              <w:t>01.01.2023</w:t>
            </w:r>
          </w:p>
        </w:tc>
        <w:tc>
          <w:tcPr>
            <w:tcW w:w="129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Пряма відстань до м. Луцьк, км</w:t>
            </w:r>
          </w:p>
        </w:tc>
      </w:tr>
      <w:tr w:rsidR="00D227E2">
        <w:trPr>
          <w:trHeight w:val="195"/>
          <w:jc w:val="center"/>
        </w:trPr>
        <w:tc>
          <w:tcPr>
            <w:tcW w:w="443" w:type="dxa"/>
            <w:vMerge w:val="restart"/>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20"/>
                <w:szCs w:val="20"/>
              </w:rPr>
              <w:t>1</w:t>
            </w:r>
          </w:p>
        </w:tc>
        <w:tc>
          <w:tcPr>
            <w:tcW w:w="2138" w:type="dxa"/>
            <w:vMerge w:val="restart"/>
            <w:tcBorders>
              <w:top w:val="single" w:sz="4" w:space="0" w:color="000000"/>
              <w:left w:val="single" w:sz="4" w:space="0" w:color="000000"/>
              <w:bottom w:val="single" w:sz="4" w:space="0" w:color="000000"/>
              <w:right w:val="single" w:sz="4" w:space="0" w:color="000000"/>
            </w:tcBorders>
          </w:tcPr>
          <w:p w:rsidR="00D227E2" w:rsidRDefault="00934FC4">
            <w:pPr>
              <w:pStyle w:val="LO-normal"/>
              <w:jc w:val="both"/>
            </w:pPr>
            <w:r>
              <w:rPr>
                <w:color w:val="000000"/>
                <w:sz w:val="20"/>
                <w:szCs w:val="20"/>
              </w:rPr>
              <w:t>Прилуцький СО</w:t>
            </w:r>
          </w:p>
        </w:tc>
        <w:tc>
          <w:tcPr>
            <w:tcW w:w="2407" w:type="dxa"/>
            <w:tcBorders>
              <w:top w:val="single" w:sz="4" w:space="0" w:color="000000"/>
              <w:left w:val="single" w:sz="4" w:space="0" w:color="000000"/>
              <w:bottom w:val="single" w:sz="4" w:space="0" w:color="000000"/>
              <w:right w:val="single" w:sz="4" w:space="0" w:color="000000"/>
            </w:tcBorders>
          </w:tcPr>
          <w:p w:rsidR="00D227E2" w:rsidRDefault="00934FC4">
            <w:pPr>
              <w:pStyle w:val="LO-normal"/>
              <w:jc w:val="both"/>
            </w:pPr>
            <w:r>
              <w:rPr>
                <w:color w:val="000000"/>
                <w:sz w:val="20"/>
                <w:szCs w:val="20"/>
              </w:rPr>
              <w:t>с. Прилуцьке</w:t>
            </w:r>
          </w:p>
        </w:tc>
        <w:tc>
          <w:tcPr>
            <w:tcW w:w="128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292,5</w:t>
            </w:r>
          </w:p>
        </w:tc>
        <w:tc>
          <w:tcPr>
            <w:tcW w:w="183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2618</w:t>
            </w:r>
          </w:p>
        </w:tc>
        <w:tc>
          <w:tcPr>
            <w:tcW w:w="129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3</w:t>
            </w:r>
          </w:p>
        </w:tc>
      </w:tr>
      <w:tr w:rsidR="00D227E2">
        <w:trPr>
          <w:jc w:val="center"/>
        </w:trPr>
        <w:tc>
          <w:tcPr>
            <w:tcW w:w="443"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138"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40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20"/>
                <w:szCs w:val="20"/>
              </w:rPr>
              <w:t>с. Дачне</w:t>
            </w:r>
          </w:p>
        </w:tc>
        <w:tc>
          <w:tcPr>
            <w:tcW w:w="128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90,6</w:t>
            </w:r>
          </w:p>
        </w:tc>
        <w:tc>
          <w:tcPr>
            <w:tcW w:w="183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754</w:t>
            </w:r>
          </w:p>
        </w:tc>
        <w:tc>
          <w:tcPr>
            <w:tcW w:w="129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5</w:t>
            </w:r>
          </w:p>
        </w:tc>
      </w:tr>
      <w:tr w:rsidR="00D227E2">
        <w:trPr>
          <w:jc w:val="center"/>
        </w:trPr>
        <w:tc>
          <w:tcPr>
            <w:tcW w:w="443"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138"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40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20"/>
                <w:szCs w:val="20"/>
              </w:rPr>
              <w:t>с. Жабка</w:t>
            </w:r>
          </w:p>
        </w:tc>
        <w:tc>
          <w:tcPr>
            <w:tcW w:w="128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67,4</w:t>
            </w:r>
          </w:p>
        </w:tc>
        <w:tc>
          <w:tcPr>
            <w:tcW w:w="183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397</w:t>
            </w:r>
          </w:p>
        </w:tc>
        <w:tc>
          <w:tcPr>
            <w:tcW w:w="129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6</w:t>
            </w:r>
          </w:p>
        </w:tc>
      </w:tr>
      <w:tr w:rsidR="00D227E2">
        <w:trPr>
          <w:jc w:val="center"/>
        </w:trPr>
        <w:tc>
          <w:tcPr>
            <w:tcW w:w="443"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138"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40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20"/>
                <w:szCs w:val="20"/>
              </w:rPr>
              <w:t>с. Сапогове</w:t>
            </w:r>
          </w:p>
        </w:tc>
        <w:tc>
          <w:tcPr>
            <w:tcW w:w="128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33,1</w:t>
            </w:r>
          </w:p>
        </w:tc>
        <w:tc>
          <w:tcPr>
            <w:tcW w:w="183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217</w:t>
            </w:r>
          </w:p>
        </w:tc>
        <w:tc>
          <w:tcPr>
            <w:tcW w:w="129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7</w:t>
            </w:r>
          </w:p>
        </w:tc>
      </w:tr>
      <w:tr w:rsidR="00D227E2">
        <w:trPr>
          <w:jc w:val="center"/>
        </w:trPr>
        <w:tc>
          <w:tcPr>
            <w:tcW w:w="443" w:type="dxa"/>
            <w:vMerge w:val="restart"/>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20"/>
                <w:szCs w:val="20"/>
              </w:rPr>
              <w:t>2</w:t>
            </w:r>
          </w:p>
        </w:tc>
        <w:tc>
          <w:tcPr>
            <w:tcW w:w="2138" w:type="dxa"/>
            <w:vMerge w:val="restart"/>
            <w:tcBorders>
              <w:top w:val="single" w:sz="4" w:space="0" w:color="000000"/>
              <w:left w:val="single" w:sz="4" w:space="0" w:color="000000"/>
              <w:bottom w:val="single" w:sz="4" w:space="0" w:color="000000"/>
              <w:right w:val="single" w:sz="4" w:space="0" w:color="000000"/>
            </w:tcBorders>
          </w:tcPr>
          <w:p w:rsidR="00D227E2" w:rsidRDefault="00934FC4">
            <w:pPr>
              <w:pStyle w:val="LO-normal"/>
              <w:jc w:val="both"/>
            </w:pPr>
            <w:r>
              <w:rPr>
                <w:color w:val="000000"/>
                <w:sz w:val="20"/>
                <w:szCs w:val="20"/>
              </w:rPr>
              <w:t>Боголюбський СО</w:t>
            </w:r>
          </w:p>
        </w:tc>
        <w:tc>
          <w:tcPr>
            <w:tcW w:w="240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20"/>
                <w:szCs w:val="20"/>
              </w:rPr>
              <w:t>с. Тарасове</w:t>
            </w:r>
          </w:p>
        </w:tc>
        <w:tc>
          <w:tcPr>
            <w:tcW w:w="128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361,2</w:t>
            </w:r>
          </w:p>
        </w:tc>
        <w:tc>
          <w:tcPr>
            <w:tcW w:w="183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1741</w:t>
            </w:r>
          </w:p>
        </w:tc>
        <w:tc>
          <w:tcPr>
            <w:tcW w:w="129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0,5</w:t>
            </w:r>
          </w:p>
        </w:tc>
      </w:tr>
      <w:tr w:rsidR="00D227E2">
        <w:trPr>
          <w:jc w:val="center"/>
        </w:trPr>
        <w:tc>
          <w:tcPr>
            <w:tcW w:w="443"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138"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40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20"/>
                <w:szCs w:val="20"/>
              </w:rPr>
              <w:t>с. Боголюби</w:t>
            </w:r>
          </w:p>
        </w:tc>
        <w:tc>
          <w:tcPr>
            <w:tcW w:w="128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519,48</w:t>
            </w:r>
          </w:p>
        </w:tc>
        <w:tc>
          <w:tcPr>
            <w:tcW w:w="183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1276</w:t>
            </w:r>
          </w:p>
        </w:tc>
        <w:tc>
          <w:tcPr>
            <w:tcW w:w="129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3</w:t>
            </w:r>
          </w:p>
        </w:tc>
      </w:tr>
      <w:tr w:rsidR="00D227E2">
        <w:trPr>
          <w:jc w:val="center"/>
        </w:trPr>
        <w:tc>
          <w:tcPr>
            <w:tcW w:w="443"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138"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40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20"/>
                <w:szCs w:val="20"/>
              </w:rPr>
              <w:t>с. Богушівка</w:t>
            </w:r>
          </w:p>
        </w:tc>
        <w:tc>
          <w:tcPr>
            <w:tcW w:w="128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569,63</w:t>
            </w:r>
          </w:p>
        </w:tc>
        <w:tc>
          <w:tcPr>
            <w:tcW w:w="183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266</w:t>
            </w:r>
          </w:p>
        </w:tc>
        <w:tc>
          <w:tcPr>
            <w:tcW w:w="129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7</w:t>
            </w:r>
          </w:p>
        </w:tc>
      </w:tr>
      <w:tr w:rsidR="00D227E2">
        <w:trPr>
          <w:jc w:val="center"/>
        </w:trPr>
        <w:tc>
          <w:tcPr>
            <w:tcW w:w="443"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138"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40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20"/>
                <w:szCs w:val="20"/>
              </w:rPr>
              <w:t>с. Озденіж</w:t>
            </w:r>
          </w:p>
        </w:tc>
        <w:tc>
          <w:tcPr>
            <w:tcW w:w="128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249,2</w:t>
            </w:r>
          </w:p>
        </w:tc>
        <w:tc>
          <w:tcPr>
            <w:tcW w:w="183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133</w:t>
            </w:r>
          </w:p>
        </w:tc>
        <w:tc>
          <w:tcPr>
            <w:tcW w:w="129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22</w:t>
            </w:r>
          </w:p>
        </w:tc>
      </w:tr>
      <w:tr w:rsidR="00D227E2">
        <w:trPr>
          <w:jc w:val="center"/>
        </w:trPr>
        <w:tc>
          <w:tcPr>
            <w:tcW w:w="443"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138"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40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20"/>
                <w:szCs w:val="20"/>
              </w:rPr>
              <w:t>с. Іванчиці</w:t>
            </w:r>
          </w:p>
        </w:tc>
        <w:tc>
          <w:tcPr>
            <w:tcW w:w="128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382,5</w:t>
            </w:r>
          </w:p>
        </w:tc>
        <w:tc>
          <w:tcPr>
            <w:tcW w:w="183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263</w:t>
            </w:r>
          </w:p>
        </w:tc>
        <w:tc>
          <w:tcPr>
            <w:tcW w:w="129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16</w:t>
            </w:r>
          </w:p>
        </w:tc>
      </w:tr>
      <w:tr w:rsidR="00D227E2">
        <w:trPr>
          <w:jc w:val="center"/>
        </w:trPr>
        <w:tc>
          <w:tcPr>
            <w:tcW w:w="443" w:type="dxa"/>
            <w:vMerge w:val="restart"/>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20"/>
                <w:szCs w:val="20"/>
              </w:rPr>
              <w:t>3</w:t>
            </w:r>
          </w:p>
        </w:tc>
        <w:tc>
          <w:tcPr>
            <w:tcW w:w="2138" w:type="dxa"/>
            <w:vMerge w:val="restart"/>
            <w:tcBorders>
              <w:top w:val="single" w:sz="4" w:space="0" w:color="000000"/>
              <w:left w:val="single" w:sz="4" w:space="0" w:color="000000"/>
              <w:bottom w:val="single" w:sz="4" w:space="0" w:color="000000"/>
              <w:right w:val="single" w:sz="4" w:space="0" w:color="000000"/>
            </w:tcBorders>
          </w:tcPr>
          <w:p w:rsidR="00D227E2" w:rsidRDefault="00934FC4">
            <w:pPr>
              <w:pStyle w:val="LO-normal"/>
              <w:jc w:val="both"/>
            </w:pPr>
            <w:r>
              <w:rPr>
                <w:color w:val="000000"/>
                <w:sz w:val="20"/>
                <w:szCs w:val="20"/>
              </w:rPr>
              <w:t>Жидичинський СО</w:t>
            </w:r>
          </w:p>
        </w:tc>
        <w:tc>
          <w:tcPr>
            <w:tcW w:w="2407" w:type="dxa"/>
            <w:tcBorders>
              <w:top w:val="single" w:sz="4" w:space="0" w:color="000000"/>
              <w:left w:val="single" w:sz="4" w:space="0" w:color="000000"/>
              <w:bottom w:val="single" w:sz="4" w:space="0" w:color="000000"/>
              <w:right w:val="single" w:sz="4" w:space="0" w:color="000000"/>
            </w:tcBorders>
          </w:tcPr>
          <w:p w:rsidR="00D227E2" w:rsidRDefault="00934FC4">
            <w:pPr>
              <w:pStyle w:val="LO-normal"/>
              <w:jc w:val="both"/>
            </w:pPr>
            <w:r>
              <w:rPr>
                <w:color w:val="000000"/>
                <w:sz w:val="20"/>
                <w:szCs w:val="20"/>
              </w:rPr>
              <w:t>с. </w:t>
            </w:r>
            <w:r>
              <w:rPr>
                <w:sz w:val="20"/>
                <w:szCs w:val="20"/>
              </w:rPr>
              <w:t>Жидичин</w:t>
            </w:r>
          </w:p>
        </w:tc>
        <w:tc>
          <w:tcPr>
            <w:tcW w:w="128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280</w:t>
            </w:r>
          </w:p>
        </w:tc>
        <w:tc>
          <w:tcPr>
            <w:tcW w:w="183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1284</w:t>
            </w:r>
          </w:p>
        </w:tc>
        <w:tc>
          <w:tcPr>
            <w:tcW w:w="129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3,8</w:t>
            </w:r>
          </w:p>
        </w:tc>
      </w:tr>
      <w:tr w:rsidR="00D227E2">
        <w:trPr>
          <w:jc w:val="center"/>
        </w:trPr>
        <w:tc>
          <w:tcPr>
            <w:tcW w:w="443"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138"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407" w:type="dxa"/>
            <w:tcBorders>
              <w:top w:val="single" w:sz="4" w:space="0" w:color="000000"/>
              <w:left w:val="single" w:sz="4" w:space="0" w:color="000000"/>
              <w:bottom w:val="single" w:sz="4" w:space="0" w:color="000000"/>
              <w:right w:val="single" w:sz="4" w:space="0" w:color="000000"/>
            </w:tcBorders>
          </w:tcPr>
          <w:p w:rsidR="00D227E2" w:rsidRDefault="00934FC4">
            <w:pPr>
              <w:pStyle w:val="LO-normal"/>
              <w:jc w:val="both"/>
            </w:pPr>
            <w:r>
              <w:rPr>
                <w:color w:val="000000"/>
                <w:sz w:val="20"/>
                <w:szCs w:val="20"/>
              </w:rPr>
              <w:t>с.</w:t>
            </w:r>
            <w:r>
              <w:rPr>
                <w:sz w:val="20"/>
                <w:szCs w:val="20"/>
              </w:rPr>
              <w:t> Клепачів</w:t>
            </w:r>
          </w:p>
        </w:tc>
        <w:tc>
          <w:tcPr>
            <w:tcW w:w="128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142</w:t>
            </w:r>
          </w:p>
        </w:tc>
        <w:tc>
          <w:tcPr>
            <w:tcW w:w="183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388</w:t>
            </w:r>
          </w:p>
        </w:tc>
        <w:tc>
          <w:tcPr>
            <w:tcW w:w="129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15,2</w:t>
            </w:r>
          </w:p>
        </w:tc>
      </w:tr>
      <w:tr w:rsidR="00D227E2">
        <w:trPr>
          <w:jc w:val="center"/>
        </w:trPr>
        <w:tc>
          <w:tcPr>
            <w:tcW w:w="443"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138"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407" w:type="dxa"/>
            <w:tcBorders>
              <w:top w:val="single" w:sz="4" w:space="0" w:color="000000"/>
              <w:left w:val="single" w:sz="4" w:space="0" w:color="000000"/>
              <w:bottom w:val="single" w:sz="4" w:space="0" w:color="000000"/>
              <w:right w:val="single" w:sz="4" w:space="0" w:color="000000"/>
            </w:tcBorders>
          </w:tcPr>
          <w:p w:rsidR="00D227E2" w:rsidRDefault="00934FC4">
            <w:pPr>
              <w:pStyle w:val="LO-normal"/>
              <w:jc w:val="both"/>
            </w:pPr>
            <w:r>
              <w:rPr>
                <w:color w:val="000000"/>
                <w:sz w:val="20"/>
                <w:szCs w:val="20"/>
              </w:rPr>
              <w:t>с. </w:t>
            </w:r>
            <w:r>
              <w:rPr>
                <w:sz w:val="20"/>
                <w:szCs w:val="20"/>
              </w:rPr>
              <w:t>Кульчин</w:t>
            </w:r>
          </w:p>
        </w:tc>
        <w:tc>
          <w:tcPr>
            <w:tcW w:w="128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454</w:t>
            </w:r>
          </w:p>
        </w:tc>
        <w:tc>
          <w:tcPr>
            <w:tcW w:w="183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778</w:t>
            </w:r>
          </w:p>
        </w:tc>
        <w:tc>
          <w:tcPr>
            <w:tcW w:w="129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10,3</w:t>
            </w:r>
          </w:p>
        </w:tc>
      </w:tr>
      <w:tr w:rsidR="00D227E2">
        <w:trPr>
          <w:jc w:val="center"/>
        </w:trPr>
        <w:tc>
          <w:tcPr>
            <w:tcW w:w="443"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138"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407" w:type="dxa"/>
            <w:tcBorders>
              <w:top w:val="single" w:sz="4" w:space="0" w:color="000000"/>
              <w:left w:val="single" w:sz="4" w:space="0" w:color="000000"/>
              <w:bottom w:val="single" w:sz="4" w:space="0" w:color="000000"/>
              <w:right w:val="single" w:sz="4" w:space="0" w:color="000000"/>
            </w:tcBorders>
          </w:tcPr>
          <w:p w:rsidR="00D227E2" w:rsidRDefault="00934FC4">
            <w:pPr>
              <w:pStyle w:val="LO-normal"/>
              <w:jc w:val="both"/>
            </w:pPr>
            <w:r>
              <w:rPr>
                <w:color w:val="000000"/>
                <w:sz w:val="20"/>
                <w:szCs w:val="20"/>
              </w:rPr>
              <w:t>с. </w:t>
            </w:r>
            <w:r>
              <w:rPr>
                <w:sz w:val="20"/>
                <w:szCs w:val="20"/>
              </w:rPr>
              <w:t>Липляни</w:t>
            </w:r>
          </w:p>
        </w:tc>
        <w:tc>
          <w:tcPr>
            <w:tcW w:w="128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85</w:t>
            </w:r>
          </w:p>
        </w:tc>
        <w:tc>
          <w:tcPr>
            <w:tcW w:w="183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637</w:t>
            </w:r>
          </w:p>
        </w:tc>
        <w:tc>
          <w:tcPr>
            <w:tcW w:w="129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2,8</w:t>
            </w:r>
          </w:p>
        </w:tc>
      </w:tr>
      <w:tr w:rsidR="00D227E2">
        <w:trPr>
          <w:jc w:val="center"/>
        </w:trPr>
        <w:tc>
          <w:tcPr>
            <w:tcW w:w="443"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138"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407" w:type="dxa"/>
            <w:tcBorders>
              <w:top w:val="single" w:sz="4" w:space="0" w:color="000000"/>
              <w:left w:val="single" w:sz="4" w:space="0" w:color="000000"/>
              <w:bottom w:val="single" w:sz="4" w:space="0" w:color="000000"/>
              <w:right w:val="single" w:sz="4" w:space="0" w:color="000000"/>
            </w:tcBorders>
          </w:tcPr>
          <w:p w:rsidR="00D227E2" w:rsidRDefault="00934FC4">
            <w:pPr>
              <w:pStyle w:val="LO-normal"/>
              <w:jc w:val="both"/>
            </w:pPr>
            <w:r>
              <w:rPr>
                <w:color w:val="000000"/>
                <w:sz w:val="20"/>
                <w:szCs w:val="20"/>
              </w:rPr>
              <w:t>с. </w:t>
            </w:r>
            <w:r>
              <w:rPr>
                <w:sz w:val="20"/>
                <w:szCs w:val="20"/>
              </w:rPr>
              <w:t>Небіжка</w:t>
            </w:r>
          </w:p>
        </w:tc>
        <w:tc>
          <w:tcPr>
            <w:tcW w:w="128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79</w:t>
            </w:r>
          </w:p>
        </w:tc>
        <w:tc>
          <w:tcPr>
            <w:tcW w:w="183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567</w:t>
            </w:r>
          </w:p>
        </w:tc>
        <w:tc>
          <w:tcPr>
            <w:tcW w:w="129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11,6</w:t>
            </w:r>
          </w:p>
        </w:tc>
      </w:tr>
      <w:tr w:rsidR="00D227E2">
        <w:trPr>
          <w:trHeight w:val="212"/>
          <w:jc w:val="center"/>
        </w:trPr>
        <w:tc>
          <w:tcPr>
            <w:tcW w:w="443"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138"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407" w:type="dxa"/>
            <w:tcBorders>
              <w:top w:val="single" w:sz="4" w:space="0" w:color="000000"/>
              <w:left w:val="single" w:sz="4" w:space="0" w:color="000000"/>
              <w:bottom w:val="single" w:sz="4" w:space="0" w:color="000000"/>
              <w:right w:val="single" w:sz="4" w:space="0" w:color="000000"/>
            </w:tcBorders>
          </w:tcPr>
          <w:p w:rsidR="00D227E2" w:rsidRDefault="00934FC4">
            <w:pPr>
              <w:pStyle w:val="LO-normal"/>
              <w:jc w:val="both"/>
            </w:pPr>
            <w:r>
              <w:rPr>
                <w:color w:val="000000"/>
                <w:sz w:val="20"/>
                <w:szCs w:val="20"/>
              </w:rPr>
              <w:t>с. </w:t>
            </w:r>
            <w:r>
              <w:rPr>
                <w:sz w:val="20"/>
                <w:szCs w:val="20"/>
              </w:rPr>
              <w:t>Озерце</w:t>
            </w:r>
          </w:p>
        </w:tc>
        <w:tc>
          <w:tcPr>
            <w:tcW w:w="128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117</w:t>
            </w:r>
          </w:p>
        </w:tc>
        <w:tc>
          <w:tcPr>
            <w:tcW w:w="183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398</w:t>
            </w:r>
          </w:p>
        </w:tc>
        <w:tc>
          <w:tcPr>
            <w:tcW w:w="129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11,4</w:t>
            </w:r>
          </w:p>
        </w:tc>
      </w:tr>
      <w:tr w:rsidR="00D227E2">
        <w:trPr>
          <w:jc w:val="center"/>
        </w:trPr>
        <w:tc>
          <w:tcPr>
            <w:tcW w:w="443" w:type="dxa"/>
            <w:vMerge w:val="restart"/>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20"/>
                <w:szCs w:val="20"/>
              </w:rPr>
              <w:t>4</w:t>
            </w:r>
          </w:p>
        </w:tc>
        <w:tc>
          <w:tcPr>
            <w:tcW w:w="2138" w:type="dxa"/>
            <w:vMerge w:val="restart"/>
            <w:tcBorders>
              <w:top w:val="single" w:sz="4" w:space="0" w:color="000000"/>
              <w:left w:val="single" w:sz="4" w:space="0" w:color="000000"/>
              <w:bottom w:val="single" w:sz="4" w:space="0" w:color="000000"/>
              <w:right w:val="single" w:sz="4" w:space="0" w:color="000000"/>
            </w:tcBorders>
          </w:tcPr>
          <w:p w:rsidR="00D227E2" w:rsidRDefault="00934FC4">
            <w:pPr>
              <w:pStyle w:val="LO-normal"/>
              <w:jc w:val="both"/>
            </w:pPr>
            <w:r>
              <w:rPr>
                <w:color w:val="000000"/>
                <w:sz w:val="20"/>
                <w:szCs w:val="20"/>
              </w:rPr>
              <w:t>Княгининівський СО</w:t>
            </w:r>
          </w:p>
        </w:tc>
        <w:tc>
          <w:tcPr>
            <w:tcW w:w="2407" w:type="dxa"/>
            <w:tcBorders>
              <w:top w:val="single" w:sz="4" w:space="0" w:color="000000"/>
              <w:left w:val="single" w:sz="4" w:space="0" w:color="000000"/>
              <w:bottom w:val="single" w:sz="4" w:space="0" w:color="000000"/>
              <w:right w:val="single" w:sz="4" w:space="0" w:color="000000"/>
            </w:tcBorders>
          </w:tcPr>
          <w:p w:rsidR="00D227E2" w:rsidRDefault="00934FC4">
            <w:pPr>
              <w:pStyle w:val="LO-normal"/>
              <w:jc w:val="both"/>
            </w:pPr>
            <w:r>
              <w:rPr>
                <w:color w:val="000000"/>
                <w:sz w:val="20"/>
                <w:szCs w:val="20"/>
              </w:rPr>
              <w:t>с. </w:t>
            </w:r>
            <w:r>
              <w:rPr>
                <w:sz w:val="20"/>
                <w:szCs w:val="20"/>
              </w:rPr>
              <w:t>Княгининок</w:t>
            </w:r>
          </w:p>
        </w:tc>
        <w:tc>
          <w:tcPr>
            <w:tcW w:w="128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585,89</w:t>
            </w:r>
          </w:p>
        </w:tc>
        <w:tc>
          <w:tcPr>
            <w:tcW w:w="183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2284</w:t>
            </w:r>
          </w:p>
        </w:tc>
        <w:tc>
          <w:tcPr>
            <w:tcW w:w="129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7</w:t>
            </w:r>
          </w:p>
        </w:tc>
      </w:tr>
      <w:tr w:rsidR="00D227E2">
        <w:trPr>
          <w:jc w:val="center"/>
        </w:trPr>
        <w:tc>
          <w:tcPr>
            <w:tcW w:w="443"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138" w:type="dxa"/>
            <w:vMerge/>
            <w:tcBorders>
              <w:top w:val="single" w:sz="4" w:space="0" w:color="000000"/>
              <w:left w:val="single" w:sz="4" w:space="0" w:color="000000"/>
              <w:bottom w:val="single" w:sz="4" w:space="0" w:color="000000"/>
              <w:right w:val="single" w:sz="4" w:space="0" w:color="000000"/>
            </w:tcBorders>
          </w:tcPr>
          <w:p w:rsidR="00D227E2" w:rsidRDefault="00D227E2">
            <w:pPr>
              <w:pStyle w:val="LO-normal"/>
              <w:jc w:val="both"/>
              <w:rPr>
                <w:b/>
                <w:sz w:val="20"/>
                <w:szCs w:val="20"/>
              </w:rPr>
            </w:pPr>
          </w:p>
        </w:tc>
        <w:tc>
          <w:tcPr>
            <w:tcW w:w="2407" w:type="dxa"/>
            <w:tcBorders>
              <w:top w:val="single" w:sz="4" w:space="0" w:color="000000"/>
              <w:left w:val="single" w:sz="4" w:space="0" w:color="000000"/>
              <w:bottom w:val="single" w:sz="4" w:space="0" w:color="000000"/>
              <w:right w:val="single" w:sz="4" w:space="0" w:color="000000"/>
            </w:tcBorders>
          </w:tcPr>
          <w:p w:rsidR="00D227E2" w:rsidRDefault="00934FC4">
            <w:pPr>
              <w:pStyle w:val="LO-normal"/>
              <w:jc w:val="both"/>
            </w:pPr>
            <w:r>
              <w:rPr>
                <w:color w:val="000000"/>
                <w:sz w:val="20"/>
                <w:szCs w:val="20"/>
              </w:rPr>
              <w:t>с. </w:t>
            </w:r>
            <w:r>
              <w:rPr>
                <w:sz w:val="20"/>
                <w:szCs w:val="20"/>
              </w:rPr>
              <w:t>Буків</w:t>
            </w:r>
          </w:p>
        </w:tc>
        <w:tc>
          <w:tcPr>
            <w:tcW w:w="128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91,25</w:t>
            </w:r>
          </w:p>
        </w:tc>
        <w:tc>
          <w:tcPr>
            <w:tcW w:w="183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134</w:t>
            </w:r>
          </w:p>
        </w:tc>
        <w:tc>
          <w:tcPr>
            <w:tcW w:w="129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12</w:t>
            </w:r>
          </w:p>
        </w:tc>
      </w:tr>
      <w:tr w:rsidR="00D227E2">
        <w:trPr>
          <w:jc w:val="center"/>
        </w:trPr>
        <w:tc>
          <w:tcPr>
            <w:tcW w:w="443"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138" w:type="dxa"/>
            <w:vMerge/>
            <w:tcBorders>
              <w:top w:val="single" w:sz="4" w:space="0" w:color="000000"/>
              <w:left w:val="single" w:sz="4" w:space="0" w:color="000000"/>
              <w:bottom w:val="single" w:sz="4" w:space="0" w:color="000000"/>
              <w:right w:val="single" w:sz="4" w:space="0" w:color="000000"/>
            </w:tcBorders>
          </w:tcPr>
          <w:p w:rsidR="00D227E2" w:rsidRDefault="00D227E2">
            <w:pPr>
              <w:pStyle w:val="LO-normal"/>
              <w:jc w:val="both"/>
              <w:rPr>
                <w:b/>
                <w:sz w:val="20"/>
                <w:szCs w:val="20"/>
              </w:rPr>
            </w:pPr>
          </w:p>
        </w:tc>
        <w:tc>
          <w:tcPr>
            <w:tcW w:w="2407" w:type="dxa"/>
            <w:tcBorders>
              <w:top w:val="single" w:sz="4" w:space="0" w:color="000000"/>
              <w:left w:val="single" w:sz="4" w:space="0" w:color="000000"/>
              <w:bottom w:val="single" w:sz="4" w:space="0" w:color="000000"/>
              <w:right w:val="single" w:sz="4" w:space="0" w:color="000000"/>
            </w:tcBorders>
          </w:tcPr>
          <w:p w:rsidR="00D227E2" w:rsidRDefault="00934FC4">
            <w:pPr>
              <w:pStyle w:val="LO-normal"/>
              <w:jc w:val="both"/>
            </w:pPr>
            <w:r>
              <w:rPr>
                <w:sz w:val="20"/>
                <w:szCs w:val="20"/>
              </w:rPr>
              <w:t>селище  Рокині</w:t>
            </w:r>
          </w:p>
        </w:tc>
        <w:tc>
          <w:tcPr>
            <w:tcW w:w="128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626,10</w:t>
            </w:r>
          </w:p>
        </w:tc>
        <w:tc>
          <w:tcPr>
            <w:tcW w:w="183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1467</w:t>
            </w:r>
          </w:p>
        </w:tc>
        <w:tc>
          <w:tcPr>
            <w:tcW w:w="129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12</w:t>
            </w:r>
          </w:p>
        </w:tc>
      </w:tr>
      <w:tr w:rsidR="00D227E2">
        <w:trPr>
          <w:jc w:val="center"/>
        </w:trPr>
        <w:tc>
          <w:tcPr>
            <w:tcW w:w="443"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138" w:type="dxa"/>
            <w:vMerge/>
            <w:tcBorders>
              <w:top w:val="single" w:sz="4" w:space="0" w:color="000000"/>
              <w:left w:val="single" w:sz="4" w:space="0" w:color="000000"/>
              <w:bottom w:val="single" w:sz="4" w:space="0" w:color="000000"/>
              <w:right w:val="single" w:sz="4" w:space="0" w:color="000000"/>
            </w:tcBorders>
          </w:tcPr>
          <w:p w:rsidR="00D227E2" w:rsidRDefault="00D227E2">
            <w:pPr>
              <w:pStyle w:val="LO-normal"/>
              <w:jc w:val="both"/>
              <w:rPr>
                <w:b/>
                <w:sz w:val="20"/>
                <w:szCs w:val="20"/>
              </w:rPr>
            </w:pPr>
          </w:p>
        </w:tc>
        <w:tc>
          <w:tcPr>
            <w:tcW w:w="2407" w:type="dxa"/>
            <w:tcBorders>
              <w:top w:val="single" w:sz="4" w:space="0" w:color="000000"/>
              <w:left w:val="single" w:sz="4" w:space="0" w:color="000000"/>
              <w:bottom w:val="single" w:sz="4" w:space="0" w:color="000000"/>
              <w:right w:val="single" w:sz="4" w:space="0" w:color="000000"/>
            </w:tcBorders>
          </w:tcPr>
          <w:p w:rsidR="00D227E2" w:rsidRDefault="00934FC4">
            <w:pPr>
              <w:pStyle w:val="LO-normal"/>
              <w:jc w:val="both"/>
            </w:pPr>
            <w:r>
              <w:rPr>
                <w:color w:val="000000"/>
                <w:sz w:val="20"/>
                <w:szCs w:val="20"/>
              </w:rPr>
              <w:t>с. </w:t>
            </w:r>
            <w:r>
              <w:rPr>
                <w:sz w:val="20"/>
                <w:szCs w:val="20"/>
              </w:rPr>
              <w:t>Брище</w:t>
            </w:r>
          </w:p>
        </w:tc>
        <w:tc>
          <w:tcPr>
            <w:tcW w:w="128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205,8</w:t>
            </w:r>
          </w:p>
        </w:tc>
        <w:tc>
          <w:tcPr>
            <w:tcW w:w="183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381</w:t>
            </w:r>
          </w:p>
        </w:tc>
        <w:tc>
          <w:tcPr>
            <w:tcW w:w="129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15</w:t>
            </w:r>
          </w:p>
        </w:tc>
      </w:tr>
      <w:tr w:rsidR="00D227E2">
        <w:trPr>
          <w:jc w:val="center"/>
        </w:trPr>
        <w:tc>
          <w:tcPr>
            <w:tcW w:w="443"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138" w:type="dxa"/>
            <w:vMerge/>
            <w:tcBorders>
              <w:top w:val="single" w:sz="4" w:space="0" w:color="000000"/>
              <w:left w:val="single" w:sz="4" w:space="0" w:color="000000"/>
              <w:bottom w:val="single" w:sz="4" w:space="0" w:color="000000"/>
              <w:right w:val="single" w:sz="4" w:space="0" w:color="000000"/>
            </w:tcBorders>
          </w:tcPr>
          <w:p w:rsidR="00D227E2" w:rsidRDefault="00D227E2">
            <w:pPr>
              <w:pStyle w:val="LO-normal"/>
              <w:jc w:val="both"/>
              <w:rPr>
                <w:b/>
                <w:sz w:val="20"/>
                <w:szCs w:val="20"/>
              </w:rPr>
            </w:pPr>
          </w:p>
        </w:tc>
        <w:tc>
          <w:tcPr>
            <w:tcW w:w="2407" w:type="dxa"/>
            <w:tcBorders>
              <w:top w:val="single" w:sz="4" w:space="0" w:color="000000"/>
              <w:left w:val="single" w:sz="4" w:space="0" w:color="000000"/>
              <w:bottom w:val="single" w:sz="4" w:space="0" w:color="000000"/>
              <w:right w:val="single" w:sz="4" w:space="0" w:color="000000"/>
            </w:tcBorders>
          </w:tcPr>
          <w:p w:rsidR="00D227E2" w:rsidRDefault="00934FC4">
            <w:pPr>
              <w:pStyle w:val="LO-normal"/>
              <w:jc w:val="both"/>
            </w:pPr>
            <w:r>
              <w:rPr>
                <w:color w:val="000000"/>
                <w:sz w:val="20"/>
                <w:szCs w:val="20"/>
              </w:rPr>
              <w:t>с. </w:t>
            </w:r>
            <w:r>
              <w:rPr>
                <w:sz w:val="20"/>
                <w:szCs w:val="20"/>
              </w:rPr>
              <w:t>Зміїнець</w:t>
            </w:r>
          </w:p>
        </w:tc>
        <w:tc>
          <w:tcPr>
            <w:tcW w:w="128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663,95</w:t>
            </w:r>
          </w:p>
        </w:tc>
        <w:tc>
          <w:tcPr>
            <w:tcW w:w="183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2960</w:t>
            </w:r>
          </w:p>
        </w:tc>
        <w:tc>
          <w:tcPr>
            <w:tcW w:w="129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4</w:t>
            </w:r>
          </w:p>
        </w:tc>
      </w:tr>
      <w:tr w:rsidR="00D227E2">
        <w:trPr>
          <w:jc w:val="center"/>
        </w:trPr>
        <w:tc>
          <w:tcPr>
            <w:tcW w:w="443"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138" w:type="dxa"/>
            <w:vMerge/>
            <w:tcBorders>
              <w:top w:val="single" w:sz="4" w:space="0" w:color="000000"/>
              <w:left w:val="single" w:sz="4" w:space="0" w:color="000000"/>
              <w:bottom w:val="single" w:sz="4" w:space="0" w:color="000000"/>
              <w:right w:val="single" w:sz="4" w:space="0" w:color="000000"/>
            </w:tcBorders>
          </w:tcPr>
          <w:p w:rsidR="00D227E2" w:rsidRDefault="00D227E2">
            <w:pPr>
              <w:pStyle w:val="LO-normal"/>
              <w:jc w:val="both"/>
              <w:rPr>
                <w:b/>
                <w:sz w:val="20"/>
                <w:szCs w:val="20"/>
              </w:rPr>
            </w:pPr>
          </w:p>
        </w:tc>
        <w:tc>
          <w:tcPr>
            <w:tcW w:w="2407" w:type="dxa"/>
            <w:tcBorders>
              <w:top w:val="single" w:sz="4" w:space="0" w:color="000000"/>
              <w:left w:val="single" w:sz="4" w:space="0" w:color="000000"/>
              <w:bottom w:val="single" w:sz="4" w:space="0" w:color="000000"/>
              <w:right w:val="single" w:sz="4" w:space="0" w:color="000000"/>
            </w:tcBorders>
          </w:tcPr>
          <w:p w:rsidR="00D227E2" w:rsidRDefault="00934FC4">
            <w:pPr>
              <w:pStyle w:val="LO-normal"/>
              <w:jc w:val="both"/>
            </w:pPr>
            <w:r>
              <w:rPr>
                <w:color w:val="000000"/>
                <w:sz w:val="20"/>
                <w:szCs w:val="20"/>
              </w:rPr>
              <w:t>с. </w:t>
            </w:r>
            <w:r>
              <w:rPr>
                <w:sz w:val="20"/>
                <w:szCs w:val="20"/>
              </w:rPr>
              <w:t>Милушин</w:t>
            </w:r>
          </w:p>
        </w:tc>
        <w:tc>
          <w:tcPr>
            <w:tcW w:w="128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82,3</w:t>
            </w:r>
          </w:p>
        </w:tc>
        <w:tc>
          <w:tcPr>
            <w:tcW w:w="183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274</w:t>
            </w:r>
          </w:p>
        </w:tc>
        <w:tc>
          <w:tcPr>
            <w:tcW w:w="129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6</w:t>
            </w:r>
          </w:p>
        </w:tc>
      </w:tr>
      <w:tr w:rsidR="00D227E2">
        <w:trPr>
          <w:jc w:val="center"/>
        </w:trPr>
        <w:tc>
          <w:tcPr>
            <w:tcW w:w="443"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138" w:type="dxa"/>
            <w:vMerge/>
            <w:tcBorders>
              <w:top w:val="single" w:sz="4" w:space="0" w:color="000000"/>
              <w:left w:val="single" w:sz="4" w:space="0" w:color="000000"/>
              <w:bottom w:val="single" w:sz="4" w:space="0" w:color="000000"/>
              <w:right w:val="single" w:sz="4" w:space="0" w:color="000000"/>
            </w:tcBorders>
          </w:tcPr>
          <w:p w:rsidR="00D227E2" w:rsidRDefault="00D227E2">
            <w:pPr>
              <w:pStyle w:val="LO-normal"/>
              <w:jc w:val="both"/>
              <w:rPr>
                <w:b/>
                <w:sz w:val="20"/>
                <w:szCs w:val="20"/>
              </w:rPr>
            </w:pPr>
          </w:p>
        </w:tc>
        <w:tc>
          <w:tcPr>
            <w:tcW w:w="2407" w:type="dxa"/>
            <w:tcBorders>
              <w:top w:val="single" w:sz="4" w:space="0" w:color="000000"/>
              <w:left w:val="single" w:sz="4" w:space="0" w:color="000000"/>
              <w:bottom w:val="single" w:sz="4" w:space="0" w:color="000000"/>
              <w:right w:val="single" w:sz="4" w:space="0" w:color="000000"/>
            </w:tcBorders>
          </w:tcPr>
          <w:p w:rsidR="00D227E2" w:rsidRDefault="00934FC4">
            <w:pPr>
              <w:pStyle w:val="LO-normal"/>
              <w:jc w:val="both"/>
            </w:pPr>
            <w:r>
              <w:rPr>
                <w:color w:val="000000"/>
                <w:sz w:val="20"/>
                <w:szCs w:val="20"/>
              </w:rPr>
              <w:t>с. </w:t>
            </w:r>
            <w:r>
              <w:rPr>
                <w:sz w:val="20"/>
                <w:szCs w:val="20"/>
              </w:rPr>
              <w:t>Милуші</w:t>
            </w:r>
          </w:p>
        </w:tc>
        <w:tc>
          <w:tcPr>
            <w:tcW w:w="128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128,41</w:t>
            </w:r>
          </w:p>
        </w:tc>
        <w:tc>
          <w:tcPr>
            <w:tcW w:w="183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866</w:t>
            </w:r>
          </w:p>
        </w:tc>
        <w:tc>
          <w:tcPr>
            <w:tcW w:w="129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5</w:t>
            </w:r>
          </w:p>
        </w:tc>
      </w:tr>
      <w:tr w:rsidR="00D227E2">
        <w:trPr>
          <w:jc w:val="center"/>
        </w:trPr>
        <w:tc>
          <w:tcPr>
            <w:tcW w:w="443"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138" w:type="dxa"/>
            <w:vMerge/>
            <w:tcBorders>
              <w:top w:val="single" w:sz="4" w:space="0" w:color="000000"/>
              <w:left w:val="single" w:sz="4" w:space="0" w:color="000000"/>
              <w:bottom w:val="single" w:sz="4" w:space="0" w:color="000000"/>
              <w:right w:val="single" w:sz="4" w:space="0" w:color="000000"/>
            </w:tcBorders>
          </w:tcPr>
          <w:p w:rsidR="00D227E2" w:rsidRDefault="00D227E2">
            <w:pPr>
              <w:pStyle w:val="LO-normal"/>
              <w:jc w:val="both"/>
              <w:rPr>
                <w:b/>
                <w:sz w:val="20"/>
                <w:szCs w:val="20"/>
              </w:rPr>
            </w:pPr>
          </w:p>
        </w:tc>
        <w:tc>
          <w:tcPr>
            <w:tcW w:w="2407" w:type="dxa"/>
            <w:tcBorders>
              <w:top w:val="single" w:sz="4" w:space="0" w:color="000000"/>
              <w:left w:val="single" w:sz="4" w:space="0" w:color="000000"/>
              <w:bottom w:val="single" w:sz="4" w:space="0" w:color="000000"/>
              <w:right w:val="single" w:sz="4" w:space="0" w:color="000000"/>
            </w:tcBorders>
          </w:tcPr>
          <w:p w:rsidR="00D227E2" w:rsidRDefault="00934FC4">
            <w:pPr>
              <w:pStyle w:val="LO-normal"/>
              <w:jc w:val="both"/>
            </w:pPr>
            <w:r>
              <w:rPr>
                <w:color w:val="000000"/>
                <w:sz w:val="20"/>
                <w:szCs w:val="20"/>
              </w:rPr>
              <w:t>с. </w:t>
            </w:r>
            <w:r>
              <w:rPr>
                <w:sz w:val="20"/>
                <w:szCs w:val="20"/>
              </w:rPr>
              <w:t>Моташівка</w:t>
            </w:r>
          </w:p>
        </w:tc>
        <w:tc>
          <w:tcPr>
            <w:tcW w:w="128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44,96</w:t>
            </w:r>
          </w:p>
        </w:tc>
        <w:tc>
          <w:tcPr>
            <w:tcW w:w="183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43</w:t>
            </w:r>
          </w:p>
        </w:tc>
        <w:tc>
          <w:tcPr>
            <w:tcW w:w="129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10</w:t>
            </w:r>
          </w:p>
        </w:tc>
      </w:tr>
      <w:tr w:rsidR="00D227E2">
        <w:trPr>
          <w:jc w:val="center"/>
        </w:trPr>
        <w:tc>
          <w:tcPr>
            <w:tcW w:w="443"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138" w:type="dxa"/>
            <w:vMerge/>
            <w:tcBorders>
              <w:top w:val="single" w:sz="4" w:space="0" w:color="000000"/>
              <w:left w:val="single" w:sz="4" w:space="0" w:color="000000"/>
              <w:bottom w:val="single" w:sz="4" w:space="0" w:color="000000"/>
              <w:right w:val="single" w:sz="4" w:space="0" w:color="000000"/>
            </w:tcBorders>
          </w:tcPr>
          <w:p w:rsidR="00D227E2" w:rsidRDefault="00D227E2">
            <w:pPr>
              <w:pStyle w:val="LO-normal"/>
              <w:jc w:val="both"/>
              <w:rPr>
                <w:b/>
                <w:sz w:val="20"/>
                <w:szCs w:val="20"/>
              </w:rPr>
            </w:pPr>
          </w:p>
        </w:tc>
        <w:tc>
          <w:tcPr>
            <w:tcW w:w="2407" w:type="dxa"/>
            <w:tcBorders>
              <w:top w:val="single" w:sz="4" w:space="0" w:color="000000"/>
              <w:left w:val="single" w:sz="4" w:space="0" w:color="000000"/>
              <w:bottom w:val="single" w:sz="4" w:space="0" w:color="000000"/>
              <w:right w:val="single" w:sz="4" w:space="0" w:color="000000"/>
            </w:tcBorders>
          </w:tcPr>
          <w:p w:rsidR="00D227E2" w:rsidRDefault="00934FC4">
            <w:pPr>
              <w:pStyle w:val="LO-normal"/>
              <w:jc w:val="both"/>
            </w:pPr>
            <w:r>
              <w:rPr>
                <w:color w:val="000000"/>
                <w:sz w:val="20"/>
                <w:szCs w:val="20"/>
              </w:rPr>
              <w:t>с. </w:t>
            </w:r>
            <w:r>
              <w:rPr>
                <w:sz w:val="20"/>
                <w:szCs w:val="20"/>
              </w:rPr>
              <w:t>Сирники</w:t>
            </w:r>
          </w:p>
        </w:tc>
        <w:tc>
          <w:tcPr>
            <w:tcW w:w="128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341,35</w:t>
            </w:r>
          </w:p>
        </w:tc>
        <w:tc>
          <w:tcPr>
            <w:tcW w:w="183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559</w:t>
            </w:r>
          </w:p>
        </w:tc>
        <w:tc>
          <w:tcPr>
            <w:tcW w:w="129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9</w:t>
            </w:r>
          </w:p>
        </w:tc>
      </w:tr>
      <w:tr w:rsidR="00D227E2">
        <w:trPr>
          <w:jc w:val="center"/>
        </w:trPr>
        <w:tc>
          <w:tcPr>
            <w:tcW w:w="443" w:type="dxa"/>
            <w:vMerge w:val="restart"/>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20"/>
                <w:szCs w:val="20"/>
              </w:rPr>
              <w:t>5</w:t>
            </w:r>
          </w:p>
        </w:tc>
        <w:tc>
          <w:tcPr>
            <w:tcW w:w="2138" w:type="dxa"/>
            <w:vMerge w:val="restart"/>
            <w:tcBorders>
              <w:top w:val="single" w:sz="4" w:space="0" w:color="000000"/>
              <w:left w:val="single" w:sz="4" w:space="0" w:color="000000"/>
              <w:bottom w:val="single" w:sz="4" w:space="0" w:color="000000"/>
              <w:right w:val="single" w:sz="4" w:space="0" w:color="000000"/>
            </w:tcBorders>
          </w:tcPr>
          <w:p w:rsidR="00D227E2" w:rsidRDefault="00934FC4">
            <w:pPr>
              <w:pStyle w:val="LO-normal"/>
              <w:jc w:val="both"/>
            </w:pPr>
            <w:r>
              <w:rPr>
                <w:color w:val="000000"/>
                <w:sz w:val="20"/>
                <w:szCs w:val="20"/>
              </w:rPr>
              <w:t>Заборольський СО</w:t>
            </w:r>
          </w:p>
        </w:tc>
        <w:tc>
          <w:tcPr>
            <w:tcW w:w="2407" w:type="dxa"/>
            <w:tcBorders>
              <w:top w:val="single" w:sz="4" w:space="0" w:color="000000"/>
              <w:left w:val="single" w:sz="4" w:space="0" w:color="000000"/>
              <w:bottom w:val="single" w:sz="4" w:space="0" w:color="000000"/>
            </w:tcBorders>
          </w:tcPr>
          <w:p w:rsidR="00D227E2" w:rsidRDefault="00934FC4">
            <w:pPr>
              <w:pStyle w:val="LO-normal"/>
              <w:jc w:val="both"/>
            </w:pPr>
            <w:r>
              <w:rPr>
                <w:color w:val="000000"/>
                <w:sz w:val="20"/>
                <w:szCs w:val="20"/>
              </w:rPr>
              <w:t>с. </w:t>
            </w:r>
            <w:r>
              <w:rPr>
                <w:sz w:val="20"/>
                <w:szCs w:val="20"/>
              </w:rPr>
              <w:t>Забороль</w:t>
            </w:r>
          </w:p>
        </w:tc>
        <w:tc>
          <w:tcPr>
            <w:tcW w:w="1282" w:type="dxa"/>
            <w:tcBorders>
              <w:top w:val="single" w:sz="4" w:space="0" w:color="000000"/>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792,82</w:t>
            </w:r>
          </w:p>
        </w:tc>
        <w:tc>
          <w:tcPr>
            <w:tcW w:w="1837" w:type="dxa"/>
            <w:tcBorders>
              <w:top w:val="single" w:sz="4" w:space="0" w:color="000000"/>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1858</w:t>
            </w:r>
          </w:p>
        </w:tc>
        <w:tc>
          <w:tcPr>
            <w:tcW w:w="129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5</w:t>
            </w:r>
          </w:p>
        </w:tc>
      </w:tr>
      <w:tr w:rsidR="00D227E2">
        <w:trPr>
          <w:jc w:val="center"/>
        </w:trPr>
        <w:tc>
          <w:tcPr>
            <w:tcW w:w="443"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138" w:type="dxa"/>
            <w:vMerge/>
            <w:tcBorders>
              <w:top w:val="single" w:sz="4" w:space="0" w:color="000000"/>
              <w:left w:val="single" w:sz="4" w:space="0" w:color="000000"/>
              <w:bottom w:val="single" w:sz="4" w:space="0" w:color="000000"/>
              <w:right w:val="single" w:sz="4" w:space="0" w:color="000000"/>
            </w:tcBorders>
          </w:tcPr>
          <w:p w:rsidR="00D227E2" w:rsidRDefault="00D227E2">
            <w:pPr>
              <w:pStyle w:val="LO-normal"/>
              <w:jc w:val="both"/>
              <w:rPr>
                <w:b/>
                <w:sz w:val="20"/>
                <w:szCs w:val="20"/>
              </w:rPr>
            </w:pPr>
          </w:p>
        </w:tc>
        <w:tc>
          <w:tcPr>
            <w:tcW w:w="2407" w:type="dxa"/>
            <w:tcBorders>
              <w:left w:val="single" w:sz="4" w:space="0" w:color="000000"/>
              <w:bottom w:val="single" w:sz="4" w:space="0" w:color="000000"/>
            </w:tcBorders>
          </w:tcPr>
          <w:p w:rsidR="00D227E2" w:rsidRDefault="00934FC4">
            <w:pPr>
              <w:pStyle w:val="LO-normal"/>
              <w:jc w:val="both"/>
            </w:pPr>
            <w:r>
              <w:rPr>
                <w:color w:val="000000"/>
                <w:sz w:val="20"/>
                <w:szCs w:val="20"/>
              </w:rPr>
              <w:t>с. </w:t>
            </w:r>
            <w:r>
              <w:rPr>
                <w:sz w:val="20"/>
                <w:szCs w:val="20"/>
              </w:rPr>
              <w:t>Антонівка</w:t>
            </w:r>
          </w:p>
        </w:tc>
        <w:tc>
          <w:tcPr>
            <w:tcW w:w="1282" w:type="dxa"/>
            <w:tcBorders>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171,29</w:t>
            </w:r>
          </w:p>
        </w:tc>
        <w:tc>
          <w:tcPr>
            <w:tcW w:w="1837" w:type="dxa"/>
            <w:tcBorders>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251</w:t>
            </w:r>
          </w:p>
        </w:tc>
        <w:tc>
          <w:tcPr>
            <w:tcW w:w="1298"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10</w:t>
            </w:r>
          </w:p>
        </w:tc>
      </w:tr>
      <w:tr w:rsidR="00D227E2">
        <w:trPr>
          <w:jc w:val="center"/>
        </w:trPr>
        <w:tc>
          <w:tcPr>
            <w:tcW w:w="443"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138" w:type="dxa"/>
            <w:vMerge/>
            <w:tcBorders>
              <w:top w:val="single" w:sz="4" w:space="0" w:color="000000"/>
              <w:left w:val="single" w:sz="4" w:space="0" w:color="000000"/>
              <w:bottom w:val="single" w:sz="4" w:space="0" w:color="000000"/>
              <w:right w:val="single" w:sz="4" w:space="0" w:color="000000"/>
            </w:tcBorders>
          </w:tcPr>
          <w:p w:rsidR="00D227E2" w:rsidRDefault="00D227E2">
            <w:pPr>
              <w:pStyle w:val="LO-normal"/>
              <w:jc w:val="both"/>
              <w:rPr>
                <w:b/>
                <w:sz w:val="20"/>
                <w:szCs w:val="20"/>
              </w:rPr>
            </w:pPr>
          </w:p>
        </w:tc>
        <w:tc>
          <w:tcPr>
            <w:tcW w:w="2407" w:type="dxa"/>
            <w:tcBorders>
              <w:left w:val="single" w:sz="4" w:space="0" w:color="000000"/>
              <w:bottom w:val="single" w:sz="4" w:space="0" w:color="000000"/>
            </w:tcBorders>
          </w:tcPr>
          <w:p w:rsidR="00D227E2" w:rsidRDefault="00934FC4">
            <w:pPr>
              <w:pStyle w:val="LO-normal"/>
              <w:jc w:val="both"/>
            </w:pPr>
            <w:r>
              <w:rPr>
                <w:color w:val="000000"/>
                <w:sz w:val="20"/>
                <w:szCs w:val="20"/>
              </w:rPr>
              <w:t>с. </w:t>
            </w:r>
            <w:r>
              <w:rPr>
                <w:sz w:val="20"/>
                <w:szCs w:val="20"/>
              </w:rPr>
              <w:t>Великий Омеляник</w:t>
            </w:r>
          </w:p>
        </w:tc>
        <w:tc>
          <w:tcPr>
            <w:tcW w:w="1282" w:type="dxa"/>
            <w:tcBorders>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400,2</w:t>
            </w:r>
          </w:p>
        </w:tc>
        <w:tc>
          <w:tcPr>
            <w:tcW w:w="1837" w:type="dxa"/>
            <w:tcBorders>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2000</w:t>
            </w:r>
          </w:p>
        </w:tc>
        <w:tc>
          <w:tcPr>
            <w:tcW w:w="1298"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3</w:t>
            </w:r>
          </w:p>
        </w:tc>
      </w:tr>
      <w:tr w:rsidR="00D227E2">
        <w:trPr>
          <w:jc w:val="center"/>
        </w:trPr>
        <w:tc>
          <w:tcPr>
            <w:tcW w:w="443"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138" w:type="dxa"/>
            <w:vMerge/>
            <w:tcBorders>
              <w:top w:val="single" w:sz="4" w:space="0" w:color="000000"/>
              <w:left w:val="single" w:sz="4" w:space="0" w:color="000000"/>
              <w:bottom w:val="single" w:sz="4" w:space="0" w:color="000000"/>
              <w:right w:val="single" w:sz="4" w:space="0" w:color="000000"/>
            </w:tcBorders>
          </w:tcPr>
          <w:p w:rsidR="00D227E2" w:rsidRDefault="00D227E2">
            <w:pPr>
              <w:pStyle w:val="LO-normal"/>
              <w:jc w:val="both"/>
              <w:rPr>
                <w:b/>
                <w:sz w:val="20"/>
                <w:szCs w:val="20"/>
              </w:rPr>
            </w:pPr>
          </w:p>
        </w:tc>
        <w:tc>
          <w:tcPr>
            <w:tcW w:w="2407" w:type="dxa"/>
            <w:tcBorders>
              <w:left w:val="single" w:sz="4" w:space="0" w:color="000000"/>
              <w:bottom w:val="single" w:sz="4" w:space="0" w:color="000000"/>
            </w:tcBorders>
          </w:tcPr>
          <w:p w:rsidR="00D227E2" w:rsidRDefault="00934FC4">
            <w:pPr>
              <w:pStyle w:val="LO-normal"/>
              <w:jc w:val="both"/>
            </w:pPr>
            <w:r>
              <w:rPr>
                <w:color w:val="000000"/>
                <w:sz w:val="20"/>
                <w:szCs w:val="20"/>
              </w:rPr>
              <w:t>с. </w:t>
            </w:r>
            <w:r>
              <w:rPr>
                <w:sz w:val="20"/>
                <w:szCs w:val="20"/>
              </w:rPr>
              <w:t>Всеволодівка</w:t>
            </w:r>
          </w:p>
        </w:tc>
        <w:tc>
          <w:tcPr>
            <w:tcW w:w="1282" w:type="dxa"/>
            <w:tcBorders>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92,86</w:t>
            </w:r>
          </w:p>
        </w:tc>
        <w:tc>
          <w:tcPr>
            <w:tcW w:w="1837" w:type="dxa"/>
            <w:tcBorders>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55</w:t>
            </w:r>
          </w:p>
        </w:tc>
        <w:tc>
          <w:tcPr>
            <w:tcW w:w="1298"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11,5</w:t>
            </w:r>
          </w:p>
        </w:tc>
      </w:tr>
      <w:tr w:rsidR="00D227E2">
        <w:trPr>
          <w:jc w:val="center"/>
        </w:trPr>
        <w:tc>
          <w:tcPr>
            <w:tcW w:w="443"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138" w:type="dxa"/>
            <w:vMerge/>
            <w:tcBorders>
              <w:top w:val="single" w:sz="4" w:space="0" w:color="000000"/>
              <w:left w:val="single" w:sz="4" w:space="0" w:color="000000"/>
              <w:bottom w:val="single" w:sz="4" w:space="0" w:color="000000"/>
              <w:right w:val="single" w:sz="4" w:space="0" w:color="000000"/>
            </w:tcBorders>
          </w:tcPr>
          <w:p w:rsidR="00D227E2" w:rsidRDefault="00D227E2">
            <w:pPr>
              <w:pStyle w:val="LO-normal"/>
              <w:jc w:val="both"/>
              <w:rPr>
                <w:b/>
                <w:sz w:val="20"/>
                <w:szCs w:val="20"/>
              </w:rPr>
            </w:pPr>
          </w:p>
        </w:tc>
        <w:tc>
          <w:tcPr>
            <w:tcW w:w="2407" w:type="dxa"/>
            <w:tcBorders>
              <w:left w:val="single" w:sz="4" w:space="0" w:color="000000"/>
              <w:bottom w:val="single" w:sz="4" w:space="0" w:color="000000"/>
            </w:tcBorders>
          </w:tcPr>
          <w:p w:rsidR="00D227E2" w:rsidRDefault="00934FC4">
            <w:pPr>
              <w:pStyle w:val="LO-normal"/>
              <w:jc w:val="both"/>
            </w:pPr>
            <w:r>
              <w:rPr>
                <w:color w:val="000000"/>
                <w:sz w:val="20"/>
                <w:szCs w:val="20"/>
              </w:rPr>
              <w:t>с. </w:t>
            </w:r>
            <w:r>
              <w:rPr>
                <w:sz w:val="20"/>
                <w:szCs w:val="20"/>
              </w:rPr>
              <w:t>Олександрівка</w:t>
            </w:r>
          </w:p>
        </w:tc>
        <w:tc>
          <w:tcPr>
            <w:tcW w:w="1282" w:type="dxa"/>
            <w:tcBorders>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111,87</w:t>
            </w:r>
          </w:p>
        </w:tc>
        <w:tc>
          <w:tcPr>
            <w:tcW w:w="1837" w:type="dxa"/>
            <w:tcBorders>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103</w:t>
            </w:r>
          </w:p>
        </w:tc>
        <w:tc>
          <w:tcPr>
            <w:tcW w:w="1298"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10,5</w:t>
            </w:r>
          </w:p>
        </w:tc>
      </w:tr>
      <w:tr w:rsidR="00D227E2">
        <w:trPr>
          <w:jc w:val="center"/>
        </w:trPr>
        <w:tc>
          <w:tcPr>
            <w:tcW w:w="443"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138" w:type="dxa"/>
            <w:vMerge/>
            <w:tcBorders>
              <w:top w:val="single" w:sz="4" w:space="0" w:color="000000"/>
              <w:left w:val="single" w:sz="4" w:space="0" w:color="000000"/>
              <w:bottom w:val="single" w:sz="4" w:space="0" w:color="000000"/>
              <w:right w:val="single" w:sz="4" w:space="0" w:color="000000"/>
            </w:tcBorders>
          </w:tcPr>
          <w:p w:rsidR="00D227E2" w:rsidRDefault="00D227E2">
            <w:pPr>
              <w:pStyle w:val="LO-normal"/>
              <w:jc w:val="both"/>
              <w:rPr>
                <w:b/>
                <w:sz w:val="20"/>
                <w:szCs w:val="20"/>
              </w:rPr>
            </w:pPr>
          </w:p>
        </w:tc>
        <w:tc>
          <w:tcPr>
            <w:tcW w:w="2407" w:type="dxa"/>
            <w:tcBorders>
              <w:left w:val="single" w:sz="4" w:space="0" w:color="000000"/>
              <w:bottom w:val="single" w:sz="4" w:space="0" w:color="000000"/>
            </w:tcBorders>
          </w:tcPr>
          <w:p w:rsidR="00D227E2" w:rsidRDefault="00934FC4">
            <w:pPr>
              <w:pStyle w:val="LO-normal"/>
              <w:jc w:val="both"/>
            </w:pPr>
            <w:r>
              <w:rPr>
                <w:color w:val="000000"/>
                <w:sz w:val="20"/>
                <w:szCs w:val="20"/>
              </w:rPr>
              <w:t>с. </w:t>
            </w:r>
            <w:r>
              <w:rPr>
                <w:sz w:val="20"/>
                <w:szCs w:val="20"/>
              </w:rPr>
              <w:t>Одеради</w:t>
            </w:r>
          </w:p>
        </w:tc>
        <w:tc>
          <w:tcPr>
            <w:tcW w:w="1282" w:type="dxa"/>
            <w:tcBorders>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145,49</w:t>
            </w:r>
          </w:p>
        </w:tc>
        <w:tc>
          <w:tcPr>
            <w:tcW w:w="1837" w:type="dxa"/>
            <w:tcBorders>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373</w:t>
            </w:r>
          </w:p>
        </w:tc>
        <w:tc>
          <w:tcPr>
            <w:tcW w:w="1298"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15</w:t>
            </w:r>
          </w:p>
        </w:tc>
      </w:tr>
      <w:tr w:rsidR="00D227E2">
        <w:trPr>
          <w:jc w:val="center"/>
        </w:trPr>
        <w:tc>
          <w:tcPr>
            <w:tcW w:w="443"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138" w:type="dxa"/>
            <w:vMerge/>
            <w:tcBorders>
              <w:top w:val="single" w:sz="4" w:space="0" w:color="000000"/>
              <w:left w:val="single" w:sz="4" w:space="0" w:color="000000"/>
              <w:bottom w:val="single" w:sz="4" w:space="0" w:color="000000"/>
              <w:right w:val="single" w:sz="4" w:space="0" w:color="000000"/>
            </w:tcBorders>
          </w:tcPr>
          <w:p w:rsidR="00D227E2" w:rsidRDefault="00D227E2">
            <w:pPr>
              <w:pStyle w:val="LO-normal"/>
              <w:jc w:val="both"/>
              <w:rPr>
                <w:b/>
                <w:sz w:val="20"/>
                <w:szCs w:val="20"/>
              </w:rPr>
            </w:pPr>
          </w:p>
        </w:tc>
        <w:tc>
          <w:tcPr>
            <w:tcW w:w="2407" w:type="dxa"/>
            <w:tcBorders>
              <w:left w:val="single" w:sz="4" w:space="0" w:color="000000"/>
              <w:bottom w:val="single" w:sz="4" w:space="0" w:color="000000"/>
            </w:tcBorders>
          </w:tcPr>
          <w:p w:rsidR="00D227E2" w:rsidRDefault="00934FC4">
            <w:pPr>
              <w:pStyle w:val="LO-normal"/>
              <w:jc w:val="both"/>
            </w:pPr>
            <w:r>
              <w:rPr>
                <w:color w:val="000000"/>
                <w:sz w:val="20"/>
                <w:szCs w:val="20"/>
              </w:rPr>
              <w:t>с. </w:t>
            </w:r>
            <w:r>
              <w:rPr>
                <w:sz w:val="20"/>
                <w:szCs w:val="20"/>
              </w:rPr>
              <w:t>Городок</w:t>
            </w:r>
          </w:p>
        </w:tc>
        <w:tc>
          <w:tcPr>
            <w:tcW w:w="1282" w:type="dxa"/>
            <w:tcBorders>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139,3</w:t>
            </w:r>
          </w:p>
        </w:tc>
        <w:tc>
          <w:tcPr>
            <w:tcW w:w="1837" w:type="dxa"/>
            <w:tcBorders>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238</w:t>
            </w:r>
          </w:p>
        </w:tc>
        <w:tc>
          <w:tcPr>
            <w:tcW w:w="1298"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13</w:t>
            </w:r>
          </w:p>
        </w:tc>
      </w:tr>
      <w:tr w:rsidR="00D227E2">
        <w:trPr>
          <w:jc w:val="center"/>
        </w:trPr>
        <w:tc>
          <w:tcPr>
            <w:tcW w:w="443"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138" w:type="dxa"/>
            <w:vMerge/>
            <w:tcBorders>
              <w:top w:val="single" w:sz="4" w:space="0" w:color="000000"/>
              <w:left w:val="single" w:sz="4" w:space="0" w:color="000000"/>
              <w:bottom w:val="single" w:sz="4" w:space="0" w:color="000000"/>
              <w:right w:val="single" w:sz="4" w:space="0" w:color="000000"/>
            </w:tcBorders>
          </w:tcPr>
          <w:p w:rsidR="00D227E2" w:rsidRDefault="00D227E2">
            <w:pPr>
              <w:pStyle w:val="LO-normal"/>
              <w:jc w:val="both"/>
              <w:rPr>
                <w:b/>
                <w:sz w:val="20"/>
                <w:szCs w:val="20"/>
              </w:rPr>
            </w:pPr>
          </w:p>
        </w:tc>
        <w:tc>
          <w:tcPr>
            <w:tcW w:w="2407" w:type="dxa"/>
            <w:tcBorders>
              <w:left w:val="single" w:sz="4" w:space="0" w:color="000000"/>
              <w:bottom w:val="single" w:sz="4" w:space="0" w:color="000000"/>
            </w:tcBorders>
          </w:tcPr>
          <w:p w:rsidR="00D227E2" w:rsidRDefault="00934FC4">
            <w:pPr>
              <w:pStyle w:val="LO-normal"/>
              <w:jc w:val="both"/>
            </w:pPr>
            <w:r>
              <w:rPr>
                <w:color w:val="000000"/>
                <w:sz w:val="20"/>
                <w:szCs w:val="20"/>
              </w:rPr>
              <w:t>с. </w:t>
            </w:r>
            <w:r>
              <w:rPr>
                <w:sz w:val="20"/>
                <w:szCs w:val="20"/>
              </w:rPr>
              <w:t>Сьомаки</w:t>
            </w:r>
          </w:p>
        </w:tc>
        <w:tc>
          <w:tcPr>
            <w:tcW w:w="1282" w:type="dxa"/>
            <w:tcBorders>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211,9</w:t>
            </w:r>
          </w:p>
        </w:tc>
        <w:tc>
          <w:tcPr>
            <w:tcW w:w="1837" w:type="dxa"/>
            <w:tcBorders>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389</w:t>
            </w:r>
          </w:p>
        </w:tc>
        <w:tc>
          <w:tcPr>
            <w:tcW w:w="1298"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20</w:t>
            </w:r>
          </w:p>
        </w:tc>
      </w:tr>
      <w:tr w:rsidR="00D227E2">
        <w:trPr>
          <w:jc w:val="center"/>
        </w:trPr>
        <w:tc>
          <w:tcPr>
            <w:tcW w:w="443"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138" w:type="dxa"/>
            <w:vMerge/>
            <w:tcBorders>
              <w:top w:val="single" w:sz="4" w:space="0" w:color="000000"/>
              <w:left w:val="single" w:sz="4" w:space="0" w:color="000000"/>
              <w:bottom w:val="single" w:sz="4" w:space="0" w:color="000000"/>
              <w:right w:val="single" w:sz="4" w:space="0" w:color="000000"/>
            </w:tcBorders>
          </w:tcPr>
          <w:p w:rsidR="00D227E2" w:rsidRDefault="00D227E2">
            <w:pPr>
              <w:pStyle w:val="LO-normal"/>
              <w:jc w:val="both"/>
              <w:rPr>
                <w:b/>
                <w:sz w:val="20"/>
                <w:szCs w:val="20"/>
              </w:rPr>
            </w:pPr>
          </w:p>
        </w:tc>
        <w:tc>
          <w:tcPr>
            <w:tcW w:w="2407" w:type="dxa"/>
            <w:tcBorders>
              <w:left w:val="single" w:sz="4" w:space="0" w:color="000000"/>
              <w:bottom w:val="single" w:sz="4" w:space="0" w:color="000000"/>
            </w:tcBorders>
          </w:tcPr>
          <w:p w:rsidR="00D227E2" w:rsidRDefault="00934FC4">
            <w:pPr>
              <w:pStyle w:val="LO-normal"/>
              <w:jc w:val="both"/>
            </w:pPr>
            <w:r>
              <w:rPr>
                <w:color w:val="000000"/>
                <w:sz w:val="20"/>
                <w:szCs w:val="20"/>
              </w:rPr>
              <w:t>с. </w:t>
            </w:r>
            <w:r>
              <w:rPr>
                <w:sz w:val="20"/>
                <w:szCs w:val="20"/>
              </w:rPr>
              <w:t>Шепель</w:t>
            </w:r>
          </w:p>
        </w:tc>
        <w:tc>
          <w:tcPr>
            <w:tcW w:w="1282" w:type="dxa"/>
            <w:tcBorders>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445,96</w:t>
            </w:r>
          </w:p>
        </w:tc>
        <w:tc>
          <w:tcPr>
            <w:tcW w:w="1837" w:type="dxa"/>
            <w:tcBorders>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472</w:t>
            </w:r>
          </w:p>
        </w:tc>
        <w:tc>
          <w:tcPr>
            <w:tcW w:w="1298"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16,5</w:t>
            </w:r>
          </w:p>
        </w:tc>
      </w:tr>
      <w:tr w:rsidR="00D227E2">
        <w:trPr>
          <w:jc w:val="center"/>
        </w:trPr>
        <w:tc>
          <w:tcPr>
            <w:tcW w:w="443"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138" w:type="dxa"/>
            <w:vMerge/>
            <w:tcBorders>
              <w:top w:val="single" w:sz="4" w:space="0" w:color="000000"/>
              <w:left w:val="single" w:sz="4" w:space="0" w:color="000000"/>
              <w:bottom w:val="single" w:sz="4" w:space="0" w:color="000000"/>
              <w:right w:val="single" w:sz="4" w:space="0" w:color="000000"/>
            </w:tcBorders>
          </w:tcPr>
          <w:p w:rsidR="00D227E2" w:rsidRDefault="00D227E2">
            <w:pPr>
              <w:pStyle w:val="LO-normal"/>
              <w:jc w:val="both"/>
              <w:rPr>
                <w:b/>
                <w:sz w:val="20"/>
                <w:szCs w:val="20"/>
              </w:rPr>
            </w:pPr>
          </w:p>
        </w:tc>
        <w:tc>
          <w:tcPr>
            <w:tcW w:w="2407" w:type="dxa"/>
            <w:tcBorders>
              <w:top w:val="single" w:sz="4" w:space="0" w:color="000000"/>
              <w:left w:val="single" w:sz="4" w:space="0" w:color="000000"/>
              <w:bottom w:val="single" w:sz="4" w:space="0" w:color="000000"/>
              <w:right w:val="single" w:sz="4" w:space="0" w:color="000000"/>
            </w:tcBorders>
          </w:tcPr>
          <w:p w:rsidR="00D227E2" w:rsidRDefault="00934FC4">
            <w:pPr>
              <w:pStyle w:val="LO-normal"/>
              <w:jc w:val="both"/>
            </w:pPr>
            <w:r>
              <w:rPr>
                <w:color w:val="000000"/>
                <w:sz w:val="20"/>
                <w:szCs w:val="20"/>
              </w:rPr>
              <w:t>с. </w:t>
            </w:r>
            <w:r>
              <w:rPr>
                <w:sz w:val="20"/>
                <w:szCs w:val="20"/>
              </w:rPr>
              <w:t>Заболотці</w:t>
            </w:r>
          </w:p>
        </w:tc>
        <w:tc>
          <w:tcPr>
            <w:tcW w:w="128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195,86</w:t>
            </w:r>
          </w:p>
        </w:tc>
        <w:tc>
          <w:tcPr>
            <w:tcW w:w="183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130</w:t>
            </w:r>
          </w:p>
        </w:tc>
        <w:tc>
          <w:tcPr>
            <w:tcW w:w="129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18</w:t>
            </w:r>
          </w:p>
        </w:tc>
      </w:tr>
      <w:tr w:rsidR="00D227E2">
        <w:trPr>
          <w:jc w:val="center"/>
        </w:trPr>
        <w:tc>
          <w:tcPr>
            <w:tcW w:w="443"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hAnsi="Times New Roman" w:cs="Times New Roman"/>
                <w:sz w:val="20"/>
                <w:szCs w:val="20"/>
              </w:rPr>
            </w:pPr>
          </w:p>
        </w:tc>
        <w:tc>
          <w:tcPr>
            <w:tcW w:w="2138" w:type="dxa"/>
            <w:vMerge/>
            <w:tcBorders>
              <w:top w:val="single" w:sz="4" w:space="0" w:color="000000"/>
              <w:left w:val="single" w:sz="4" w:space="0" w:color="000000"/>
              <w:bottom w:val="single" w:sz="4" w:space="0" w:color="000000"/>
              <w:right w:val="single" w:sz="4" w:space="0" w:color="000000"/>
            </w:tcBorders>
          </w:tcPr>
          <w:p w:rsidR="00D227E2" w:rsidRDefault="00D227E2">
            <w:pPr>
              <w:pStyle w:val="LO-normal"/>
              <w:jc w:val="both"/>
              <w:rPr>
                <w:b/>
                <w:sz w:val="20"/>
                <w:szCs w:val="20"/>
              </w:rPr>
            </w:pPr>
          </w:p>
        </w:tc>
        <w:tc>
          <w:tcPr>
            <w:tcW w:w="2407" w:type="dxa"/>
            <w:tcBorders>
              <w:top w:val="single" w:sz="4" w:space="0" w:color="000000"/>
              <w:left w:val="single" w:sz="4" w:space="0" w:color="000000"/>
              <w:bottom w:val="single" w:sz="4" w:space="0" w:color="000000"/>
              <w:right w:val="single" w:sz="4" w:space="0" w:color="000000"/>
            </w:tcBorders>
          </w:tcPr>
          <w:p w:rsidR="00D227E2" w:rsidRDefault="00934FC4">
            <w:pPr>
              <w:pStyle w:val="LO-normal"/>
              <w:jc w:val="both"/>
            </w:pPr>
            <w:r>
              <w:rPr>
                <w:color w:val="000000"/>
                <w:sz w:val="20"/>
                <w:szCs w:val="20"/>
              </w:rPr>
              <w:t>с. </w:t>
            </w:r>
            <w:r>
              <w:rPr>
                <w:sz w:val="20"/>
                <w:szCs w:val="20"/>
              </w:rPr>
              <w:t>Охотин</w:t>
            </w:r>
          </w:p>
        </w:tc>
        <w:tc>
          <w:tcPr>
            <w:tcW w:w="128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175,52</w:t>
            </w:r>
          </w:p>
        </w:tc>
        <w:tc>
          <w:tcPr>
            <w:tcW w:w="183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221</w:t>
            </w:r>
          </w:p>
        </w:tc>
        <w:tc>
          <w:tcPr>
            <w:tcW w:w="129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14,5</w:t>
            </w:r>
          </w:p>
        </w:tc>
      </w:tr>
      <w:tr w:rsidR="00D227E2">
        <w:trPr>
          <w:jc w:val="center"/>
        </w:trPr>
        <w:tc>
          <w:tcPr>
            <w:tcW w:w="4988" w:type="dxa"/>
            <w:gridSpan w:val="3"/>
            <w:tcBorders>
              <w:top w:val="single" w:sz="4" w:space="0" w:color="000000"/>
              <w:left w:val="single" w:sz="4" w:space="0" w:color="000000"/>
              <w:bottom w:val="single" w:sz="4" w:space="0" w:color="000000"/>
              <w:right w:val="single" w:sz="4" w:space="0" w:color="000000"/>
            </w:tcBorders>
          </w:tcPr>
          <w:p w:rsidR="00D227E2" w:rsidRDefault="00934FC4">
            <w:pPr>
              <w:pStyle w:val="LO-normal"/>
              <w:jc w:val="right"/>
            </w:pPr>
            <w:r>
              <w:rPr>
                <w:color w:val="000000"/>
                <w:sz w:val="20"/>
                <w:szCs w:val="20"/>
              </w:rPr>
              <w:t>Разом</w:t>
            </w:r>
          </w:p>
        </w:tc>
        <w:tc>
          <w:tcPr>
            <w:tcW w:w="128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=D2:D36</w:instrText>
            </w:r>
            <w:r>
              <w:rPr>
                <w:rFonts w:ascii="Times New Roman" w:hAnsi="Times New Roman" w:cs="Times New Roman"/>
                <w:sz w:val="20"/>
                <w:szCs w:val="20"/>
              </w:rPr>
              <w:fldChar w:fldCharType="separate"/>
            </w:r>
            <w:r>
              <w:rPr>
                <w:rFonts w:ascii="Times New Roman" w:hAnsi="Times New Roman" w:cs="Times New Roman"/>
                <w:sz w:val="20"/>
                <w:szCs w:val="20"/>
              </w:rPr>
              <w:t>9375,69</w:t>
            </w:r>
            <w:r>
              <w:rPr>
                <w:rFonts w:ascii="Times New Roman" w:hAnsi="Times New Roman" w:cs="Times New Roman"/>
                <w:sz w:val="20"/>
                <w:szCs w:val="20"/>
              </w:rPr>
              <w:fldChar w:fldCharType="end"/>
            </w:r>
          </w:p>
        </w:tc>
        <w:tc>
          <w:tcPr>
            <w:tcW w:w="183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=E2:E36</w:instrText>
            </w:r>
            <w:r>
              <w:rPr>
                <w:rFonts w:ascii="Times New Roman" w:hAnsi="Times New Roman" w:cs="Times New Roman"/>
                <w:sz w:val="20"/>
                <w:szCs w:val="20"/>
              </w:rPr>
              <w:fldChar w:fldCharType="separate"/>
            </w:r>
            <w:r>
              <w:rPr>
                <w:rFonts w:ascii="Times New Roman" w:hAnsi="Times New Roman" w:cs="Times New Roman"/>
                <w:sz w:val="20"/>
                <w:szCs w:val="20"/>
              </w:rPr>
              <w:t>26775</w:t>
            </w:r>
            <w:r>
              <w:rPr>
                <w:rFonts w:ascii="Times New Roman" w:hAnsi="Times New Roman" w:cs="Times New Roman"/>
                <w:sz w:val="20"/>
                <w:szCs w:val="20"/>
              </w:rPr>
              <w:fldChar w:fldCharType="end"/>
            </w:r>
          </w:p>
        </w:tc>
        <w:tc>
          <w:tcPr>
            <w:tcW w:w="129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20"/>
                <w:szCs w:val="20"/>
              </w:rPr>
              <w:t>-</w:t>
            </w:r>
          </w:p>
        </w:tc>
      </w:tr>
    </w:tbl>
    <w:p w:rsidR="00D227E2" w:rsidRDefault="00D227E2">
      <w:pPr>
        <w:spacing w:after="0"/>
        <w:ind w:firstLine="567"/>
        <w:jc w:val="both"/>
        <w:rPr>
          <w:rFonts w:ascii="Times New Roman" w:hAnsi="Times New Roman" w:cs="Times New Roman"/>
          <w:sz w:val="24"/>
          <w:szCs w:val="24"/>
        </w:rPr>
      </w:pPr>
    </w:p>
    <w:p w:rsidR="00D227E2" w:rsidRDefault="00934FC4">
      <w:pPr>
        <w:pStyle w:val="a1"/>
        <w:spacing w:after="0"/>
        <w:jc w:val="both"/>
        <w:rPr>
          <w:rFonts w:ascii="Times New Roman" w:hAnsi="Times New Roman" w:cs="Times New Roman"/>
        </w:rPr>
      </w:pPr>
      <w:r>
        <w:rPr>
          <w:noProof/>
          <w:lang w:eastAsia="uk-UA"/>
        </w:rPr>
        <w:drawing>
          <wp:inline distT="0" distB="0" distL="0" distR="0" wp14:anchorId="579DF116" wp14:editId="6136C81C">
            <wp:extent cx="6082030" cy="4000500"/>
            <wp:effectExtent l="0" t="0" r="0" b="0"/>
            <wp:docPr id="16" name="Зображення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Зображення1 Copy 1"/>
                    <pic:cNvPicPr>
                      <a:picLocks noChangeAspect="1" noChangeArrowheads="1"/>
                    </pic:cNvPicPr>
                  </pic:nvPicPr>
                  <pic:blipFill>
                    <a:blip r:embed="rId38"/>
                    <a:srcRect l="1583" t="1922" r="1961" b="2202"/>
                    <a:stretch>
                      <a:fillRect/>
                    </a:stretch>
                  </pic:blipFill>
                  <pic:spPr bwMode="auto">
                    <a:xfrm>
                      <a:off x="0" y="0"/>
                      <a:ext cx="6082030" cy="4000500"/>
                    </a:xfrm>
                    <a:prstGeom prst="rect">
                      <a:avLst/>
                    </a:prstGeom>
                  </pic:spPr>
                </pic:pic>
              </a:graphicData>
            </a:graphic>
          </wp:inline>
        </w:drawing>
      </w:r>
    </w:p>
    <w:p w:rsidR="00D227E2" w:rsidRDefault="00934FC4">
      <w:pPr>
        <w:pStyle w:val="2"/>
        <w:spacing w:before="0" w:after="0"/>
        <w:ind w:firstLine="567"/>
        <w:jc w:val="center"/>
        <w:rPr>
          <w:rFonts w:ascii="Times New Roman" w:hAnsi="Times New Roman" w:cs="Times New Roman"/>
        </w:rPr>
      </w:pPr>
      <w:r>
        <w:rPr>
          <w:rFonts w:ascii="Times New Roman" w:hAnsi="Times New Roman" w:cs="Times New Roman"/>
          <w:b w:val="0"/>
          <w:bCs w:val="0"/>
          <w:sz w:val="24"/>
          <w:szCs w:val="24"/>
        </w:rPr>
        <w:t>Рисунок 6. Мапа Луцької МТГ</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rPr>
        <w:t>Луцька МТГ має потужний потенціал для розвитку культурного та інших видів туризму, сприятливу екологію, велику кількість пам’яток архітектури, заповідну історичну зону, розвинуті мистецькі осередки і фестивальний імідж.</w:t>
      </w:r>
    </w:p>
    <w:p w:rsidR="00D227E2" w:rsidRDefault="00934FC4">
      <w:pPr>
        <w:pStyle w:val="a1"/>
        <w:suppressAutoHyphens w:val="0"/>
        <w:spacing w:after="0"/>
        <w:ind w:firstLine="567"/>
        <w:jc w:val="both"/>
        <w:rPr>
          <w:rFonts w:ascii="Times New Roman" w:hAnsi="Times New Roman" w:cs="Times New Roman"/>
        </w:rPr>
      </w:pPr>
      <w:r>
        <w:rPr>
          <w:rFonts w:ascii="Times New Roman" w:hAnsi="Times New Roman" w:cs="Times New Roman"/>
          <w:color w:val="000000"/>
          <w:sz w:val="24"/>
          <w:szCs w:val="24"/>
        </w:rPr>
        <w:t>Сучасний Луцьк умовно ділять на Старе і Нове місто. Старе місто – це історико-архітектурний заповідник з пам’ятками архітектури ХІІ-ХVIII століття. Головною визначною пам'яткою та великою гордістю Луцька є Луцький замок. Верхній Луцький замок, входить у десятку найдавніших фортифікаційних споруд Західної Європи.</w:t>
      </w:r>
    </w:p>
    <w:p w:rsidR="00D227E2" w:rsidRDefault="00934FC4">
      <w:pPr>
        <w:pStyle w:val="a1"/>
        <w:spacing w:after="0"/>
        <w:jc w:val="center"/>
        <w:rPr>
          <w:rFonts w:ascii="Times New Roman" w:hAnsi="Times New Roman" w:cs="Times New Roman"/>
        </w:rPr>
      </w:pPr>
      <w:r>
        <w:rPr>
          <w:noProof/>
          <w:lang w:eastAsia="uk-UA"/>
        </w:rPr>
        <w:drawing>
          <wp:inline distT="0" distB="0" distL="0" distR="0" wp14:anchorId="0DA7C253" wp14:editId="77D6B00F">
            <wp:extent cx="2098675" cy="2364740"/>
            <wp:effectExtent l="0" t="0" r="0" b="0"/>
            <wp:docPr id="17" name="Зображення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Зображення7"/>
                    <pic:cNvPicPr>
                      <a:picLocks noChangeAspect="1" noChangeArrowheads="1"/>
                    </pic:cNvPicPr>
                  </pic:nvPicPr>
                  <pic:blipFill>
                    <a:blip r:embed="rId39"/>
                    <a:stretch>
                      <a:fillRect/>
                    </a:stretch>
                  </pic:blipFill>
                  <pic:spPr bwMode="auto">
                    <a:xfrm>
                      <a:off x="0" y="0"/>
                      <a:ext cx="2098675" cy="2364740"/>
                    </a:xfrm>
                    <a:prstGeom prst="rect">
                      <a:avLst/>
                    </a:prstGeom>
                  </pic:spPr>
                </pic:pic>
              </a:graphicData>
            </a:graphic>
          </wp:inline>
        </w:drawing>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rPr>
        <w:t>Транспортне обслуговування Луцька забезпечується автомобільним, залізничним та електротранспортом.</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rPr>
        <w:t xml:space="preserve">Добре розвинута інфраструктура банківських установ, страхових компаній. </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rPr>
        <w:lastRenderedPageBreak/>
        <w:t>В обласному центрі Волині виходить 6 друкованих засобів масової інформації, працює 4 телекомпанії, 3 FM радіостанції та 10 популярних інтернет видань.</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rPr>
        <w:t xml:space="preserve">Науково-освітній потенціал міста представлений 38 загальноосвітніми навчальними закладами, 5 професійно-технічними закладами, 10 вищими навчальними закладами. </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rPr>
        <w:t>Кількість постійних дошкільних закладів 51 одиниця (в т.ч. 1 у складі навчально-виховного об’єднання (НВО) закладу загальної середньої освіти).</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rPr>
        <w:t xml:space="preserve">Діти мають можливість для відвідування позашкільних установ: Палац учнівської молоді, Луцький міський Центр науково-технічної творчості учнівської молоді Луцької міської ради, Міський центр туризму, спорту і краєзнавства учнівської молоді Луцької міської ради, Волинська обласна Мала академія наук. </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rPr>
        <w:t>Розвинена спортивна інфраструктура. На території Луцької МТГ функціонує 5 ДЮСШ. </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rPr>
        <w:t xml:space="preserve">У м. Луцьку функціонує 19 лікарняних закладів: обласна лікарня, перинатальний центр, обласна дитяча лікарня, міська лікарня, спеціалізовані лікарні, госпіталь для інвалідів війни, пологовий будинок, медичний центр реабілітації учасників бойових дій Луцької МТГ, стоматологічна поліклініка, інфекційна лікарня, психіатрична та наркологічна лікарні та диспансери зі стаціонарами. Також функціонують амбулаторно – поліклінічні заклади (стоматологічні поліклініки, диспансери, амбулаторії й інші). </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rPr>
        <w:t>Працює понад 100 аптечних закладів, також місто забезпечене лікувально-профілактичними закладами комунальної власності.</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rPr>
        <w:t xml:space="preserve">Луцьк має добре розвинену мережу торговельних об’єктів, закладів ресторанного господарства та об’єктів сфери послуг. </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rPr>
        <w:t>Автомобільний ринок, який знаходиться на вулиці Єршова – один з найбільших в Україні.</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rPr>
        <w:t xml:space="preserve">Одночасно Луцьк у своїх готелях може прийняти понад 1200 осіб. </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rPr>
        <w:t xml:space="preserve">У місті налічується багато пам'яток архітектури, церков, старих будинків та пам'ятників. </w:t>
      </w:r>
    </w:p>
    <w:p w:rsidR="00D227E2" w:rsidRDefault="00934FC4">
      <w:pPr>
        <w:pStyle w:val="a1"/>
        <w:spacing w:after="0"/>
        <w:ind w:firstLine="567"/>
        <w:jc w:val="center"/>
        <w:rPr>
          <w:rFonts w:ascii="Times New Roman" w:hAnsi="Times New Roman" w:cs="Times New Roman"/>
        </w:rPr>
      </w:pPr>
      <w:r>
        <w:rPr>
          <w:noProof/>
          <w:lang w:eastAsia="uk-UA"/>
        </w:rPr>
        <w:drawing>
          <wp:inline distT="0" distB="0" distL="0" distR="0" wp14:anchorId="022D1B5A" wp14:editId="177EEE64">
            <wp:extent cx="3798570" cy="2261235"/>
            <wp:effectExtent l="0" t="0" r="0" b="0"/>
            <wp:docPr id="18" name="Зображення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Зображення4 Copy 1"/>
                    <pic:cNvPicPr>
                      <a:picLocks noChangeAspect="1" noChangeArrowheads="1"/>
                    </pic:cNvPicPr>
                  </pic:nvPicPr>
                  <pic:blipFill>
                    <a:blip r:embed="rId40"/>
                    <a:stretch>
                      <a:fillRect/>
                    </a:stretch>
                  </pic:blipFill>
                  <pic:spPr bwMode="auto">
                    <a:xfrm>
                      <a:off x="0" y="0"/>
                      <a:ext cx="3798570" cy="2261235"/>
                    </a:xfrm>
                    <a:prstGeom prst="rect">
                      <a:avLst/>
                    </a:prstGeom>
                  </pic:spPr>
                </pic:pic>
              </a:graphicData>
            </a:graphic>
          </wp:inline>
        </w:drawing>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rPr>
        <w:t>Луцьк відомий далеко за межами України і як місто різноманітних фестивалів, національних ярмарків та лицарських турнірів. </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rPr>
        <w:t xml:space="preserve">Культурно-мистецьке життя Луцька представлене творчими доробками артистів обласного академічного музично-драматичного театру ім. Тараса Шевченка, концертними проєктами Палацу культури м. Луцька, виступами митців обласної філармонії та виставами театру ляльок. </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rPr>
        <w:lastRenderedPageBreak/>
        <w:t>У музеї дзвонів, який розташований у Луцькому замку, можна не тільки оглянути виставку експонатів, але й послухати їх чарівні передзвони. У м. Луцьку налічується 160 одиниць пам’яток історико-культурної спадщини.</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rPr>
        <w:t>Населення та його зайнятість</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rPr>
        <w:t xml:space="preserve">Відповідно до даних головного управління статистики у Волинській області в Луцькій МТГ станом на 01.01.2022 чисельність наявного населення становила – 243 482 особи, м. Луцька – 215 986 осіб (у 2007 розрахункова чисельність наявного населення Луцької МТГ становила – 227 764 особи,  м. Луцька – 207 586 осіб). </w:t>
      </w:r>
    </w:p>
    <w:p w:rsidR="00D227E2" w:rsidRDefault="00934FC4">
      <w:pPr>
        <w:widowControl w:val="0"/>
        <w:spacing w:after="0"/>
        <w:ind w:firstLine="567"/>
        <w:jc w:val="both"/>
        <w:rPr>
          <w:rFonts w:ascii="Times New Roman" w:hAnsi="Times New Roman" w:cs="Times New Roman"/>
        </w:rPr>
      </w:pPr>
      <w:r>
        <w:rPr>
          <w:rFonts w:ascii="Times New Roman" w:hAnsi="Times New Roman" w:cs="Times New Roman"/>
          <w:color w:val="000000"/>
          <w:sz w:val="24"/>
          <w:szCs w:val="24"/>
        </w:rPr>
        <w:t>На рисунку 7 наведено динаміку кількості наявного населення м. Луцька (2007, 2016-2021).</w:t>
      </w:r>
    </w:p>
    <w:p w:rsidR="00D227E2" w:rsidRDefault="00934FC4">
      <w:pPr>
        <w:jc w:val="center"/>
        <w:rPr>
          <w:rFonts w:ascii="Times New Roman" w:hAnsi="Times New Roman" w:cs="Times New Roman"/>
        </w:rPr>
      </w:pPr>
      <w:r>
        <w:rPr>
          <w:noProof/>
          <w:lang w:eastAsia="uk-UA"/>
        </w:rPr>
        <w:drawing>
          <wp:inline distT="0" distB="0" distL="0" distR="0" wp14:anchorId="7B8C29A0" wp14:editId="4B25D1EA">
            <wp:extent cx="3938270" cy="2214880"/>
            <wp:effectExtent l="0" t="0" r="0" b="0"/>
            <wp:docPr id="19" name="Диаграмма 66" descr="діаграма"/>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Pr>
          <w:rFonts w:ascii="Times New Roman" w:hAnsi="Times New Roman" w:cs="Times New Roman"/>
        </w:rPr>
        <w:t> </w:t>
      </w:r>
    </w:p>
    <w:p w:rsidR="00D227E2" w:rsidRDefault="00934FC4">
      <w:pPr>
        <w:jc w:val="center"/>
        <w:rPr>
          <w:rFonts w:ascii="Times New Roman" w:hAnsi="Times New Roman" w:cs="Times New Roman"/>
        </w:rPr>
      </w:pPr>
      <w:r>
        <w:rPr>
          <w:rFonts w:ascii="Times New Roman" w:hAnsi="Times New Roman" w:cs="Times New Roman"/>
          <w:color w:val="000000"/>
        </w:rPr>
        <w:t xml:space="preserve">Рисунок 7. Динаміка кількості наявного населення м. Луцька </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 xml:space="preserve">Під час воєнного стану Луцька МТГ проявила себе осередком для прихистку вимушених переселенців та надійним партнером для релокації бізнесів із зони бойових дій. Така тенденція має позитивний вплив на збільшення загальної кількості населення територіальної громади. </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Узагальнені показники за останні сім років щодо соціального розвитку населення м. Луцька приведені у таблиці 10.</w:t>
      </w:r>
    </w:p>
    <w:p w:rsidR="00D227E2" w:rsidRDefault="00934FC4">
      <w:pPr>
        <w:widowControl w:val="0"/>
        <w:spacing w:after="0"/>
        <w:ind w:firstLine="709"/>
        <w:jc w:val="both"/>
        <w:rPr>
          <w:rFonts w:ascii="Times New Roman" w:hAnsi="Times New Roman" w:cs="Times New Roman"/>
        </w:rPr>
      </w:pPr>
      <w:r>
        <w:rPr>
          <w:rFonts w:ascii="Times New Roman" w:hAnsi="Times New Roman" w:cs="Times New Roman"/>
          <w:sz w:val="24"/>
          <w:szCs w:val="24"/>
        </w:rPr>
        <w:t>На рисунку 8 наведено динаміку зайнятості населення та безробіття в м. Луцьку (2016-2021).</w:t>
      </w:r>
    </w:p>
    <w:p w:rsidR="00D227E2" w:rsidRDefault="00934FC4">
      <w:pPr>
        <w:spacing w:after="0"/>
        <w:ind w:firstLine="567"/>
        <w:jc w:val="center"/>
        <w:rPr>
          <w:rFonts w:ascii="Times New Roman" w:hAnsi="Times New Roman" w:cs="Times New Roman"/>
          <w:sz w:val="24"/>
          <w:szCs w:val="24"/>
        </w:rPr>
      </w:pPr>
      <w:r>
        <w:rPr>
          <w:rFonts w:ascii="Times New Roman" w:hAnsi="Times New Roman" w:cs="Times New Roman"/>
          <w:noProof/>
          <w:sz w:val="24"/>
          <w:szCs w:val="24"/>
          <w:lang w:eastAsia="uk-UA"/>
        </w:rPr>
        <w:drawing>
          <wp:anchor distT="0" distB="0" distL="0" distR="0" simplePos="0" relativeHeight="96" behindDoc="0" locked="0" layoutInCell="0" allowOverlap="1" wp14:anchorId="04F2E257" wp14:editId="74E1DF65">
            <wp:simplePos x="0" y="0"/>
            <wp:positionH relativeFrom="column">
              <wp:align>center</wp:align>
            </wp:positionH>
            <wp:positionV relativeFrom="paragraph">
              <wp:posOffset>65405</wp:posOffset>
            </wp:positionV>
            <wp:extent cx="3761105" cy="2115820"/>
            <wp:effectExtent l="0" t="0" r="0" b="0"/>
            <wp:wrapSquare wrapText="largest"/>
            <wp:docPr id="20" name="Об'єкт2" descr="діаграма"/>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anchor>
        </w:drawing>
      </w:r>
    </w:p>
    <w:p w:rsidR="00D227E2" w:rsidRDefault="00D227E2">
      <w:pPr>
        <w:spacing w:after="0"/>
        <w:ind w:firstLine="567"/>
        <w:jc w:val="center"/>
        <w:rPr>
          <w:rFonts w:ascii="Times New Roman" w:hAnsi="Times New Roman" w:cs="Times New Roman"/>
          <w:sz w:val="24"/>
          <w:szCs w:val="24"/>
        </w:rPr>
      </w:pPr>
    </w:p>
    <w:p w:rsidR="00D227E2" w:rsidRDefault="00D227E2">
      <w:pPr>
        <w:spacing w:after="0"/>
        <w:ind w:firstLine="567"/>
        <w:jc w:val="center"/>
        <w:rPr>
          <w:rFonts w:ascii="Times New Roman" w:hAnsi="Times New Roman" w:cs="Times New Roman"/>
          <w:sz w:val="24"/>
          <w:szCs w:val="24"/>
        </w:rPr>
      </w:pPr>
    </w:p>
    <w:p w:rsidR="00D227E2" w:rsidRDefault="00D227E2">
      <w:pPr>
        <w:spacing w:after="0"/>
        <w:ind w:firstLine="567"/>
        <w:jc w:val="center"/>
        <w:rPr>
          <w:rFonts w:ascii="Times New Roman" w:hAnsi="Times New Roman" w:cs="Times New Roman"/>
          <w:sz w:val="24"/>
          <w:szCs w:val="24"/>
        </w:rPr>
      </w:pPr>
    </w:p>
    <w:p w:rsidR="00D227E2" w:rsidRDefault="00D227E2">
      <w:pPr>
        <w:spacing w:after="0"/>
        <w:ind w:firstLine="567"/>
        <w:jc w:val="center"/>
        <w:rPr>
          <w:rFonts w:ascii="Times New Roman" w:hAnsi="Times New Roman" w:cs="Times New Roman"/>
          <w:sz w:val="24"/>
          <w:szCs w:val="24"/>
        </w:rPr>
      </w:pPr>
    </w:p>
    <w:p w:rsidR="00D227E2" w:rsidRDefault="00D227E2">
      <w:pPr>
        <w:spacing w:after="0"/>
        <w:ind w:firstLine="567"/>
        <w:jc w:val="center"/>
        <w:rPr>
          <w:rFonts w:ascii="Times New Roman" w:hAnsi="Times New Roman" w:cs="Times New Roman"/>
          <w:sz w:val="24"/>
          <w:szCs w:val="24"/>
        </w:rPr>
      </w:pPr>
    </w:p>
    <w:p w:rsidR="00D227E2" w:rsidRDefault="00D227E2">
      <w:pPr>
        <w:spacing w:after="0"/>
        <w:ind w:firstLine="567"/>
        <w:jc w:val="center"/>
        <w:rPr>
          <w:rFonts w:ascii="Times New Roman" w:hAnsi="Times New Roman" w:cs="Times New Roman"/>
          <w:sz w:val="24"/>
          <w:szCs w:val="24"/>
        </w:rPr>
      </w:pPr>
    </w:p>
    <w:p w:rsidR="00D227E2" w:rsidRDefault="00D227E2">
      <w:pPr>
        <w:spacing w:after="0"/>
        <w:ind w:firstLine="567"/>
        <w:jc w:val="center"/>
        <w:rPr>
          <w:rFonts w:ascii="Times New Roman" w:hAnsi="Times New Roman" w:cs="Times New Roman"/>
          <w:sz w:val="24"/>
          <w:szCs w:val="24"/>
        </w:rPr>
      </w:pPr>
    </w:p>
    <w:p w:rsidR="00D227E2" w:rsidRDefault="00D227E2">
      <w:pPr>
        <w:spacing w:after="0"/>
        <w:ind w:firstLine="567"/>
        <w:jc w:val="center"/>
        <w:rPr>
          <w:rFonts w:ascii="Times New Roman" w:hAnsi="Times New Roman" w:cs="Times New Roman"/>
          <w:sz w:val="24"/>
          <w:szCs w:val="24"/>
        </w:rPr>
      </w:pPr>
    </w:p>
    <w:p w:rsidR="00D227E2" w:rsidRDefault="00D227E2">
      <w:pPr>
        <w:spacing w:after="0"/>
        <w:ind w:firstLine="567"/>
        <w:jc w:val="center"/>
        <w:rPr>
          <w:rFonts w:ascii="Times New Roman" w:hAnsi="Times New Roman" w:cs="Times New Roman"/>
          <w:sz w:val="24"/>
          <w:szCs w:val="24"/>
        </w:rPr>
      </w:pPr>
    </w:p>
    <w:p w:rsidR="00D227E2" w:rsidRDefault="00D227E2">
      <w:pPr>
        <w:spacing w:after="0"/>
        <w:ind w:firstLine="567"/>
        <w:jc w:val="center"/>
        <w:rPr>
          <w:rFonts w:ascii="Times New Roman" w:hAnsi="Times New Roman" w:cs="Times New Roman"/>
          <w:sz w:val="24"/>
          <w:szCs w:val="24"/>
        </w:rPr>
      </w:pPr>
    </w:p>
    <w:p w:rsidR="00D227E2" w:rsidRDefault="00934FC4">
      <w:pPr>
        <w:spacing w:after="0"/>
        <w:ind w:firstLine="567"/>
        <w:jc w:val="center"/>
        <w:rPr>
          <w:rFonts w:ascii="Times New Roman" w:hAnsi="Times New Roman" w:cs="Times New Roman"/>
        </w:rPr>
      </w:pPr>
      <w:r>
        <w:rPr>
          <w:rFonts w:ascii="Times New Roman" w:hAnsi="Times New Roman" w:cs="Times New Roman"/>
          <w:sz w:val="24"/>
          <w:szCs w:val="24"/>
        </w:rPr>
        <w:t>Рисунок 8. Динаміка зайнятості населення та безробіття в м. Луцьку (2016-2021)</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lastRenderedPageBreak/>
        <w:t>За показниками, кількість зайнятого населення у м. Луцьку скорочується. Покращення</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економіки міста та стабілізація зайнятості населення буде відбуватися через відкриття в адміністративно-територіальних межах Луцької МТГ нових підприємств, освоєння нових технологій і ринків збуту продукції. </w:t>
      </w:r>
    </w:p>
    <w:p w:rsidR="00D227E2" w:rsidRDefault="00934FC4">
      <w:pPr>
        <w:spacing w:after="0"/>
        <w:ind w:firstLine="709"/>
        <w:jc w:val="both"/>
        <w:rPr>
          <w:rFonts w:ascii="Times New Roman" w:hAnsi="Times New Roman" w:cs="Times New Roman"/>
        </w:rPr>
      </w:pPr>
      <w:r>
        <w:rPr>
          <w:rFonts w:ascii="Times New Roman" w:hAnsi="Times New Roman" w:cs="Times New Roman"/>
          <w:sz w:val="24"/>
          <w:szCs w:val="24"/>
        </w:rPr>
        <w:t>У Луцькій МТГ середньомісячна заробітна плата найманих працівників та середній розмір пенсії знаходяться на рівні обласних та державних показників.</w:t>
      </w:r>
    </w:p>
    <w:p w:rsidR="00D227E2" w:rsidRDefault="00934FC4">
      <w:pPr>
        <w:spacing w:after="0"/>
        <w:jc w:val="center"/>
        <w:rPr>
          <w:rFonts w:ascii="Times New Roman" w:hAnsi="Times New Roman" w:cs="Times New Roman"/>
        </w:rPr>
      </w:pPr>
      <w:r>
        <w:rPr>
          <w:rFonts w:ascii="Times New Roman" w:hAnsi="Times New Roman" w:cs="Times New Roman"/>
          <w:bCs/>
          <w:color w:val="000000"/>
          <w:sz w:val="24"/>
          <w:szCs w:val="24"/>
        </w:rPr>
        <w:t xml:space="preserve">Таблиця 10. </w:t>
      </w:r>
      <w:r>
        <w:rPr>
          <w:rFonts w:ascii="Times New Roman" w:hAnsi="Times New Roman" w:cs="Times New Roman"/>
          <w:color w:val="000000"/>
          <w:sz w:val="24"/>
          <w:szCs w:val="24"/>
        </w:rPr>
        <w:t>Узаг</w:t>
      </w:r>
      <w:r>
        <w:rPr>
          <w:rFonts w:ascii="Times New Roman" w:hAnsi="Times New Roman" w:cs="Times New Roman"/>
          <w:sz w:val="24"/>
          <w:szCs w:val="24"/>
        </w:rPr>
        <w:t>альнені показники соціального розвитку м. Луцька*</w:t>
      </w:r>
    </w:p>
    <w:tbl>
      <w:tblPr>
        <w:tblW w:w="9585" w:type="dxa"/>
        <w:jc w:val="center"/>
        <w:tblLayout w:type="fixed"/>
        <w:tblLook w:val="04A0" w:firstRow="1" w:lastRow="0" w:firstColumn="1" w:lastColumn="0" w:noHBand="0" w:noVBand="1"/>
      </w:tblPr>
      <w:tblGrid>
        <w:gridCol w:w="2777"/>
        <w:gridCol w:w="992"/>
        <w:gridCol w:w="993"/>
        <w:gridCol w:w="1000"/>
        <w:gridCol w:w="1025"/>
        <w:gridCol w:w="998"/>
        <w:gridCol w:w="999"/>
        <w:gridCol w:w="801"/>
      </w:tblGrid>
      <w:tr w:rsidR="00D227E2">
        <w:trPr>
          <w:jc w:val="center"/>
        </w:trPr>
        <w:tc>
          <w:tcPr>
            <w:tcW w:w="2775" w:type="dxa"/>
            <w:vMerge w:val="restart"/>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jc w:val="center"/>
              <w:rPr>
                <w:rFonts w:ascii="Times New Roman" w:hAnsi="Times New Roman" w:cs="Times New Roman"/>
              </w:rPr>
            </w:pPr>
            <w:r>
              <w:rPr>
                <w:rFonts w:ascii="Times New Roman" w:hAnsi="Times New Roman" w:cs="Times New Roman"/>
              </w:rPr>
              <w:t>Назва показника</w:t>
            </w:r>
          </w:p>
        </w:tc>
        <w:tc>
          <w:tcPr>
            <w:tcW w:w="6808" w:type="dxa"/>
            <w:gridSpan w:val="7"/>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jc w:val="center"/>
              <w:rPr>
                <w:rFonts w:ascii="Times New Roman" w:hAnsi="Times New Roman" w:cs="Times New Roman"/>
              </w:rPr>
            </w:pPr>
            <w:r>
              <w:rPr>
                <w:rFonts w:ascii="Times New Roman" w:hAnsi="Times New Roman" w:cs="Times New Roman"/>
              </w:rPr>
              <w:t>Роки</w:t>
            </w:r>
          </w:p>
        </w:tc>
      </w:tr>
      <w:tr w:rsidR="00D227E2">
        <w:trPr>
          <w:jc w:val="center"/>
        </w:trPr>
        <w:tc>
          <w:tcPr>
            <w:tcW w:w="2775"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widowControl w:val="0"/>
              <w:spacing w:after="0"/>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jc w:val="center"/>
              <w:rPr>
                <w:rFonts w:ascii="Times New Roman" w:hAnsi="Times New Roman" w:cs="Times New Roman"/>
              </w:rPr>
            </w:pPr>
            <w:r>
              <w:rPr>
                <w:rFonts w:ascii="Times New Roman" w:hAnsi="Times New Roman" w:cs="Times New Roman"/>
              </w:rPr>
              <w:t>2016</w:t>
            </w:r>
          </w:p>
        </w:tc>
        <w:tc>
          <w:tcPr>
            <w:tcW w:w="99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jc w:val="center"/>
              <w:rPr>
                <w:rFonts w:ascii="Times New Roman" w:hAnsi="Times New Roman" w:cs="Times New Roman"/>
              </w:rPr>
            </w:pPr>
            <w:r>
              <w:rPr>
                <w:rFonts w:ascii="Times New Roman" w:hAnsi="Times New Roman" w:cs="Times New Roman"/>
              </w:rPr>
              <w:t>2017</w:t>
            </w:r>
          </w:p>
        </w:tc>
        <w:tc>
          <w:tcPr>
            <w:tcW w:w="1000"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jc w:val="center"/>
              <w:rPr>
                <w:rFonts w:ascii="Times New Roman" w:hAnsi="Times New Roman" w:cs="Times New Roman"/>
              </w:rPr>
            </w:pPr>
            <w:r>
              <w:rPr>
                <w:rFonts w:ascii="Times New Roman" w:hAnsi="Times New Roman" w:cs="Times New Roman"/>
              </w:rPr>
              <w:t>2018</w:t>
            </w:r>
          </w:p>
        </w:tc>
        <w:tc>
          <w:tcPr>
            <w:tcW w:w="102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jc w:val="center"/>
              <w:rPr>
                <w:rFonts w:ascii="Times New Roman" w:hAnsi="Times New Roman" w:cs="Times New Roman"/>
              </w:rPr>
            </w:pPr>
            <w:r>
              <w:rPr>
                <w:rFonts w:ascii="Times New Roman" w:hAnsi="Times New Roman" w:cs="Times New Roman"/>
              </w:rPr>
              <w:t>2019</w:t>
            </w:r>
          </w:p>
        </w:tc>
        <w:tc>
          <w:tcPr>
            <w:tcW w:w="99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jc w:val="center"/>
              <w:rPr>
                <w:rFonts w:ascii="Times New Roman" w:hAnsi="Times New Roman" w:cs="Times New Roman"/>
              </w:rPr>
            </w:pPr>
            <w:r>
              <w:rPr>
                <w:rFonts w:ascii="Times New Roman" w:hAnsi="Times New Roman" w:cs="Times New Roman"/>
              </w:rPr>
              <w:t>2020</w:t>
            </w:r>
          </w:p>
        </w:tc>
        <w:tc>
          <w:tcPr>
            <w:tcW w:w="999" w:type="dxa"/>
            <w:tcBorders>
              <w:top w:val="single" w:sz="4" w:space="0" w:color="000000"/>
              <w:left w:val="single" w:sz="4" w:space="0" w:color="000000"/>
              <w:bottom w:val="single" w:sz="4" w:space="0" w:color="000000"/>
            </w:tcBorders>
          </w:tcPr>
          <w:p w:rsidR="00D227E2" w:rsidRDefault="00934FC4">
            <w:pPr>
              <w:widowControl w:val="0"/>
              <w:spacing w:after="0"/>
              <w:jc w:val="center"/>
              <w:rPr>
                <w:rFonts w:ascii="Times New Roman" w:hAnsi="Times New Roman" w:cs="Times New Roman"/>
              </w:rPr>
            </w:pPr>
            <w:r>
              <w:rPr>
                <w:rFonts w:ascii="Times New Roman" w:hAnsi="Times New Roman" w:cs="Times New Roman"/>
              </w:rPr>
              <w:t>2021</w:t>
            </w:r>
          </w:p>
        </w:tc>
        <w:tc>
          <w:tcPr>
            <w:tcW w:w="801"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jc w:val="center"/>
              <w:rPr>
                <w:rFonts w:ascii="Times New Roman" w:hAnsi="Times New Roman" w:cs="Times New Roman"/>
              </w:rPr>
            </w:pPr>
            <w:r>
              <w:rPr>
                <w:rFonts w:ascii="Times New Roman" w:hAnsi="Times New Roman" w:cs="Times New Roman"/>
              </w:rPr>
              <w:t>2022</w:t>
            </w:r>
          </w:p>
        </w:tc>
      </w:tr>
      <w:tr w:rsidR="00D227E2">
        <w:trPr>
          <w:jc w:val="center"/>
        </w:trPr>
        <w:tc>
          <w:tcPr>
            <w:tcW w:w="2775" w:type="dxa"/>
            <w:tcBorders>
              <w:left w:val="single" w:sz="4" w:space="0" w:color="000000"/>
              <w:bottom w:val="single" w:sz="4" w:space="0" w:color="000000"/>
              <w:right w:val="single" w:sz="4" w:space="0" w:color="000000"/>
            </w:tcBorders>
            <w:vAlign w:val="center"/>
          </w:tcPr>
          <w:p w:rsidR="00D227E2" w:rsidRDefault="00934FC4">
            <w:pPr>
              <w:widowControl w:val="0"/>
              <w:spacing w:after="0"/>
              <w:rPr>
                <w:rFonts w:ascii="Times New Roman" w:hAnsi="Times New Roman" w:cs="Times New Roman"/>
              </w:rPr>
            </w:pPr>
            <w:r>
              <w:rPr>
                <w:rFonts w:ascii="Times New Roman" w:hAnsi="Times New Roman" w:cs="Times New Roman"/>
              </w:rPr>
              <w:t>Чисельність наявного населення, осіб</w:t>
            </w:r>
          </w:p>
        </w:tc>
        <w:tc>
          <w:tcPr>
            <w:tcW w:w="992" w:type="dxa"/>
            <w:tcBorders>
              <w:top w:val="single" w:sz="4" w:space="0" w:color="000000"/>
              <w:left w:val="single" w:sz="4" w:space="0" w:color="000000"/>
              <w:bottom w:val="single" w:sz="4" w:space="0" w:color="000000"/>
            </w:tcBorders>
            <w:vAlign w:val="center"/>
          </w:tcPr>
          <w:p w:rsidR="00D227E2" w:rsidRDefault="00934FC4">
            <w:pPr>
              <w:widowControl w:val="0"/>
              <w:spacing w:after="0"/>
              <w:jc w:val="center"/>
              <w:textAlignment w:val="center"/>
              <w:rPr>
                <w:rFonts w:ascii="Times New Roman" w:hAnsi="Times New Roman" w:cs="Times New Roman"/>
              </w:rPr>
            </w:pPr>
            <w:r>
              <w:rPr>
                <w:rFonts w:ascii="Times New Roman" w:hAnsi="Times New Roman" w:cs="Times New Roman"/>
              </w:rPr>
              <w:t>217033</w:t>
            </w:r>
          </w:p>
        </w:tc>
        <w:tc>
          <w:tcPr>
            <w:tcW w:w="993" w:type="dxa"/>
            <w:tcBorders>
              <w:top w:val="single" w:sz="4" w:space="0" w:color="000000"/>
              <w:left w:val="single" w:sz="4" w:space="0" w:color="000000"/>
              <w:bottom w:val="single" w:sz="4" w:space="0" w:color="000000"/>
            </w:tcBorders>
            <w:vAlign w:val="center"/>
          </w:tcPr>
          <w:p w:rsidR="00D227E2" w:rsidRDefault="00934FC4">
            <w:pPr>
              <w:widowControl w:val="0"/>
              <w:spacing w:after="0"/>
              <w:jc w:val="center"/>
              <w:textAlignment w:val="center"/>
              <w:rPr>
                <w:rFonts w:ascii="Times New Roman" w:hAnsi="Times New Roman" w:cs="Times New Roman"/>
              </w:rPr>
            </w:pPr>
            <w:r>
              <w:rPr>
                <w:rFonts w:ascii="Times New Roman" w:hAnsi="Times New Roman" w:cs="Times New Roman"/>
              </w:rPr>
              <w:t>216505</w:t>
            </w:r>
          </w:p>
        </w:tc>
        <w:tc>
          <w:tcPr>
            <w:tcW w:w="1000" w:type="dxa"/>
            <w:tcBorders>
              <w:top w:val="single" w:sz="4" w:space="0" w:color="000000"/>
              <w:left w:val="single" w:sz="4" w:space="0" w:color="000000"/>
              <w:bottom w:val="single" w:sz="4" w:space="0" w:color="000000"/>
            </w:tcBorders>
            <w:vAlign w:val="center"/>
          </w:tcPr>
          <w:p w:rsidR="00D227E2" w:rsidRDefault="00934FC4">
            <w:pPr>
              <w:widowControl w:val="0"/>
              <w:spacing w:after="0"/>
              <w:jc w:val="center"/>
              <w:textAlignment w:val="center"/>
              <w:rPr>
                <w:rFonts w:ascii="Times New Roman" w:hAnsi="Times New Roman" w:cs="Times New Roman"/>
              </w:rPr>
            </w:pPr>
            <w:r>
              <w:rPr>
                <w:rFonts w:ascii="Times New Roman" w:hAnsi="Times New Roman" w:cs="Times New Roman"/>
              </w:rPr>
              <w:t>216887</w:t>
            </w:r>
          </w:p>
        </w:tc>
        <w:tc>
          <w:tcPr>
            <w:tcW w:w="1025" w:type="dxa"/>
            <w:tcBorders>
              <w:top w:val="single" w:sz="4" w:space="0" w:color="000000"/>
              <w:left w:val="single" w:sz="4" w:space="0" w:color="000000"/>
              <w:bottom w:val="single" w:sz="4" w:space="0" w:color="000000"/>
            </w:tcBorders>
            <w:vAlign w:val="center"/>
          </w:tcPr>
          <w:p w:rsidR="00D227E2" w:rsidRDefault="00934FC4">
            <w:pPr>
              <w:widowControl w:val="0"/>
              <w:spacing w:after="0"/>
              <w:jc w:val="center"/>
              <w:textAlignment w:val="center"/>
              <w:rPr>
                <w:rFonts w:ascii="Times New Roman" w:hAnsi="Times New Roman" w:cs="Times New Roman"/>
              </w:rPr>
            </w:pPr>
            <w:r>
              <w:rPr>
                <w:rFonts w:ascii="Times New Roman" w:hAnsi="Times New Roman" w:cs="Times New Roman"/>
              </w:rPr>
              <w:t>217315</w:t>
            </w:r>
          </w:p>
        </w:tc>
        <w:tc>
          <w:tcPr>
            <w:tcW w:w="998" w:type="dxa"/>
            <w:tcBorders>
              <w:top w:val="single" w:sz="4" w:space="0" w:color="000000"/>
              <w:left w:val="single" w:sz="4" w:space="0" w:color="000000"/>
              <w:bottom w:val="single" w:sz="4" w:space="0" w:color="000000"/>
            </w:tcBorders>
            <w:vAlign w:val="center"/>
          </w:tcPr>
          <w:p w:rsidR="00D227E2" w:rsidRDefault="00934FC4">
            <w:pPr>
              <w:widowControl w:val="0"/>
              <w:spacing w:after="0"/>
              <w:jc w:val="center"/>
              <w:textAlignment w:val="center"/>
              <w:rPr>
                <w:rFonts w:ascii="Times New Roman" w:hAnsi="Times New Roman" w:cs="Times New Roman"/>
              </w:rPr>
            </w:pPr>
            <w:r>
              <w:rPr>
                <w:rFonts w:ascii="Times New Roman" w:hAnsi="Times New Roman" w:cs="Times New Roman"/>
              </w:rPr>
              <w:t>217197</w:t>
            </w:r>
          </w:p>
        </w:tc>
        <w:tc>
          <w:tcPr>
            <w:tcW w:w="999" w:type="dxa"/>
            <w:tcBorders>
              <w:top w:val="single" w:sz="4" w:space="0" w:color="000000"/>
              <w:left w:val="single" w:sz="4" w:space="0" w:color="000000"/>
              <w:bottom w:val="single" w:sz="4" w:space="0" w:color="000000"/>
            </w:tcBorders>
            <w:vAlign w:val="center"/>
          </w:tcPr>
          <w:p w:rsidR="00D227E2" w:rsidRDefault="00934FC4">
            <w:pPr>
              <w:widowControl w:val="0"/>
              <w:spacing w:after="0"/>
              <w:jc w:val="center"/>
              <w:textAlignment w:val="center"/>
              <w:rPr>
                <w:rFonts w:ascii="Times New Roman" w:hAnsi="Times New Roman" w:cs="Times New Roman"/>
              </w:rPr>
            </w:pPr>
            <w:r>
              <w:rPr>
                <w:rFonts w:ascii="Times New Roman" w:hAnsi="Times New Roman" w:cs="Times New Roman"/>
              </w:rPr>
              <w:t>215986</w:t>
            </w:r>
          </w:p>
        </w:tc>
        <w:tc>
          <w:tcPr>
            <w:tcW w:w="801"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jc w:val="center"/>
              <w:textAlignment w:val="center"/>
              <w:rPr>
                <w:rFonts w:ascii="Times New Roman" w:hAnsi="Times New Roman" w:cs="Times New Roman"/>
              </w:rPr>
            </w:pPr>
            <w:r>
              <w:rPr>
                <w:rFonts w:ascii="Times New Roman" w:hAnsi="Times New Roman" w:cs="Times New Roman"/>
              </w:rPr>
              <w:t>-</w:t>
            </w:r>
          </w:p>
        </w:tc>
      </w:tr>
      <w:tr w:rsidR="00D227E2">
        <w:trPr>
          <w:jc w:val="center"/>
        </w:trPr>
        <w:tc>
          <w:tcPr>
            <w:tcW w:w="277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rPr>
                <w:rFonts w:ascii="Times New Roman" w:hAnsi="Times New Roman" w:cs="Times New Roman"/>
              </w:rPr>
            </w:pPr>
            <w:r>
              <w:rPr>
                <w:rFonts w:ascii="Times New Roman" w:hAnsi="Times New Roman" w:cs="Times New Roman"/>
              </w:rPr>
              <w:t>Чисельність зайнятого населення загалом по громаді, тис осіб</w:t>
            </w:r>
          </w:p>
        </w:tc>
        <w:tc>
          <w:tcPr>
            <w:tcW w:w="992"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jc w:val="center"/>
              <w:rPr>
                <w:rFonts w:ascii="Times New Roman" w:hAnsi="Times New Roman" w:cs="Times New Roman"/>
              </w:rPr>
            </w:pPr>
            <w:r>
              <w:rPr>
                <w:rFonts w:ascii="Times New Roman" w:hAnsi="Times New Roman" w:cs="Times New Roman"/>
              </w:rPr>
              <w:t>70,5</w:t>
            </w:r>
          </w:p>
        </w:tc>
        <w:tc>
          <w:tcPr>
            <w:tcW w:w="99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jc w:val="center"/>
              <w:rPr>
                <w:rFonts w:ascii="Times New Roman" w:hAnsi="Times New Roman" w:cs="Times New Roman"/>
              </w:rPr>
            </w:pPr>
            <w:r>
              <w:rPr>
                <w:rFonts w:ascii="Times New Roman" w:hAnsi="Times New Roman" w:cs="Times New Roman"/>
              </w:rPr>
              <w:t>71,8</w:t>
            </w:r>
          </w:p>
        </w:tc>
        <w:tc>
          <w:tcPr>
            <w:tcW w:w="1000"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jc w:val="center"/>
              <w:rPr>
                <w:rFonts w:ascii="Times New Roman" w:hAnsi="Times New Roman" w:cs="Times New Roman"/>
              </w:rPr>
            </w:pPr>
            <w:r>
              <w:rPr>
                <w:rFonts w:ascii="Times New Roman" w:hAnsi="Times New Roman" w:cs="Times New Roman"/>
              </w:rPr>
              <w:t>75,9</w:t>
            </w:r>
          </w:p>
        </w:tc>
        <w:tc>
          <w:tcPr>
            <w:tcW w:w="102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jc w:val="center"/>
              <w:rPr>
                <w:rFonts w:ascii="Times New Roman" w:hAnsi="Times New Roman" w:cs="Times New Roman"/>
              </w:rPr>
            </w:pPr>
            <w:r>
              <w:rPr>
                <w:rFonts w:ascii="Times New Roman" w:hAnsi="Times New Roman" w:cs="Times New Roman"/>
              </w:rPr>
              <w:t>80,1</w:t>
            </w:r>
          </w:p>
        </w:tc>
        <w:tc>
          <w:tcPr>
            <w:tcW w:w="99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jc w:val="center"/>
              <w:rPr>
                <w:rFonts w:ascii="Times New Roman" w:hAnsi="Times New Roman" w:cs="Times New Roman"/>
              </w:rPr>
            </w:pPr>
            <w:r>
              <w:rPr>
                <w:rFonts w:ascii="Times New Roman" w:hAnsi="Times New Roman" w:cs="Times New Roman"/>
              </w:rPr>
              <w:t>72,1</w:t>
            </w:r>
          </w:p>
        </w:tc>
        <w:tc>
          <w:tcPr>
            <w:tcW w:w="999" w:type="dxa"/>
            <w:tcBorders>
              <w:top w:val="single" w:sz="4" w:space="0" w:color="000000"/>
              <w:left w:val="single" w:sz="4" w:space="0" w:color="000000"/>
              <w:bottom w:val="single" w:sz="4" w:space="0" w:color="000000"/>
            </w:tcBorders>
            <w:vAlign w:val="center"/>
          </w:tcPr>
          <w:p w:rsidR="00D227E2" w:rsidRDefault="00934FC4">
            <w:pPr>
              <w:widowControl w:val="0"/>
              <w:spacing w:after="0"/>
              <w:jc w:val="center"/>
              <w:rPr>
                <w:rFonts w:ascii="Times New Roman" w:hAnsi="Times New Roman" w:cs="Times New Roman"/>
              </w:rPr>
            </w:pPr>
            <w:r>
              <w:rPr>
                <w:rFonts w:ascii="Times New Roman" w:hAnsi="Times New Roman" w:cs="Times New Roman"/>
              </w:rPr>
              <w:t>70,8</w:t>
            </w:r>
          </w:p>
        </w:tc>
        <w:tc>
          <w:tcPr>
            <w:tcW w:w="801"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jc w:val="center"/>
              <w:rPr>
                <w:rFonts w:ascii="Times New Roman" w:hAnsi="Times New Roman" w:cs="Times New Roman"/>
              </w:rPr>
            </w:pPr>
            <w:r>
              <w:rPr>
                <w:rFonts w:ascii="Times New Roman" w:hAnsi="Times New Roman" w:cs="Times New Roman"/>
              </w:rPr>
              <w:t>-</w:t>
            </w:r>
          </w:p>
        </w:tc>
      </w:tr>
      <w:tr w:rsidR="00D227E2">
        <w:trPr>
          <w:jc w:val="center"/>
        </w:trPr>
        <w:tc>
          <w:tcPr>
            <w:tcW w:w="277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rPr>
                <w:rFonts w:ascii="Times New Roman" w:hAnsi="Times New Roman" w:cs="Times New Roman"/>
              </w:rPr>
            </w:pPr>
            <w:r>
              <w:rPr>
                <w:rFonts w:ascii="Times New Roman" w:hAnsi="Times New Roman" w:cs="Times New Roman"/>
              </w:rPr>
              <w:t>Чисельність зареєстрованих безробітних (середня річна), осіб</w:t>
            </w:r>
          </w:p>
        </w:tc>
        <w:tc>
          <w:tcPr>
            <w:tcW w:w="992"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jc w:val="center"/>
              <w:rPr>
                <w:rFonts w:ascii="Times New Roman" w:hAnsi="Times New Roman" w:cs="Times New Roman"/>
              </w:rPr>
            </w:pPr>
            <w:r>
              <w:rPr>
                <w:rFonts w:ascii="Times New Roman" w:hAnsi="Times New Roman" w:cs="Times New Roman"/>
              </w:rPr>
              <w:t>7252</w:t>
            </w:r>
          </w:p>
        </w:tc>
        <w:tc>
          <w:tcPr>
            <w:tcW w:w="99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jc w:val="center"/>
              <w:rPr>
                <w:rFonts w:ascii="Times New Roman" w:hAnsi="Times New Roman" w:cs="Times New Roman"/>
              </w:rPr>
            </w:pPr>
            <w:r>
              <w:rPr>
                <w:rFonts w:ascii="Times New Roman" w:hAnsi="Times New Roman" w:cs="Times New Roman"/>
              </w:rPr>
              <w:t>5875</w:t>
            </w:r>
          </w:p>
        </w:tc>
        <w:tc>
          <w:tcPr>
            <w:tcW w:w="1000"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jc w:val="center"/>
              <w:rPr>
                <w:rFonts w:ascii="Times New Roman" w:hAnsi="Times New Roman" w:cs="Times New Roman"/>
              </w:rPr>
            </w:pPr>
            <w:r>
              <w:rPr>
                <w:rFonts w:ascii="Times New Roman" w:hAnsi="Times New Roman" w:cs="Times New Roman"/>
              </w:rPr>
              <w:t>5865</w:t>
            </w:r>
          </w:p>
        </w:tc>
        <w:tc>
          <w:tcPr>
            <w:tcW w:w="102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jc w:val="center"/>
              <w:rPr>
                <w:rFonts w:ascii="Times New Roman" w:hAnsi="Times New Roman" w:cs="Times New Roman"/>
              </w:rPr>
            </w:pPr>
            <w:r>
              <w:rPr>
                <w:rFonts w:ascii="Times New Roman" w:hAnsi="Times New Roman" w:cs="Times New Roman"/>
              </w:rPr>
              <w:t>5907</w:t>
            </w:r>
          </w:p>
        </w:tc>
        <w:tc>
          <w:tcPr>
            <w:tcW w:w="99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jc w:val="center"/>
              <w:rPr>
                <w:rFonts w:ascii="Times New Roman" w:hAnsi="Times New Roman" w:cs="Times New Roman"/>
              </w:rPr>
            </w:pPr>
            <w:r>
              <w:rPr>
                <w:rFonts w:ascii="Times New Roman" w:hAnsi="Times New Roman" w:cs="Times New Roman"/>
              </w:rPr>
              <w:t>8356</w:t>
            </w:r>
          </w:p>
        </w:tc>
        <w:tc>
          <w:tcPr>
            <w:tcW w:w="999" w:type="dxa"/>
            <w:tcBorders>
              <w:top w:val="single" w:sz="4" w:space="0" w:color="000000"/>
              <w:left w:val="single" w:sz="4" w:space="0" w:color="000000"/>
              <w:bottom w:val="single" w:sz="4" w:space="0" w:color="000000"/>
            </w:tcBorders>
            <w:vAlign w:val="center"/>
          </w:tcPr>
          <w:p w:rsidR="00D227E2" w:rsidRDefault="00934FC4">
            <w:pPr>
              <w:widowControl w:val="0"/>
              <w:spacing w:after="0"/>
              <w:jc w:val="center"/>
              <w:rPr>
                <w:rFonts w:ascii="Times New Roman" w:hAnsi="Times New Roman" w:cs="Times New Roman"/>
              </w:rPr>
            </w:pPr>
            <w:r>
              <w:rPr>
                <w:rFonts w:ascii="Times New Roman" w:hAnsi="Times New Roman" w:cs="Times New Roman"/>
              </w:rPr>
              <w:t>7686</w:t>
            </w:r>
          </w:p>
        </w:tc>
        <w:tc>
          <w:tcPr>
            <w:tcW w:w="801"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jc w:val="center"/>
              <w:rPr>
                <w:rFonts w:ascii="Times New Roman" w:hAnsi="Times New Roman" w:cs="Times New Roman"/>
              </w:rPr>
            </w:pPr>
            <w:r>
              <w:rPr>
                <w:rFonts w:ascii="Times New Roman" w:hAnsi="Times New Roman" w:cs="Times New Roman"/>
              </w:rPr>
              <w:t>5223</w:t>
            </w:r>
          </w:p>
        </w:tc>
      </w:tr>
      <w:tr w:rsidR="00D227E2">
        <w:trPr>
          <w:jc w:val="center"/>
        </w:trPr>
        <w:tc>
          <w:tcPr>
            <w:tcW w:w="277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rPr>
                <w:rFonts w:ascii="Times New Roman" w:hAnsi="Times New Roman" w:cs="Times New Roman"/>
              </w:rPr>
            </w:pPr>
            <w:r>
              <w:rPr>
                <w:rFonts w:ascii="Times New Roman" w:hAnsi="Times New Roman" w:cs="Times New Roman"/>
              </w:rPr>
              <w:t>Потреба підприємств у працівниках на заміщення вільних робочих місць</w:t>
            </w:r>
          </w:p>
          <w:p w:rsidR="00D227E2" w:rsidRDefault="00934FC4">
            <w:pPr>
              <w:widowControl w:val="0"/>
              <w:spacing w:after="0"/>
              <w:rPr>
                <w:rFonts w:ascii="Times New Roman" w:hAnsi="Times New Roman" w:cs="Times New Roman"/>
              </w:rPr>
            </w:pPr>
            <w:r>
              <w:rPr>
                <w:rFonts w:ascii="Times New Roman" w:hAnsi="Times New Roman" w:cs="Times New Roman"/>
              </w:rPr>
              <w:t>(середня річна), вакансії</w:t>
            </w:r>
          </w:p>
        </w:tc>
        <w:tc>
          <w:tcPr>
            <w:tcW w:w="992"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jc w:val="center"/>
              <w:rPr>
                <w:rFonts w:ascii="Times New Roman" w:hAnsi="Times New Roman" w:cs="Times New Roman"/>
              </w:rPr>
            </w:pPr>
            <w:r>
              <w:rPr>
                <w:rFonts w:ascii="Times New Roman" w:hAnsi="Times New Roman" w:cs="Times New Roman"/>
              </w:rPr>
              <w:t>10543</w:t>
            </w:r>
          </w:p>
        </w:tc>
        <w:tc>
          <w:tcPr>
            <w:tcW w:w="99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jc w:val="center"/>
              <w:rPr>
                <w:rFonts w:ascii="Times New Roman" w:hAnsi="Times New Roman" w:cs="Times New Roman"/>
              </w:rPr>
            </w:pPr>
            <w:r>
              <w:rPr>
                <w:rFonts w:ascii="Times New Roman" w:hAnsi="Times New Roman" w:cs="Times New Roman"/>
              </w:rPr>
              <w:t>12131</w:t>
            </w:r>
          </w:p>
        </w:tc>
        <w:tc>
          <w:tcPr>
            <w:tcW w:w="1000"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jc w:val="center"/>
              <w:rPr>
                <w:rFonts w:ascii="Times New Roman" w:hAnsi="Times New Roman" w:cs="Times New Roman"/>
              </w:rPr>
            </w:pPr>
            <w:r>
              <w:rPr>
                <w:rFonts w:ascii="Times New Roman" w:hAnsi="Times New Roman" w:cs="Times New Roman"/>
              </w:rPr>
              <w:t>14759</w:t>
            </w:r>
          </w:p>
        </w:tc>
        <w:tc>
          <w:tcPr>
            <w:tcW w:w="102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jc w:val="center"/>
              <w:rPr>
                <w:rFonts w:ascii="Times New Roman" w:hAnsi="Times New Roman" w:cs="Times New Roman"/>
              </w:rPr>
            </w:pPr>
            <w:r>
              <w:rPr>
                <w:rFonts w:ascii="Times New Roman" w:hAnsi="Times New Roman" w:cs="Times New Roman"/>
              </w:rPr>
              <w:t>14854</w:t>
            </w:r>
          </w:p>
        </w:tc>
        <w:tc>
          <w:tcPr>
            <w:tcW w:w="99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jc w:val="center"/>
              <w:rPr>
                <w:rFonts w:ascii="Times New Roman" w:hAnsi="Times New Roman" w:cs="Times New Roman"/>
              </w:rPr>
            </w:pPr>
            <w:r>
              <w:rPr>
                <w:rFonts w:ascii="Times New Roman" w:hAnsi="Times New Roman" w:cs="Times New Roman"/>
              </w:rPr>
              <w:t>8212</w:t>
            </w:r>
          </w:p>
        </w:tc>
        <w:tc>
          <w:tcPr>
            <w:tcW w:w="999" w:type="dxa"/>
            <w:tcBorders>
              <w:top w:val="single" w:sz="4" w:space="0" w:color="000000"/>
              <w:left w:val="single" w:sz="4" w:space="0" w:color="000000"/>
              <w:bottom w:val="single" w:sz="4" w:space="0" w:color="000000"/>
            </w:tcBorders>
            <w:vAlign w:val="center"/>
          </w:tcPr>
          <w:p w:rsidR="00D227E2" w:rsidRDefault="00934FC4">
            <w:pPr>
              <w:widowControl w:val="0"/>
              <w:spacing w:after="0"/>
              <w:jc w:val="center"/>
              <w:rPr>
                <w:rFonts w:ascii="Times New Roman" w:hAnsi="Times New Roman" w:cs="Times New Roman"/>
              </w:rPr>
            </w:pPr>
            <w:r>
              <w:rPr>
                <w:rFonts w:ascii="Times New Roman" w:hAnsi="Times New Roman" w:cs="Times New Roman"/>
              </w:rPr>
              <w:t>7899</w:t>
            </w:r>
          </w:p>
        </w:tc>
        <w:tc>
          <w:tcPr>
            <w:tcW w:w="801"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jc w:val="center"/>
              <w:rPr>
                <w:rFonts w:ascii="Times New Roman" w:hAnsi="Times New Roman" w:cs="Times New Roman"/>
              </w:rPr>
            </w:pPr>
            <w:r>
              <w:rPr>
                <w:rFonts w:ascii="Times New Roman" w:hAnsi="Times New Roman" w:cs="Times New Roman"/>
              </w:rPr>
              <w:t>5156</w:t>
            </w:r>
          </w:p>
        </w:tc>
      </w:tr>
      <w:tr w:rsidR="00D227E2">
        <w:trPr>
          <w:jc w:val="center"/>
        </w:trPr>
        <w:tc>
          <w:tcPr>
            <w:tcW w:w="277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rPr>
                <w:rFonts w:ascii="Times New Roman" w:hAnsi="Times New Roman" w:cs="Times New Roman"/>
              </w:rPr>
            </w:pPr>
            <w:r>
              <w:rPr>
                <w:rFonts w:ascii="Times New Roman" w:hAnsi="Times New Roman" w:cs="Times New Roman"/>
              </w:rPr>
              <w:t>Середньомісячна заробітна плата найманих працівників, грн</w:t>
            </w:r>
          </w:p>
        </w:tc>
        <w:tc>
          <w:tcPr>
            <w:tcW w:w="992"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jc w:val="center"/>
              <w:rPr>
                <w:rFonts w:ascii="Times New Roman" w:hAnsi="Times New Roman" w:cs="Times New Roman"/>
              </w:rPr>
            </w:pPr>
            <w:r>
              <w:rPr>
                <w:rFonts w:ascii="Times New Roman" w:hAnsi="Times New Roman" w:cs="Times New Roman"/>
              </w:rPr>
              <w:t>4204</w:t>
            </w:r>
          </w:p>
        </w:tc>
        <w:tc>
          <w:tcPr>
            <w:tcW w:w="99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jc w:val="center"/>
              <w:rPr>
                <w:rFonts w:ascii="Times New Roman" w:hAnsi="Times New Roman" w:cs="Times New Roman"/>
              </w:rPr>
            </w:pPr>
            <w:r>
              <w:rPr>
                <w:rFonts w:ascii="Times New Roman" w:hAnsi="Times New Roman" w:cs="Times New Roman"/>
              </w:rPr>
              <w:t>5875</w:t>
            </w:r>
          </w:p>
        </w:tc>
        <w:tc>
          <w:tcPr>
            <w:tcW w:w="1000"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jc w:val="center"/>
              <w:rPr>
                <w:rFonts w:ascii="Times New Roman" w:hAnsi="Times New Roman" w:cs="Times New Roman"/>
              </w:rPr>
            </w:pPr>
            <w:r>
              <w:rPr>
                <w:rFonts w:ascii="Times New Roman" w:hAnsi="Times New Roman" w:cs="Times New Roman"/>
              </w:rPr>
              <w:t>7356</w:t>
            </w:r>
          </w:p>
        </w:tc>
        <w:tc>
          <w:tcPr>
            <w:tcW w:w="102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jc w:val="center"/>
              <w:rPr>
                <w:rFonts w:ascii="Times New Roman" w:hAnsi="Times New Roman" w:cs="Times New Roman"/>
              </w:rPr>
            </w:pPr>
            <w:r>
              <w:rPr>
                <w:rFonts w:ascii="Times New Roman" w:hAnsi="Times New Roman" w:cs="Times New Roman"/>
              </w:rPr>
              <w:t>9442</w:t>
            </w:r>
          </w:p>
        </w:tc>
        <w:tc>
          <w:tcPr>
            <w:tcW w:w="99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jc w:val="center"/>
              <w:rPr>
                <w:rFonts w:ascii="Times New Roman" w:hAnsi="Times New Roman" w:cs="Times New Roman"/>
              </w:rPr>
            </w:pPr>
            <w:r>
              <w:rPr>
                <w:rFonts w:ascii="Times New Roman" w:hAnsi="Times New Roman" w:cs="Times New Roman"/>
              </w:rPr>
              <w:t>8838</w:t>
            </w:r>
          </w:p>
        </w:tc>
        <w:tc>
          <w:tcPr>
            <w:tcW w:w="999" w:type="dxa"/>
            <w:tcBorders>
              <w:top w:val="single" w:sz="4" w:space="0" w:color="000000"/>
              <w:left w:val="single" w:sz="4" w:space="0" w:color="000000"/>
              <w:bottom w:val="single" w:sz="4" w:space="0" w:color="000000"/>
            </w:tcBorders>
            <w:vAlign w:val="center"/>
          </w:tcPr>
          <w:p w:rsidR="00D227E2" w:rsidRDefault="00934FC4">
            <w:pPr>
              <w:widowControl w:val="0"/>
              <w:spacing w:after="0"/>
              <w:jc w:val="center"/>
              <w:rPr>
                <w:rFonts w:ascii="Times New Roman" w:hAnsi="Times New Roman" w:cs="Times New Roman"/>
              </w:rPr>
            </w:pPr>
            <w:r>
              <w:rPr>
                <w:rFonts w:ascii="Times New Roman" w:hAnsi="Times New Roman" w:cs="Times New Roman"/>
              </w:rPr>
              <w:t>13072</w:t>
            </w:r>
          </w:p>
        </w:tc>
        <w:tc>
          <w:tcPr>
            <w:tcW w:w="801"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jc w:val="center"/>
              <w:rPr>
                <w:rFonts w:ascii="Times New Roman" w:hAnsi="Times New Roman" w:cs="Times New Roman"/>
              </w:rPr>
            </w:pPr>
            <w:r>
              <w:rPr>
                <w:rFonts w:ascii="Times New Roman" w:hAnsi="Times New Roman" w:cs="Times New Roman"/>
              </w:rPr>
              <w:t>-</w:t>
            </w:r>
          </w:p>
        </w:tc>
      </w:tr>
    </w:tbl>
    <w:p w:rsidR="00D227E2" w:rsidRDefault="00934FC4">
      <w:pPr>
        <w:spacing w:after="0"/>
        <w:jc w:val="both"/>
        <w:rPr>
          <w:rFonts w:ascii="Times New Roman" w:hAnsi="Times New Roman" w:cs="Times New Roman"/>
        </w:rPr>
      </w:pPr>
      <w:r>
        <w:rPr>
          <w:rFonts w:ascii="Times New Roman" w:hAnsi="Times New Roman" w:cs="Times New Roman"/>
        </w:rPr>
        <w:t>* У зв’язку з військовою агресією росії проти України статистична інформація на сайті Головного управління статистики у Волинській області буде оприлюднена після завершення терміну подання статистичної звітності, встановленого Законом України «Про захист інтересів суб’єктів подання звітності та інших документів у період дії воєнного стану або стану війни».</w:t>
      </w:r>
    </w:p>
    <w:p w:rsidR="00D227E2" w:rsidRDefault="00934FC4">
      <w:pPr>
        <w:pStyle w:val="LO-normal"/>
        <w:spacing w:line="276" w:lineRule="auto"/>
        <w:ind w:firstLine="567"/>
        <w:jc w:val="both"/>
      </w:pPr>
      <w:r>
        <w:t xml:space="preserve">Підприємництво та торгівля  </w:t>
      </w:r>
    </w:p>
    <w:p w:rsidR="00D227E2" w:rsidRDefault="00934FC4">
      <w:pPr>
        <w:spacing w:after="0"/>
        <w:ind w:firstLine="567"/>
        <w:jc w:val="both"/>
        <w:rPr>
          <w:rFonts w:ascii="Times New Roman" w:hAnsi="Times New Roman" w:cs="Times New Roman"/>
        </w:rPr>
      </w:pPr>
      <w:r>
        <w:rPr>
          <w:rFonts w:ascii="Times New Roman" w:hAnsi="Times New Roman" w:cs="Times New Roman"/>
          <w:color w:val="000000"/>
          <w:sz w:val="24"/>
          <w:szCs w:val="24"/>
        </w:rPr>
        <w:t xml:space="preserve">Динаміка зареєстрованих суб’єктів підприємницької діяльності (СПД) у Луцьку (2016-2019) та у Луцькій МТГ (2020-2022) свідчить про те, що загальна кількість СПД починаючи з 2020 року значно збільшилася у зв’язку із проведенням адміністративно-територіальної реформи в Україні. </w:t>
      </w:r>
    </w:p>
    <w:p w:rsidR="00D227E2" w:rsidRDefault="00934FC4">
      <w:pPr>
        <w:widowControl w:val="0"/>
        <w:spacing w:after="0"/>
        <w:ind w:firstLine="567"/>
        <w:jc w:val="both"/>
        <w:rPr>
          <w:rFonts w:ascii="Times New Roman" w:hAnsi="Times New Roman" w:cs="Times New Roman"/>
        </w:rPr>
      </w:pPr>
      <w:r>
        <w:rPr>
          <w:rFonts w:ascii="Times New Roman" w:hAnsi="Times New Roman" w:cs="Times New Roman"/>
          <w:color w:val="000000"/>
          <w:sz w:val="24"/>
          <w:szCs w:val="24"/>
        </w:rPr>
        <w:t>На рисунку 9 наведено динаміку кількості СПД Луцької МТГ в т.ч. ЮО та ФОП за 2016-2022 роки</w:t>
      </w:r>
    </w:p>
    <w:p w:rsidR="00D227E2" w:rsidRDefault="00934FC4">
      <w:pPr>
        <w:spacing w:after="0"/>
        <w:ind w:firstLine="709"/>
        <w:jc w:val="center"/>
        <w:rPr>
          <w:rFonts w:ascii="Times New Roman" w:hAnsi="Times New Roman" w:cs="Times New Roman"/>
        </w:rPr>
      </w:pPr>
      <w:r>
        <w:rPr>
          <w:noProof/>
          <w:lang w:eastAsia="uk-UA"/>
        </w:rPr>
        <w:lastRenderedPageBreak/>
        <w:drawing>
          <wp:inline distT="0" distB="0" distL="0" distR="0" wp14:anchorId="184423F3" wp14:editId="0923D74E">
            <wp:extent cx="4154170" cy="2337435"/>
            <wp:effectExtent l="0" t="0" r="0" b="0"/>
            <wp:docPr id="21" name="Об'єкт1" descr="діаграма"/>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D227E2" w:rsidRDefault="00934FC4">
      <w:pPr>
        <w:widowControl w:val="0"/>
        <w:spacing w:after="0"/>
        <w:jc w:val="center"/>
        <w:rPr>
          <w:rFonts w:ascii="Times New Roman" w:hAnsi="Times New Roman" w:cs="Times New Roman"/>
        </w:rPr>
      </w:pPr>
      <w:r>
        <w:rPr>
          <w:rFonts w:ascii="Times New Roman" w:hAnsi="Times New Roman" w:cs="Times New Roman"/>
          <w:color w:val="000000"/>
          <w:sz w:val="24"/>
          <w:szCs w:val="24"/>
        </w:rPr>
        <w:t>Рисунок 9. Динаміка кількості СПД Луцької МТГ в т.ч. ЮО та ФОП за 2016-2022 роки</w:t>
      </w:r>
    </w:p>
    <w:p w:rsidR="00D227E2" w:rsidRDefault="00934FC4">
      <w:pPr>
        <w:pStyle w:val="LO-normal"/>
        <w:ind w:firstLine="567"/>
        <w:jc w:val="both"/>
      </w:pPr>
      <w:r>
        <w:t>Підприємства міста у 2021 році реалізували промислової продукції (товарів, послуг) без ПДВ та акцизу на 16,1 млрд грн.</w:t>
      </w:r>
    </w:p>
    <w:p w:rsidR="00D227E2" w:rsidRDefault="00934FC4">
      <w:pPr>
        <w:pStyle w:val="LO-normal"/>
        <w:ind w:firstLine="567"/>
        <w:jc w:val="both"/>
      </w:pPr>
      <w:r>
        <w:t xml:space="preserve">У розрахунку на одну особу реалізовано промислової продукції на 74,4 тис. грн (в області – 42,5 тис. грн). </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lang w:eastAsia="uk-UA"/>
        </w:rPr>
        <w:t>Вагомий внесок у промисловість міста зробили ПрАТ «СКФ Україна», ПрАТ «ВГП», ПрАТ «Теремно Хліб», ТОВ «Татрафан», ТОВ «Луцька картонно-паперова фабрика», ТОВ Теріхем Тервакоскі», ТОВ «Лад бетон», ТОВ «Жасмін Лінжері», ТзОВ «Волинь-зерно-продукт», ПрАТ «Едельвіка», ТОВ «ЛРЗ «Мотор», ДП «АЗС №1» АТ «АК «Богдан Моторс», ДКП «Луцьктепло», які забезпечили більше половини загальноміського обсягу.</w:t>
      </w:r>
    </w:p>
    <w:p w:rsidR="00D227E2" w:rsidRDefault="00934FC4">
      <w:pPr>
        <w:widowControl w:val="0"/>
        <w:spacing w:after="0"/>
        <w:ind w:firstLine="567"/>
        <w:jc w:val="both"/>
        <w:rPr>
          <w:rFonts w:ascii="Times New Roman" w:hAnsi="Times New Roman" w:cs="Times New Roman"/>
        </w:rPr>
      </w:pPr>
      <w:r>
        <w:rPr>
          <w:rFonts w:ascii="Times New Roman" w:hAnsi="Times New Roman" w:cs="Times New Roman"/>
          <w:bCs/>
          <w:sz w:val="24"/>
          <w:szCs w:val="24"/>
        </w:rPr>
        <w:t>У населених пунктах міської громади нараховується понад 1000 об’єктів роздрібної торгівлі та ресторанного господарства. Функціонують: 35 супермаркетів, 15 торгових центрів, 76 мінімаркетів. Також у місті фактично функціонує 7 територіально окремо розміщених ринків з продажу продовольчих та непродовольчих товарів, як змішаного, так і спеціалізованого типу.</w:t>
      </w:r>
    </w:p>
    <w:p w:rsidR="00D227E2" w:rsidRDefault="00934FC4">
      <w:pPr>
        <w:widowControl w:val="0"/>
        <w:spacing w:after="0"/>
        <w:ind w:firstLine="567"/>
        <w:jc w:val="both"/>
        <w:rPr>
          <w:rFonts w:ascii="Times New Roman" w:hAnsi="Times New Roman" w:cs="Times New Roman"/>
        </w:rPr>
      </w:pPr>
      <w:r>
        <w:rPr>
          <w:rFonts w:ascii="Times New Roman" w:hAnsi="Times New Roman" w:cs="Times New Roman"/>
          <w:sz w:val="24"/>
          <w:szCs w:val="24"/>
        </w:rPr>
        <w:t>В супермаркетах громади широко рекламується органічна продукція від сільгоспвиробників, власне виробництво, для цього виділені окремі території, полиці тощо.</w:t>
      </w:r>
    </w:p>
    <w:p w:rsidR="00D227E2" w:rsidRDefault="00934FC4">
      <w:pPr>
        <w:pStyle w:val="a1"/>
        <w:spacing w:after="0"/>
        <w:ind w:firstLine="567"/>
        <w:jc w:val="center"/>
        <w:rPr>
          <w:rFonts w:ascii="Times New Roman" w:hAnsi="Times New Roman" w:cs="Times New Roman"/>
        </w:rPr>
      </w:pPr>
      <w:r>
        <w:rPr>
          <w:rFonts w:ascii="Times New Roman" w:hAnsi="Times New Roman" w:cs="Times New Roman"/>
          <w:sz w:val="24"/>
          <w:szCs w:val="24"/>
        </w:rPr>
        <w:t>Таблиця 11. Торгівля. Споживчий ринок. Кількість об’єктів торгівлі</w:t>
      </w:r>
    </w:p>
    <w:tbl>
      <w:tblPr>
        <w:tblW w:w="9495" w:type="dxa"/>
        <w:tblInd w:w="223" w:type="dxa"/>
        <w:tblLayout w:type="fixed"/>
        <w:tblLook w:val="04A0" w:firstRow="1" w:lastRow="0" w:firstColumn="1" w:lastColumn="0" w:noHBand="0" w:noVBand="1"/>
      </w:tblPr>
      <w:tblGrid>
        <w:gridCol w:w="4118"/>
        <w:gridCol w:w="2557"/>
        <w:gridCol w:w="1486"/>
        <w:gridCol w:w="1334"/>
      </w:tblGrid>
      <w:tr w:rsidR="00D227E2">
        <w:tc>
          <w:tcPr>
            <w:tcW w:w="4117" w:type="dxa"/>
            <w:vMerge w:val="restart"/>
            <w:tcBorders>
              <w:top w:val="single" w:sz="4" w:space="0" w:color="000000"/>
              <w:left w:val="single" w:sz="4" w:space="0" w:color="000000"/>
              <w:bottom w:val="single" w:sz="4" w:space="0" w:color="000000"/>
            </w:tcBorders>
            <w:vAlign w:val="center"/>
          </w:tcPr>
          <w:p w:rsidR="00D227E2" w:rsidRDefault="00934FC4">
            <w:pPr>
              <w:widowControl w:val="0"/>
              <w:tabs>
                <w:tab w:val="left" w:pos="-60"/>
              </w:tabs>
              <w:spacing w:after="0"/>
              <w:jc w:val="center"/>
              <w:rPr>
                <w:rFonts w:ascii="Times New Roman" w:hAnsi="Times New Roman" w:cs="Times New Roman"/>
              </w:rPr>
            </w:pPr>
            <w:r>
              <w:rPr>
                <w:rFonts w:ascii="Times New Roman" w:hAnsi="Times New Roman" w:cs="Times New Roman"/>
              </w:rPr>
              <w:t>Види об’єктів</w:t>
            </w:r>
          </w:p>
        </w:tc>
        <w:tc>
          <w:tcPr>
            <w:tcW w:w="5377" w:type="dxa"/>
            <w:gridSpan w:val="3"/>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60"/>
              </w:tabs>
              <w:spacing w:after="0" w:line="240" w:lineRule="auto"/>
              <w:jc w:val="center"/>
              <w:rPr>
                <w:rFonts w:ascii="Times New Roman" w:hAnsi="Times New Roman" w:cs="Times New Roman"/>
              </w:rPr>
            </w:pPr>
            <w:r>
              <w:rPr>
                <w:rFonts w:ascii="Times New Roman" w:hAnsi="Times New Roman" w:cs="Times New Roman"/>
              </w:rPr>
              <w:t>Кількість об’єктів, що функціонують (од.)</w:t>
            </w:r>
          </w:p>
        </w:tc>
      </w:tr>
      <w:tr w:rsidR="00D227E2">
        <w:trPr>
          <w:trHeight w:val="697"/>
        </w:trPr>
        <w:tc>
          <w:tcPr>
            <w:tcW w:w="4117" w:type="dxa"/>
            <w:vMerge/>
            <w:tcBorders>
              <w:top w:val="single" w:sz="4" w:space="0" w:color="000000"/>
              <w:left w:val="single" w:sz="4" w:space="0" w:color="000000"/>
              <w:bottom w:val="single" w:sz="4" w:space="0" w:color="000000"/>
            </w:tcBorders>
            <w:vAlign w:val="center"/>
          </w:tcPr>
          <w:p w:rsidR="00D227E2" w:rsidRDefault="00D227E2">
            <w:pPr>
              <w:widowControl w:val="0"/>
              <w:tabs>
                <w:tab w:val="left" w:pos="-60"/>
              </w:tabs>
              <w:spacing w:after="0" w:line="240" w:lineRule="auto"/>
              <w:jc w:val="center"/>
              <w:rPr>
                <w:rFonts w:ascii="Times New Roman" w:hAnsi="Times New Roman" w:cs="Times New Roman"/>
              </w:rPr>
            </w:pPr>
          </w:p>
        </w:tc>
        <w:tc>
          <w:tcPr>
            <w:tcW w:w="2557" w:type="dxa"/>
            <w:tcBorders>
              <w:top w:val="single" w:sz="4" w:space="0" w:color="000000"/>
              <w:left w:val="single" w:sz="4" w:space="0" w:color="000000"/>
              <w:bottom w:val="single" w:sz="4" w:space="0" w:color="000000"/>
            </w:tcBorders>
          </w:tcPr>
          <w:p w:rsidR="00D227E2" w:rsidRDefault="00934FC4">
            <w:pPr>
              <w:widowControl w:val="0"/>
              <w:tabs>
                <w:tab w:val="left" w:pos="-60"/>
              </w:tabs>
              <w:spacing w:after="0" w:line="240" w:lineRule="auto"/>
              <w:jc w:val="center"/>
              <w:rPr>
                <w:rFonts w:ascii="Times New Roman" w:hAnsi="Times New Roman" w:cs="Times New Roman"/>
              </w:rPr>
            </w:pPr>
            <w:r>
              <w:rPr>
                <w:rFonts w:ascii="Times New Roman" w:hAnsi="Times New Roman" w:cs="Times New Roman"/>
              </w:rPr>
              <w:t>на території населених пунктів Луцької МТГ</w:t>
            </w:r>
          </w:p>
          <w:p w:rsidR="00D227E2" w:rsidRDefault="00934FC4">
            <w:pPr>
              <w:widowControl w:val="0"/>
              <w:tabs>
                <w:tab w:val="left" w:pos="-60"/>
              </w:tabs>
              <w:spacing w:after="0" w:line="240" w:lineRule="auto"/>
              <w:jc w:val="center"/>
              <w:rPr>
                <w:rFonts w:ascii="Times New Roman" w:hAnsi="Times New Roman" w:cs="Times New Roman"/>
              </w:rPr>
            </w:pPr>
            <w:r>
              <w:rPr>
                <w:rFonts w:ascii="Times New Roman" w:hAnsi="Times New Roman" w:cs="Times New Roman"/>
              </w:rPr>
              <w:t>(крім м. Луцька)</w:t>
            </w:r>
          </w:p>
        </w:tc>
        <w:tc>
          <w:tcPr>
            <w:tcW w:w="1486" w:type="dxa"/>
            <w:tcBorders>
              <w:top w:val="single" w:sz="4" w:space="0" w:color="000000"/>
              <w:left w:val="single" w:sz="4" w:space="0" w:color="000000"/>
              <w:bottom w:val="single" w:sz="4" w:space="0" w:color="000000"/>
            </w:tcBorders>
          </w:tcPr>
          <w:p w:rsidR="00D227E2" w:rsidRDefault="00934FC4">
            <w:pPr>
              <w:widowControl w:val="0"/>
              <w:tabs>
                <w:tab w:val="left" w:pos="-60"/>
              </w:tabs>
              <w:spacing w:after="0" w:line="240" w:lineRule="auto"/>
              <w:jc w:val="center"/>
              <w:rPr>
                <w:rFonts w:ascii="Times New Roman" w:hAnsi="Times New Roman" w:cs="Times New Roman"/>
              </w:rPr>
            </w:pPr>
            <w:r>
              <w:rPr>
                <w:rFonts w:ascii="Times New Roman" w:hAnsi="Times New Roman" w:cs="Times New Roman"/>
              </w:rPr>
              <w:t>на території м. Луцька</w:t>
            </w:r>
          </w:p>
        </w:tc>
        <w:tc>
          <w:tcPr>
            <w:tcW w:w="1334"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60"/>
              </w:tabs>
              <w:spacing w:after="0" w:line="240" w:lineRule="auto"/>
              <w:jc w:val="center"/>
              <w:rPr>
                <w:rFonts w:ascii="Times New Roman" w:hAnsi="Times New Roman" w:cs="Times New Roman"/>
              </w:rPr>
            </w:pPr>
            <w:r>
              <w:rPr>
                <w:rFonts w:ascii="Times New Roman" w:hAnsi="Times New Roman" w:cs="Times New Roman"/>
              </w:rPr>
              <w:t>Всього</w:t>
            </w:r>
          </w:p>
        </w:tc>
      </w:tr>
      <w:tr w:rsidR="00D227E2">
        <w:trPr>
          <w:trHeight w:val="266"/>
        </w:trPr>
        <w:tc>
          <w:tcPr>
            <w:tcW w:w="4117" w:type="dxa"/>
            <w:tcBorders>
              <w:top w:val="single" w:sz="4" w:space="0" w:color="000000"/>
              <w:left w:val="single" w:sz="4" w:space="0" w:color="000000"/>
              <w:bottom w:val="single" w:sz="4" w:space="0" w:color="000000"/>
            </w:tcBorders>
          </w:tcPr>
          <w:p w:rsidR="00D227E2" w:rsidRDefault="00934FC4">
            <w:pPr>
              <w:widowControl w:val="0"/>
              <w:tabs>
                <w:tab w:val="left" w:pos="-60"/>
              </w:tabs>
              <w:spacing w:after="0" w:line="240" w:lineRule="auto"/>
              <w:rPr>
                <w:rFonts w:ascii="Times New Roman" w:hAnsi="Times New Roman" w:cs="Times New Roman"/>
              </w:rPr>
            </w:pPr>
            <w:r>
              <w:rPr>
                <w:rFonts w:ascii="Times New Roman" w:hAnsi="Times New Roman" w:cs="Times New Roman"/>
              </w:rPr>
              <w:t>1. Об’єкти торгівлі</w:t>
            </w:r>
          </w:p>
        </w:tc>
        <w:tc>
          <w:tcPr>
            <w:tcW w:w="2557" w:type="dxa"/>
            <w:tcBorders>
              <w:top w:val="single" w:sz="4" w:space="0" w:color="000000"/>
              <w:left w:val="single" w:sz="4" w:space="0" w:color="000000"/>
              <w:bottom w:val="single" w:sz="4" w:space="0" w:color="000000"/>
            </w:tcBorders>
          </w:tcPr>
          <w:p w:rsidR="00D227E2" w:rsidRDefault="00934FC4">
            <w:pPr>
              <w:widowControl w:val="0"/>
              <w:tabs>
                <w:tab w:val="left" w:pos="-60"/>
              </w:tabs>
              <w:spacing w:after="0" w:line="240" w:lineRule="auto"/>
              <w:jc w:val="center"/>
              <w:rPr>
                <w:rFonts w:ascii="Times New Roman" w:hAnsi="Times New Roman" w:cs="Times New Roman"/>
              </w:rPr>
            </w:pPr>
            <w:r>
              <w:rPr>
                <w:rFonts w:ascii="Times New Roman" w:hAnsi="Times New Roman" w:cs="Times New Roman"/>
              </w:rPr>
              <w:t>95</w:t>
            </w:r>
          </w:p>
        </w:tc>
        <w:tc>
          <w:tcPr>
            <w:tcW w:w="1486" w:type="dxa"/>
            <w:tcBorders>
              <w:top w:val="single" w:sz="4" w:space="0" w:color="000000"/>
              <w:left w:val="single" w:sz="4" w:space="0" w:color="000000"/>
              <w:bottom w:val="single" w:sz="4" w:space="0" w:color="000000"/>
            </w:tcBorders>
          </w:tcPr>
          <w:p w:rsidR="00D227E2" w:rsidRDefault="00934FC4">
            <w:pPr>
              <w:widowControl w:val="0"/>
              <w:tabs>
                <w:tab w:val="left" w:pos="-60"/>
              </w:tabs>
              <w:spacing w:after="0" w:line="240" w:lineRule="auto"/>
              <w:jc w:val="center"/>
              <w:rPr>
                <w:rFonts w:ascii="Times New Roman" w:hAnsi="Times New Roman" w:cs="Times New Roman"/>
              </w:rPr>
            </w:pPr>
            <w:r>
              <w:rPr>
                <w:rFonts w:ascii="Times New Roman" w:hAnsi="Times New Roman" w:cs="Times New Roman"/>
              </w:rPr>
              <w:t>1076</w:t>
            </w:r>
          </w:p>
        </w:tc>
        <w:tc>
          <w:tcPr>
            <w:tcW w:w="1334"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60"/>
              </w:tabs>
              <w:spacing w:after="0" w:line="240" w:lineRule="auto"/>
              <w:jc w:val="center"/>
              <w:rPr>
                <w:rFonts w:ascii="Times New Roman" w:hAnsi="Times New Roman" w:cs="Times New Roman"/>
              </w:rPr>
            </w:pPr>
            <w:r>
              <w:rPr>
                <w:rFonts w:ascii="Times New Roman" w:hAnsi="Times New Roman" w:cs="Times New Roman"/>
              </w:rPr>
              <w:t>1171</w:t>
            </w:r>
          </w:p>
        </w:tc>
      </w:tr>
      <w:tr w:rsidR="00D227E2">
        <w:tc>
          <w:tcPr>
            <w:tcW w:w="4117" w:type="dxa"/>
            <w:tcBorders>
              <w:top w:val="single" w:sz="4" w:space="0" w:color="000000"/>
              <w:left w:val="single" w:sz="4" w:space="0" w:color="000000"/>
              <w:bottom w:val="single" w:sz="4" w:space="0" w:color="000000"/>
            </w:tcBorders>
          </w:tcPr>
          <w:p w:rsidR="00D227E2" w:rsidRDefault="00934FC4">
            <w:pPr>
              <w:widowControl w:val="0"/>
              <w:tabs>
                <w:tab w:val="left" w:pos="-60"/>
              </w:tabs>
              <w:spacing w:after="0"/>
              <w:rPr>
                <w:rFonts w:ascii="Times New Roman" w:hAnsi="Times New Roman" w:cs="Times New Roman"/>
              </w:rPr>
            </w:pPr>
            <w:r>
              <w:rPr>
                <w:rFonts w:ascii="Times New Roman" w:hAnsi="Times New Roman" w:cs="Times New Roman"/>
              </w:rPr>
              <w:t>2. Торгові центри:</w:t>
            </w:r>
          </w:p>
        </w:tc>
        <w:tc>
          <w:tcPr>
            <w:tcW w:w="2557" w:type="dxa"/>
            <w:tcBorders>
              <w:top w:val="single" w:sz="4" w:space="0" w:color="000000"/>
              <w:left w:val="single" w:sz="4" w:space="0" w:color="000000"/>
              <w:bottom w:val="single" w:sz="4" w:space="0" w:color="000000"/>
            </w:tcBorders>
          </w:tcPr>
          <w:p w:rsidR="00D227E2" w:rsidRDefault="00934FC4">
            <w:pPr>
              <w:widowControl w:val="0"/>
              <w:tabs>
                <w:tab w:val="left" w:pos="-60"/>
              </w:tabs>
              <w:spacing w:after="0" w:line="240" w:lineRule="auto"/>
              <w:jc w:val="center"/>
              <w:rPr>
                <w:rFonts w:ascii="Times New Roman" w:hAnsi="Times New Roman" w:cs="Times New Roman"/>
              </w:rPr>
            </w:pPr>
            <w:r>
              <w:rPr>
                <w:rFonts w:ascii="Times New Roman" w:hAnsi="Times New Roman" w:cs="Times New Roman"/>
              </w:rPr>
              <w:t>-</w:t>
            </w:r>
          </w:p>
        </w:tc>
        <w:tc>
          <w:tcPr>
            <w:tcW w:w="1486" w:type="dxa"/>
            <w:tcBorders>
              <w:top w:val="single" w:sz="4" w:space="0" w:color="000000"/>
              <w:left w:val="single" w:sz="4" w:space="0" w:color="000000"/>
              <w:bottom w:val="single" w:sz="4" w:space="0" w:color="000000"/>
            </w:tcBorders>
          </w:tcPr>
          <w:p w:rsidR="00D227E2" w:rsidRDefault="00934FC4">
            <w:pPr>
              <w:widowControl w:val="0"/>
              <w:tabs>
                <w:tab w:val="left" w:pos="-60"/>
              </w:tabs>
              <w:spacing w:after="0" w:line="240" w:lineRule="auto"/>
              <w:jc w:val="center"/>
              <w:rPr>
                <w:rFonts w:ascii="Times New Roman" w:hAnsi="Times New Roman" w:cs="Times New Roman"/>
              </w:rPr>
            </w:pPr>
            <w:r>
              <w:rPr>
                <w:rFonts w:ascii="Times New Roman" w:hAnsi="Times New Roman" w:cs="Times New Roman"/>
              </w:rPr>
              <w:t>15</w:t>
            </w:r>
          </w:p>
        </w:tc>
        <w:tc>
          <w:tcPr>
            <w:tcW w:w="1334"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60"/>
              </w:tabs>
              <w:spacing w:after="0" w:line="240" w:lineRule="auto"/>
              <w:jc w:val="center"/>
              <w:rPr>
                <w:rFonts w:ascii="Times New Roman" w:hAnsi="Times New Roman" w:cs="Times New Roman"/>
              </w:rPr>
            </w:pPr>
            <w:r>
              <w:rPr>
                <w:rFonts w:ascii="Times New Roman" w:hAnsi="Times New Roman" w:cs="Times New Roman"/>
              </w:rPr>
              <w:t>15</w:t>
            </w:r>
          </w:p>
        </w:tc>
      </w:tr>
      <w:tr w:rsidR="00D227E2">
        <w:trPr>
          <w:trHeight w:val="285"/>
        </w:trPr>
        <w:tc>
          <w:tcPr>
            <w:tcW w:w="4117" w:type="dxa"/>
            <w:tcBorders>
              <w:top w:val="single" w:sz="4" w:space="0" w:color="000000"/>
              <w:left w:val="single" w:sz="4" w:space="0" w:color="000000"/>
              <w:bottom w:val="single" w:sz="4" w:space="0" w:color="000000"/>
            </w:tcBorders>
          </w:tcPr>
          <w:p w:rsidR="00D227E2" w:rsidRDefault="00934FC4">
            <w:pPr>
              <w:widowControl w:val="0"/>
              <w:tabs>
                <w:tab w:val="left" w:pos="-60"/>
              </w:tabs>
              <w:spacing w:after="0"/>
              <w:rPr>
                <w:rFonts w:ascii="Times New Roman" w:hAnsi="Times New Roman" w:cs="Times New Roman"/>
              </w:rPr>
            </w:pPr>
            <w:r>
              <w:rPr>
                <w:rFonts w:ascii="Times New Roman" w:hAnsi="Times New Roman" w:cs="Times New Roman"/>
              </w:rPr>
              <w:t>3. Заклади ресторанного господарства</w:t>
            </w:r>
          </w:p>
        </w:tc>
        <w:tc>
          <w:tcPr>
            <w:tcW w:w="2557" w:type="dxa"/>
            <w:tcBorders>
              <w:top w:val="single" w:sz="4" w:space="0" w:color="000000"/>
              <w:left w:val="single" w:sz="4" w:space="0" w:color="000000"/>
              <w:bottom w:val="single" w:sz="4" w:space="0" w:color="000000"/>
            </w:tcBorders>
          </w:tcPr>
          <w:p w:rsidR="00D227E2" w:rsidRDefault="00934FC4">
            <w:pPr>
              <w:widowControl w:val="0"/>
              <w:tabs>
                <w:tab w:val="left" w:pos="-60"/>
              </w:tabs>
              <w:spacing w:after="0" w:line="240" w:lineRule="auto"/>
              <w:jc w:val="center"/>
              <w:rPr>
                <w:rFonts w:ascii="Times New Roman" w:hAnsi="Times New Roman" w:cs="Times New Roman"/>
              </w:rPr>
            </w:pPr>
            <w:r>
              <w:rPr>
                <w:rFonts w:ascii="Times New Roman" w:hAnsi="Times New Roman" w:cs="Times New Roman"/>
              </w:rPr>
              <w:t>22</w:t>
            </w:r>
          </w:p>
        </w:tc>
        <w:tc>
          <w:tcPr>
            <w:tcW w:w="1486" w:type="dxa"/>
            <w:tcBorders>
              <w:top w:val="single" w:sz="4" w:space="0" w:color="000000"/>
              <w:left w:val="single" w:sz="4" w:space="0" w:color="000000"/>
              <w:bottom w:val="single" w:sz="4" w:space="0" w:color="000000"/>
            </w:tcBorders>
          </w:tcPr>
          <w:p w:rsidR="00D227E2" w:rsidRDefault="00934FC4">
            <w:pPr>
              <w:widowControl w:val="0"/>
              <w:tabs>
                <w:tab w:val="left" w:pos="-60"/>
              </w:tabs>
              <w:spacing w:after="0" w:line="240" w:lineRule="auto"/>
              <w:jc w:val="center"/>
              <w:rPr>
                <w:rFonts w:ascii="Times New Roman" w:hAnsi="Times New Roman" w:cs="Times New Roman"/>
              </w:rPr>
            </w:pPr>
            <w:r>
              <w:rPr>
                <w:rFonts w:ascii="Times New Roman" w:hAnsi="Times New Roman" w:cs="Times New Roman"/>
              </w:rPr>
              <w:t>275</w:t>
            </w:r>
          </w:p>
        </w:tc>
        <w:tc>
          <w:tcPr>
            <w:tcW w:w="1334"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60"/>
              </w:tabs>
              <w:spacing w:after="0" w:line="240" w:lineRule="auto"/>
              <w:jc w:val="center"/>
              <w:rPr>
                <w:rFonts w:ascii="Times New Roman" w:hAnsi="Times New Roman" w:cs="Times New Roman"/>
              </w:rPr>
            </w:pPr>
            <w:r>
              <w:rPr>
                <w:rFonts w:ascii="Times New Roman" w:hAnsi="Times New Roman" w:cs="Times New Roman"/>
              </w:rPr>
              <w:t>297</w:t>
            </w:r>
          </w:p>
        </w:tc>
      </w:tr>
      <w:tr w:rsidR="00D227E2">
        <w:tc>
          <w:tcPr>
            <w:tcW w:w="4117" w:type="dxa"/>
            <w:tcBorders>
              <w:top w:val="single" w:sz="4" w:space="0" w:color="000000"/>
              <w:left w:val="single" w:sz="4" w:space="0" w:color="000000"/>
              <w:bottom w:val="single" w:sz="4" w:space="0" w:color="000000"/>
            </w:tcBorders>
          </w:tcPr>
          <w:p w:rsidR="00D227E2" w:rsidRDefault="00934FC4">
            <w:pPr>
              <w:widowControl w:val="0"/>
              <w:tabs>
                <w:tab w:val="left" w:pos="-60"/>
              </w:tabs>
              <w:spacing w:after="0"/>
              <w:rPr>
                <w:rFonts w:ascii="Times New Roman" w:hAnsi="Times New Roman" w:cs="Times New Roman"/>
              </w:rPr>
            </w:pPr>
            <w:r>
              <w:rPr>
                <w:rFonts w:ascii="Times New Roman" w:hAnsi="Times New Roman" w:cs="Times New Roman"/>
              </w:rPr>
              <w:t>4. Ринкові комплекси</w:t>
            </w:r>
          </w:p>
        </w:tc>
        <w:tc>
          <w:tcPr>
            <w:tcW w:w="2557" w:type="dxa"/>
            <w:tcBorders>
              <w:top w:val="single" w:sz="4" w:space="0" w:color="000000"/>
              <w:left w:val="single" w:sz="4" w:space="0" w:color="000000"/>
              <w:bottom w:val="single" w:sz="4" w:space="0" w:color="000000"/>
            </w:tcBorders>
          </w:tcPr>
          <w:p w:rsidR="00D227E2" w:rsidRDefault="00934FC4">
            <w:pPr>
              <w:widowControl w:val="0"/>
              <w:tabs>
                <w:tab w:val="left" w:pos="-60"/>
              </w:tabs>
              <w:spacing w:after="0" w:line="240" w:lineRule="auto"/>
              <w:jc w:val="center"/>
              <w:rPr>
                <w:rFonts w:ascii="Times New Roman" w:hAnsi="Times New Roman" w:cs="Times New Roman"/>
              </w:rPr>
            </w:pPr>
            <w:r>
              <w:rPr>
                <w:rFonts w:ascii="Times New Roman" w:hAnsi="Times New Roman" w:cs="Times New Roman"/>
              </w:rPr>
              <w:t>-</w:t>
            </w:r>
          </w:p>
        </w:tc>
        <w:tc>
          <w:tcPr>
            <w:tcW w:w="1486" w:type="dxa"/>
            <w:tcBorders>
              <w:top w:val="single" w:sz="4" w:space="0" w:color="000000"/>
              <w:left w:val="single" w:sz="4" w:space="0" w:color="000000"/>
              <w:bottom w:val="single" w:sz="4" w:space="0" w:color="000000"/>
            </w:tcBorders>
          </w:tcPr>
          <w:p w:rsidR="00D227E2" w:rsidRDefault="00934FC4">
            <w:pPr>
              <w:widowControl w:val="0"/>
              <w:tabs>
                <w:tab w:val="left" w:pos="-60"/>
              </w:tabs>
              <w:spacing w:after="0" w:line="240" w:lineRule="auto"/>
              <w:jc w:val="center"/>
              <w:rPr>
                <w:rFonts w:ascii="Times New Roman" w:hAnsi="Times New Roman" w:cs="Times New Roman"/>
              </w:rPr>
            </w:pPr>
            <w:r>
              <w:rPr>
                <w:rFonts w:ascii="Times New Roman" w:hAnsi="Times New Roman" w:cs="Times New Roman"/>
              </w:rPr>
              <w:t>7</w:t>
            </w:r>
          </w:p>
        </w:tc>
        <w:tc>
          <w:tcPr>
            <w:tcW w:w="1334"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60"/>
              </w:tabs>
              <w:spacing w:after="0" w:line="240" w:lineRule="auto"/>
              <w:jc w:val="center"/>
              <w:rPr>
                <w:rFonts w:ascii="Times New Roman" w:hAnsi="Times New Roman" w:cs="Times New Roman"/>
              </w:rPr>
            </w:pPr>
            <w:r>
              <w:rPr>
                <w:rFonts w:ascii="Times New Roman" w:hAnsi="Times New Roman" w:cs="Times New Roman"/>
              </w:rPr>
              <w:t>7</w:t>
            </w:r>
          </w:p>
        </w:tc>
      </w:tr>
    </w:tbl>
    <w:p w:rsidR="00D227E2" w:rsidRDefault="00934FC4">
      <w:pPr>
        <w:spacing w:after="0"/>
        <w:jc w:val="center"/>
        <w:rPr>
          <w:rFonts w:ascii="Times New Roman" w:hAnsi="Times New Roman" w:cs="Times New Roman"/>
        </w:rPr>
      </w:pPr>
      <w:r>
        <w:rPr>
          <w:rFonts w:ascii="Times New Roman" w:hAnsi="Times New Roman" w:cs="Times New Roman"/>
          <w:sz w:val="24"/>
          <w:szCs w:val="24"/>
        </w:rPr>
        <w:t>Таблиця 12. Узагальнені економічні показники м. Луцька*</w:t>
      </w:r>
    </w:p>
    <w:tbl>
      <w:tblPr>
        <w:tblW w:w="9544" w:type="dxa"/>
        <w:jc w:val="center"/>
        <w:tblLayout w:type="fixed"/>
        <w:tblLook w:val="04A0" w:firstRow="1" w:lastRow="0" w:firstColumn="1" w:lastColumn="0" w:noHBand="0" w:noVBand="1"/>
      </w:tblPr>
      <w:tblGrid>
        <w:gridCol w:w="2324"/>
        <w:gridCol w:w="1013"/>
        <w:gridCol w:w="997"/>
        <w:gridCol w:w="989"/>
        <w:gridCol w:w="1001"/>
        <w:gridCol w:w="1012"/>
        <w:gridCol w:w="997"/>
        <w:gridCol w:w="1211"/>
      </w:tblGrid>
      <w:tr w:rsidR="00D227E2">
        <w:trPr>
          <w:trHeight w:val="300"/>
          <w:jc w:val="center"/>
        </w:trPr>
        <w:tc>
          <w:tcPr>
            <w:tcW w:w="2323" w:type="dxa"/>
            <w:vMerge w:val="restart"/>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rPr>
              <w:t>Назва показника</w:t>
            </w:r>
          </w:p>
        </w:tc>
        <w:tc>
          <w:tcPr>
            <w:tcW w:w="7219" w:type="dxa"/>
            <w:gridSpan w:val="7"/>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hanging="1451"/>
              <w:jc w:val="center"/>
              <w:rPr>
                <w:rFonts w:ascii="Times New Roman" w:hAnsi="Times New Roman" w:cs="Times New Roman"/>
              </w:rPr>
            </w:pPr>
            <w:r>
              <w:rPr>
                <w:rFonts w:ascii="Times New Roman" w:hAnsi="Times New Roman" w:cs="Times New Roman"/>
              </w:rPr>
              <w:t>Роки</w:t>
            </w:r>
          </w:p>
        </w:tc>
      </w:tr>
      <w:tr w:rsidR="00D227E2">
        <w:trPr>
          <w:trHeight w:val="255"/>
          <w:jc w:val="center"/>
        </w:trPr>
        <w:tc>
          <w:tcPr>
            <w:tcW w:w="2323"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widowControl w:val="0"/>
              <w:spacing w:after="0" w:line="240" w:lineRule="auto"/>
              <w:rPr>
                <w:rFonts w:ascii="Times New Roman" w:hAnsi="Times New Roman" w:cs="Times New Roman"/>
              </w:rPr>
            </w:pPr>
          </w:p>
        </w:tc>
        <w:tc>
          <w:tcPr>
            <w:tcW w:w="101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rPr>
              <w:t>2016</w:t>
            </w:r>
          </w:p>
        </w:tc>
        <w:tc>
          <w:tcPr>
            <w:tcW w:w="99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rPr>
              <w:t>2017</w:t>
            </w:r>
          </w:p>
        </w:tc>
        <w:tc>
          <w:tcPr>
            <w:tcW w:w="98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rPr>
              <w:t>2018</w:t>
            </w:r>
          </w:p>
        </w:tc>
        <w:tc>
          <w:tcPr>
            <w:tcW w:w="1001"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rPr>
              <w:t>2019</w:t>
            </w:r>
          </w:p>
        </w:tc>
        <w:tc>
          <w:tcPr>
            <w:tcW w:w="1012"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rPr>
              <w:t>2020</w:t>
            </w:r>
          </w:p>
        </w:tc>
        <w:tc>
          <w:tcPr>
            <w:tcW w:w="99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rPr>
              <w:t>2021</w:t>
            </w:r>
          </w:p>
        </w:tc>
        <w:tc>
          <w:tcPr>
            <w:tcW w:w="1211"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rPr>
              <w:t>2022</w:t>
            </w:r>
          </w:p>
        </w:tc>
      </w:tr>
      <w:tr w:rsidR="00D227E2">
        <w:trPr>
          <w:trHeight w:val="300"/>
          <w:jc w:val="center"/>
        </w:trPr>
        <w:tc>
          <w:tcPr>
            <w:tcW w:w="232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rPr>
              <w:t>Зареєстровані суб’єкти господарської діяльності (од.)</w:t>
            </w:r>
          </w:p>
        </w:tc>
        <w:tc>
          <w:tcPr>
            <w:tcW w:w="101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15657</w:t>
            </w:r>
          </w:p>
        </w:tc>
        <w:tc>
          <w:tcPr>
            <w:tcW w:w="99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14469</w:t>
            </w:r>
          </w:p>
        </w:tc>
        <w:tc>
          <w:tcPr>
            <w:tcW w:w="98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12992</w:t>
            </w:r>
          </w:p>
        </w:tc>
        <w:tc>
          <w:tcPr>
            <w:tcW w:w="1001"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14050</w:t>
            </w:r>
          </w:p>
        </w:tc>
        <w:tc>
          <w:tcPr>
            <w:tcW w:w="1012"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25158</w:t>
            </w:r>
          </w:p>
        </w:tc>
        <w:tc>
          <w:tcPr>
            <w:tcW w:w="99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27444</w:t>
            </w:r>
          </w:p>
        </w:tc>
        <w:tc>
          <w:tcPr>
            <w:tcW w:w="1211"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28502</w:t>
            </w:r>
          </w:p>
        </w:tc>
      </w:tr>
      <w:tr w:rsidR="00D227E2">
        <w:trPr>
          <w:trHeight w:val="300"/>
          <w:jc w:val="center"/>
        </w:trPr>
        <w:tc>
          <w:tcPr>
            <w:tcW w:w="232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rPr>
              <w:t>Зареєстровані юридичні особи</w:t>
            </w:r>
          </w:p>
        </w:tc>
        <w:tc>
          <w:tcPr>
            <w:tcW w:w="101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2470</w:t>
            </w:r>
          </w:p>
        </w:tc>
        <w:tc>
          <w:tcPr>
            <w:tcW w:w="99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2745</w:t>
            </w:r>
          </w:p>
        </w:tc>
        <w:tc>
          <w:tcPr>
            <w:tcW w:w="98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2849</w:t>
            </w:r>
          </w:p>
        </w:tc>
        <w:tc>
          <w:tcPr>
            <w:tcW w:w="1001"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3094</w:t>
            </w:r>
          </w:p>
        </w:tc>
        <w:tc>
          <w:tcPr>
            <w:tcW w:w="1012"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12336</w:t>
            </w:r>
          </w:p>
        </w:tc>
        <w:tc>
          <w:tcPr>
            <w:tcW w:w="99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12919</w:t>
            </w:r>
          </w:p>
        </w:tc>
        <w:tc>
          <w:tcPr>
            <w:tcW w:w="1211"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13431</w:t>
            </w:r>
          </w:p>
        </w:tc>
      </w:tr>
      <w:tr w:rsidR="00D227E2">
        <w:trPr>
          <w:trHeight w:val="300"/>
          <w:jc w:val="center"/>
        </w:trPr>
        <w:tc>
          <w:tcPr>
            <w:tcW w:w="232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rPr>
              <w:t xml:space="preserve">Зареєстровані фізичні </w:t>
            </w:r>
            <w:r>
              <w:rPr>
                <w:rFonts w:ascii="Times New Roman" w:hAnsi="Times New Roman" w:cs="Times New Roman"/>
              </w:rPr>
              <w:lastRenderedPageBreak/>
              <w:t>особи-підприємці (од.)</w:t>
            </w:r>
          </w:p>
        </w:tc>
        <w:tc>
          <w:tcPr>
            <w:tcW w:w="101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lastRenderedPageBreak/>
              <w:t>13187</w:t>
            </w:r>
          </w:p>
        </w:tc>
        <w:tc>
          <w:tcPr>
            <w:tcW w:w="99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11724</w:t>
            </w:r>
          </w:p>
        </w:tc>
        <w:tc>
          <w:tcPr>
            <w:tcW w:w="98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10143</w:t>
            </w:r>
          </w:p>
        </w:tc>
        <w:tc>
          <w:tcPr>
            <w:tcW w:w="1001"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10956</w:t>
            </w:r>
          </w:p>
        </w:tc>
        <w:tc>
          <w:tcPr>
            <w:tcW w:w="1012"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12822</w:t>
            </w:r>
          </w:p>
        </w:tc>
        <w:tc>
          <w:tcPr>
            <w:tcW w:w="99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14525</w:t>
            </w:r>
          </w:p>
        </w:tc>
        <w:tc>
          <w:tcPr>
            <w:tcW w:w="1211"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15071</w:t>
            </w:r>
          </w:p>
        </w:tc>
      </w:tr>
      <w:tr w:rsidR="00D227E2">
        <w:trPr>
          <w:trHeight w:val="300"/>
          <w:jc w:val="center"/>
        </w:trPr>
        <w:tc>
          <w:tcPr>
            <w:tcW w:w="232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rPr>
              <w:lastRenderedPageBreak/>
              <w:t>Кількість малих підприємств (од.)</w:t>
            </w:r>
          </w:p>
        </w:tc>
        <w:tc>
          <w:tcPr>
            <w:tcW w:w="101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2331</w:t>
            </w:r>
          </w:p>
        </w:tc>
        <w:tc>
          <w:tcPr>
            <w:tcW w:w="99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2609</w:t>
            </w:r>
          </w:p>
        </w:tc>
        <w:tc>
          <w:tcPr>
            <w:tcW w:w="98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2712</w:t>
            </w:r>
          </w:p>
        </w:tc>
        <w:tc>
          <w:tcPr>
            <w:tcW w:w="1001"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2933</w:t>
            </w:r>
          </w:p>
        </w:tc>
        <w:tc>
          <w:tcPr>
            <w:tcW w:w="1012"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2993</w:t>
            </w:r>
          </w:p>
        </w:tc>
        <w:tc>
          <w:tcPr>
            <w:tcW w:w="99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w:t>
            </w:r>
          </w:p>
        </w:tc>
        <w:tc>
          <w:tcPr>
            <w:tcW w:w="1211"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w:t>
            </w:r>
          </w:p>
        </w:tc>
      </w:tr>
      <w:tr w:rsidR="00D227E2">
        <w:trPr>
          <w:trHeight w:val="300"/>
          <w:jc w:val="center"/>
        </w:trPr>
        <w:tc>
          <w:tcPr>
            <w:tcW w:w="232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rPr>
              <w:t>Обсяг реалізованої продукції (товарів, послуг), млрд грн</w:t>
            </w:r>
          </w:p>
        </w:tc>
        <w:tc>
          <w:tcPr>
            <w:tcW w:w="101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9,6</w:t>
            </w:r>
          </w:p>
        </w:tc>
        <w:tc>
          <w:tcPr>
            <w:tcW w:w="997"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11,4</w:t>
            </w:r>
          </w:p>
        </w:tc>
        <w:tc>
          <w:tcPr>
            <w:tcW w:w="98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12,2</w:t>
            </w:r>
          </w:p>
        </w:tc>
        <w:tc>
          <w:tcPr>
            <w:tcW w:w="1001"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12,6</w:t>
            </w:r>
          </w:p>
        </w:tc>
        <w:tc>
          <w:tcPr>
            <w:tcW w:w="1012"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12,9</w:t>
            </w:r>
          </w:p>
        </w:tc>
        <w:tc>
          <w:tcPr>
            <w:tcW w:w="99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14,7</w:t>
            </w:r>
          </w:p>
        </w:tc>
        <w:tc>
          <w:tcPr>
            <w:tcW w:w="1211"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w:t>
            </w:r>
          </w:p>
        </w:tc>
      </w:tr>
      <w:tr w:rsidR="00D227E2">
        <w:trPr>
          <w:trHeight w:val="300"/>
          <w:jc w:val="center"/>
        </w:trPr>
        <w:tc>
          <w:tcPr>
            <w:tcW w:w="232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rPr>
              <w:t>Обсяги експорту товарів, послуг (млрд дол. США)</w:t>
            </w:r>
          </w:p>
        </w:tc>
        <w:tc>
          <w:tcPr>
            <w:tcW w:w="101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188</w:t>
            </w:r>
          </w:p>
        </w:tc>
        <w:tc>
          <w:tcPr>
            <w:tcW w:w="99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180,2</w:t>
            </w:r>
          </w:p>
        </w:tc>
        <w:tc>
          <w:tcPr>
            <w:tcW w:w="98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203,8</w:t>
            </w:r>
          </w:p>
        </w:tc>
        <w:tc>
          <w:tcPr>
            <w:tcW w:w="1001"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173,1</w:t>
            </w:r>
          </w:p>
        </w:tc>
        <w:tc>
          <w:tcPr>
            <w:tcW w:w="1012"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153,6</w:t>
            </w:r>
          </w:p>
        </w:tc>
        <w:tc>
          <w:tcPr>
            <w:tcW w:w="99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197,4</w:t>
            </w:r>
          </w:p>
        </w:tc>
        <w:tc>
          <w:tcPr>
            <w:tcW w:w="1211"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w:t>
            </w:r>
          </w:p>
        </w:tc>
      </w:tr>
      <w:tr w:rsidR="00D227E2">
        <w:trPr>
          <w:trHeight w:val="300"/>
          <w:jc w:val="center"/>
        </w:trPr>
        <w:tc>
          <w:tcPr>
            <w:tcW w:w="232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rPr>
              <w:t>Обсяги імпорту товарів, послуг (млрд дол. США)</w:t>
            </w:r>
          </w:p>
        </w:tc>
        <w:tc>
          <w:tcPr>
            <w:tcW w:w="101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749,1</w:t>
            </w:r>
          </w:p>
        </w:tc>
        <w:tc>
          <w:tcPr>
            <w:tcW w:w="99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898,4</w:t>
            </w:r>
          </w:p>
        </w:tc>
        <w:tc>
          <w:tcPr>
            <w:tcW w:w="98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932,7</w:t>
            </w:r>
          </w:p>
        </w:tc>
        <w:tc>
          <w:tcPr>
            <w:tcW w:w="1001"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919,9</w:t>
            </w:r>
          </w:p>
        </w:tc>
        <w:tc>
          <w:tcPr>
            <w:tcW w:w="1012"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870,9</w:t>
            </w:r>
          </w:p>
        </w:tc>
        <w:tc>
          <w:tcPr>
            <w:tcW w:w="99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1177,9</w:t>
            </w:r>
          </w:p>
        </w:tc>
        <w:tc>
          <w:tcPr>
            <w:tcW w:w="1211"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w:t>
            </w:r>
          </w:p>
        </w:tc>
      </w:tr>
      <w:tr w:rsidR="00D227E2">
        <w:trPr>
          <w:trHeight w:val="274"/>
          <w:jc w:val="center"/>
        </w:trPr>
        <w:tc>
          <w:tcPr>
            <w:tcW w:w="232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rPr>
              <w:t>Обсяг прямих іноземних інвестицій (акціонерного капіталу), млн дол. США</w:t>
            </w:r>
          </w:p>
        </w:tc>
        <w:tc>
          <w:tcPr>
            <w:tcW w:w="101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94,1</w:t>
            </w:r>
          </w:p>
        </w:tc>
        <w:tc>
          <w:tcPr>
            <w:tcW w:w="99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95,7</w:t>
            </w:r>
          </w:p>
        </w:tc>
        <w:tc>
          <w:tcPr>
            <w:tcW w:w="989"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93,4</w:t>
            </w:r>
          </w:p>
        </w:tc>
        <w:tc>
          <w:tcPr>
            <w:tcW w:w="1001"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97,6</w:t>
            </w:r>
          </w:p>
        </w:tc>
        <w:tc>
          <w:tcPr>
            <w:tcW w:w="1012"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w:t>
            </w:r>
          </w:p>
        </w:tc>
        <w:tc>
          <w:tcPr>
            <w:tcW w:w="99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w:t>
            </w:r>
          </w:p>
        </w:tc>
        <w:tc>
          <w:tcPr>
            <w:tcW w:w="1211"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textAlignment w:val="center"/>
              <w:rPr>
                <w:rFonts w:ascii="Times New Roman" w:hAnsi="Times New Roman" w:cs="Times New Roman"/>
              </w:rPr>
            </w:pPr>
            <w:r>
              <w:rPr>
                <w:rFonts w:ascii="Times New Roman" w:hAnsi="Times New Roman" w:cs="Times New Roman"/>
              </w:rPr>
              <w:t>-</w:t>
            </w:r>
          </w:p>
        </w:tc>
      </w:tr>
    </w:tbl>
    <w:p w:rsidR="00D227E2" w:rsidRDefault="00934FC4">
      <w:pPr>
        <w:spacing w:after="0"/>
        <w:jc w:val="both"/>
        <w:rPr>
          <w:rFonts w:ascii="Times New Roman" w:hAnsi="Times New Roman" w:cs="Times New Roman"/>
        </w:rPr>
      </w:pPr>
      <w:r>
        <w:rPr>
          <w:rFonts w:ascii="Times New Roman" w:hAnsi="Times New Roman" w:cs="Times New Roman"/>
          <w:sz w:val="24"/>
          <w:szCs w:val="24"/>
        </w:rPr>
        <w:t>* У зв’язку із збройною агресією росії проти України статистична інформація на сайті Головного управління статистики у Волинській області буде оприлюднена після завершення терміну подання статистичної звітності, встановленого Законом України «Про захист інтересів суб’єктів подання звітності та інших документів у період дії воєнного стану або стану війни».</w:t>
      </w:r>
    </w:p>
    <w:p w:rsidR="00D227E2" w:rsidRDefault="00D227E2">
      <w:pPr>
        <w:spacing w:after="0"/>
        <w:ind w:firstLine="567"/>
        <w:jc w:val="both"/>
        <w:rPr>
          <w:rFonts w:ascii="Times New Roman" w:hAnsi="Times New Roman" w:cs="Times New Roman"/>
          <w:sz w:val="24"/>
          <w:szCs w:val="24"/>
          <w:shd w:val="clear" w:color="auto" w:fill="FFFF00"/>
        </w:rPr>
      </w:pPr>
    </w:p>
    <w:p w:rsidR="00D227E2" w:rsidRDefault="00934FC4">
      <w:pPr>
        <w:spacing w:after="0"/>
        <w:ind w:firstLine="567"/>
        <w:jc w:val="both"/>
        <w:rPr>
          <w:rFonts w:ascii="Times New Roman" w:hAnsi="Times New Roman" w:cs="Times New Roman"/>
        </w:rPr>
      </w:pPr>
      <w:r>
        <w:rPr>
          <w:rFonts w:ascii="Times New Roman" w:hAnsi="Times New Roman" w:cs="Times New Roman"/>
          <w:b/>
          <w:bCs/>
          <w:color w:val="000000"/>
          <w:sz w:val="24"/>
          <w:szCs w:val="24"/>
        </w:rPr>
        <w:t>2.4. Бюджет територіальної громади</w:t>
      </w:r>
    </w:p>
    <w:p w:rsidR="00D227E2" w:rsidRDefault="00934FC4">
      <w:pPr>
        <w:spacing w:after="0"/>
        <w:ind w:firstLine="567"/>
        <w:jc w:val="both"/>
        <w:rPr>
          <w:rFonts w:ascii="Times New Roman" w:hAnsi="Times New Roman" w:cs="Times New Roman"/>
        </w:rPr>
      </w:pPr>
      <w:r>
        <w:rPr>
          <w:rFonts w:ascii="Times New Roman" w:hAnsi="Times New Roman" w:cs="Times New Roman"/>
          <w:color w:val="000000"/>
          <w:sz w:val="24"/>
          <w:szCs w:val="24"/>
        </w:rPr>
        <w:t xml:space="preserve">В Україні, протягом останніх років у нормативно-правовій базі, яка регламентує наповнення бюджетів міських територіальних громад відбулися значні зміни. </w:t>
      </w:r>
    </w:p>
    <w:p w:rsidR="00D227E2" w:rsidRDefault="00934FC4">
      <w:pPr>
        <w:spacing w:after="0"/>
        <w:ind w:firstLine="567"/>
        <w:jc w:val="both"/>
        <w:rPr>
          <w:rFonts w:ascii="Times New Roman" w:hAnsi="Times New Roman" w:cs="Times New Roman"/>
        </w:rPr>
      </w:pPr>
      <w:r>
        <w:rPr>
          <w:rFonts w:ascii="Times New Roman" w:hAnsi="Times New Roman" w:cs="Times New Roman"/>
          <w:color w:val="000000"/>
          <w:sz w:val="24"/>
          <w:szCs w:val="24"/>
        </w:rPr>
        <w:t>Окремо треба зазначити, що події 2014 року, пов’язані із військовим протистоянням на Донбасі та збройною агресією росії проти України з 2022 року позначили свій вплив на рівень інфляції в економіці України (таблиця 13).</w:t>
      </w:r>
    </w:p>
    <w:p w:rsidR="00D227E2" w:rsidRDefault="00934FC4">
      <w:pPr>
        <w:spacing w:after="0"/>
        <w:ind w:firstLine="567"/>
        <w:jc w:val="center"/>
        <w:rPr>
          <w:rFonts w:ascii="Times New Roman" w:hAnsi="Times New Roman" w:cs="Times New Roman"/>
        </w:rPr>
      </w:pPr>
      <w:r>
        <w:rPr>
          <w:rFonts w:ascii="Times New Roman" w:hAnsi="Times New Roman" w:cs="Times New Roman"/>
          <w:color w:val="000000"/>
          <w:sz w:val="24"/>
          <w:szCs w:val="24"/>
        </w:rPr>
        <w:t>Таблиця 13. Рівень інфляції в економіці України</w:t>
      </w:r>
    </w:p>
    <w:tbl>
      <w:tblPr>
        <w:tblW w:w="2858" w:type="dxa"/>
        <w:jc w:val="center"/>
        <w:tblLayout w:type="fixed"/>
        <w:tblLook w:val="04A0" w:firstRow="1" w:lastRow="0" w:firstColumn="1" w:lastColumn="0" w:noHBand="0" w:noVBand="1"/>
      </w:tblPr>
      <w:tblGrid>
        <w:gridCol w:w="1060"/>
        <w:gridCol w:w="1798"/>
      </w:tblGrid>
      <w:tr w:rsidR="00D227E2">
        <w:trPr>
          <w:trHeight w:val="283"/>
          <w:jc w:val="center"/>
        </w:trPr>
        <w:tc>
          <w:tcPr>
            <w:tcW w:w="1060" w:type="dxa"/>
            <w:tcBorders>
              <w:top w:val="single" w:sz="4" w:space="0" w:color="000000"/>
              <w:left w:val="single" w:sz="4" w:space="0" w:color="000000"/>
              <w:bottom w:val="single" w:sz="4" w:space="0" w:color="000000"/>
              <w:right w:val="single" w:sz="4" w:space="0" w:color="000000"/>
            </w:tcBorders>
            <w:vAlign w:val="bottom"/>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ru-RU"/>
              </w:rPr>
              <w:t>Роки</w:t>
            </w:r>
          </w:p>
        </w:tc>
        <w:tc>
          <w:tcPr>
            <w:tcW w:w="1797" w:type="dxa"/>
            <w:tcBorders>
              <w:top w:val="single" w:sz="4" w:space="0" w:color="000000"/>
              <w:bottom w:val="single" w:sz="4" w:space="0" w:color="000000"/>
              <w:right w:val="single" w:sz="4" w:space="0" w:color="000000"/>
            </w:tcBorders>
            <w:vAlign w:val="bottom"/>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ru-RU"/>
              </w:rPr>
              <w:t>Інфляція,  %</w:t>
            </w:r>
          </w:p>
        </w:tc>
      </w:tr>
      <w:tr w:rsidR="00D227E2">
        <w:trPr>
          <w:trHeight w:val="283"/>
          <w:jc w:val="center"/>
        </w:trPr>
        <w:tc>
          <w:tcPr>
            <w:tcW w:w="1060" w:type="dxa"/>
            <w:tcBorders>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ru-RU"/>
              </w:rPr>
              <w:t>2007</w:t>
            </w:r>
          </w:p>
        </w:tc>
        <w:tc>
          <w:tcPr>
            <w:tcW w:w="1797" w:type="dxa"/>
            <w:tcBorders>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ru-RU"/>
              </w:rPr>
              <w:t>116,6</w:t>
            </w:r>
          </w:p>
        </w:tc>
      </w:tr>
      <w:tr w:rsidR="00D227E2">
        <w:trPr>
          <w:trHeight w:val="283"/>
          <w:jc w:val="center"/>
        </w:trPr>
        <w:tc>
          <w:tcPr>
            <w:tcW w:w="1060" w:type="dxa"/>
            <w:tcBorders>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ru-RU"/>
              </w:rPr>
              <w:t>2012</w:t>
            </w:r>
          </w:p>
        </w:tc>
        <w:tc>
          <w:tcPr>
            <w:tcW w:w="1797" w:type="dxa"/>
            <w:tcBorders>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ru-RU"/>
              </w:rPr>
              <w:t>99,8</w:t>
            </w:r>
          </w:p>
        </w:tc>
      </w:tr>
      <w:tr w:rsidR="00D227E2">
        <w:trPr>
          <w:trHeight w:val="283"/>
          <w:jc w:val="center"/>
        </w:trPr>
        <w:tc>
          <w:tcPr>
            <w:tcW w:w="1060" w:type="dxa"/>
            <w:tcBorders>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ru-RU"/>
              </w:rPr>
              <w:t>2013</w:t>
            </w:r>
          </w:p>
        </w:tc>
        <w:tc>
          <w:tcPr>
            <w:tcW w:w="1797" w:type="dxa"/>
            <w:tcBorders>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ru-RU"/>
              </w:rPr>
              <w:t>100,5</w:t>
            </w:r>
          </w:p>
        </w:tc>
      </w:tr>
      <w:tr w:rsidR="00D227E2">
        <w:trPr>
          <w:trHeight w:val="283"/>
          <w:jc w:val="center"/>
        </w:trPr>
        <w:tc>
          <w:tcPr>
            <w:tcW w:w="1060" w:type="dxa"/>
            <w:tcBorders>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ru-RU"/>
              </w:rPr>
              <w:t>2014</w:t>
            </w:r>
          </w:p>
        </w:tc>
        <w:tc>
          <w:tcPr>
            <w:tcW w:w="1797" w:type="dxa"/>
            <w:tcBorders>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ru-RU"/>
              </w:rPr>
              <w:t>124,9</w:t>
            </w:r>
          </w:p>
        </w:tc>
      </w:tr>
      <w:tr w:rsidR="00D227E2">
        <w:trPr>
          <w:trHeight w:val="283"/>
          <w:jc w:val="center"/>
        </w:trPr>
        <w:tc>
          <w:tcPr>
            <w:tcW w:w="1060" w:type="dxa"/>
            <w:tcBorders>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ru-RU"/>
              </w:rPr>
              <w:t>2015</w:t>
            </w:r>
          </w:p>
        </w:tc>
        <w:tc>
          <w:tcPr>
            <w:tcW w:w="1797" w:type="dxa"/>
            <w:tcBorders>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ru-RU"/>
              </w:rPr>
              <w:t>143,3</w:t>
            </w:r>
          </w:p>
        </w:tc>
      </w:tr>
      <w:tr w:rsidR="00D227E2">
        <w:trPr>
          <w:trHeight w:val="283"/>
          <w:jc w:val="center"/>
        </w:trPr>
        <w:tc>
          <w:tcPr>
            <w:tcW w:w="1060"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ru-RU"/>
              </w:rPr>
              <w:t>2016</w:t>
            </w:r>
          </w:p>
        </w:tc>
        <w:tc>
          <w:tcPr>
            <w:tcW w:w="179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ru-RU"/>
              </w:rPr>
              <w:t>112,4</w:t>
            </w:r>
          </w:p>
        </w:tc>
      </w:tr>
      <w:tr w:rsidR="00D227E2">
        <w:trPr>
          <w:trHeight w:val="283"/>
          <w:jc w:val="center"/>
        </w:trPr>
        <w:tc>
          <w:tcPr>
            <w:tcW w:w="1060"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ru-RU"/>
              </w:rPr>
              <w:t>2017</w:t>
            </w:r>
          </w:p>
        </w:tc>
        <w:tc>
          <w:tcPr>
            <w:tcW w:w="179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ru-RU"/>
              </w:rPr>
              <w:t>113,7</w:t>
            </w:r>
          </w:p>
        </w:tc>
      </w:tr>
      <w:tr w:rsidR="00D227E2">
        <w:trPr>
          <w:trHeight w:val="283"/>
          <w:jc w:val="center"/>
        </w:trPr>
        <w:tc>
          <w:tcPr>
            <w:tcW w:w="1060"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ru-RU"/>
              </w:rPr>
              <w:t>2018</w:t>
            </w:r>
          </w:p>
        </w:tc>
        <w:tc>
          <w:tcPr>
            <w:tcW w:w="179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ru-RU"/>
              </w:rPr>
              <w:t>109,8</w:t>
            </w:r>
          </w:p>
        </w:tc>
      </w:tr>
      <w:tr w:rsidR="00D227E2">
        <w:trPr>
          <w:trHeight w:val="283"/>
          <w:jc w:val="center"/>
        </w:trPr>
        <w:tc>
          <w:tcPr>
            <w:tcW w:w="1060"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ru-RU"/>
              </w:rPr>
              <w:t>2019</w:t>
            </w:r>
          </w:p>
        </w:tc>
        <w:tc>
          <w:tcPr>
            <w:tcW w:w="179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ru-RU"/>
              </w:rPr>
              <w:t>104,1</w:t>
            </w:r>
          </w:p>
        </w:tc>
      </w:tr>
      <w:tr w:rsidR="00D227E2">
        <w:trPr>
          <w:trHeight w:val="283"/>
          <w:jc w:val="center"/>
        </w:trPr>
        <w:tc>
          <w:tcPr>
            <w:tcW w:w="1060"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ru-RU"/>
              </w:rPr>
              <w:t>2020</w:t>
            </w:r>
          </w:p>
        </w:tc>
        <w:tc>
          <w:tcPr>
            <w:tcW w:w="179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ru-RU"/>
              </w:rPr>
              <w:t>105,0</w:t>
            </w:r>
          </w:p>
        </w:tc>
      </w:tr>
      <w:tr w:rsidR="00D227E2">
        <w:trPr>
          <w:trHeight w:val="283"/>
          <w:jc w:val="center"/>
        </w:trPr>
        <w:tc>
          <w:tcPr>
            <w:tcW w:w="1060"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ru-RU"/>
              </w:rPr>
              <w:t>2021</w:t>
            </w:r>
          </w:p>
        </w:tc>
        <w:tc>
          <w:tcPr>
            <w:tcW w:w="179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ru-RU"/>
              </w:rPr>
              <w:t>110,0</w:t>
            </w:r>
          </w:p>
        </w:tc>
      </w:tr>
      <w:tr w:rsidR="00D227E2">
        <w:trPr>
          <w:trHeight w:val="283"/>
          <w:jc w:val="center"/>
        </w:trPr>
        <w:tc>
          <w:tcPr>
            <w:tcW w:w="1060"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ru-RU"/>
              </w:rPr>
              <w:t>2022</w:t>
            </w:r>
          </w:p>
        </w:tc>
        <w:tc>
          <w:tcPr>
            <w:tcW w:w="179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ru-RU"/>
              </w:rPr>
              <w:t>126,6</w:t>
            </w:r>
          </w:p>
        </w:tc>
      </w:tr>
    </w:tbl>
    <w:p w:rsidR="00D227E2" w:rsidRDefault="00934FC4">
      <w:pPr>
        <w:spacing w:after="0"/>
        <w:ind w:firstLine="567"/>
        <w:jc w:val="both"/>
        <w:rPr>
          <w:rFonts w:ascii="Times New Roman" w:hAnsi="Times New Roman" w:cs="Times New Roman"/>
        </w:rPr>
      </w:pPr>
      <w:r>
        <w:rPr>
          <w:rFonts w:ascii="Times New Roman" w:hAnsi="Times New Roman" w:cs="Times New Roman"/>
          <w:color w:val="000000"/>
          <w:sz w:val="24"/>
          <w:szCs w:val="24"/>
        </w:rPr>
        <w:t>Для забезпечення виконання енергоефективних заходів ПДСЕР протягом 2007-2022 років у м. Луцьку використовувалися власні бюджетні кошти, фінансові вкладення інших джерел, що незаборонені законодавством (районного, обласного, державного бюджетів), грантові кошти міжнародних організацій та кошти приватних інвесторів.</w:t>
      </w:r>
    </w:p>
    <w:p w:rsidR="00D227E2" w:rsidRDefault="00934FC4">
      <w:pPr>
        <w:spacing w:after="0"/>
        <w:ind w:firstLine="567"/>
        <w:jc w:val="both"/>
        <w:rPr>
          <w:rFonts w:ascii="Times New Roman" w:hAnsi="Times New Roman" w:cs="Times New Roman"/>
        </w:rPr>
      </w:pPr>
      <w:r>
        <w:rPr>
          <w:rFonts w:ascii="Times New Roman" w:hAnsi="Times New Roman" w:cs="Times New Roman"/>
          <w:color w:val="000000"/>
          <w:sz w:val="24"/>
          <w:szCs w:val="24"/>
        </w:rPr>
        <w:lastRenderedPageBreak/>
        <w:t xml:space="preserve">Залучення додаткових інвестицій було необхідним для виконання енергоефективних заходів ПДСЕР, оскільки власних бюджетних коштів для виконання заходів було недостатньо. </w:t>
      </w:r>
    </w:p>
    <w:p w:rsidR="00D227E2" w:rsidRDefault="00934FC4">
      <w:pPr>
        <w:spacing w:after="0"/>
        <w:ind w:firstLine="567"/>
        <w:jc w:val="both"/>
        <w:rPr>
          <w:rFonts w:ascii="Times New Roman" w:hAnsi="Times New Roman" w:cs="Times New Roman"/>
        </w:rPr>
      </w:pPr>
      <w:r>
        <w:rPr>
          <w:rFonts w:ascii="Times New Roman" w:hAnsi="Times New Roman" w:cs="Times New Roman"/>
          <w:color w:val="000000"/>
          <w:sz w:val="24"/>
          <w:szCs w:val="24"/>
        </w:rPr>
        <w:t>Доходи бюджету Луцької МТГ за 2007, 2012-2022 роки наведено у таблиці 14.</w:t>
      </w:r>
    </w:p>
    <w:p w:rsidR="00D227E2" w:rsidRDefault="00934FC4">
      <w:pPr>
        <w:spacing w:after="0"/>
        <w:ind w:firstLine="567"/>
        <w:jc w:val="center"/>
        <w:rPr>
          <w:rFonts w:ascii="Times New Roman" w:hAnsi="Times New Roman" w:cs="Times New Roman"/>
        </w:rPr>
      </w:pPr>
      <w:r>
        <w:rPr>
          <w:rFonts w:ascii="Times New Roman" w:hAnsi="Times New Roman" w:cs="Times New Roman"/>
          <w:color w:val="000000"/>
          <w:sz w:val="24"/>
          <w:szCs w:val="24"/>
        </w:rPr>
        <w:t>Таблиця 14. Доходи бюджету Луцької МТГ за 2007, 2012-2022 роки</w:t>
      </w:r>
    </w:p>
    <w:tbl>
      <w:tblPr>
        <w:tblW w:w="9298" w:type="dxa"/>
        <w:jc w:val="center"/>
        <w:tblLayout w:type="fixed"/>
        <w:tblLook w:val="04A0" w:firstRow="1" w:lastRow="0" w:firstColumn="1" w:lastColumn="0" w:noHBand="0" w:noVBand="1"/>
      </w:tblPr>
      <w:tblGrid>
        <w:gridCol w:w="899"/>
        <w:gridCol w:w="2383"/>
        <w:gridCol w:w="2028"/>
        <w:gridCol w:w="1603"/>
        <w:gridCol w:w="2385"/>
      </w:tblGrid>
      <w:tr w:rsidR="00D227E2">
        <w:trPr>
          <w:jc w:val="center"/>
        </w:trPr>
        <w:tc>
          <w:tcPr>
            <w:tcW w:w="899" w:type="dxa"/>
            <w:vMerge w:val="restart"/>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rPr>
                <w:rFonts w:ascii="Times New Roman" w:hAnsi="Times New Roman" w:cs="Times New Roman"/>
              </w:rPr>
            </w:pPr>
            <w:r>
              <w:rPr>
                <w:rFonts w:ascii="Times New Roman" w:hAnsi="Times New Roman" w:cs="Times New Roman"/>
                <w:color w:val="000000"/>
              </w:rPr>
              <w:t>Роки</w:t>
            </w:r>
          </w:p>
        </w:tc>
        <w:tc>
          <w:tcPr>
            <w:tcW w:w="2383" w:type="dxa"/>
            <w:vMerge w:val="restart"/>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Разом доходи бюджету,</w:t>
            </w:r>
            <w:r>
              <w:rPr>
                <w:rFonts w:ascii="Times New Roman" w:hAnsi="Times New Roman" w:cs="Times New Roman"/>
                <w:color w:val="000000"/>
              </w:rPr>
              <w:br/>
              <w:t xml:space="preserve"> млн грн</w:t>
            </w:r>
          </w:p>
        </w:tc>
        <w:tc>
          <w:tcPr>
            <w:tcW w:w="2028" w:type="dxa"/>
            <w:vMerge w:val="restart"/>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Загальний фонд, доходи,</w:t>
            </w:r>
            <w:r>
              <w:rPr>
                <w:rFonts w:ascii="Times New Roman" w:hAnsi="Times New Roman" w:cs="Times New Roman"/>
                <w:color w:val="000000"/>
              </w:rPr>
              <w:br/>
              <w:t>млн грн</w:t>
            </w:r>
          </w:p>
        </w:tc>
        <w:tc>
          <w:tcPr>
            <w:tcW w:w="3988" w:type="dxa"/>
            <w:gridSpan w:val="2"/>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Спеціальний фонд, доходи</w:t>
            </w:r>
          </w:p>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млн грн</w:t>
            </w:r>
          </w:p>
        </w:tc>
      </w:tr>
      <w:tr w:rsidR="00D227E2">
        <w:trPr>
          <w:jc w:val="center"/>
        </w:trPr>
        <w:tc>
          <w:tcPr>
            <w:tcW w:w="899"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widowControl w:val="0"/>
              <w:spacing w:line="240" w:lineRule="auto"/>
              <w:ind w:firstLine="6"/>
              <w:rPr>
                <w:rFonts w:ascii="Times New Roman" w:hAnsi="Times New Roman" w:cs="Times New Roman"/>
                <w:color w:val="000000"/>
              </w:rPr>
            </w:pPr>
          </w:p>
        </w:tc>
        <w:tc>
          <w:tcPr>
            <w:tcW w:w="2383"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widowControl w:val="0"/>
              <w:spacing w:line="240" w:lineRule="auto"/>
              <w:ind w:firstLine="6"/>
              <w:rPr>
                <w:rFonts w:ascii="Times New Roman" w:hAnsi="Times New Roman" w:cs="Times New Roman"/>
                <w:color w:val="000000"/>
              </w:rPr>
            </w:pPr>
          </w:p>
        </w:tc>
        <w:tc>
          <w:tcPr>
            <w:tcW w:w="2028"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widowControl w:val="0"/>
              <w:spacing w:line="240" w:lineRule="auto"/>
              <w:ind w:firstLine="6"/>
              <w:rPr>
                <w:rFonts w:ascii="Times New Roman" w:hAnsi="Times New Roman" w:cs="Times New Roman"/>
                <w:color w:val="000000"/>
              </w:rPr>
            </w:pPr>
          </w:p>
        </w:tc>
        <w:tc>
          <w:tcPr>
            <w:tcW w:w="160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Разом</w:t>
            </w:r>
          </w:p>
        </w:tc>
        <w:tc>
          <w:tcPr>
            <w:tcW w:w="238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у т. ч. бюджет розвитку</w:t>
            </w:r>
          </w:p>
        </w:tc>
      </w:tr>
      <w:tr w:rsidR="00D227E2">
        <w:trPr>
          <w:jc w:val="center"/>
        </w:trPr>
        <w:tc>
          <w:tcPr>
            <w:tcW w:w="899"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rPr>
                <w:rFonts w:ascii="Times New Roman" w:hAnsi="Times New Roman" w:cs="Times New Roman"/>
              </w:rPr>
            </w:pPr>
            <w:r>
              <w:rPr>
                <w:rFonts w:ascii="Times New Roman" w:hAnsi="Times New Roman" w:cs="Times New Roman"/>
                <w:color w:val="000000"/>
              </w:rPr>
              <w:t>2007</w:t>
            </w:r>
          </w:p>
        </w:tc>
        <w:tc>
          <w:tcPr>
            <w:tcW w:w="238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409,7</w:t>
            </w:r>
          </w:p>
        </w:tc>
        <w:tc>
          <w:tcPr>
            <w:tcW w:w="202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328,3</w:t>
            </w:r>
          </w:p>
        </w:tc>
        <w:tc>
          <w:tcPr>
            <w:tcW w:w="160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81,4</w:t>
            </w:r>
          </w:p>
        </w:tc>
        <w:tc>
          <w:tcPr>
            <w:tcW w:w="238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64,6</w:t>
            </w:r>
          </w:p>
        </w:tc>
      </w:tr>
      <w:tr w:rsidR="00D227E2">
        <w:trPr>
          <w:jc w:val="center"/>
        </w:trPr>
        <w:tc>
          <w:tcPr>
            <w:tcW w:w="899"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rPr>
                <w:rFonts w:ascii="Times New Roman" w:hAnsi="Times New Roman" w:cs="Times New Roman"/>
              </w:rPr>
            </w:pPr>
            <w:r>
              <w:rPr>
                <w:rFonts w:ascii="Times New Roman" w:hAnsi="Times New Roman" w:cs="Times New Roman"/>
                <w:color w:val="000000"/>
              </w:rPr>
              <w:t>2012</w:t>
            </w:r>
          </w:p>
        </w:tc>
        <w:tc>
          <w:tcPr>
            <w:tcW w:w="238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936,1</w:t>
            </w:r>
          </w:p>
        </w:tc>
        <w:tc>
          <w:tcPr>
            <w:tcW w:w="202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808,4</w:t>
            </w:r>
          </w:p>
        </w:tc>
        <w:tc>
          <w:tcPr>
            <w:tcW w:w="160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127,6</w:t>
            </w:r>
          </w:p>
        </w:tc>
        <w:tc>
          <w:tcPr>
            <w:tcW w:w="238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40,2</w:t>
            </w:r>
          </w:p>
        </w:tc>
      </w:tr>
      <w:tr w:rsidR="00D227E2">
        <w:trPr>
          <w:jc w:val="center"/>
        </w:trPr>
        <w:tc>
          <w:tcPr>
            <w:tcW w:w="899"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rPr>
                <w:rFonts w:ascii="Times New Roman" w:hAnsi="Times New Roman" w:cs="Times New Roman"/>
              </w:rPr>
            </w:pPr>
            <w:r>
              <w:rPr>
                <w:rFonts w:ascii="Times New Roman" w:hAnsi="Times New Roman" w:cs="Times New Roman"/>
                <w:color w:val="000000"/>
              </w:rPr>
              <w:t>2013</w:t>
            </w:r>
          </w:p>
        </w:tc>
        <w:tc>
          <w:tcPr>
            <w:tcW w:w="238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863,6</w:t>
            </w:r>
          </w:p>
        </w:tc>
        <w:tc>
          <w:tcPr>
            <w:tcW w:w="202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743,7</w:t>
            </w:r>
          </w:p>
        </w:tc>
        <w:tc>
          <w:tcPr>
            <w:tcW w:w="160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119,9</w:t>
            </w:r>
          </w:p>
        </w:tc>
        <w:tc>
          <w:tcPr>
            <w:tcW w:w="238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41,0</w:t>
            </w:r>
          </w:p>
        </w:tc>
      </w:tr>
      <w:tr w:rsidR="00D227E2">
        <w:trPr>
          <w:jc w:val="center"/>
        </w:trPr>
        <w:tc>
          <w:tcPr>
            <w:tcW w:w="899"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rPr>
                <w:rFonts w:ascii="Times New Roman" w:hAnsi="Times New Roman" w:cs="Times New Roman"/>
              </w:rPr>
            </w:pPr>
            <w:r>
              <w:rPr>
                <w:rFonts w:ascii="Times New Roman" w:hAnsi="Times New Roman" w:cs="Times New Roman"/>
                <w:color w:val="000000"/>
              </w:rPr>
              <w:t>2014</w:t>
            </w:r>
          </w:p>
        </w:tc>
        <w:tc>
          <w:tcPr>
            <w:tcW w:w="238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1095,0</w:t>
            </w:r>
          </w:p>
        </w:tc>
        <w:tc>
          <w:tcPr>
            <w:tcW w:w="202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797,4</w:t>
            </w:r>
          </w:p>
        </w:tc>
        <w:tc>
          <w:tcPr>
            <w:tcW w:w="160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297,6</w:t>
            </w:r>
          </w:p>
        </w:tc>
        <w:tc>
          <w:tcPr>
            <w:tcW w:w="238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48,7</w:t>
            </w:r>
          </w:p>
        </w:tc>
      </w:tr>
      <w:tr w:rsidR="00D227E2">
        <w:trPr>
          <w:jc w:val="center"/>
        </w:trPr>
        <w:tc>
          <w:tcPr>
            <w:tcW w:w="899"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rPr>
                <w:rFonts w:ascii="Times New Roman" w:hAnsi="Times New Roman" w:cs="Times New Roman"/>
              </w:rPr>
            </w:pPr>
            <w:r>
              <w:rPr>
                <w:rFonts w:ascii="Times New Roman" w:hAnsi="Times New Roman" w:cs="Times New Roman"/>
                <w:color w:val="000000"/>
              </w:rPr>
              <w:t>2015</w:t>
            </w:r>
          </w:p>
        </w:tc>
        <w:tc>
          <w:tcPr>
            <w:tcW w:w="238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1308,9</w:t>
            </w:r>
          </w:p>
        </w:tc>
        <w:tc>
          <w:tcPr>
            <w:tcW w:w="202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1226,3</w:t>
            </w:r>
          </w:p>
        </w:tc>
        <w:tc>
          <w:tcPr>
            <w:tcW w:w="1603" w:type="dxa"/>
            <w:tcBorders>
              <w:top w:val="single" w:sz="4" w:space="0" w:color="000000"/>
              <w:left w:val="single" w:sz="4" w:space="0" w:color="000000"/>
              <w:bottom w:val="single" w:sz="4" w:space="0" w:color="000000"/>
              <w:right w:val="single" w:sz="4" w:space="0" w:color="000000"/>
            </w:tcBorders>
            <w:shd w:val="clear" w:color="auto" w:fill="FFFEFF"/>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82,6</w:t>
            </w:r>
          </w:p>
        </w:tc>
        <w:tc>
          <w:tcPr>
            <w:tcW w:w="2385" w:type="dxa"/>
            <w:tcBorders>
              <w:top w:val="single" w:sz="4" w:space="0" w:color="000000"/>
              <w:left w:val="single" w:sz="4" w:space="0" w:color="000000"/>
              <w:bottom w:val="single" w:sz="4" w:space="0" w:color="000000"/>
              <w:right w:val="single" w:sz="4" w:space="0" w:color="000000"/>
            </w:tcBorders>
            <w:shd w:val="clear" w:color="auto" w:fill="FFFEFF"/>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9,5</w:t>
            </w:r>
          </w:p>
        </w:tc>
      </w:tr>
      <w:tr w:rsidR="00D227E2">
        <w:trPr>
          <w:jc w:val="center"/>
        </w:trPr>
        <w:tc>
          <w:tcPr>
            <w:tcW w:w="899"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rPr>
                <w:rFonts w:ascii="Times New Roman" w:hAnsi="Times New Roman" w:cs="Times New Roman"/>
              </w:rPr>
            </w:pPr>
            <w:r>
              <w:rPr>
                <w:rFonts w:ascii="Times New Roman" w:hAnsi="Times New Roman" w:cs="Times New Roman"/>
                <w:color w:val="000000"/>
              </w:rPr>
              <w:t>2016</w:t>
            </w:r>
          </w:p>
        </w:tc>
        <w:tc>
          <w:tcPr>
            <w:tcW w:w="238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1744,8</w:t>
            </w:r>
          </w:p>
        </w:tc>
        <w:tc>
          <w:tcPr>
            <w:tcW w:w="202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1660,3</w:t>
            </w:r>
          </w:p>
        </w:tc>
        <w:tc>
          <w:tcPr>
            <w:tcW w:w="1603" w:type="dxa"/>
            <w:tcBorders>
              <w:top w:val="single" w:sz="4" w:space="0" w:color="000000"/>
              <w:left w:val="single" w:sz="4" w:space="0" w:color="000000"/>
              <w:bottom w:val="single" w:sz="4" w:space="0" w:color="000000"/>
              <w:right w:val="single" w:sz="4" w:space="0" w:color="000000"/>
            </w:tcBorders>
            <w:shd w:val="clear" w:color="auto" w:fill="FFFEFF"/>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84,5</w:t>
            </w:r>
          </w:p>
        </w:tc>
        <w:tc>
          <w:tcPr>
            <w:tcW w:w="2385" w:type="dxa"/>
            <w:tcBorders>
              <w:top w:val="single" w:sz="4" w:space="0" w:color="000000"/>
              <w:left w:val="single" w:sz="4" w:space="0" w:color="000000"/>
              <w:bottom w:val="single" w:sz="4" w:space="0" w:color="000000"/>
              <w:right w:val="single" w:sz="4" w:space="0" w:color="000000"/>
            </w:tcBorders>
            <w:shd w:val="clear" w:color="auto" w:fill="FFFEFF"/>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14,4</w:t>
            </w:r>
          </w:p>
        </w:tc>
      </w:tr>
      <w:tr w:rsidR="00D227E2">
        <w:trPr>
          <w:jc w:val="center"/>
        </w:trPr>
        <w:tc>
          <w:tcPr>
            <w:tcW w:w="899"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rPr>
                <w:rFonts w:ascii="Times New Roman" w:hAnsi="Times New Roman" w:cs="Times New Roman"/>
              </w:rPr>
            </w:pPr>
            <w:r>
              <w:rPr>
                <w:rFonts w:ascii="Times New Roman" w:hAnsi="Times New Roman" w:cs="Times New Roman"/>
                <w:color w:val="000000"/>
              </w:rPr>
              <w:t>2017</w:t>
            </w:r>
          </w:p>
        </w:tc>
        <w:tc>
          <w:tcPr>
            <w:tcW w:w="238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2344,7</w:t>
            </w:r>
          </w:p>
        </w:tc>
        <w:tc>
          <w:tcPr>
            <w:tcW w:w="202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2239,5</w:t>
            </w:r>
          </w:p>
        </w:tc>
        <w:tc>
          <w:tcPr>
            <w:tcW w:w="1603" w:type="dxa"/>
            <w:tcBorders>
              <w:top w:val="single" w:sz="4" w:space="0" w:color="000000"/>
              <w:left w:val="single" w:sz="4" w:space="0" w:color="000000"/>
              <w:bottom w:val="single" w:sz="4" w:space="0" w:color="000000"/>
              <w:right w:val="single" w:sz="4" w:space="0" w:color="000000"/>
            </w:tcBorders>
            <w:shd w:val="clear" w:color="auto" w:fill="FFFEFF"/>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105,2</w:t>
            </w:r>
          </w:p>
        </w:tc>
        <w:tc>
          <w:tcPr>
            <w:tcW w:w="2385" w:type="dxa"/>
            <w:tcBorders>
              <w:top w:val="single" w:sz="4" w:space="0" w:color="000000"/>
              <w:left w:val="single" w:sz="4" w:space="0" w:color="000000"/>
              <w:bottom w:val="single" w:sz="4" w:space="0" w:color="000000"/>
              <w:right w:val="single" w:sz="4" w:space="0" w:color="000000"/>
            </w:tcBorders>
            <w:shd w:val="clear" w:color="auto" w:fill="FFFEFF"/>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22,3</w:t>
            </w:r>
          </w:p>
        </w:tc>
      </w:tr>
      <w:tr w:rsidR="00D227E2">
        <w:trPr>
          <w:jc w:val="center"/>
        </w:trPr>
        <w:tc>
          <w:tcPr>
            <w:tcW w:w="899"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rPr>
                <w:rFonts w:ascii="Times New Roman" w:hAnsi="Times New Roman" w:cs="Times New Roman"/>
              </w:rPr>
            </w:pPr>
            <w:r>
              <w:rPr>
                <w:rFonts w:ascii="Times New Roman" w:hAnsi="Times New Roman" w:cs="Times New Roman"/>
                <w:color w:val="000000"/>
              </w:rPr>
              <w:t>2018</w:t>
            </w:r>
          </w:p>
        </w:tc>
        <w:tc>
          <w:tcPr>
            <w:tcW w:w="238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2654,6</w:t>
            </w:r>
          </w:p>
        </w:tc>
        <w:tc>
          <w:tcPr>
            <w:tcW w:w="202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2538,2</w:t>
            </w:r>
          </w:p>
        </w:tc>
        <w:tc>
          <w:tcPr>
            <w:tcW w:w="1603" w:type="dxa"/>
            <w:tcBorders>
              <w:top w:val="single" w:sz="4" w:space="0" w:color="000000"/>
              <w:left w:val="single" w:sz="4" w:space="0" w:color="000000"/>
              <w:bottom w:val="single" w:sz="4" w:space="0" w:color="000000"/>
              <w:right w:val="single" w:sz="4" w:space="0" w:color="000000"/>
            </w:tcBorders>
            <w:shd w:val="clear" w:color="auto" w:fill="FFFEFF"/>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116,4</w:t>
            </w:r>
          </w:p>
        </w:tc>
        <w:tc>
          <w:tcPr>
            <w:tcW w:w="2385" w:type="dxa"/>
            <w:tcBorders>
              <w:top w:val="single" w:sz="4" w:space="0" w:color="000000"/>
              <w:left w:val="single" w:sz="4" w:space="0" w:color="000000"/>
              <w:bottom w:val="single" w:sz="4" w:space="0" w:color="000000"/>
              <w:right w:val="single" w:sz="4" w:space="0" w:color="000000"/>
            </w:tcBorders>
            <w:shd w:val="clear" w:color="auto" w:fill="FFFEFF"/>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26,8</w:t>
            </w:r>
          </w:p>
        </w:tc>
      </w:tr>
      <w:tr w:rsidR="00D227E2">
        <w:trPr>
          <w:jc w:val="center"/>
        </w:trPr>
        <w:tc>
          <w:tcPr>
            <w:tcW w:w="899"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rPr>
                <w:rFonts w:ascii="Times New Roman" w:hAnsi="Times New Roman" w:cs="Times New Roman"/>
              </w:rPr>
            </w:pPr>
            <w:r>
              <w:rPr>
                <w:rFonts w:ascii="Times New Roman" w:hAnsi="Times New Roman" w:cs="Times New Roman"/>
                <w:color w:val="000000"/>
              </w:rPr>
              <w:t>2019</w:t>
            </w:r>
          </w:p>
        </w:tc>
        <w:tc>
          <w:tcPr>
            <w:tcW w:w="238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2546,5</w:t>
            </w:r>
          </w:p>
        </w:tc>
        <w:tc>
          <w:tcPr>
            <w:tcW w:w="202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2443,6</w:t>
            </w:r>
          </w:p>
        </w:tc>
        <w:tc>
          <w:tcPr>
            <w:tcW w:w="1603" w:type="dxa"/>
            <w:tcBorders>
              <w:top w:val="single" w:sz="4" w:space="0" w:color="000000"/>
              <w:left w:val="single" w:sz="4" w:space="0" w:color="000000"/>
              <w:bottom w:val="single" w:sz="4" w:space="0" w:color="000000"/>
              <w:right w:val="single" w:sz="4" w:space="0" w:color="000000"/>
            </w:tcBorders>
            <w:shd w:val="clear" w:color="auto" w:fill="FFFEFF"/>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102,9</w:t>
            </w:r>
          </w:p>
        </w:tc>
        <w:tc>
          <w:tcPr>
            <w:tcW w:w="2385" w:type="dxa"/>
            <w:tcBorders>
              <w:top w:val="single" w:sz="4" w:space="0" w:color="000000"/>
              <w:left w:val="single" w:sz="4" w:space="0" w:color="000000"/>
              <w:bottom w:val="single" w:sz="4" w:space="0" w:color="000000"/>
              <w:right w:val="single" w:sz="4" w:space="0" w:color="000000"/>
            </w:tcBorders>
            <w:shd w:val="clear" w:color="auto" w:fill="FFFEFF"/>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28,4</w:t>
            </w:r>
          </w:p>
        </w:tc>
      </w:tr>
      <w:tr w:rsidR="00D227E2">
        <w:trPr>
          <w:jc w:val="center"/>
        </w:trPr>
        <w:tc>
          <w:tcPr>
            <w:tcW w:w="899"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rPr>
                <w:rFonts w:ascii="Times New Roman" w:hAnsi="Times New Roman" w:cs="Times New Roman"/>
              </w:rPr>
            </w:pPr>
            <w:r>
              <w:rPr>
                <w:rFonts w:ascii="Times New Roman" w:hAnsi="Times New Roman" w:cs="Times New Roman"/>
                <w:color w:val="000000"/>
              </w:rPr>
              <w:t>2020</w:t>
            </w:r>
          </w:p>
        </w:tc>
        <w:tc>
          <w:tcPr>
            <w:tcW w:w="238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2229,1</w:t>
            </w:r>
          </w:p>
        </w:tc>
        <w:tc>
          <w:tcPr>
            <w:tcW w:w="202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2069,4</w:t>
            </w:r>
          </w:p>
        </w:tc>
        <w:tc>
          <w:tcPr>
            <w:tcW w:w="1603" w:type="dxa"/>
            <w:tcBorders>
              <w:top w:val="single" w:sz="4" w:space="0" w:color="000000"/>
              <w:left w:val="single" w:sz="4" w:space="0" w:color="000000"/>
              <w:bottom w:val="single" w:sz="4" w:space="0" w:color="000000"/>
              <w:right w:val="single" w:sz="4" w:space="0" w:color="000000"/>
            </w:tcBorders>
            <w:shd w:val="clear" w:color="auto" w:fill="FFFEFF"/>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159,7</w:t>
            </w:r>
          </w:p>
        </w:tc>
        <w:tc>
          <w:tcPr>
            <w:tcW w:w="2385" w:type="dxa"/>
            <w:tcBorders>
              <w:top w:val="single" w:sz="4" w:space="0" w:color="000000"/>
              <w:left w:val="single" w:sz="4" w:space="0" w:color="000000"/>
              <w:bottom w:val="single" w:sz="4" w:space="0" w:color="000000"/>
              <w:right w:val="single" w:sz="4" w:space="0" w:color="000000"/>
            </w:tcBorders>
            <w:shd w:val="clear" w:color="auto" w:fill="FFFEFF"/>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28,3</w:t>
            </w:r>
          </w:p>
        </w:tc>
      </w:tr>
      <w:tr w:rsidR="00D227E2">
        <w:trPr>
          <w:jc w:val="center"/>
        </w:trPr>
        <w:tc>
          <w:tcPr>
            <w:tcW w:w="899"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rPr>
                <w:rFonts w:ascii="Times New Roman" w:hAnsi="Times New Roman" w:cs="Times New Roman"/>
              </w:rPr>
            </w:pPr>
            <w:r>
              <w:rPr>
                <w:rFonts w:ascii="Times New Roman" w:hAnsi="Times New Roman" w:cs="Times New Roman"/>
                <w:color w:val="000000"/>
              </w:rPr>
              <w:t>2021</w:t>
            </w:r>
          </w:p>
        </w:tc>
        <w:tc>
          <w:tcPr>
            <w:tcW w:w="238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2859,2</w:t>
            </w:r>
          </w:p>
        </w:tc>
        <w:tc>
          <w:tcPr>
            <w:tcW w:w="202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2602,4</w:t>
            </w:r>
          </w:p>
        </w:tc>
        <w:tc>
          <w:tcPr>
            <w:tcW w:w="1603" w:type="dxa"/>
            <w:tcBorders>
              <w:top w:val="single" w:sz="4" w:space="0" w:color="000000"/>
              <w:left w:val="single" w:sz="4" w:space="0" w:color="000000"/>
              <w:bottom w:val="single" w:sz="4" w:space="0" w:color="000000"/>
              <w:right w:val="single" w:sz="4" w:space="0" w:color="000000"/>
            </w:tcBorders>
            <w:shd w:val="clear" w:color="auto" w:fill="FFFEFF"/>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256,7</w:t>
            </w:r>
          </w:p>
        </w:tc>
        <w:tc>
          <w:tcPr>
            <w:tcW w:w="2385" w:type="dxa"/>
            <w:tcBorders>
              <w:top w:val="single" w:sz="4" w:space="0" w:color="000000"/>
              <w:left w:val="single" w:sz="4" w:space="0" w:color="000000"/>
              <w:bottom w:val="single" w:sz="4" w:space="0" w:color="000000"/>
              <w:right w:val="single" w:sz="4" w:space="0" w:color="000000"/>
            </w:tcBorders>
            <w:shd w:val="clear" w:color="auto" w:fill="FFFEFF"/>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26,8</w:t>
            </w:r>
          </w:p>
        </w:tc>
      </w:tr>
      <w:tr w:rsidR="00D227E2">
        <w:trPr>
          <w:jc w:val="center"/>
        </w:trPr>
        <w:tc>
          <w:tcPr>
            <w:tcW w:w="899"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rPr>
                <w:rFonts w:ascii="Times New Roman" w:hAnsi="Times New Roman" w:cs="Times New Roman"/>
              </w:rPr>
            </w:pPr>
            <w:r>
              <w:rPr>
                <w:rFonts w:ascii="Times New Roman" w:hAnsi="Times New Roman" w:cs="Times New Roman"/>
                <w:color w:val="000000"/>
              </w:rPr>
              <w:t>2022</w:t>
            </w:r>
          </w:p>
        </w:tc>
        <w:tc>
          <w:tcPr>
            <w:tcW w:w="238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3121,8</w:t>
            </w:r>
          </w:p>
        </w:tc>
        <w:tc>
          <w:tcPr>
            <w:tcW w:w="202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3012,4</w:t>
            </w:r>
          </w:p>
        </w:tc>
        <w:tc>
          <w:tcPr>
            <w:tcW w:w="1603" w:type="dxa"/>
            <w:tcBorders>
              <w:top w:val="single" w:sz="4" w:space="0" w:color="000000"/>
              <w:left w:val="single" w:sz="4" w:space="0" w:color="000000"/>
              <w:bottom w:val="single" w:sz="4" w:space="0" w:color="000000"/>
              <w:right w:val="single" w:sz="4" w:space="0" w:color="000000"/>
            </w:tcBorders>
            <w:shd w:val="clear" w:color="auto" w:fill="FFFEFF"/>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109,4</w:t>
            </w:r>
          </w:p>
        </w:tc>
        <w:tc>
          <w:tcPr>
            <w:tcW w:w="2385" w:type="dxa"/>
            <w:tcBorders>
              <w:top w:val="single" w:sz="4" w:space="0" w:color="000000"/>
              <w:left w:val="single" w:sz="4" w:space="0" w:color="000000"/>
              <w:bottom w:val="single" w:sz="4" w:space="0" w:color="000000"/>
              <w:right w:val="single" w:sz="4" w:space="0" w:color="000000"/>
            </w:tcBorders>
            <w:shd w:val="clear" w:color="auto" w:fill="FFFEFF"/>
            <w:vAlign w:val="center"/>
          </w:tcPr>
          <w:p w:rsidR="00D227E2" w:rsidRDefault="00934FC4">
            <w:pPr>
              <w:widowControl w:val="0"/>
              <w:spacing w:after="0" w:line="240" w:lineRule="auto"/>
              <w:ind w:firstLine="6"/>
              <w:jc w:val="center"/>
              <w:rPr>
                <w:rFonts w:ascii="Times New Roman" w:hAnsi="Times New Roman" w:cs="Times New Roman"/>
              </w:rPr>
            </w:pPr>
            <w:r>
              <w:rPr>
                <w:rFonts w:ascii="Times New Roman" w:hAnsi="Times New Roman" w:cs="Times New Roman"/>
                <w:color w:val="000000"/>
              </w:rPr>
              <w:t>39,7</w:t>
            </w:r>
          </w:p>
        </w:tc>
      </w:tr>
    </w:tbl>
    <w:p w:rsidR="00D227E2" w:rsidRDefault="00934FC4">
      <w:pPr>
        <w:spacing w:after="0"/>
        <w:ind w:firstLine="567"/>
        <w:jc w:val="both"/>
        <w:rPr>
          <w:rFonts w:ascii="Times New Roman" w:hAnsi="Times New Roman" w:cs="Times New Roman"/>
        </w:rPr>
      </w:pPr>
      <w:r>
        <w:rPr>
          <w:rFonts w:ascii="Times New Roman" w:hAnsi="Times New Roman" w:cs="Times New Roman"/>
          <w:color w:val="000000"/>
          <w:sz w:val="24"/>
          <w:szCs w:val="24"/>
        </w:rPr>
        <w:t>На рисунку 10 проілюстровані обсяги та структура доходів бюджету Луцької МТГ за 2007, 2012-2022 роки</w:t>
      </w:r>
    </w:p>
    <w:p w:rsidR="00D227E2" w:rsidRDefault="00934FC4">
      <w:pPr>
        <w:jc w:val="center"/>
        <w:rPr>
          <w:rFonts w:ascii="Times New Roman" w:hAnsi="Times New Roman" w:cs="Times New Roman"/>
        </w:rPr>
      </w:pPr>
      <w:r>
        <w:rPr>
          <w:noProof/>
          <w:lang w:eastAsia="uk-UA"/>
        </w:rPr>
        <w:drawing>
          <wp:inline distT="0" distB="0" distL="0" distR="0" wp14:anchorId="3F077D63" wp14:editId="1D6225B2">
            <wp:extent cx="4409440" cy="2481580"/>
            <wp:effectExtent l="0" t="0" r="0" b="0"/>
            <wp:docPr id="22" name="Диаграмма 12" descr="діаграма"/>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Pr>
          <w:rFonts w:ascii="Times New Roman" w:hAnsi="Times New Roman" w:cs="Times New Roman"/>
        </w:rPr>
        <w:t> </w:t>
      </w:r>
    </w:p>
    <w:p w:rsidR="00D227E2" w:rsidRDefault="00934FC4">
      <w:pPr>
        <w:spacing w:after="0"/>
        <w:ind w:firstLine="567"/>
        <w:jc w:val="center"/>
        <w:rPr>
          <w:rFonts w:ascii="Times New Roman" w:hAnsi="Times New Roman" w:cs="Times New Roman"/>
        </w:rPr>
      </w:pPr>
      <w:r>
        <w:rPr>
          <w:rFonts w:ascii="Times New Roman" w:hAnsi="Times New Roman" w:cs="Times New Roman"/>
          <w:color w:val="000000"/>
          <w:sz w:val="24"/>
          <w:szCs w:val="24"/>
        </w:rPr>
        <w:t>Рисунок 10. Структура доходів бюджету Луцької МТГ за 2007, 2012-2022 роки та порівняння зі зростанням інфляції.</w:t>
      </w:r>
    </w:p>
    <w:p w:rsidR="00D227E2" w:rsidRDefault="00934FC4">
      <w:pPr>
        <w:spacing w:after="0"/>
        <w:ind w:firstLine="567"/>
        <w:jc w:val="both"/>
        <w:rPr>
          <w:rFonts w:ascii="Times New Roman" w:hAnsi="Times New Roman" w:cs="Times New Roman"/>
        </w:rPr>
      </w:pPr>
      <w:r>
        <w:rPr>
          <w:rFonts w:ascii="Times New Roman" w:hAnsi="Times New Roman" w:cs="Times New Roman"/>
          <w:color w:val="000000"/>
          <w:sz w:val="24"/>
          <w:szCs w:val="24"/>
        </w:rPr>
        <w:t>Дохідна частина бюджету Луцької МТГ за 2007-2022 роки мала стабільний приріст. Рівень доходів бюджету в цей період відповідав інфляції. У таблиці 13 наведені дані щодо відсотків річної інфляції за період 2007, 2012-2022 роки.</w:t>
      </w:r>
    </w:p>
    <w:p w:rsidR="00D227E2" w:rsidRDefault="00934FC4">
      <w:pPr>
        <w:ind w:firstLine="567"/>
        <w:jc w:val="both"/>
        <w:rPr>
          <w:rFonts w:ascii="Times New Roman" w:hAnsi="Times New Roman" w:cs="Times New Roman"/>
        </w:rPr>
      </w:pPr>
      <w:r>
        <w:rPr>
          <w:rFonts w:ascii="Times New Roman" w:hAnsi="Times New Roman" w:cs="Times New Roman"/>
          <w:color w:val="000000"/>
          <w:sz w:val="24"/>
          <w:szCs w:val="24"/>
        </w:rPr>
        <w:t>Найбільшу частку власних та закріплених доходів бюджету Луцької МТГ складає ПДФО. За бюджетними показниками 2022 року його частка дорівнювала 69,3 % або 1693,6 млн грн, на другому місці єдиний податок – 13,5 % або 330,4 млн грн, акцизний збір 6,2 % або 150,5 млн грн та податок на майно 8,1 % або 199,1 млн грн та інші доходи у обсязі 2,9 % або 71,6 млн грн.</w:t>
      </w:r>
    </w:p>
    <w:p w:rsidR="00D227E2" w:rsidRDefault="00934FC4">
      <w:pPr>
        <w:spacing w:after="0" w:line="240" w:lineRule="auto"/>
        <w:ind w:firstLine="708"/>
        <w:jc w:val="center"/>
        <w:rPr>
          <w:rFonts w:ascii="Times New Roman" w:hAnsi="Times New Roman" w:cs="Times New Roman"/>
        </w:rPr>
      </w:pPr>
      <w:r>
        <w:rPr>
          <w:noProof/>
          <w:lang w:eastAsia="uk-UA"/>
        </w:rPr>
        <w:lastRenderedPageBreak/>
        <w:drawing>
          <wp:inline distT="0" distB="0" distL="0" distR="0" wp14:anchorId="594CD243" wp14:editId="732B41CF">
            <wp:extent cx="3937000" cy="2214880"/>
            <wp:effectExtent l="0" t="0" r="0" b="0"/>
            <wp:docPr id="23" name="Диаграмма 22" descr="діаграма"/>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Pr>
          <w:rFonts w:ascii="Times New Roman" w:hAnsi="Times New Roman" w:cs="Times New Roman"/>
          <w:color w:val="000000"/>
        </w:rPr>
        <w:t> </w:t>
      </w:r>
    </w:p>
    <w:p w:rsidR="00D227E2" w:rsidRDefault="00934FC4">
      <w:pPr>
        <w:spacing w:after="0" w:line="240" w:lineRule="auto"/>
        <w:ind w:firstLine="567"/>
        <w:jc w:val="center"/>
        <w:rPr>
          <w:rFonts w:ascii="Times New Roman" w:hAnsi="Times New Roman" w:cs="Times New Roman"/>
        </w:rPr>
      </w:pPr>
      <w:r>
        <w:rPr>
          <w:rFonts w:ascii="Times New Roman" w:hAnsi="Times New Roman" w:cs="Times New Roman"/>
          <w:color w:val="000000"/>
          <w:sz w:val="24"/>
          <w:szCs w:val="24"/>
        </w:rPr>
        <w:t>Рисунок 11. Структура власних та закріплених доходів бюджету Луцької МТГ у 2022 році</w:t>
      </w:r>
    </w:p>
    <w:p w:rsidR="00D227E2" w:rsidRDefault="00934FC4">
      <w:pPr>
        <w:spacing w:after="120" w:line="240" w:lineRule="auto"/>
        <w:ind w:firstLine="567"/>
        <w:jc w:val="both"/>
        <w:rPr>
          <w:rFonts w:ascii="Times New Roman" w:hAnsi="Times New Roman" w:cs="Times New Roman"/>
        </w:rPr>
      </w:pPr>
      <w:r>
        <w:rPr>
          <w:rFonts w:ascii="Times New Roman" w:hAnsi="Times New Roman" w:cs="Times New Roman"/>
          <w:color w:val="000000"/>
          <w:sz w:val="24"/>
          <w:szCs w:val="24"/>
        </w:rPr>
        <w:t>Видатки бюджету Луцької МТГ за 2007, 2012-2022 роки наведено у таблиці 15.</w:t>
      </w:r>
    </w:p>
    <w:p w:rsidR="00D227E2" w:rsidRDefault="00934FC4">
      <w:pPr>
        <w:spacing w:after="0" w:line="240" w:lineRule="auto"/>
        <w:jc w:val="center"/>
        <w:rPr>
          <w:rFonts w:ascii="Times New Roman" w:hAnsi="Times New Roman" w:cs="Times New Roman"/>
        </w:rPr>
      </w:pPr>
      <w:r>
        <w:rPr>
          <w:rFonts w:ascii="Times New Roman" w:hAnsi="Times New Roman" w:cs="Times New Roman"/>
          <w:color w:val="000000"/>
          <w:sz w:val="24"/>
          <w:szCs w:val="24"/>
        </w:rPr>
        <w:t>Таблиця 15. Видатки бюджету Луцької МТГ за 2007, 2012-2022 роки</w:t>
      </w:r>
    </w:p>
    <w:tbl>
      <w:tblPr>
        <w:tblW w:w="9155" w:type="dxa"/>
        <w:jc w:val="center"/>
        <w:tblLayout w:type="fixed"/>
        <w:tblLook w:val="04A0" w:firstRow="1" w:lastRow="0" w:firstColumn="1" w:lastColumn="0" w:noHBand="0" w:noVBand="1"/>
      </w:tblPr>
      <w:tblGrid>
        <w:gridCol w:w="1917"/>
        <w:gridCol w:w="1604"/>
        <w:gridCol w:w="1622"/>
        <w:gridCol w:w="1422"/>
        <w:gridCol w:w="2590"/>
      </w:tblGrid>
      <w:tr w:rsidR="00D227E2">
        <w:trPr>
          <w:trHeight w:val="20"/>
          <w:jc w:val="center"/>
        </w:trPr>
        <w:tc>
          <w:tcPr>
            <w:tcW w:w="1917" w:type="dxa"/>
            <w:vMerge w:val="restart"/>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Роки</w:t>
            </w:r>
          </w:p>
        </w:tc>
        <w:tc>
          <w:tcPr>
            <w:tcW w:w="1604" w:type="dxa"/>
            <w:vMerge w:val="restart"/>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Разом видатки бюджету,</w:t>
            </w:r>
            <w:r>
              <w:rPr>
                <w:rFonts w:ascii="Times New Roman" w:hAnsi="Times New Roman" w:cs="Times New Roman"/>
                <w:color w:val="000000"/>
              </w:rPr>
              <w:br/>
              <w:t xml:space="preserve"> млн грн</w:t>
            </w:r>
          </w:p>
        </w:tc>
        <w:tc>
          <w:tcPr>
            <w:tcW w:w="1622" w:type="dxa"/>
            <w:vMerge w:val="restart"/>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Загальний фонд, видатки,</w:t>
            </w:r>
            <w:r>
              <w:rPr>
                <w:rFonts w:ascii="Times New Roman" w:hAnsi="Times New Roman" w:cs="Times New Roman"/>
                <w:color w:val="000000"/>
              </w:rPr>
              <w:br/>
              <w:t>млн грн</w:t>
            </w:r>
          </w:p>
        </w:tc>
        <w:tc>
          <w:tcPr>
            <w:tcW w:w="4012" w:type="dxa"/>
            <w:gridSpan w:val="2"/>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Спеціальний фонд, видатки</w:t>
            </w:r>
          </w:p>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млн грн</w:t>
            </w:r>
          </w:p>
        </w:tc>
      </w:tr>
      <w:tr w:rsidR="00D227E2">
        <w:trPr>
          <w:trHeight w:val="20"/>
          <w:jc w:val="center"/>
        </w:trPr>
        <w:tc>
          <w:tcPr>
            <w:tcW w:w="1917"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widowControl w:val="0"/>
              <w:spacing w:after="0" w:line="240" w:lineRule="auto"/>
              <w:rPr>
                <w:rFonts w:ascii="Times New Roman" w:hAnsi="Times New Roman" w:cs="Times New Roman"/>
                <w:color w:val="000000"/>
              </w:rPr>
            </w:pPr>
          </w:p>
        </w:tc>
        <w:tc>
          <w:tcPr>
            <w:tcW w:w="1604"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widowControl w:val="0"/>
              <w:spacing w:after="0" w:line="240" w:lineRule="auto"/>
              <w:rPr>
                <w:rFonts w:ascii="Times New Roman" w:hAnsi="Times New Roman" w:cs="Times New Roman"/>
                <w:color w:val="000000"/>
              </w:rPr>
            </w:pPr>
          </w:p>
        </w:tc>
        <w:tc>
          <w:tcPr>
            <w:tcW w:w="1622"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widowControl w:val="0"/>
              <w:spacing w:after="0" w:line="240" w:lineRule="auto"/>
              <w:rPr>
                <w:rFonts w:ascii="Times New Roman" w:hAnsi="Times New Roman" w:cs="Times New Roman"/>
                <w:color w:val="000000"/>
              </w:rPr>
            </w:pPr>
          </w:p>
        </w:tc>
        <w:tc>
          <w:tcPr>
            <w:tcW w:w="1422"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Разом</w:t>
            </w:r>
          </w:p>
        </w:tc>
        <w:tc>
          <w:tcPr>
            <w:tcW w:w="2590"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у т. ч. бюджет розвитку</w:t>
            </w:r>
          </w:p>
        </w:tc>
      </w:tr>
      <w:tr w:rsidR="00D227E2">
        <w:trPr>
          <w:trHeight w:val="150"/>
          <w:jc w:val="center"/>
        </w:trPr>
        <w:tc>
          <w:tcPr>
            <w:tcW w:w="191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2007</w:t>
            </w:r>
          </w:p>
        </w:tc>
        <w:tc>
          <w:tcPr>
            <w:tcW w:w="1604"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339,0</w:t>
            </w:r>
          </w:p>
        </w:tc>
        <w:tc>
          <w:tcPr>
            <w:tcW w:w="162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276,0</w:t>
            </w:r>
          </w:p>
        </w:tc>
        <w:tc>
          <w:tcPr>
            <w:tcW w:w="142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63,0</w:t>
            </w:r>
          </w:p>
        </w:tc>
        <w:tc>
          <w:tcPr>
            <w:tcW w:w="259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34,4</w:t>
            </w:r>
          </w:p>
        </w:tc>
      </w:tr>
      <w:tr w:rsidR="00D227E2">
        <w:trPr>
          <w:trHeight w:val="150"/>
          <w:jc w:val="center"/>
        </w:trPr>
        <w:tc>
          <w:tcPr>
            <w:tcW w:w="191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2012</w:t>
            </w:r>
          </w:p>
        </w:tc>
        <w:tc>
          <w:tcPr>
            <w:tcW w:w="1604"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900,7</w:t>
            </w:r>
          </w:p>
        </w:tc>
        <w:tc>
          <w:tcPr>
            <w:tcW w:w="162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793,7</w:t>
            </w:r>
          </w:p>
        </w:tc>
        <w:tc>
          <w:tcPr>
            <w:tcW w:w="142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107,0</w:t>
            </w:r>
          </w:p>
        </w:tc>
        <w:tc>
          <w:tcPr>
            <w:tcW w:w="259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23,6</w:t>
            </w:r>
          </w:p>
        </w:tc>
      </w:tr>
      <w:tr w:rsidR="00D227E2">
        <w:trPr>
          <w:jc w:val="center"/>
        </w:trPr>
        <w:tc>
          <w:tcPr>
            <w:tcW w:w="191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2013</w:t>
            </w:r>
          </w:p>
        </w:tc>
        <w:tc>
          <w:tcPr>
            <w:tcW w:w="1604"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879,5</w:t>
            </w:r>
          </w:p>
        </w:tc>
        <w:tc>
          <w:tcPr>
            <w:tcW w:w="162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763,0</w:t>
            </w:r>
          </w:p>
        </w:tc>
        <w:tc>
          <w:tcPr>
            <w:tcW w:w="142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116,5</w:t>
            </w:r>
          </w:p>
        </w:tc>
        <w:tc>
          <w:tcPr>
            <w:tcW w:w="259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35,4</w:t>
            </w:r>
          </w:p>
        </w:tc>
      </w:tr>
      <w:tr w:rsidR="00D227E2">
        <w:trPr>
          <w:jc w:val="center"/>
        </w:trPr>
        <w:tc>
          <w:tcPr>
            <w:tcW w:w="191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2014</w:t>
            </w:r>
          </w:p>
        </w:tc>
        <w:tc>
          <w:tcPr>
            <w:tcW w:w="1604"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1085,3</w:t>
            </w:r>
          </w:p>
        </w:tc>
        <w:tc>
          <w:tcPr>
            <w:tcW w:w="162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794,3</w:t>
            </w:r>
          </w:p>
        </w:tc>
        <w:tc>
          <w:tcPr>
            <w:tcW w:w="142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291,0</w:t>
            </w:r>
          </w:p>
        </w:tc>
        <w:tc>
          <w:tcPr>
            <w:tcW w:w="259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55,3</w:t>
            </w:r>
          </w:p>
        </w:tc>
      </w:tr>
      <w:tr w:rsidR="00D227E2">
        <w:trPr>
          <w:jc w:val="center"/>
        </w:trPr>
        <w:tc>
          <w:tcPr>
            <w:tcW w:w="191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2015</w:t>
            </w:r>
          </w:p>
        </w:tc>
        <w:tc>
          <w:tcPr>
            <w:tcW w:w="1604"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1317,2</w:t>
            </w:r>
          </w:p>
        </w:tc>
        <w:tc>
          <w:tcPr>
            <w:tcW w:w="162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1041,3</w:t>
            </w:r>
          </w:p>
        </w:tc>
        <w:tc>
          <w:tcPr>
            <w:tcW w:w="1422" w:type="dxa"/>
            <w:tcBorders>
              <w:top w:val="single" w:sz="4" w:space="0" w:color="000000"/>
              <w:left w:val="single" w:sz="4" w:space="0" w:color="000000"/>
              <w:bottom w:val="single" w:sz="4" w:space="0" w:color="000000"/>
              <w:right w:val="single" w:sz="4" w:space="0" w:color="000000"/>
            </w:tcBorders>
            <w:shd w:val="clear" w:color="auto" w:fill="FFFEFF"/>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275,9</w:t>
            </w:r>
          </w:p>
        </w:tc>
        <w:tc>
          <w:tcPr>
            <w:tcW w:w="2590" w:type="dxa"/>
            <w:tcBorders>
              <w:top w:val="single" w:sz="4" w:space="0" w:color="000000"/>
              <w:left w:val="single" w:sz="4" w:space="0" w:color="000000"/>
              <w:bottom w:val="single" w:sz="4" w:space="0" w:color="000000"/>
              <w:right w:val="single" w:sz="4" w:space="0" w:color="000000"/>
            </w:tcBorders>
            <w:shd w:val="clear" w:color="auto" w:fill="FFFEFF"/>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196,5</w:t>
            </w:r>
          </w:p>
        </w:tc>
      </w:tr>
      <w:tr w:rsidR="00D227E2">
        <w:trPr>
          <w:jc w:val="center"/>
        </w:trPr>
        <w:tc>
          <w:tcPr>
            <w:tcW w:w="191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2016</w:t>
            </w:r>
          </w:p>
        </w:tc>
        <w:tc>
          <w:tcPr>
            <w:tcW w:w="1604"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1669,7</w:t>
            </w:r>
          </w:p>
        </w:tc>
        <w:tc>
          <w:tcPr>
            <w:tcW w:w="162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1382,2</w:t>
            </w:r>
          </w:p>
        </w:tc>
        <w:tc>
          <w:tcPr>
            <w:tcW w:w="1422" w:type="dxa"/>
            <w:tcBorders>
              <w:top w:val="single" w:sz="4" w:space="0" w:color="000000"/>
              <w:left w:val="single" w:sz="4" w:space="0" w:color="000000"/>
              <w:bottom w:val="single" w:sz="4" w:space="0" w:color="000000"/>
              <w:right w:val="single" w:sz="4" w:space="0" w:color="000000"/>
            </w:tcBorders>
            <w:shd w:val="clear" w:color="auto" w:fill="FFFEFF"/>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287,5</w:t>
            </w:r>
          </w:p>
        </w:tc>
        <w:tc>
          <w:tcPr>
            <w:tcW w:w="2590" w:type="dxa"/>
            <w:tcBorders>
              <w:top w:val="single" w:sz="4" w:space="0" w:color="000000"/>
              <w:left w:val="single" w:sz="4" w:space="0" w:color="000000"/>
              <w:bottom w:val="single" w:sz="4" w:space="0" w:color="000000"/>
              <w:right w:val="single" w:sz="4" w:space="0" w:color="000000"/>
            </w:tcBorders>
            <w:shd w:val="clear" w:color="auto" w:fill="FFFEFF"/>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219,6</w:t>
            </w:r>
          </w:p>
        </w:tc>
      </w:tr>
      <w:tr w:rsidR="00D227E2">
        <w:trPr>
          <w:jc w:val="center"/>
        </w:trPr>
        <w:tc>
          <w:tcPr>
            <w:tcW w:w="191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2017</w:t>
            </w:r>
          </w:p>
        </w:tc>
        <w:tc>
          <w:tcPr>
            <w:tcW w:w="1604"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2372,1</w:t>
            </w:r>
          </w:p>
        </w:tc>
        <w:tc>
          <w:tcPr>
            <w:tcW w:w="162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2061,3</w:t>
            </w:r>
          </w:p>
        </w:tc>
        <w:tc>
          <w:tcPr>
            <w:tcW w:w="1422" w:type="dxa"/>
            <w:tcBorders>
              <w:top w:val="single" w:sz="4" w:space="0" w:color="000000"/>
              <w:left w:val="single" w:sz="4" w:space="0" w:color="000000"/>
              <w:bottom w:val="single" w:sz="4" w:space="0" w:color="000000"/>
              <w:right w:val="single" w:sz="4" w:space="0" w:color="000000"/>
            </w:tcBorders>
            <w:shd w:val="clear" w:color="auto" w:fill="FFFEFF"/>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310,8</w:t>
            </w:r>
          </w:p>
        </w:tc>
        <w:tc>
          <w:tcPr>
            <w:tcW w:w="2590" w:type="dxa"/>
            <w:tcBorders>
              <w:top w:val="single" w:sz="4" w:space="0" w:color="000000"/>
              <w:left w:val="single" w:sz="4" w:space="0" w:color="000000"/>
              <w:bottom w:val="single" w:sz="4" w:space="0" w:color="000000"/>
              <w:right w:val="single" w:sz="4" w:space="0" w:color="000000"/>
            </w:tcBorders>
            <w:shd w:val="clear" w:color="auto" w:fill="FFFEFF"/>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227,3</w:t>
            </w:r>
          </w:p>
        </w:tc>
      </w:tr>
      <w:tr w:rsidR="00D227E2">
        <w:trPr>
          <w:jc w:val="center"/>
        </w:trPr>
        <w:tc>
          <w:tcPr>
            <w:tcW w:w="191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2018</w:t>
            </w:r>
          </w:p>
        </w:tc>
        <w:tc>
          <w:tcPr>
            <w:tcW w:w="1604"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2684,6</w:t>
            </w:r>
          </w:p>
        </w:tc>
        <w:tc>
          <w:tcPr>
            <w:tcW w:w="162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2346,9</w:t>
            </w:r>
          </w:p>
        </w:tc>
        <w:tc>
          <w:tcPr>
            <w:tcW w:w="1422" w:type="dxa"/>
            <w:tcBorders>
              <w:top w:val="single" w:sz="4" w:space="0" w:color="000000"/>
              <w:left w:val="single" w:sz="4" w:space="0" w:color="000000"/>
              <w:bottom w:val="single" w:sz="4" w:space="0" w:color="000000"/>
              <w:right w:val="single" w:sz="4" w:space="0" w:color="000000"/>
            </w:tcBorders>
            <w:shd w:val="clear" w:color="auto" w:fill="FFFEFF"/>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337,7</w:t>
            </w:r>
          </w:p>
        </w:tc>
        <w:tc>
          <w:tcPr>
            <w:tcW w:w="2590" w:type="dxa"/>
            <w:tcBorders>
              <w:top w:val="single" w:sz="4" w:space="0" w:color="000000"/>
              <w:left w:val="single" w:sz="4" w:space="0" w:color="000000"/>
              <w:bottom w:val="single" w:sz="4" w:space="0" w:color="000000"/>
              <w:right w:val="single" w:sz="4" w:space="0" w:color="000000"/>
            </w:tcBorders>
            <w:shd w:val="clear" w:color="auto" w:fill="FFFEFF"/>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248,6</w:t>
            </w:r>
          </w:p>
        </w:tc>
      </w:tr>
      <w:tr w:rsidR="00D227E2">
        <w:trPr>
          <w:jc w:val="center"/>
        </w:trPr>
        <w:tc>
          <w:tcPr>
            <w:tcW w:w="191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2019</w:t>
            </w:r>
          </w:p>
        </w:tc>
        <w:tc>
          <w:tcPr>
            <w:tcW w:w="1604"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2564,7</w:t>
            </w:r>
          </w:p>
        </w:tc>
        <w:tc>
          <w:tcPr>
            <w:tcW w:w="162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2235,2</w:t>
            </w:r>
          </w:p>
        </w:tc>
        <w:tc>
          <w:tcPr>
            <w:tcW w:w="1422" w:type="dxa"/>
            <w:tcBorders>
              <w:top w:val="single" w:sz="4" w:space="0" w:color="000000"/>
              <w:left w:val="single" w:sz="4" w:space="0" w:color="000000"/>
              <w:bottom w:val="single" w:sz="4" w:space="0" w:color="000000"/>
              <w:right w:val="single" w:sz="4" w:space="0" w:color="000000"/>
            </w:tcBorders>
            <w:shd w:val="clear" w:color="auto" w:fill="FFFEFF"/>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329,5</w:t>
            </w:r>
          </w:p>
        </w:tc>
        <w:tc>
          <w:tcPr>
            <w:tcW w:w="2590" w:type="dxa"/>
            <w:tcBorders>
              <w:top w:val="single" w:sz="4" w:space="0" w:color="000000"/>
              <w:left w:val="single" w:sz="4" w:space="0" w:color="000000"/>
              <w:bottom w:val="single" w:sz="4" w:space="0" w:color="000000"/>
              <w:right w:val="single" w:sz="4" w:space="0" w:color="000000"/>
            </w:tcBorders>
            <w:shd w:val="clear" w:color="auto" w:fill="FFFEFF"/>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267,1</w:t>
            </w:r>
          </w:p>
        </w:tc>
      </w:tr>
      <w:tr w:rsidR="00D227E2">
        <w:trPr>
          <w:jc w:val="center"/>
        </w:trPr>
        <w:tc>
          <w:tcPr>
            <w:tcW w:w="191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2020</w:t>
            </w:r>
          </w:p>
        </w:tc>
        <w:tc>
          <w:tcPr>
            <w:tcW w:w="1604"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2356,8</w:t>
            </w:r>
          </w:p>
        </w:tc>
        <w:tc>
          <w:tcPr>
            <w:tcW w:w="162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1808,5</w:t>
            </w:r>
          </w:p>
        </w:tc>
        <w:tc>
          <w:tcPr>
            <w:tcW w:w="1422" w:type="dxa"/>
            <w:tcBorders>
              <w:top w:val="single" w:sz="4" w:space="0" w:color="000000"/>
              <w:left w:val="single" w:sz="4" w:space="0" w:color="000000"/>
              <w:bottom w:val="single" w:sz="4" w:space="0" w:color="000000"/>
              <w:right w:val="single" w:sz="4" w:space="0" w:color="000000"/>
            </w:tcBorders>
            <w:shd w:val="clear" w:color="auto" w:fill="FFFEFF"/>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548,2</w:t>
            </w:r>
          </w:p>
        </w:tc>
        <w:tc>
          <w:tcPr>
            <w:tcW w:w="2590" w:type="dxa"/>
            <w:tcBorders>
              <w:top w:val="single" w:sz="4" w:space="0" w:color="000000"/>
              <w:left w:val="single" w:sz="4" w:space="0" w:color="000000"/>
              <w:bottom w:val="single" w:sz="4" w:space="0" w:color="000000"/>
              <w:right w:val="single" w:sz="4" w:space="0" w:color="000000"/>
            </w:tcBorders>
            <w:shd w:val="clear" w:color="auto" w:fill="FFFEFF"/>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374,8</w:t>
            </w:r>
          </w:p>
        </w:tc>
      </w:tr>
      <w:tr w:rsidR="00D227E2">
        <w:trPr>
          <w:jc w:val="center"/>
        </w:trPr>
        <w:tc>
          <w:tcPr>
            <w:tcW w:w="191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2021</w:t>
            </w:r>
          </w:p>
        </w:tc>
        <w:tc>
          <w:tcPr>
            <w:tcW w:w="1604"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2851,0</w:t>
            </w:r>
          </w:p>
        </w:tc>
        <w:tc>
          <w:tcPr>
            <w:tcW w:w="162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2211,6</w:t>
            </w:r>
          </w:p>
        </w:tc>
        <w:tc>
          <w:tcPr>
            <w:tcW w:w="1422" w:type="dxa"/>
            <w:tcBorders>
              <w:top w:val="single" w:sz="4" w:space="0" w:color="000000"/>
              <w:left w:val="single" w:sz="4" w:space="0" w:color="000000"/>
              <w:bottom w:val="single" w:sz="4" w:space="0" w:color="000000"/>
              <w:right w:val="single" w:sz="4" w:space="0" w:color="000000"/>
            </w:tcBorders>
            <w:shd w:val="clear" w:color="auto" w:fill="FFFEFF"/>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639,4</w:t>
            </w:r>
          </w:p>
        </w:tc>
        <w:tc>
          <w:tcPr>
            <w:tcW w:w="2590" w:type="dxa"/>
            <w:tcBorders>
              <w:top w:val="single" w:sz="4" w:space="0" w:color="000000"/>
              <w:left w:val="single" w:sz="4" w:space="0" w:color="000000"/>
              <w:bottom w:val="single" w:sz="4" w:space="0" w:color="000000"/>
              <w:right w:val="single" w:sz="4" w:space="0" w:color="000000"/>
            </w:tcBorders>
            <w:shd w:val="clear" w:color="auto" w:fill="FFFEFF"/>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409,8</w:t>
            </w:r>
          </w:p>
        </w:tc>
      </w:tr>
      <w:tr w:rsidR="00D227E2">
        <w:trPr>
          <w:jc w:val="center"/>
        </w:trPr>
        <w:tc>
          <w:tcPr>
            <w:tcW w:w="191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2022</w:t>
            </w:r>
          </w:p>
        </w:tc>
        <w:tc>
          <w:tcPr>
            <w:tcW w:w="1604"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2629,2</w:t>
            </w:r>
          </w:p>
        </w:tc>
        <w:tc>
          <w:tcPr>
            <w:tcW w:w="162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2381,7</w:t>
            </w:r>
          </w:p>
        </w:tc>
        <w:tc>
          <w:tcPr>
            <w:tcW w:w="1422" w:type="dxa"/>
            <w:tcBorders>
              <w:top w:val="single" w:sz="4" w:space="0" w:color="000000"/>
              <w:left w:val="single" w:sz="4" w:space="0" w:color="000000"/>
              <w:bottom w:val="single" w:sz="4" w:space="0" w:color="000000"/>
              <w:right w:val="single" w:sz="4" w:space="0" w:color="000000"/>
            </w:tcBorders>
            <w:shd w:val="clear" w:color="auto" w:fill="FFFEFF"/>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247,5</w:t>
            </w:r>
          </w:p>
        </w:tc>
        <w:tc>
          <w:tcPr>
            <w:tcW w:w="2590" w:type="dxa"/>
            <w:tcBorders>
              <w:top w:val="single" w:sz="4" w:space="0" w:color="000000"/>
              <w:left w:val="single" w:sz="4" w:space="0" w:color="000000"/>
              <w:bottom w:val="single" w:sz="4" w:space="0" w:color="000000"/>
              <w:right w:val="single" w:sz="4" w:space="0" w:color="000000"/>
            </w:tcBorders>
            <w:shd w:val="clear" w:color="auto" w:fill="FFFEFF"/>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191,8</w:t>
            </w:r>
          </w:p>
        </w:tc>
      </w:tr>
    </w:tbl>
    <w:p w:rsidR="00D227E2" w:rsidRDefault="00934FC4">
      <w:pPr>
        <w:ind w:firstLine="567"/>
        <w:jc w:val="both"/>
        <w:rPr>
          <w:rFonts w:ascii="Times New Roman" w:hAnsi="Times New Roman" w:cs="Times New Roman"/>
        </w:rPr>
      </w:pPr>
      <w:r>
        <w:rPr>
          <w:rFonts w:ascii="Times New Roman" w:hAnsi="Times New Roman" w:cs="Times New Roman"/>
          <w:color w:val="000000"/>
          <w:sz w:val="24"/>
          <w:szCs w:val="24"/>
        </w:rPr>
        <w:t>Структура видатків бюджету Луцької МТГ за 2007, 2012-2022 роки наведена на рисунку 12.</w:t>
      </w:r>
    </w:p>
    <w:p w:rsidR="00D227E2" w:rsidRDefault="00934FC4">
      <w:pPr>
        <w:ind w:left="360"/>
        <w:jc w:val="center"/>
        <w:rPr>
          <w:rFonts w:ascii="Times New Roman" w:hAnsi="Times New Roman" w:cs="Times New Roman"/>
        </w:rPr>
      </w:pPr>
      <w:r>
        <w:rPr>
          <w:noProof/>
          <w:lang w:eastAsia="uk-UA"/>
        </w:rPr>
        <w:drawing>
          <wp:inline distT="0" distB="0" distL="0" distR="0" wp14:anchorId="5D888A7F" wp14:editId="5A362458">
            <wp:extent cx="4427220" cy="2490470"/>
            <wp:effectExtent l="0" t="0" r="0" b="0"/>
            <wp:docPr id="24" name="Диаграмма 14" descr="діаграма"/>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Pr>
          <w:rFonts w:ascii="Times New Roman" w:hAnsi="Times New Roman" w:cs="Times New Roman"/>
          <w:color w:val="000000"/>
        </w:rPr>
        <w:t> </w:t>
      </w:r>
    </w:p>
    <w:p w:rsidR="00D227E2" w:rsidRDefault="00934FC4">
      <w:pPr>
        <w:spacing w:after="0"/>
        <w:jc w:val="center"/>
        <w:rPr>
          <w:rFonts w:ascii="Times New Roman" w:hAnsi="Times New Roman" w:cs="Times New Roman"/>
        </w:rPr>
      </w:pPr>
      <w:r>
        <w:rPr>
          <w:rFonts w:ascii="Times New Roman" w:hAnsi="Times New Roman" w:cs="Times New Roman"/>
          <w:color w:val="000000"/>
          <w:sz w:val="24"/>
          <w:szCs w:val="24"/>
        </w:rPr>
        <w:t>Рисунок 12. Структура видатків бюджету Луцької МТГ за 2007, 2012-2022 роки</w:t>
      </w:r>
    </w:p>
    <w:p w:rsidR="00D227E2" w:rsidRDefault="00934FC4">
      <w:pPr>
        <w:spacing w:before="120" w:after="0"/>
        <w:ind w:firstLine="567"/>
        <w:jc w:val="both"/>
        <w:rPr>
          <w:rFonts w:ascii="Times New Roman" w:hAnsi="Times New Roman" w:cs="Times New Roman"/>
        </w:rPr>
      </w:pPr>
      <w:r>
        <w:rPr>
          <w:rFonts w:ascii="Times New Roman" w:hAnsi="Times New Roman" w:cs="Times New Roman"/>
          <w:color w:val="000000"/>
          <w:sz w:val="24"/>
          <w:szCs w:val="24"/>
        </w:rPr>
        <w:lastRenderedPageBreak/>
        <w:t>Динаміка видатків бюджету Луцької МТГ за 2007, 2012-2022 роки має тенденцію постійного зростання, яка відповідає темпам зростання дохідної частини бюджету.</w:t>
      </w:r>
    </w:p>
    <w:p w:rsidR="00D227E2" w:rsidRDefault="00934FC4">
      <w:pPr>
        <w:spacing w:after="0"/>
        <w:ind w:firstLine="567"/>
        <w:jc w:val="both"/>
        <w:rPr>
          <w:rFonts w:ascii="Times New Roman" w:hAnsi="Times New Roman" w:cs="Times New Roman"/>
        </w:rPr>
      </w:pPr>
      <w:r>
        <w:rPr>
          <w:rFonts w:ascii="Times New Roman" w:hAnsi="Times New Roman" w:cs="Times New Roman"/>
          <w:color w:val="000000"/>
          <w:sz w:val="24"/>
          <w:szCs w:val="24"/>
        </w:rPr>
        <w:t>Рисунок 13 ілюструє структуру видатків бюджету Луцької МТГ за статтями витрат.</w:t>
      </w:r>
    </w:p>
    <w:p w:rsidR="00D227E2" w:rsidRDefault="00934FC4">
      <w:pPr>
        <w:spacing w:after="0"/>
        <w:jc w:val="center"/>
        <w:rPr>
          <w:rFonts w:ascii="Times New Roman" w:hAnsi="Times New Roman" w:cs="Times New Roman"/>
        </w:rPr>
      </w:pPr>
      <w:r>
        <w:rPr>
          <w:noProof/>
          <w:lang w:eastAsia="uk-UA"/>
        </w:rPr>
        <w:drawing>
          <wp:inline distT="0" distB="0" distL="0" distR="0" wp14:anchorId="6A1D279F" wp14:editId="7B85EEED">
            <wp:extent cx="4167505" cy="2344420"/>
            <wp:effectExtent l="0" t="0" r="0" b="0"/>
            <wp:docPr id="25" name="Об'єкт3" descr="діаграма"/>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D227E2" w:rsidRDefault="00934FC4">
      <w:pPr>
        <w:spacing w:after="0"/>
        <w:jc w:val="center"/>
        <w:rPr>
          <w:rFonts w:ascii="Times New Roman" w:hAnsi="Times New Roman" w:cs="Times New Roman"/>
        </w:rPr>
      </w:pPr>
      <w:r>
        <w:rPr>
          <w:rFonts w:ascii="Times New Roman" w:hAnsi="Times New Roman" w:cs="Times New Roman"/>
          <w:color w:val="000000"/>
          <w:sz w:val="24"/>
          <w:szCs w:val="24"/>
        </w:rPr>
        <w:t>Рисунок 13. Структура видатків бюджету Луцької МТГ у 2022 році</w:t>
      </w:r>
    </w:p>
    <w:p w:rsidR="00D227E2" w:rsidRDefault="00934FC4">
      <w:pPr>
        <w:spacing w:after="0"/>
        <w:ind w:firstLine="567"/>
        <w:jc w:val="both"/>
        <w:rPr>
          <w:rFonts w:ascii="Times New Roman" w:hAnsi="Times New Roman" w:cs="Times New Roman"/>
        </w:rPr>
      </w:pPr>
      <w:r>
        <w:rPr>
          <w:rFonts w:ascii="Times New Roman" w:hAnsi="Times New Roman" w:cs="Times New Roman"/>
          <w:color w:val="000000"/>
          <w:sz w:val="24"/>
          <w:szCs w:val="24"/>
        </w:rPr>
        <w:t>Бюджет розвитку Луцької МТГ отримує щорічне наповнення, завдяки чому громада має можливість впроваджувати інвестиційні проєкти, виконувати енергоефективні заходи в муніципальних установах та покращувати інфраструктуру міста.</w:t>
      </w:r>
    </w:p>
    <w:p w:rsidR="00D227E2" w:rsidRDefault="00D227E2">
      <w:pPr>
        <w:spacing w:after="120"/>
        <w:ind w:firstLine="567"/>
        <w:jc w:val="both"/>
        <w:rPr>
          <w:rFonts w:ascii="Times New Roman" w:hAnsi="Times New Roman" w:cs="Times New Roman"/>
          <w:color w:val="000000"/>
        </w:rPr>
      </w:pPr>
    </w:p>
    <w:p w:rsidR="00D227E2" w:rsidRDefault="00D227E2">
      <w:pPr>
        <w:spacing w:after="120"/>
        <w:ind w:firstLine="567"/>
        <w:jc w:val="both"/>
        <w:rPr>
          <w:rFonts w:ascii="Times New Roman" w:hAnsi="Times New Roman" w:cs="Times New Roman"/>
          <w:color w:val="000000"/>
        </w:rPr>
      </w:pPr>
    </w:p>
    <w:p w:rsidR="00D227E2" w:rsidRDefault="00934FC4">
      <w:pPr>
        <w:spacing w:after="0" w:line="240" w:lineRule="auto"/>
        <w:ind w:firstLine="567"/>
        <w:jc w:val="both"/>
        <w:rPr>
          <w:rFonts w:ascii="Times New Roman" w:hAnsi="Times New Roman" w:cs="Times New Roman"/>
        </w:rPr>
      </w:pPr>
      <w:r>
        <w:rPr>
          <w:rFonts w:ascii="Times New Roman" w:eastAsia="NSimSun" w:hAnsi="Times New Roman" w:cs="Times New Roman"/>
          <w:b/>
          <w:bCs/>
          <w:color w:val="000000"/>
          <w:kern w:val="2"/>
          <w:sz w:val="24"/>
          <w:szCs w:val="24"/>
          <w:lang w:eastAsia="zh-CN" w:bidi="hi-IN"/>
        </w:rPr>
        <w:t>РОЗДІЛ 3. ЕНЕРГЕТИЧНИЙ БАЛАНС ГРОМАДИ</w:t>
      </w:r>
    </w:p>
    <w:p w:rsidR="00D227E2" w:rsidRDefault="00934FC4">
      <w:pPr>
        <w:spacing w:after="0" w:line="240" w:lineRule="auto"/>
        <w:ind w:firstLine="567"/>
        <w:jc w:val="both"/>
        <w:rPr>
          <w:rFonts w:ascii="Times New Roman" w:hAnsi="Times New Roman" w:cs="Times New Roman"/>
        </w:rPr>
      </w:pPr>
      <w:r>
        <w:rPr>
          <w:rFonts w:ascii="Times New Roman" w:eastAsia="NSimSun" w:hAnsi="Times New Roman" w:cs="Times New Roman"/>
          <w:b/>
          <w:bCs/>
          <w:color w:val="000000"/>
          <w:kern w:val="2"/>
          <w:sz w:val="24"/>
          <w:szCs w:val="24"/>
          <w:lang w:eastAsia="zh-CN" w:bidi="hi-IN"/>
        </w:rPr>
        <w:t>3.1. Виробництво, транспортування та споживання енергії</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У Луцькій МТГ технологічні процеси виробництва, транспортування та споживання енергії представлені централізованою системою теплопостачання, системами електропостачання та постачання природного газу.</w:t>
      </w:r>
    </w:p>
    <w:p w:rsidR="00D227E2" w:rsidRDefault="00934FC4">
      <w:pPr>
        <w:spacing w:after="0" w:line="240" w:lineRule="auto"/>
        <w:ind w:firstLine="567"/>
        <w:jc w:val="both"/>
        <w:rPr>
          <w:rFonts w:ascii="Times New Roman" w:hAnsi="Times New Roman" w:cs="Times New Roman"/>
          <w:b/>
        </w:rPr>
      </w:pPr>
      <w:r>
        <w:rPr>
          <w:rFonts w:ascii="Times New Roman" w:eastAsia="NSimSun" w:hAnsi="Times New Roman" w:cs="Times New Roman"/>
          <w:b/>
          <w:color w:val="000000"/>
          <w:kern w:val="2"/>
          <w:sz w:val="24"/>
          <w:szCs w:val="24"/>
          <w:lang w:eastAsia="zh-CN" w:bidi="hi-IN"/>
        </w:rPr>
        <w:t>3.1.1. Газопостачання</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Газопостачання Луцької МТГ здійснюється від магістральних газопроводів І-го класу Кам’янка-Бузька – Рівне та Турійськ – Луцьк – Рівне через систему газорозподільних станцій (АГРС): с. Підгайці, с. Прилуцьке та с. Рокині.</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Рівень газифікації Луцької МТГ на базі використання природного газу достатньо високий, із розвиненою системою розподільних газопроводів високого, середнього та низького тисків. Система газопостачання міста багатоступенева з подачею газу споживачам по розподільних газопроводах:</w:t>
      </w:r>
    </w:p>
    <w:p w:rsidR="00D227E2" w:rsidRPr="009B31AB" w:rsidRDefault="00934FC4">
      <w:pPr>
        <w:pStyle w:val="28"/>
        <w:numPr>
          <w:ilvl w:val="0"/>
          <w:numId w:val="41"/>
        </w:numPr>
        <w:tabs>
          <w:tab w:val="left" w:pos="0"/>
          <w:tab w:val="left" w:pos="851"/>
        </w:tabs>
        <w:ind w:left="0" w:firstLine="567"/>
        <w:jc w:val="both"/>
        <w:rPr>
          <w:lang w:val="uk-UA"/>
        </w:rPr>
      </w:pPr>
      <w:r w:rsidRPr="009B31AB">
        <w:rPr>
          <w:rFonts w:eastAsia="NSimSun"/>
          <w:color w:val="000000"/>
          <w:kern w:val="2"/>
          <w:lang w:val="uk-UA" w:bidi="hi-IN"/>
        </w:rPr>
        <w:t>високого тиску ІІ категорії (до 0,6 МПа) від АГРС «Луцьк» на ГРП, ШРП (промислові та комунальні підприємства, в т.ч. опалювальні котельні);</w:t>
      </w:r>
    </w:p>
    <w:p w:rsidR="00D227E2" w:rsidRPr="009B31AB" w:rsidRDefault="00934FC4">
      <w:pPr>
        <w:pStyle w:val="28"/>
        <w:numPr>
          <w:ilvl w:val="0"/>
          <w:numId w:val="41"/>
        </w:numPr>
        <w:tabs>
          <w:tab w:val="left" w:pos="0"/>
          <w:tab w:val="left" w:pos="851"/>
        </w:tabs>
        <w:ind w:left="0" w:firstLine="567"/>
        <w:jc w:val="both"/>
        <w:rPr>
          <w:lang w:val="uk-UA"/>
        </w:rPr>
      </w:pPr>
      <w:r w:rsidRPr="009B31AB">
        <w:rPr>
          <w:rFonts w:eastAsia="NSimSun"/>
          <w:color w:val="000000"/>
          <w:kern w:val="2"/>
          <w:lang w:val="uk-UA" w:bidi="hi-IN"/>
        </w:rPr>
        <w:t>середнього тиску (до 0,3 МПа) від ГРП та ШРП (комунальні та дрібні промислові підприємства, в т. ч. опалювальні котельні);</w:t>
      </w:r>
    </w:p>
    <w:p w:rsidR="00D227E2" w:rsidRPr="009B31AB" w:rsidRDefault="00934FC4">
      <w:pPr>
        <w:pStyle w:val="28"/>
        <w:numPr>
          <w:ilvl w:val="0"/>
          <w:numId w:val="41"/>
        </w:numPr>
        <w:tabs>
          <w:tab w:val="left" w:pos="0"/>
          <w:tab w:val="left" w:pos="851"/>
        </w:tabs>
        <w:ind w:left="0" w:firstLine="567"/>
        <w:jc w:val="both"/>
        <w:rPr>
          <w:lang w:val="uk-UA"/>
        </w:rPr>
      </w:pPr>
      <w:r w:rsidRPr="009B31AB">
        <w:rPr>
          <w:rFonts w:eastAsia="NSimSun"/>
          <w:color w:val="000000"/>
          <w:kern w:val="2"/>
          <w:lang w:val="uk-UA" w:bidi="hi-IN"/>
        </w:rPr>
        <w:t>низького тиску (до 0,005 МПа) від ГРП, ШРП (нежитлові будинки, дрібні невиробничі та комунальні підприємства, котельні).</w:t>
      </w:r>
    </w:p>
    <w:p w:rsidR="00D227E2" w:rsidRDefault="00934FC4">
      <w:pPr>
        <w:spacing w:after="0" w:line="240" w:lineRule="auto"/>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 xml:space="preserve">У межах м. Луцька побудовано 42 од. ГРП, 63 од. ШРП, прокладено розподільних газопроводів в/т ІІ категорії 104,3 км, середнього тиску </w:t>
      </w:r>
      <w:r>
        <w:rPr>
          <w:rFonts w:ascii="Times New Roman" w:hAnsi="Times New Roman" w:cs="Times New Roman"/>
          <w:sz w:val="24"/>
          <w:szCs w:val="24"/>
        </w:rPr>
        <w:t>–</w:t>
      </w:r>
      <w:r>
        <w:rPr>
          <w:rFonts w:ascii="Times New Roman" w:eastAsia="NSimSun" w:hAnsi="Times New Roman" w:cs="Times New Roman"/>
          <w:color w:val="000000"/>
          <w:kern w:val="2"/>
          <w:sz w:val="24"/>
          <w:szCs w:val="24"/>
          <w:lang w:eastAsia="zh-CN" w:bidi="hi-IN"/>
        </w:rPr>
        <w:t xml:space="preserve"> 17,04 км, низького тиску </w:t>
      </w:r>
      <w:r>
        <w:rPr>
          <w:rFonts w:ascii="Times New Roman" w:hAnsi="Times New Roman" w:cs="Times New Roman"/>
          <w:sz w:val="24"/>
          <w:szCs w:val="24"/>
        </w:rPr>
        <w:t>–</w:t>
      </w:r>
      <w:r>
        <w:rPr>
          <w:rFonts w:ascii="Times New Roman" w:eastAsia="NSimSun" w:hAnsi="Times New Roman" w:cs="Times New Roman"/>
          <w:color w:val="000000"/>
          <w:kern w:val="2"/>
          <w:sz w:val="24"/>
          <w:szCs w:val="24"/>
          <w:lang w:eastAsia="zh-CN" w:bidi="hi-IN"/>
        </w:rPr>
        <w:t xml:space="preserve"> 215,7 км. </w:t>
      </w:r>
    </w:p>
    <w:p w:rsidR="00D227E2" w:rsidRDefault="00934FC4">
      <w:pPr>
        <w:spacing w:after="0" w:line="240" w:lineRule="auto"/>
        <w:ind w:firstLine="567"/>
        <w:jc w:val="both"/>
        <w:rPr>
          <w:rFonts w:ascii="Times New Roman" w:eastAsia="NSimSun" w:hAnsi="Times New Roman" w:cs="Times New Roman"/>
          <w:color w:val="000000"/>
          <w:kern w:val="2"/>
          <w:sz w:val="24"/>
          <w:szCs w:val="24"/>
          <w:lang w:eastAsia="zh-CN" w:bidi="hi-IN"/>
        </w:rPr>
      </w:pPr>
      <w:r>
        <w:rPr>
          <w:rFonts w:ascii="Times New Roman" w:eastAsia="NSimSun" w:hAnsi="Times New Roman" w:cs="Times New Roman"/>
          <w:color w:val="000000"/>
          <w:kern w:val="2"/>
          <w:sz w:val="24"/>
          <w:szCs w:val="24"/>
          <w:lang w:eastAsia="zh-CN" w:bidi="hi-IN"/>
        </w:rPr>
        <w:t>Річний обсяг отриманого природного газу протягом 2007, 2020-2022 років наведено в таблиці 16 та на рисунку 14.</w:t>
      </w:r>
    </w:p>
    <w:p w:rsidR="00934FC4" w:rsidRDefault="00934FC4">
      <w:pPr>
        <w:spacing w:after="0" w:line="240" w:lineRule="auto"/>
        <w:ind w:firstLine="567"/>
        <w:jc w:val="both"/>
        <w:rPr>
          <w:rFonts w:ascii="Times New Roman" w:eastAsia="NSimSun" w:hAnsi="Times New Roman" w:cs="Times New Roman"/>
          <w:color w:val="000000"/>
          <w:kern w:val="2"/>
          <w:sz w:val="24"/>
          <w:szCs w:val="24"/>
          <w:lang w:eastAsia="zh-CN" w:bidi="hi-IN"/>
        </w:rPr>
      </w:pPr>
    </w:p>
    <w:p w:rsidR="00934FC4" w:rsidRDefault="00934FC4">
      <w:pPr>
        <w:spacing w:after="0" w:line="240" w:lineRule="auto"/>
        <w:ind w:firstLine="567"/>
        <w:jc w:val="both"/>
        <w:rPr>
          <w:rFonts w:ascii="Times New Roman" w:eastAsia="NSimSun" w:hAnsi="Times New Roman" w:cs="Times New Roman"/>
          <w:color w:val="000000"/>
          <w:kern w:val="2"/>
          <w:sz w:val="24"/>
          <w:szCs w:val="24"/>
          <w:lang w:eastAsia="zh-CN" w:bidi="hi-IN"/>
        </w:rPr>
      </w:pPr>
    </w:p>
    <w:p w:rsidR="00934FC4" w:rsidRDefault="00934FC4">
      <w:pPr>
        <w:spacing w:after="0" w:line="240" w:lineRule="auto"/>
        <w:ind w:firstLine="567"/>
        <w:jc w:val="both"/>
        <w:rPr>
          <w:rFonts w:ascii="Times New Roman" w:hAnsi="Times New Roman" w:cs="Times New Roman"/>
        </w:rPr>
      </w:pPr>
    </w:p>
    <w:p w:rsidR="00D227E2" w:rsidRDefault="00934FC4">
      <w:pPr>
        <w:spacing w:after="0" w:line="240" w:lineRule="auto"/>
        <w:jc w:val="center"/>
        <w:rPr>
          <w:rFonts w:ascii="Times New Roman" w:hAnsi="Times New Roman" w:cs="Times New Roman"/>
        </w:rPr>
      </w:pPr>
      <w:r>
        <w:rPr>
          <w:rFonts w:ascii="Times New Roman" w:eastAsia="NSimSun" w:hAnsi="Times New Roman" w:cs="Times New Roman"/>
          <w:color w:val="000000"/>
          <w:kern w:val="2"/>
          <w:sz w:val="24"/>
          <w:szCs w:val="24"/>
          <w:lang w:eastAsia="zh-CN" w:bidi="hi-IN"/>
        </w:rPr>
        <w:lastRenderedPageBreak/>
        <w:t>Таблиця 16. Споживання природного газу споживачами Луцької МТГ (тис.м</w:t>
      </w:r>
      <w:r>
        <w:rPr>
          <w:rFonts w:ascii="Times New Roman" w:eastAsia="NSimSun" w:hAnsi="Times New Roman" w:cs="Times New Roman"/>
          <w:color w:val="000000"/>
          <w:kern w:val="2"/>
          <w:sz w:val="24"/>
          <w:szCs w:val="24"/>
          <w:vertAlign w:val="superscript"/>
          <w:lang w:eastAsia="zh-CN" w:bidi="hi-IN"/>
        </w:rPr>
        <w:t>3</w:t>
      </w:r>
      <w:r>
        <w:rPr>
          <w:rFonts w:ascii="Times New Roman" w:eastAsia="NSimSun" w:hAnsi="Times New Roman" w:cs="Times New Roman"/>
          <w:color w:val="000000"/>
          <w:kern w:val="2"/>
          <w:sz w:val="24"/>
          <w:szCs w:val="24"/>
          <w:lang w:eastAsia="zh-CN" w:bidi="hi-IN"/>
        </w:rPr>
        <w:t xml:space="preserve">) </w:t>
      </w:r>
    </w:p>
    <w:tbl>
      <w:tblPr>
        <w:tblW w:w="9760" w:type="dxa"/>
        <w:tblLayout w:type="fixed"/>
        <w:tblLook w:val="0000" w:firstRow="0" w:lastRow="0" w:firstColumn="0" w:lastColumn="0" w:noHBand="0" w:noVBand="0"/>
      </w:tblPr>
      <w:tblGrid>
        <w:gridCol w:w="489"/>
        <w:gridCol w:w="3351"/>
        <w:gridCol w:w="1420"/>
        <w:gridCol w:w="1369"/>
        <w:gridCol w:w="1351"/>
        <w:gridCol w:w="1780"/>
      </w:tblGrid>
      <w:tr w:rsidR="00D227E2">
        <w:tc>
          <w:tcPr>
            <w:tcW w:w="488" w:type="dxa"/>
            <w:tcBorders>
              <w:top w:val="single" w:sz="2" w:space="0" w:color="000000"/>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sz w:val="24"/>
                <w:szCs w:val="24"/>
              </w:rPr>
              <w:t>№</w:t>
            </w:r>
          </w:p>
        </w:tc>
        <w:tc>
          <w:tcPr>
            <w:tcW w:w="3351" w:type="dxa"/>
            <w:tcBorders>
              <w:top w:val="single" w:sz="2" w:space="0" w:color="000000"/>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sz w:val="24"/>
                <w:szCs w:val="24"/>
              </w:rPr>
              <w:t>Напрями постачання природного газу</w:t>
            </w:r>
          </w:p>
        </w:tc>
        <w:tc>
          <w:tcPr>
            <w:tcW w:w="1420" w:type="dxa"/>
            <w:tcBorders>
              <w:top w:val="single" w:sz="2" w:space="0" w:color="000000"/>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color w:val="000000"/>
                <w:kern w:val="2"/>
                <w:sz w:val="24"/>
                <w:szCs w:val="24"/>
                <w:lang w:eastAsia="zh-CN" w:bidi="hi-IN"/>
              </w:rPr>
              <w:t>2007</w:t>
            </w:r>
          </w:p>
        </w:tc>
        <w:tc>
          <w:tcPr>
            <w:tcW w:w="1369" w:type="dxa"/>
            <w:tcBorders>
              <w:top w:val="single" w:sz="2" w:space="0" w:color="000000"/>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sz w:val="24"/>
                <w:szCs w:val="24"/>
              </w:rPr>
              <w:t>2020</w:t>
            </w:r>
          </w:p>
        </w:tc>
        <w:tc>
          <w:tcPr>
            <w:tcW w:w="1351" w:type="dxa"/>
            <w:tcBorders>
              <w:top w:val="single" w:sz="2" w:space="0" w:color="000000"/>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sz w:val="24"/>
                <w:szCs w:val="24"/>
              </w:rPr>
              <w:t>2021</w:t>
            </w:r>
          </w:p>
        </w:tc>
        <w:tc>
          <w:tcPr>
            <w:tcW w:w="1780" w:type="dxa"/>
            <w:tcBorders>
              <w:top w:val="single" w:sz="2" w:space="0" w:color="000000"/>
              <w:left w:val="single" w:sz="2" w:space="0" w:color="000000"/>
              <w:bottom w:val="single" w:sz="2" w:space="0" w:color="000000"/>
              <w:right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sz w:val="24"/>
                <w:szCs w:val="24"/>
              </w:rPr>
              <w:t>2022</w:t>
            </w:r>
          </w:p>
        </w:tc>
      </w:tr>
      <w:tr w:rsidR="00D227E2">
        <w:tc>
          <w:tcPr>
            <w:tcW w:w="488" w:type="dxa"/>
            <w:tcBorders>
              <w:left w:val="single" w:sz="2" w:space="0" w:color="000000"/>
              <w:bottom w:val="single" w:sz="2"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color w:val="000000"/>
                <w:sz w:val="24"/>
                <w:szCs w:val="24"/>
              </w:rPr>
              <w:t>1.</w:t>
            </w:r>
          </w:p>
        </w:tc>
        <w:tc>
          <w:tcPr>
            <w:tcW w:w="3351" w:type="dxa"/>
            <w:tcBorders>
              <w:left w:val="single" w:sz="2" w:space="0" w:color="000000"/>
              <w:bottom w:val="single" w:sz="2"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color w:val="000000"/>
                <w:sz w:val="24"/>
                <w:szCs w:val="24"/>
              </w:rPr>
              <w:t>Бюджетний сектор</w:t>
            </w:r>
          </w:p>
        </w:tc>
        <w:tc>
          <w:tcPr>
            <w:tcW w:w="1420"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sz w:val="24"/>
                <w:szCs w:val="24"/>
              </w:rPr>
              <w:t>4654,34</w:t>
            </w:r>
          </w:p>
        </w:tc>
        <w:tc>
          <w:tcPr>
            <w:tcW w:w="1369"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sz w:val="24"/>
                <w:szCs w:val="24"/>
              </w:rPr>
              <w:t>2880,58</w:t>
            </w:r>
          </w:p>
        </w:tc>
        <w:tc>
          <w:tcPr>
            <w:tcW w:w="1351"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sz w:val="24"/>
                <w:szCs w:val="24"/>
              </w:rPr>
              <w:t>3102,09</w:t>
            </w:r>
          </w:p>
        </w:tc>
        <w:tc>
          <w:tcPr>
            <w:tcW w:w="1780" w:type="dxa"/>
            <w:tcBorders>
              <w:left w:val="single" w:sz="2" w:space="0" w:color="000000"/>
              <w:bottom w:val="single" w:sz="2" w:space="0" w:color="000000"/>
              <w:right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sz w:val="24"/>
                <w:szCs w:val="24"/>
              </w:rPr>
              <w:t>2549,37</w:t>
            </w:r>
          </w:p>
        </w:tc>
      </w:tr>
      <w:tr w:rsidR="00D227E2">
        <w:tc>
          <w:tcPr>
            <w:tcW w:w="488" w:type="dxa"/>
            <w:tcBorders>
              <w:left w:val="single" w:sz="2" w:space="0" w:color="000000"/>
              <w:bottom w:val="single" w:sz="2"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color w:val="000000"/>
                <w:sz w:val="24"/>
                <w:szCs w:val="24"/>
              </w:rPr>
              <w:t>2.</w:t>
            </w:r>
          </w:p>
        </w:tc>
        <w:tc>
          <w:tcPr>
            <w:tcW w:w="3351" w:type="dxa"/>
            <w:tcBorders>
              <w:left w:val="single" w:sz="2" w:space="0" w:color="000000"/>
              <w:bottom w:val="single" w:sz="2"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color w:val="000000"/>
                <w:sz w:val="24"/>
                <w:szCs w:val="24"/>
              </w:rPr>
              <w:t>Населення</w:t>
            </w:r>
          </w:p>
        </w:tc>
        <w:tc>
          <w:tcPr>
            <w:tcW w:w="1420"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sz w:val="24"/>
                <w:szCs w:val="24"/>
              </w:rPr>
              <w:t>71544,53</w:t>
            </w:r>
          </w:p>
        </w:tc>
        <w:tc>
          <w:tcPr>
            <w:tcW w:w="1369"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sz w:val="24"/>
                <w:szCs w:val="24"/>
              </w:rPr>
              <w:t>67640,01</w:t>
            </w:r>
          </w:p>
        </w:tc>
        <w:tc>
          <w:tcPr>
            <w:tcW w:w="1351"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sz w:val="24"/>
                <w:szCs w:val="24"/>
              </w:rPr>
              <w:t>70326,53</w:t>
            </w:r>
          </w:p>
        </w:tc>
        <w:tc>
          <w:tcPr>
            <w:tcW w:w="1780" w:type="dxa"/>
            <w:tcBorders>
              <w:left w:val="single" w:sz="2" w:space="0" w:color="000000"/>
              <w:bottom w:val="single" w:sz="2" w:space="0" w:color="000000"/>
              <w:right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sz w:val="24"/>
                <w:szCs w:val="24"/>
              </w:rPr>
              <w:t>69999,26</w:t>
            </w:r>
          </w:p>
        </w:tc>
      </w:tr>
      <w:tr w:rsidR="00D227E2">
        <w:tc>
          <w:tcPr>
            <w:tcW w:w="488" w:type="dxa"/>
            <w:tcBorders>
              <w:left w:val="single" w:sz="2" w:space="0" w:color="000000"/>
              <w:bottom w:val="single" w:sz="2"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color w:val="000000"/>
                <w:sz w:val="24"/>
                <w:szCs w:val="24"/>
              </w:rPr>
              <w:t>3.</w:t>
            </w:r>
          </w:p>
        </w:tc>
        <w:tc>
          <w:tcPr>
            <w:tcW w:w="3351" w:type="dxa"/>
            <w:tcBorders>
              <w:left w:val="single" w:sz="2" w:space="0" w:color="000000"/>
              <w:bottom w:val="single" w:sz="2"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color w:val="000000"/>
                <w:sz w:val="24"/>
                <w:szCs w:val="24"/>
              </w:rPr>
              <w:t>Промислові підприємства</w:t>
            </w:r>
          </w:p>
        </w:tc>
        <w:tc>
          <w:tcPr>
            <w:tcW w:w="1420"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sz w:val="24"/>
                <w:szCs w:val="24"/>
              </w:rPr>
              <w:t>75032,15</w:t>
            </w:r>
          </w:p>
        </w:tc>
        <w:tc>
          <w:tcPr>
            <w:tcW w:w="1369"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sz w:val="24"/>
                <w:szCs w:val="24"/>
              </w:rPr>
              <w:t>20581,53</w:t>
            </w:r>
          </w:p>
        </w:tc>
        <w:tc>
          <w:tcPr>
            <w:tcW w:w="1351"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sz w:val="24"/>
                <w:szCs w:val="24"/>
              </w:rPr>
              <w:t>19462,48</w:t>
            </w:r>
          </w:p>
        </w:tc>
        <w:tc>
          <w:tcPr>
            <w:tcW w:w="1780" w:type="dxa"/>
            <w:tcBorders>
              <w:left w:val="single" w:sz="2" w:space="0" w:color="000000"/>
              <w:bottom w:val="single" w:sz="2" w:space="0" w:color="000000"/>
              <w:right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sz w:val="24"/>
                <w:szCs w:val="24"/>
              </w:rPr>
              <w:t>13216,37</w:t>
            </w:r>
          </w:p>
        </w:tc>
      </w:tr>
      <w:tr w:rsidR="00D227E2">
        <w:tc>
          <w:tcPr>
            <w:tcW w:w="488" w:type="dxa"/>
            <w:tcBorders>
              <w:left w:val="single" w:sz="2" w:space="0" w:color="000000"/>
              <w:bottom w:val="single" w:sz="2"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color w:val="000000"/>
                <w:sz w:val="24"/>
                <w:szCs w:val="24"/>
              </w:rPr>
              <w:t>4.</w:t>
            </w:r>
          </w:p>
        </w:tc>
        <w:tc>
          <w:tcPr>
            <w:tcW w:w="3351" w:type="dxa"/>
            <w:tcBorders>
              <w:left w:val="single" w:sz="2" w:space="0" w:color="000000"/>
              <w:bottom w:val="single" w:sz="2"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color w:val="000000"/>
                <w:sz w:val="24"/>
                <w:szCs w:val="24"/>
              </w:rPr>
              <w:t>Інші (непромислові: склади, магазини, офіси та інші)</w:t>
            </w:r>
          </w:p>
        </w:tc>
        <w:tc>
          <w:tcPr>
            <w:tcW w:w="1420"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sz w:val="24"/>
                <w:szCs w:val="24"/>
              </w:rPr>
              <w:t>10286,00</w:t>
            </w:r>
          </w:p>
        </w:tc>
        <w:tc>
          <w:tcPr>
            <w:tcW w:w="1369"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sz w:val="24"/>
                <w:szCs w:val="24"/>
              </w:rPr>
              <w:t>1673,33</w:t>
            </w:r>
          </w:p>
        </w:tc>
        <w:tc>
          <w:tcPr>
            <w:tcW w:w="1351"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sz w:val="24"/>
                <w:szCs w:val="24"/>
              </w:rPr>
              <w:t>1964,99</w:t>
            </w:r>
          </w:p>
        </w:tc>
        <w:tc>
          <w:tcPr>
            <w:tcW w:w="1780" w:type="dxa"/>
            <w:tcBorders>
              <w:left w:val="single" w:sz="2" w:space="0" w:color="000000"/>
              <w:bottom w:val="single" w:sz="2" w:space="0" w:color="000000"/>
              <w:right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sz w:val="24"/>
                <w:szCs w:val="24"/>
              </w:rPr>
              <w:t>939,08</w:t>
            </w:r>
          </w:p>
        </w:tc>
      </w:tr>
      <w:tr w:rsidR="00D227E2">
        <w:tc>
          <w:tcPr>
            <w:tcW w:w="488" w:type="dxa"/>
            <w:tcBorders>
              <w:left w:val="single" w:sz="2" w:space="0" w:color="000000"/>
              <w:bottom w:val="single" w:sz="2" w:space="0" w:color="000000"/>
            </w:tcBorders>
          </w:tcPr>
          <w:p w:rsidR="00D227E2" w:rsidRDefault="00D227E2">
            <w:pPr>
              <w:widowControl w:val="0"/>
              <w:spacing w:after="0" w:line="240" w:lineRule="auto"/>
              <w:rPr>
                <w:rFonts w:ascii="Times New Roman" w:hAnsi="Times New Roman" w:cs="Times New Roman"/>
                <w:color w:val="000000"/>
                <w:sz w:val="24"/>
                <w:szCs w:val="24"/>
              </w:rPr>
            </w:pPr>
          </w:p>
        </w:tc>
        <w:tc>
          <w:tcPr>
            <w:tcW w:w="3351" w:type="dxa"/>
            <w:tcBorders>
              <w:left w:val="single" w:sz="2" w:space="0" w:color="000000"/>
              <w:bottom w:val="single" w:sz="2"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color w:val="000000"/>
                <w:sz w:val="24"/>
                <w:szCs w:val="24"/>
              </w:rPr>
              <w:t>Загалом</w:t>
            </w:r>
          </w:p>
        </w:tc>
        <w:tc>
          <w:tcPr>
            <w:tcW w:w="1420"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sz w:val="24"/>
                <w:szCs w:val="24"/>
              </w:rPr>
              <w:t>161517,03</w:t>
            </w:r>
          </w:p>
        </w:tc>
        <w:tc>
          <w:tcPr>
            <w:tcW w:w="1369"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sz w:val="24"/>
                <w:szCs w:val="24"/>
              </w:rPr>
              <w:t>92775,46</w:t>
            </w:r>
          </w:p>
        </w:tc>
        <w:tc>
          <w:tcPr>
            <w:tcW w:w="1351"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sz w:val="24"/>
                <w:szCs w:val="24"/>
              </w:rPr>
              <w:t>94856,09</w:t>
            </w:r>
          </w:p>
        </w:tc>
        <w:tc>
          <w:tcPr>
            <w:tcW w:w="1780" w:type="dxa"/>
            <w:tcBorders>
              <w:left w:val="single" w:sz="2" w:space="0" w:color="000000"/>
              <w:bottom w:val="single" w:sz="2" w:space="0" w:color="000000"/>
              <w:right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sz w:val="24"/>
                <w:szCs w:val="24"/>
              </w:rPr>
              <w:t>86704,09</w:t>
            </w:r>
          </w:p>
        </w:tc>
      </w:tr>
    </w:tbl>
    <w:p w:rsidR="00D227E2" w:rsidRDefault="00934FC4">
      <w:pPr>
        <w:spacing w:after="0"/>
        <w:ind w:firstLine="567"/>
        <w:jc w:val="both"/>
        <w:rPr>
          <w:rFonts w:ascii="Times New Roman" w:hAnsi="Times New Roman" w:cs="Times New Roman"/>
          <w:color w:val="000000"/>
        </w:rPr>
      </w:pPr>
      <w:r>
        <w:rPr>
          <w:rFonts w:ascii="Times New Roman" w:hAnsi="Times New Roman" w:cs="Times New Roman"/>
          <w:noProof/>
          <w:color w:val="000000"/>
          <w:lang w:eastAsia="uk-UA"/>
        </w:rPr>
        <w:drawing>
          <wp:anchor distT="0" distB="0" distL="0" distR="0" simplePos="0" relativeHeight="94" behindDoc="0" locked="0" layoutInCell="0" allowOverlap="1" wp14:anchorId="5C2BF714" wp14:editId="1DB29335">
            <wp:simplePos x="0" y="0"/>
            <wp:positionH relativeFrom="column">
              <wp:posOffset>1052195</wp:posOffset>
            </wp:positionH>
            <wp:positionV relativeFrom="paragraph">
              <wp:posOffset>124460</wp:posOffset>
            </wp:positionV>
            <wp:extent cx="4159250" cy="2339340"/>
            <wp:effectExtent l="0" t="0" r="0" b="0"/>
            <wp:wrapSquare wrapText="largest"/>
            <wp:docPr id="26" name="Об'єкт7" descr="діаграма"/>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anchor>
        </w:drawing>
      </w:r>
    </w:p>
    <w:p w:rsidR="00D227E2" w:rsidRDefault="00D227E2">
      <w:pPr>
        <w:spacing w:after="0"/>
        <w:ind w:firstLine="567"/>
        <w:jc w:val="both"/>
        <w:rPr>
          <w:rFonts w:ascii="Times New Roman" w:hAnsi="Times New Roman" w:cs="Times New Roman"/>
          <w:color w:val="000000"/>
        </w:rPr>
      </w:pPr>
    </w:p>
    <w:p w:rsidR="00D227E2" w:rsidRDefault="00D227E2">
      <w:pPr>
        <w:spacing w:after="0"/>
        <w:ind w:firstLine="567"/>
        <w:jc w:val="both"/>
        <w:rPr>
          <w:rFonts w:ascii="Times New Roman" w:hAnsi="Times New Roman" w:cs="Times New Roman"/>
          <w:color w:val="000000"/>
        </w:rPr>
      </w:pPr>
    </w:p>
    <w:p w:rsidR="00D227E2" w:rsidRDefault="00D227E2">
      <w:pPr>
        <w:spacing w:after="0"/>
        <w:ind w:firstLine="567"/>
        <w:jc w:val="both"/>
        <w:rPr>
          <w:rFonts w:ascii="Times New Roman" w:hAnsi="Times New Roman" w:cs="Times New Roman"/>
          <w:color w:val="000000"/>
        </w:rPr>
      </w:pPr>
    </w:p>
    <w:p w:rsidR="00D227E2" w:rsidRDefault="00D227E2">
      <w:pPr>
        <w:spacing w:after="0"/>
        <w:ind w:firstLine="567"/>
        <w:jc w:val="both"/>
        <w:rPr>
          <w:rFonts w:ascii="Times New Roman" w:hAnsi="Times New Roman" w:cs="Times New Roman"/>
          <w:color w:val="000000"/>
        </w:rPr>
      </w:pPr>
    </w:p>
    <w:p w:rsidR="00D227E2" w:rsidRDefault="00D227E2">
      <w:pPr>
        <w:spacing w:after="0"/>
        <w:ind w:firstLine="567"/>
        <w:jc w:val="both"/>
        <w:rPr>
          <w:rFonts w:ascii="Times New Roman" w:hAnsi="Times New Roman" w:cs="Times New Roman"/>
          <w:color w:val="000000"/>
        </w:rPr>
      </w:pPr>
    </w:p>
    <w:p w:rsidR="00D227E2" w:rsidRDefault="00D227E2">
      <w:pPr>
        <w:spacing w:after="0"/>
        <w:ind w:firstLine="567"/>
        <w:jc w:val="both"/>
        <w:rPr>
          <w:rFonts w:ascii="Times New Roman" w:hAnsi="Times New Roman" w:cs="Times New Roman"/>
          <w:color w:val="000000"/>
        </w:rPr>
      </w:pPr>
    </w:p>
    <w:p w:rsidR="00D227E2" w:rsidRDefault="00D227E2">
      <w:pPr>
        <w:spacing w:after="0"/>
        <w:ind w:firstLine="567"/>
        <w:jc w:val="both"/>
        <w:rPr>
          <w:rFonts w:ascii="Times New Roman" w:hAnsi="Times New Roman" w:cs="Times New Roman"/>
          <w:color w:val="000000"/>
        </w:rPr>
      </w:pPr>
    </w:p>
    <w:p w:rsidR="00D227E2" w:rsidRDefault="00D227E2">
      <w:pPr>
        <w:spacing w:after="0"/>
        <w:ind w:firstLine="567"/>
        <w:jc w:val="both"/>
        <w:rPr>
          <w:rFonts w:ascii="Times New Roman" w:hAnsi="Times New Roman" w:cs="Times New Roman"/>
          <w:color w:val="000000"/>
        </w:rPr>
      </w:pPr>
    </w:p>
    <w:p w:rsidR="00D227E2" w:rsidRDefault="00D227E2">
      <w:pPr>
        <w:spacing w:after="0"/>
        <w:ind w:firstLine="567"/>
        <w:jc w:val="both"/>
        <w:rPr>
          <w:rFonts w:ascii="Times New Roman" w:hAnsi="Times New Roman" w:cs="Times New Roman"/>
          <w:color w:val="000000"/>
        </w:rPr>
      </w:pPr>
    </w:p>
    <w:p w:rsidR="00D227E2" w:rsidRDefault="00D227E2">
      <w:pPr>
        <w:spacing w:after="0"/>
        <w:ind w:firstLine="567"/>
        <w:jc w:val="center"/>
        <w:rPr>
          <w:rFonts w:ascii="Times New Roman" w:eastAsia="NSimSun" w:hAnsi="Times New Roman" w:cs="Times New Roman"/>
          <w:color w:val="000000"/>
          <w:kern w:val="2"/>
          <w:sz w:val="24"/>
          <w:szCs w:val="24"/>
          <w:lang w:eastAsia="zh-CN" w:bidi="hi-IN"/>
        </w:rPr>
      </w:pPr>
    </w:p>
    <w:p w:rsidR="00D227E2" w:rsidRDefault="00D227E2">
      <w:pPr>
        <w:spacing w:after="0"/>
        <w:ind w:firstLine="567"/>
        <w:jc w:val="center"/>
        <w:rPr>
          <w:rFonts w:ascii="Times New Roman" w:hAnsi="Times New Roman" w:cs="Times New Roman"/>
        </w:rPr>
      </w:pPr>
    </w:p>
    <w:p w:rsidR="00D227E2" w:rsidRDefault="00D227E2">
      <w:pPr>
        <w:spacing w:after="0"/>
        <w:ind w:firstLine="567"/>
        <w:jc w:val="center"/>
        <w:rPr>
          <w:rFonts w:ascii="Times New Roman" w:hAnsi="Times New Roman" w:cs="Times New Roman"/>
        </w:rPr>
      </w:pPr>
    </w:p>
    <w:p w:rsidR="00D227E2" w:rsidRDefault="00D227E2">
      <w:pPr>
        <w:spacing w:after="0"/>
        <w:ind w:firstLine="567"/>
        <w:jc w:val="center"/>
        <w:rPr>
          <w:rFonts w:ascii="Times New Roman" w:eastAsia="NSimSun" w:hAnsi="Times New Roman" w:cs="Times New Roman"/>
          <w:color w:val="000000"/>
          <w:kern w:val="2"/>
          <w:sz w:val="24"/>
          <w:szCs w:val="24"/>
          <w:lang w:eastAsia="zh-CN" w:bidi="hi-IN"/>
        </w:rPr>
      </w:pPr>
    </w:p>
    <w:p w:rsidR="00D227E2" w:rsidRDefault="00934FC4">
      <w:pPr>
        <w:spacing w:after="0"/>
        <w:ind w:firstLine="567"/>
        <w:jc w:val="center"/>
        <w:rPr>
          <w:rFonts w:ascii="Times New Roman" w:hAnsi="Times New Roman" w:cs="Times New Roman"/>
        </w:rPr>
      </w:pPr>
      <w:r>
        <w:rPr>
          <w:rFonts w:ascii="Times New Roman" w:eastAsia="NSimSun" w:hAnsi="Times New Roman" w:cs="Times New Roman"/>
          <w:color w:val="000000"/>
          <w:kern w:val="2"/>
          <w:sz w:val="24"/>
          <w:szCs w:val="24"/>
          <w:lang w:eastAsia="zh-CN" w:bidi="hi-IN"/>
        </w:rPr>
        <w:t>Рисунок 14. Споживання природного газу споживачами (тис.м</w:t>
      </w:r>
      <w:r>
        <w:rPr>
          <w:rFonts w:ascii="Times New Roman" w:eastAsia="NSimSun" w:hAnsi="Times New Roman" w:cs="Times New Roman"/>
          <w:color w:val="000000"/>
          <w:kern w:val="2"/>
          <w:sz w:val="24"/>
          <w:szCs w:val="24"/>
          <w:vertAlign w:val="superscript"/>
          <w:lang w:eastAsia="zh-CN" w:bidi="hi-IN"/>
        </w:rPr>
        <w:t>3</w:t>
      </w:r>
      <w:r>
        <w:rPr>
          <w:rFonts w:ascii="Times New Roman" w:eastAsia="NSimSun" w:hAnsi="Times New Roman" w:cs="Times New Roman"/>
          <w:color w:val="000000"/>
          <w:kern w:val="2"/>
          <w:sz w:val="24"/>
          <w:szCs w:val="24"/>
          <w:lang w:eastAsia="zh-CN" w:bidi="hi-IN"/>
        </w:rPr>
        <w:t xml:space="preserve">)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Приватний сектор для комунально-побутових потреб використовує в основному природний газ. Газопостачання приватного сектору міста забезпечується безперебійно. Участь міста в процесі забезпечення паливом приватного сектору мінімальна.</w:t>
      </w:r>
    </w:p>
    <w:p w:rsidR="00D227E2" w:rsidRDefault="00934FC4">
      <w:pPr>
        <w:spacing w:after="0" w:line="240" w:lineRule="auto"/>
        <w:ind w:firstLine="567"/>
        <w:jc w:val="both"/>
        <w:rPr>
          <w:rFonts w:ascii="Times New Roman" w:hAnsi="Times New Roman" w:cs="Times New Roman"/>
        </w:rPr>
      </w:pPr>
      <w:r>
        <w:rPr>
          <w:rFonts w:ascii="Times New Roman" w:eastAsia="Times New Roman" w:hAnsi="Times New Roman" w:cs="Times New Roman"/>
          <w:color w:val="000000"/>
          <w:kern w:val="2"/>
          <w:sz w:val="24"/>
          <w:szCs w:val="24"/>
          <w:lang w:eastAsia="de-DE" w:bidi="hi-IN"/>
        </w:rPr>
        <w:t>В місті не спостерігається дефіциту пропускної здатності газових мереж, на даний час йде їх розбудова. В першу чергу це пов’язано з будівництвом нових житлових будинків. Але тенденції щодо вартості природного газу, а також зобов’язання щодо зменшення використання викопного палива, вказують на необхідність мінімізувати споживання зазначеного ресурсу.</w:t>
      </w:r>
    </w:p>
    <w:p w:rsidR="00D227E2" w:rsidRDefault="00934FC4">
      <w:pPr>
        <w:spacing w:after="0" w:line="240" w:lineRule="auto"/>
        <w:ind w:firstLine="567"/>
        <w:jc w:val="both"/>
        <w:rPr>
          <w:rFonts w:ascii="Times New Roman" w:hAnsi="Times New Roman" w:cs="Times New Roman"/>
        </w:rPr>
      </w:pPr>
      <w:bookmarkStart w:id="5" w:name="_Toc94786688"/>
      <w:r>
        <w:rPr>
          <w:rFonts w:ascii="Times New Roman" w:eastAsia="NSimSun" w:hAnsi="Times New Roman" w:cs="Times New Roman"/>
          <w:color w:val="000000"/>
          <w:kern w:val="2"/>
          <w:sz w:val="24"/>
          <w:szCs w:val="24"/>
          <w:lang w:eastAsia="zh-CN" w:bidi="hi-IN"/>
        </w:rPr>
        <w:t>Основні дані існуючої системи газопостачання м. Луцька</w:t>
      </w:r>
      <w:bookmarkEnd w:id="5"/>
      <w:r>
        <w:rPr>
          <w:rFonts w:ascii="Times New Roman" w:eastAsia="NSimSun" w:hAnsi="Times New Roman" w:cs="Times New Roman"/>
          <w:color w:val="000000"/>
          <w:kern w:val="2"/>
          <w:sz w:val="24"/>
          <w:szCs w:val="24"/>
          <w:lang w:eastAsia="zh-CN" w:bidi="hi-IN"/>
        </w:rPr>
        <w:t>:</w:t>
      </w:r>
    </w:p>
    <w:p w:rsidR="00D227E2" w:rsidRDefault="00934FC4">
      <w:pPr>
        <w:pStyle w:val="28"/>
        <w:numPr>
          <w:ilvl w:val="0"/>
          <w:numId w:val="42"/>
        </w:numPr>
        <w:tabs>
          <w:tab w:val="left" w:pos="993"/>
        </w:tabs>
        <w:ind w:left="0" w:firstLine="567"/>
        <w:jc w:val="both"/>
      </w:pPr>
      <w:r>
        <w:rPr>
          <w:rFonts w:eastAsia="NSimSun"/>
          <w:color w:val="000000"/>
          <w:kern w:val="2"/>
          <w:lang w:bidi="hi-IN"/>
        </w:rPr>
        <w:t>Луцьк (тиск високий, діаметр Ду325, система двоступенева, кількість ГРП/ШРП 307, протяжність 395,602 км);</w:t>
      </w:r>
    </w:p>
    <w:p w:rsidR="00D227E2" w:rsidRDefault="00934FC4">
      <w:pPr>
        <w:pStyle w:val="28"/>
        <w:numPr>
          <w:ilvl w:val="0"/>
          <w:numId w:val="42"/>
        </w:numPr>
        <w:tabs>
          <w:tab w:val="left" w:pos="993"/>
        </w:tabs>
        <w:ind w:left="0" w:firstLine="567"/>
        <w:jc w:val="both"/>
      </w:pPr>
      <w:r>
        <w:rPr>
          <w:rFonts w:eastAsia="NSimSun"/>
          <w:color w:val="000000"/>
          <w:kern w:val="2"/>
          <w:lang w:bidi="hi-IN"/>
        </w:rPr>
        <w:t>Рокині (тиск високий, діаметр Ду325, система двоступенева, кількість ГРП/ШРП 1, протяжність 2,168 км);</w:t>
      </w:r>
    </w:p>
    <w:p w:rsidR="00D227E2" w:rsidRDefault="00934FC4">
      <w:pPr>
        <w:pStyle w:val="28"/>
        <w:numPr>
          <w:ilvl w:val="0"/>
          <w:numId w:val="42"/>
        </w:numPr>
        <w:tabs>
          <w:tab w:val="left" w:pos="993"/>
        </w:tabs>
        <w:ind w:left="0" w:firstLine="567"/>
        <w:jc w:val="both"/>
      </w:pPr>
      <w:r>
        <w:rPr>
          <w:rFonts w:eastAsia="NSimSun"/>
          <w:color w:val="000000"/>
          <w:kern w:val="2"/>
          <w:lang w:bidi="hi-IN"/>
        </w:rPr>
        <w:t>Прилуцьк (тиск високий, діаметр Ду530, система двоступенева, кількість ГРП/ШРП 6, протяжність 1,94 км).</w:t>
      </w:r>
    </w:p>
    <w:p w:rsidR="00D227E2" w:rsidRDefault="00D227E2">
      <w:pPr>
        <w:spacing w:after="100" w:line="240" w:lineRule="auto"/>
        <w:jc w:val="both"/>
        <w:rPr>
          <w:rFonts w:ascii="Times New Roman" w:eastAsia="NSimSun" w:hAnsi="Times New Roman" w:cs="Times New Roman"/>
          <w:color w:val="000000"/>
          <w:kern w:val="2"/>
          <w:sz w:val="24"/>
          <w:szCs w:val="24"/>
          <w:lang w:eastAsia="zh-CN" w:bidi="hi-IN"/>
        </w:rPr>
      </w:pPr>
    </w:p>
    <w:p w:rsidR="00D227E2" w:rsidRDefault="00934FC4">
      <w:pPr>
        <w:spacing w:after="0" w:line="240" w:lineRule="auto"/>
        <w:ind w:firstLine="567"/>
        <w:jc w:val="both"/>
        <w:rPr>
          <w:rFonts w:ascii="Times New Roman" w:hAnsi="Times New Roman" w:cs="Times New Roman"/>
        </w:rPr>
      </w:pPr>
      <w:r>
        <w:rPr>
          <w:rFonts w:ascii="Times New Roman" w:eastAsia="NSimSun" w:hAnsi="Times New Roman" w:cs="Times New Roman"/>
          <w:b/>
          <w:bCs/>
          <w:color w:val="000000"/>
          <w:kern w:val="2"/>
          <w:sz w:val="24"/>
          <w:szCs w:val="24"/>
          <w:lang w:eastAsia="zh-CN" w:bidi="hi-IN"/>
        </w:rPr>
        <w:t>3.1.2. Електропостачання</w:t>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color w:val="000000"/>
          <w:kern w:val="2"/>
          <w:sz w:val="24"/>
          <w:szCs w:val="24"/>
          <w:lang w:eastAsia="de-DE" w:bidi="hi-IN"/>
        </w:rPr>
        <w:t xml:space="preserve">На території міста розташовані: </w:t>
      </w:r>
    </w:p>
    <w:p w:rsidR="00D227E2" w:rsidRDefault="00934FC4">
      <w:pPr>
        <w:numPr>
          <w:ilvl w:val="0"/>
          <w:numId w:val="38"/>
        </w:numPr>
        <w:spacing w:after="0"/>
        <w:jc w:val="both"/>
        <w:rPr>
          <w:rFonts w:ascii="Times New Roman" w:hAnsi="Times New Roman" w:cs="Times New Roman"/>
        </w:rPr>
      </w:pPr>
      <w:r>
        <w:rPr>
          <w:rFonts w:ascii="Times New Roman" w:eastAsia="Times New Roman" w:hAnsi="Times New Roman" w:cs="Times New Roman"/>
          <w:color w:val="000000"/>
          <w:kern w:val="2"/>
          <w:sz w:val="24"/>
          <w:szCs w:val="24"/>
          <w:lang w:eastAsia="de-DE" w:bidi="hi-IN"/>
        </w:rPr>
        <w:t>база ПрАТ «Волиньобленерго»;</w:t>
      </w:r>
    </w:p>
    <w:p w:rsidR="00D227E2" w:rsidRDefault="00934FC4">
      <w:pPr>
        <w:numPr>
          <w:ilvl w:val="0"/>
          <w:numId w:val="38"/>
        </w:numPr>
        <w:spacing w:after="0"/>
        <w:jc w:val="both"/>
        <w:rPr>
          <w:rFonts w:ascii="Times New Roman" w:hAnsi="Times New Roman" w:cs="Times New Roman"/>
        </w:rPr>
      </w:pPr>
      <w:r>
        <w:rPr>
          <w:rFonts w:ascii="Times New Roman" w:eastAsia="Times New Roman" w:hAnsi="Times New Roman" w:cs="Times New Roman"/>
          <w:color w:val="000000"/>
          <w:kern w:val="2"/>
          <w:sz w:val="24"/>
          <w:szCs w:val="24"/>
          <w:lang w:eastAsia="de-DE" w:bidi="hi-IN"/>
        </w:rPr>
        <w:t>база Луцької міської філії;</w:t>
      </w:r>
    </w:p>
    <w:p w:rsidR="00D227E2" w:rsidRDefault="00934FC4">
      <w:pPr>
        <w:numPr>
          <w:ilvl w:val="0"/>
          <w:numId w:val="38"/>
        </w:numPr>
        <w:spacing w:after="0"/>
        <w:jc w:val="both"/>
        <w:rPr>
          <w:rFonts w:ascii="Times New Roman" w:hAnsi="Times New Roman" w:cs="Times New Roman"/>
        </w:rPr>
      </w:pPr>
      <w:r>
        <w:rPr>
          <w:rFonts w:ascii="Times New Roman" w:eastAsia="Times New Roman" w:hAnsi="Times New Roman" w:cs="Times New Roman"/>
          <w:color w:val="000000"/>
          <w:kern w:val="2"/>
          <w:sz w:val="24"/>
          <w:szCs w:val="24"/>
          <w:lang w:eastAsia="de-DE" w:bidi="hi-IN"/>
        </w:rPr>
        <w:t xml:space="preserve">база Луцької районної філії. </w:t>
      </w:r>
    </w:p>
    <w:p w:rsidR="00D227E2" w:rsidRDefault="00934FC4">
      <w:pPr>
        <w:spacing w:after="0" w:line="240" w:lineRule="auto"/>
        <w:ind w:firstLine="567"/>
        <w:jc w:val="both"/>
        <w:rPr>
          <w:rFonts w:ascii="Times New Roman" w:hAnsi="Times New Roman" w:cs="Times New Roman"/>
        </w:rPr>
      </w:pPr>
      <w:r>
        <w:rPr>
          <w:rFonts w:ascii="Times New Roman" w:eastAsia="Times New Roman" w:hAnsi="Times New Roman" w:cs="Times New Roman"/>
          <w:color w:val="000000"/>
          <w:kern w:val="2"/>
          <w:sz w:val="24"/>
          <w:szCs w:val="24"/>
          <w:lang w:eastAsia="de-DE" w:bidi="hi-IN"/>
        </w:rPr>
        <w:t>На цей час електропостачання міста здійснюється:</w:t>
      </w:r>
    </w:p>
    <w:p w:rsidR="00D227E2" w:rsidRDefault="00934FC4">
      <w:pPr>
        <w:numPr>
          <w:ilvl w:val="0"/>
          <w:numId w:val="39"/>
        </w:numPr>
        <w:spacing w:after="0" w:line="240" w:lineRule="auto"/>
        <w:jc w:val="both"/>
        <w:rPr>
          <w:rFonts w:ascii="Times New Roman" w:hAnsi="Times New Roman" w:cs="Times New Roman"/>
        </w:rPr>
      </w:pPr>
      <w:r>
        <w:rPr>
          <w:rFonts w:ascii="Times New Roman" w:eastAsia="Times New Roman" w:hAnsi="Times New Roman" w:cs="Times New Roman"/>
          <w:color w:val="000000"/>
          <w:kern w:val="2"/>
          <w:sz w:val="24"/>
          <w:szCs w:val="24"/>
          <w:lang w:eastAsia="de-DE" w:bidi="hi-IN"/>
        </w:rPr>
        <w:t>від ПС «Луцьк-Північна-330»;</w:t>
      </w:r>
    </w:p>
    <w:p w:rsidR="00D227E2" w:rsidRDefault="00934FC4">
      <w:pPr>
        <w:numPr>
          <w:ilvl w:val="0"/>
          <w:numId w:val="39"/>
        </w:numPr>
        <w:spacing w:after="0" w:line="240" w:lineRule="auto"/>
        <w:jc w:val="both"/>
        <w:rPr>
          <w:rFonts w:ascii="Times New Roman" w:hAnsi="Times New Roman" w:cs="Times New Roman"/>
        </w:rPr>
      </w:pPr>
      <w:r>
        <w:rPr>
          <w:rFonts w:ascii="Times New Roman" w:eastAsia="Times New Roman" w:hAnsi="Times New Roman" w:cs="Times New Roman"/>
          <w:color w:val="000000"/>
          <w:kern w:val="2"/>
          <w:sz w:val="24"/>
          <w:szCs w:val="24"/>
          <w:lang w:eastAsia="de-DE" w:bidi="hi-IN"/>
        </w:rPr>
        <w:t xml:space="preserve">від ПС «Луцьк-Південна-220». </w:t>
      </w:r>
    </w:p>
    <w:p w:rsidR="00D227E2" w:rsidRDefault="00934FC4">
      <w:pPr>
        <w:spacing w:after="0" w:line="240" w:lineRule="auto"/>
        <w:ind w:firstLine="567"/>
        <w:jc w:val="both"/>
        <w:rPr>
          <w:rFonts w:ascii="Times New Roman" w:hAnsi="Times New Roman" w:cs="Times New Roman"/>
        </w:rPr>
      </w:pPr>
      <w:r>
        <w:rPr>
          <w:rFonts w:ascii="Times New Roman" w:eastAsia="Times New Roman" w:hAnsi="Times New Roman" w:cs="Times New Roman"/>
          <w:color w:val="000000"/>
          <w:kern w:val="2"/>
          <w:sz w:val="24"/>
          <w:szCs w:val="24"/>
          <w:lang w:eastAsia="de-DE" w:bidi="hi-IN"/>
        </w:rPr>
        <w:lastRenderedPageBreak/>
        <w:t xml:space="preserve">Живлення ПС 330/220/110/10 кВ «Луцьк-Північна» здійснюється по ПЛ-330 кВ від Рівненської АЕС. Живлення ПС 220/110/35 кВ «Луцьк-Південна» здійснюється по повітряних лініях 220 кВ від Добротвірської ТЕС, ПС «Луцьк-Північна-330» та ПС «Ковель-330» ПС «Луцьк-Південна-330» лініями 220 кВ з’єднана з ПС «Грабів-330». </w:t>
      </w:r>
    </w:p>
    <w:p w:rsidR="00D227E2" w:rsidRDefault="00934FC4">
      <w:pPr>
        <w:tabs>
          <w:tab w:val="left" w:pos="0"/>
        </w:tabs>
        <w:spacing w:after="0" w:line="240" w:lineRule="auto"/>
        <w:ind w:firstLine="567"/>
        <w:jc w:val="both"/>
        <w:rPr>
          <w:rFonts w:ascii="Times New Roman" w:hAnsi="Times New Roman" w:cs="Times New Roman"/>
        </w:rPr>
      </w:pPr>
      <w:r>
        <w:rPr>
          <w:rFonts w:ascii="Times New Roman" w:eastAsia="Times New Roman" w:hAnsi="Times New Roman" w:cs="Times New Roman"/>
          <w:color w:val="000000"/>
          <w:kern w:val="2"/>
          <w:sz w:val="24"/>
          <w:szCs w:val="24"/>
          <w:lang w:eastAsia="de-DE" w:bidi="hi-IN"/>
        </w:rPr>
        <w:t xml:space="preserve">Значний дефіцит електричної енергії у зв’язку із зменшення частки великих  промислових споживачів не відбувався. Але, після початку широкомасштабної війни в Україні, що призвела до пошкодження значної частини енергосистеми (за офіційними даними, в Україні знищено та пошкоджено близько 44 % мереж, окрім того, втрачено близько 44 % атомної генерації, близько 78 % – теплової, близько 75 % – повітряної та близько 25 % – сонячної), у громаді в осінньо-зимовий період 2022-2023 років відчувалися тимчасові перебої із постачанням електроенергії. </w:t>
      </w:r>
    </w:p>
    <w:p w:rsidR="00D227E2" w:rsidRDefault="00934FC4">
      <w:pPr>
        <w:tabs>
          <w:tab w:val="left" w:pos="0"/>
        </w:tabs>
        <w:spacing w:after="0" w:line="240" w:lineRule="auto"/>
        <w:ind w:firstLine="567"/>
        <w:jc w:val="both"/>
        <w:rPr>
          <w:rFonts w:ascii="Times New Roman" w:hAnsi="Times New Roman" w:cs="Times New Roman"/>
        </w:rPr>
      </w:pPr>
      <w:r>
        <w:rPr>
          <w:rFonts w:ascii="Times New Roman" w:eastAsia="Times New Roman" w:hAnsi="Times New Roman" w:cs="Times New Roman"/>
          <w:color w:val="000000"/>
          <w:kern w:val="2"/>
          <w:sz w:val="24"/>
          <w:szCs w:val="24"/>
          <w:lang w:eastAsia="de-DE" w:bidi="hi-IN"/>
        </w:rPr>
        <w:t>Разом з тим, зважаючи на постійне зростання споживання електроенергії в побуті і поступове відновлення промислового потенціалу регіону, нарощування споживання електроенергії може призвести до її дефіциту та мати досить негативний вплив на екологічні показники громади. В той же час це є стимулом для електрогенерації з відновлювальних джерел енергії, особливо для роботи на балансуючому енергетичному ринку.</w:t>
      </w:r>
    </w:p>
    <w:p w:rsidR="00D227E2" w:rsidRDefault="00934FC4">
      <w:pPr>
        <w:spacing w:after="0"/>
        <w:jc w:val="center"/>
        <w:rPr>
          <w:rFonts w:ascii="Times New Roman" w:hAnsi="Times New Roman" w:cs="Times New Roman"/>
        </w:rPr>
      </w:pPr>
      <w:r>
        <w:rPr>
          <w:rFonts w:ascii="Times New Roman" w:eastAsia="NSimSun" w:hAnsi="Times New Roman" w:cs="Times New Roman"/>
          <w:color w:val="000000"/>
          <w:kern w:val="2"/>
          <w:sz w:val="24"/>
          <w:szCs w:val="24"/>
          <w:lang w:eastAsia="zh-CN" w:bidi="hi-IN"/>
        </w:rPr>
        <w:t>Таблиця 17. Загальна характеристика розподільчих потужностей мережі електропостачання станом на 2021 та 2022 роки</w:t>
      </w:r>
    </w:p>
    <w:tbl>
      <w:tblPr>
        <w:tblW w:w="9362" w:type="dxa"/>
        <w:tblInd w:w="23" w:type="dxa"/>
        <w:tblLayout w:type="fixed"/>
        <w:tblCellMar>
          <w:left w:w="7" w:type="dxa"/>
          <w:right w:w="7" w:type="dxa"/>
        </w:tblCellMar>
        <w:tblLook w:val="0000" w:firstRow="0" w:lastRow="0" w:firstColumn="0" w:lastColumn="0" w:noHBand="0" w:noVBand="0"/>
      </w:tblPr>
      <w:tblGrid>
        <w:gridCol w:w="640"/>
        <w:gridCol w:w="5880"/>
        <w:gridCol w:w="1360"/>
        <w:gridCol w:w="1482"/>
      </w:tblGrid>
      <w:tr w:rsidR="00D227E2">
        <w:trPr>
          <w:trHeight w:val="285"/>
        </w:trPr>
        <w:tc>
          <w:tcPr>
            <w:tcW w:w="640" w:type="dxa"/>
            <w:tcBorders>
              <w:top w:val="single" w:sz="6" w:space="0" w:color="131313"/>
              <w:left w:val="single" w:sz="6" w:space="0" w:color="131313"/>
              <w:bottom w:val="single" w:sz="6" w:space="0" w:color="131313"/>
              <w:right w:val="single" w:sz="6" w:space="0" w:color="131313"/>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4"/>
                <w:szCs w:val="24"/>
              </w:rPr>
              <w:t>№</w:t>
            </w:r>
          </w:p>
        </w:tc>
        <w:tc>
          <w:tcPr>
            <w:tcW w:w="5879" w:type="dxa"/>
            <w:tcBorders>
              <w:top w:val="single" w:sz="6" w:space="0" w:color="131313"/>
              <w:left w:val="single" w:sz="6" w:space="0" w:color="131313"/>
              <w:bottom w:val="single" w:sz="6" w:space="0" w:color="131313"/>
              <w:right w:val="single" w:sz="6" w:space="0" w:color="131313"/>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4"/>
                <w:szCs w:val="24"/>
              </w:rPr>
              <w:t>Назва параметру</w:t>
            </w:r>
          </w:p>
        </w:tc>
        <w:tc>
          <w:tcPr>
            <w:tcW w:w="1360" w:type="dxa"/>
            <w:tcBorders>
              <w:top w:val="single" w:sz="6" w:space="0" w:color="131313"/>
              <w:left w:val="single" w:sz="6" w:space="0" w:color="131313"/>
              <w:bottom w:val="single" w:sz="6" w:space="0" w:color="131313"/>
              <w:right w:val="single" w:sz="6" w:space="0" w:color="131313"/>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4"/>
                <w:szCs w:val="24"/>
              </w:rPr>
              <w:t>2021</w:t>
            </w:r>
          </w:p>
        </w:tc>
        <w:tc>
          <w:tcPr>
            <w:tcW w:w="1482" w:type="dxa"/>
            <w:tcBorders>
              <w:top w:val="single" w:sz="6" w:space="0" w:color="131313"/>
              <w:left w:val="single" w:sz="6" w:space="0" w:color="131313"/>
              <w:bottom w:val="single" w:sz="6" w:space="0" w:color="131313"/>
              <w:right w:val="single" w:sz="6" w:space="0" w:color="131313"/>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4"/>
                <w:szCs w:val="24"/>
              </w:rPr>
              <w:t>2022</w:t>
            </w:r>
          </w:p>
        </w:tc>
      </w:tr>
      <w:tr w:rsidR="00D227E2">
        <w:trPr>
          <w:trHeight w:val="235"/>
        </w:trPr>
        <w:tc>
          <w:tcPr>
            <w:tcW w:w="640" w:type="dxa"/>
            <w:tcBorders>
              <w:top w:val="single" w:sz="6" w:space="0" w:color="131313"/>
              <w:left w:val="single" w:sz="6" w:space="0" w:color="131313"/>
              <w:bottom w:val="single" w:sz="6" w:space="0" w:color="131313"/>
              <w:right w:val="single" w:sz="6" w:space="0" w:color="131313"/>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4"/>
                <w:szCs w:val="24"/>
              </w:rPr>
              <w:t>1</w:t>
            </w:r>
          </w:p>
        </w:tc>
        <w:tc>
          <w:tcPr>
            <w:tcW w:w="5879" w:type="dxa"/>
            <w:tcBorders>
              <w:top w:val="single" w:sz="6" w:space="0" w:color="131313"/>
              <w:left w:val="single" w:sz="6" w:space="0" w:color="131313"/>
              <w:bottom w:val="single" w:sz="6" w:space="0" w:color="131313"/>
              <w:right w:val="single" w:sz="6" w:space="0" w:color="131313"/>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color w:val="000000"/>
                <w:kern w:val="2"/>
                <w:sz w:val="24"/>
                <w:szCs w:val="24"/>
              </w:rPr>
              <w:t>Кількість трансформаторних підстанцій 110кВ</w:t>
            </w:r>
          </w:p>
        </w:tc>
        <w:tc>
          <w:tcPr>
            <w:tcW w:w="1360" w:type="dxa"/>
            <w:tcBorders>
              <w:top w:val="single" w:sz="6" w:space="0" w:color="131313"/>
              <w:left w:val="single" w:sz="6" w:space="0" w:color="131313"/>
              <w:bottom w:val="single" w:sz="6" w:space="0" w:color="131313"/>
              <w:right w:val="single" w:sz="6" w:space="0" w:color="131313"/>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4"/>
                <w:szCs w:val="24"/>
              </w:rPr>
              <w:t>6</w:t>
            </w:r>
          </w:p>
        </w:tc>
        <w:tc>
          <w:tcPr>
            <w:tcW w:w="1482" w:type="dxa"/>
            <w:tcBorders>
              <w:top w:val="single" w:sz="6" w:space="0" w:color="131313"/>
              <w:left w:val="single" w:sz="6" w:space="0" w:color="131313"/>
              <w:bottom w:val="single" w:sz="6" w:space="0" w:color="131313"/>
              <w:right w:val="single" w:sz="6" w:space="0" w:color="131313"/>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4"/>
                <w:szCs w:val="24"/>
              </w:rPr>
              <w:t>6</w:t>
            </w:r>
          </w:p>
        </w:tc>
      </w:tr>
      <w:tr w:rsidR="00D227E2">
        <w:trPr>
          <w:trHeight w:val="288"/>
        </w:trPr>
        <w:tc>
          <w:tcPr>
            <w:tcW w:w="640" w:type="dxa"/>
            <w:tcBorders>
              <w:top w:val="single" w:sz="6" w:space="0" w:color="131313"/>
              <w:left w:val="single" w:sz="6" w:space="0" w:color="131313"/>
              <w:bottom w:val="single" w:sz="6" w:space="0" w:color="131313"/>
              <w:right w:val="single" w:sz="6" w:space="0" w:color="131313"/>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4"/>
                <w:szCs w:val="24"/>
              </w:rPr>
              <w:t>2</w:t>
            </w:r>
          </w:p>
        </w:tc>
        <w:tc>
          <w:tcPr>
            <w:tcW w:w="5879" w:type="dxa"/>
            <w:tcBorders>
              <w:left w:val="single" w:sz="6" w:space="0" w:color="131313"/>
              <w:bottom w:val="single" w:sz="6" w:space="0" w:color="131313"/>
              <w:right w:val="single" w:sz="6" w:space="0" w:color="131313"/>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color w:val="000000"/>
                <w:kern w:val="2"/>
                <w:sz w:val="24"/>
                <w:szCs w:val="24"/>
              </w:rPr>
              <w:t>Кількість розподільних пунктів 6-10кB</w:t>
            </w:r>
          </w:p>
        </w:tc>
        <w:tc>
          <w:tcPr>
            <w:tcW w:w="1360" w:type="dxa"/>
            <w:tcBorders>
              <w:top w:val="single" w:sz="6" w:space="0" w:color="000000"/>
              <w:left w:val="single" w:sz="6" w:space="0" w:color="131313"/>
              <w:bottom w:val="single" w:sz="6" w:space="0" w:color="131313"/>
              <w:right w:val="single" w:sz="6" w:space="0" w:color="131313"/>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4"/>
                <w:szCs w:val="24"/>
              </w:rPr>
              <w:t>23</w:t>
            </w:r>
          </w:p>
        </w:tc>
        <w:tc>
          <w:tcPr>
            <w:tcW w:w="1482" w:type="dxa"/>
            <w:tcBorders>
              <w:top w:val="single" w:sz="6" w:space="0" w:color="131313"/>
              <w:left w:val="single" w:sz="6" w:space="0" w:color="131313"/>
              <w:bottom w:val="single" w:sz="6" w:space="0" w:color="131313"/>
              <w:right w:val="single" w:sz="6" w:space="0" w:color="131313"/>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4"/>
                <w:szCs w:val="24"/>
              </w:rPr>
              <w:t>23</w:t>
            </w:r>
          </w:p>
        </w:tc>
      </w:tr>
      <w:tr w:rsidR="00D227E2">
        <w:trPr>
          <w:trHeight w:val="296"/>
        </w:trPr>
        <w:tc>
          <w:tcPr>
            <w:tcW w:w="640" w:type="dxa"/>
            <w:tcBorders>
              <w:top w:val="single" w:sz="6" w:space="0" w:color="131313"/>
              <w:left w:val="single" w:sz="6" w:space="0" w:color="131313"/>
              <w:bottom w:val="single" w:sz="6" w:space="0" w:color="131313"/>
              <w:right w:val="single" w:sz="6" w:space="0" w:color="131313"/>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4"/>
                <w:szCs w:val="24"/>
              </w:rPr>
              <w:t>3</w:t>
            </w:r>
          </w:p>
        </w:tc>
        <w:tc>
          <w:tcPr>
            <w:tcW w:w="5879" w:type="dxa"/>
            <w:tcBorders>
              <w:left w:val="single" w:sz="6" w:space="0" w:color="131313"/>
              <w:bottom w:val="single" w:sz="6" w:space="0" w:color="131313"/>
              <w:right w:val="single" w:sz="6" w:space="0" w:color="131313"/>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color w:val="000000"/>
                <w:kern w:val="2"/>
                <w:sz w:val="24"/>
                <w:szCs w:val="24"/>
              </w:rPr>
              <w:t>Кількість трансформаторних підстанцій 6-10кВ</w:t>
            </w:r>
          </w:p>
        </w:tc>
        <w:tc>
          <w:tcPr>
            <w:tcW w:w="1360" w:type="dxa"/>
            <w:tcBorders>
              <w:top w:val="single" w:sz="6" w:space="0" w:color="1F1F1F"/>
              <w:left w:val="single" w:sz="6" w:space="0" w:color="131313"/>
              <w:bottom w:val="single" w:sz="6" w:space="0" w:color="131313"/>
              <w:right w:val="single" w:sz="6" w:space="0" w:color="131313"/>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4"/>
                <w:szCs w:val="24"/>
              </w:rPr>
              <w:t>625</w:t>
            </w:r>
          </w:p>
        </w:tc>
        <w:tc>
          <w:tcPr>
            <w:tcW w:w="1482" w:type="dxa"/>
            <w:tcBorders>
              <w:top w:val="single" w:sz="6" w:space="0" w:color="131313"/>
              <w:left w:val="single" w:sz="6" w:space="0" w:color="131313"/>
              <w:bottom w:val="single" w:sz="6" w:space="0" w:color="131313"/>
              <w:right w:val="single" w:sz="6" w:space="0" w:color="131313"/>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4"/>
                <w:szCs w:val="24"/>
              </w:rPr>
              <w:t>631</w:t>
            </w:r>
          </w:p>
        </w:tc>
      </w:tr>
      <w:tr w:rsidR="00D227E2">
        <w:trPr>
          <w:trHeight w:val="244"/>
        </w:trPr>
        <w:tc>
          <w:tcPr>
            <w:tcW w:w="640" w:type="dxa"/>
            <w:tcBorders>
              <w:top w:val="single" w:sz="6" w:space="0" w:color="131313"/>
              <w:left w:val="single" w:sz="6" w:space="0" w:color="131313"/>
              <w:bottom w:val="single" w:sz="6" w:space="0" w:color="131313"/>
              <w:right w:val="single" w:sz="6" w:space="0" w:color="131313"/>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4"/>
                <w:szCs w:val="24"/>
              </w:rPr>
              <w:t>4</w:t>
            </w:r>
          </w:p>
        </w:tc>
        <w:tc>
          <w:tcPr>
            <w:tcW w:w="5879" w:type="dxa"/>
            <w:tcBorders>
              <w:left w:val="single" w:sz="6" w:space="0" w:color="131313"/>
              <w:bottom w:val="single" w:sz="6" w:space="0" w:color="131313"/>
              <w:right w:val="single" w:sz="6" w:space="0" w:color="131313"/>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color w:val="000000"/>
                <w:kern w:val="2"/>
                <w:sz w:val="24"/>
                <w:szCs w:val="24"/>
              </w:rPr>
              <w:t>Протяжність ліній електропередач 10кВ, км</w:t>
            </w:r>
          </w:p>
        </w:tc>
        <w:tc>
          <w:tcPr>
            <w:tcW w:w="1360" w:type="dxa"/>
            <w:tcBorders>
              <w:top w:val="single" w:sz="6" w:space="0" w:color="131313"/>
              <w:left w:val="single" w:sz="6" w:space="0" w:color="131313"/>
              <w:bottom w:val="single" w:sz="6" w:space="0" w:color="131313"/>
              <w:right w:val="single" w:sz="6" w:space="0" w:color="131313"/>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4"/>
                <w:szCs w:val="24"/>
              </w:rPr>
              <w:t>841</w:t>
            </w:r>
          </w:p>
        </w:tc>
        <w:tc>
          <w:tcPr>
            <w:tcW w:w="1482" w:type="dxa"/>
            <w:tcBorders>
              <w:top w:val="single" w:sz="6" w:space="0" w:color="131313"/>
              <w:left w:val="single" w:sz="6" w:space="0" w:color="131313"/>
              <w:bottom w:val="single" w:sz="6" w:space="0" w:color="131313"/>
              <w:right w:val="single" w:sz="6" w:space="0" w:color="131313"/>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4"/>
                <w:szCs w:val="24"/>
              </w:rPr>
              <w:t>844</w:t>
            </w:r>
          </w:p>
        </w:tc>
      </w:tr>
    </w:tbl>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У таблицях 18, 18.1 та на рисунку 15 для порівняння наведені обсяги постачання електричної енергії споживачам згідно наявної офіційної інформації.</w:t>
      </w:r>
    </w:p>
    <w:p w:rsidR="00D227E2" w:rsidRDefault="00934FC4">
      <w:pPr>
        <w:spacing w:after="0" w:line="240" w:lineRule="auto"/>
        <w:jc w:val="center"/>
        <w:outlineLvl w:val="3"/>
        <w:rPr>
          <w:rFonts w:ascii="Times New Roman" w:hAnsi="Times New Roman" w:cs="Times New Roman"/>
        </w:rPr>
      </w:pPr>
      <w:r>
        <w:rPr>
          <w:rFonts w:ascii="Times New Roman" w:eastAsia="Arial" w:hAnsi="Times New Roman" w:cs="Times New Roman"/>
          <w:color w:val="000000"/>
          <w:kern w:val="2"/>
          <w:sz w:val="24"/>
          <w:szCs w:val="24"/>
          <w:shd w:val="clear" w:color="auto" w:fill="FFFFFF"/>
        </w:rPr>
        <w:t>Таблиця 18. Обсяги постачання електроенергії споживачам, тис. кВт.год</w:t>
      </w:r>
    </w:p>
    <w:tbl>
      <w:tblPr>
        <w:tblW w:w="9295" w:type="dxa"/>
        <w:tblInd w:w="196" w:type="dxa"/>
        <w:tblLayout w:type="fixed"/>
        <w:tblCellMar>
          <w:top w:w="55" w:type="dxa"/>
          <w:left w:w="55" w:type="dxa"/>
          <w:bottom w:w="55" w:type="dxa"/>
          <w:right w:w="55" w:type="dxa"/>
        </w:tblCellMar>
        <w:tblLook w:val="0000" w:firstRow="0" w:lastRow="0" w:firstColumn="0" w:lastColumn="0" w:noHBand="0" w:noVBand="0"/>
      </w:tblPr>
      <w:tblGrid>
        <w:gridCol w:w="1306"/>
        <w:gridCol w:w="1574"/>
        <w:gridCol w:w="1485"/>
        <w:gridCol w:w="1635"/>
        <w:gridCol w:w="1819"/>
        <w:gridCol w:w="1476"/>
      </w:tblGrid>
      <w:tr w:rsidR="00D227E2">
        <w:tc>
          <w:tcPr>
            <w:tcW w:w="1305" w:type="dxa"/>
            <w:tcBorders>
              <w:top w:val="single" w:sz="2" w:space="0" w:color="000000"/>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Рік</w:t>
            </w:r>
          </w:p>
        </w:tc>
        <w:tc>
          <w:tcPr>
            <w:tcW w:w="1574" w:type="dxa"/>
            <w:tcBorders>
              <w:top w:val="single" w:sz="2" w:space="0" w:color="000000"/>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Населення</w:t>
            </w:r>
          </w:p>
        </w:tc>
        <w:tc>
          <w:tcPr>
            <w:tcW w:w="1485" w:type="dxa"/>
            <w:tcBorders>
              <w:top w:val="single" w:sz="2" w:space="0" w:color="000000"/>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Бюджетні установи</w:t>
            </w:r>
          </w:p>
        </w:tc>
        <w:tc>
          <w:tcPr>
            <w:tcW w:w="1635" w:type="dxa"/>
            <w:tcBorders>
              <w:top w:val="single" w:sz="2" w:space="0" w:color="000000"/>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Комунальні та промислові підприємства</w:t>
            </w:r>
          </w:p>
        </w:tc>
        <w:tc>
          <w:tcPr>
            <w:tcW w:w="1819" w:type="dxa"/>
            <w:tcBorders>
              <w:top w:val="single" w:sz="2" w:space="0" w:color="000000"/>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Невраховані інші</w:t>
            </w:r>
          </w:p>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споживачі е/е</w:t>
            </w:r>
          </w:p>
        </w:tc>
        <w:tc>
          <w:tcPr>
            <w:tcW w:w="1476" w:type="dxa"/>
            <w:tcBorders>
              <w:top w:val="single" w:sz="2" w:space="0" w:color="000000"/>
              <w:left w:val="single" w:sz="2" w:space="0" w:color="000000"/>
              <w:bottom w:val="single" w:sz="2" w:space="0" w:color="000000"/>
              <w:right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Загальне споживання е/е у місті</w:t>
            </w:r>
          </w:p>
        </w:tc>
      </w:tr>
      <w:tr w:rsidR="00D227E2">
        <w:trPr>
          <w:trHeight w:val="96"/>
        </w:trPr>
        <w:tc>
          <w:tcPr>
            <w:tcW w:w="9294" w:type="dxa"/>
            <w:gridSpan w:val="6"/>
            <w:tcBorders>
              <w:left w:val="single" w:sz="2" w:space="0" w:color="000000"/>
              <w:bottom w:val="single" w:sz="2" w:space="0" w:color="000000"/>
              <w:right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hd w:val="clear" w:color="auto" w:fill="FFFFFF"/>
              </w:rPr>
              <w:t>м. Луцьк</w:t>
            </w:r>
          </w:p>
        </w:tc>
      </w:tr>
      <w:tr w:rsidR="00D227E2">
        <w:tc>
          <w:tcPr>
            <w:tcW w:w="1305"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2007</w:t>
            </w:r>
          </w:p>
        </w:tc>
        <w:tc>
          <w:tcPr>
            <w:tcW w:w="1574"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94 479</w:t>
            </w:r>
          </w:p>
        </w:tc>
        <w:tc>
          <w:tcPr>
            <w:tcW w:w="1485"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24 340</w:t>
            </w:r>
          </w:p>
        </w:tc>
        <w:tc>
          <w:tcPr>
            <w:tcW w:w="1635"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207 417</w:t>
            </w:r>
          </w:p>
        </w:tc>
        <w:tc>
          <w:tcPr>
            <w:tcW w:w="1819"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40 650</w:t>
            </w:r>
          </w:p>
        </w:tc>
        <w:tc>
          <w:tcPr>
            <w:tcW w:w="1476" w:type="dxa"/>
            <w:tcBorders>
              <w:left w:val="single" w:sz="2" w:space="0" w:color="000000"/>
              <w:bottom w:val="single" w:sz="2" w:space="0" w:color="000000"/>
              <w:right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366 886</w:t>
            </w:r>
          </w:p>
        </w:tc>
      </w:tr>
      <w:tr w:rsidR="00D227E2">
        <w:tc>
          <w:tcPr>
            <w:tcW w:w="1305"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2008</w:t>
            </w:r>
          </w:p>
        </w:tc>
        <w:tc>
          <w:tcPr>
            <w:tcW w:w="1574"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100 147</w:t>
            </w:r>
          </w:p>
        </w:tc>
        <w:tc>
          <w:tcPr>
            <w:tcW w:w="1485"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28 109</w:t>
            </w:r>
          </w:p>
        </w:tc>
        <w:tc>
          <w:tcPr>
            <w:tcW w:w="1635"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197 506</w:t>
            </w:r>
          </w:p>
        </w:tc>
        <w:tc>
          <w:tcPr>
            <w:tcW w:w="1819"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62 210</w:t>
            </w:r>
          </w:p>
        </w:tc>
        <w:tc>
          <w:tcPr>
            <w:tcW w:w="1476" w:type="dxa"/>
            <w:tcBorders>
              <w:left w:val="single" w:sz="2" w:space="0" w:color="000000"/>
              <w:bottom w:val="single" w:sz="2" w:space="0" w:color="000000"/>
              <w:right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387 972</w:t>
            </w:r>
          </w:p>
        </w:tc>
      </w:tr>
      <w:tr w:rsidR="00D227E2">
        <w:tc>
          <w:tcPr>
            <w:tcW w:w="1305"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2009</w:t>
            </w:r>
          </w:p>
        </w:tc>
        <w:tc>
          <w:tcPr>
            <w:tcW w:w="1574"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105 415</w:t>
            </w:r>
          </w:p>
        </w:tc>
        <w:tc>
          <w:tcPr>
            <w:tcW w:w="1485"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25 384</w:t>
            </w:r>
          </w:p>
        </w:tc>
        <w:tc>
          <w:tcPr>
            <w:tcW w:w="1635"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162 182</w:t>
            </w:r>
          </w:p>
        </w:tc>
        <w:tc>
          <w:tcPr>
            <w:tcW w:w="1819"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59 303</w:t>
            </w:r>
          </w:p>
        </w:tc>
        <w:tc>
          <w:tcPr>
            <w:tcW w:w="1476" w:type="dxa"/>
            <w:tcBorders>
              <w:left w:val="single" w:sz="2" w:space="0" w:color="000000"/>
              <w:bottom w:val="single" w:sz="2" w:space="0" w:color="000000"/>
              <w:right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352 284</w:t>
            </w:r>
          </w:p>
        </w:tc>
      </w:tr>
      <w:tr w:rsidR="00D227E2">
        <w:tc>
          <w:tcPr>
            <w:tcW w:w="1305" w:type="dxa"/>
            <w:tcBorders>
              <w:left w:val="single" w:sz="2"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2010</w:t>
            </w:r>
          </w:p>
        </w:tc>
        <w:tc>
          <w:tcPr>
            <w:tcW w:w="1574" w:type="dxa"/>
            <w:tcBorders>
              <w:left w:val="single" w:sz="2"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114 999</w:t>
            </w:r>
          </w:p>
        </w:tc>
        <w:tc>
          <w:tcPr>
            <w:tcW w:w="1485" w:type="dxa"/>
            <w:tcBorders>
              <w:left w:val="single" w:sz="2"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25 592</w:t>
            </w:r>
          </w:p>
        </w:tc>
        <w:tc>
          <w:tcPr>
            <w:tcW w:w="1635" w:type="dxa"/>
            <w:tcBorders>
              <w:left w:val="single" w:sz="2"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171 945</w:t>
            </w:r>
          </w:p>
        </w:tc>
        <w:tc>
          <w:tcPr>
            <w:tcW w:w="1819" w:type="dxa"/>
            <w:tcBorders>
              <w:left w:val="single" w:sz="2"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65 057</w:t>
            </w:r>
          </w:p>
        </w:tc>
        <w:tc>
          <w:tcPr>
            <w:tcW w:w="1476" w:type="dxa"/>
            <w:tcBorders>
              <w:left w:val="single" w:sz="2" w:space="0" w:color="000000"/>
              <w:bottom w:val="single" w:sz="4" w:space="0" w:color="000000"/>
              <w:right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377 593</w:t>
            </w:r>
          </w:p>
        </w:tc>
      </w:tr>
      <w:tr w:rsidR="00D227E2">
        <w:tc>
          <w:tcPr>
            <w:tcW w:w="130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2011</w:t>
            </w:r>
          </w:p>
        </w:tc>
        <w:tc>
          <w:tcPr>
            <w:tcW w:w="1574"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117 234</w:t>
            </w:r>
          </w:p>
        </w:tc>
        <w:tc>
          <w:tcPr>
            <w:tcW w:w="148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25 424</w:t>
            </w:r>
          </w:p>
        </w:tc>
        <w:tc>
          <w:tcPr>
            <w:tcW w:w="163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151 661</w:t>
            </w:r>
          </w:p>
        </w:tc>
        <w:tc>
          <w:tcPr>
            <w:tcW w:w="181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66 729</w:t>
            </w:r>
          </w:p>
        </w:tc>
        <w:tc>
          <w:tcPr>
            <w:tcW w:w="147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361 048</w:t>
            </w:r>
          </w:p>
        </w:tc>
      </w:tr>
      <w:tr w:rsidR="00D227E2">
        <w:tc>
          <w:tcPr>
            <w:tcW w:w="130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2012</w:t>
            </w:r>
          </w:p>
        </w:tc>
        <w:tc>
          <w:tcPr>
            <w:tcW w:w="1574"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124 467</w:t>
            </w:r>
          </w:p>
        </w:tc>
        <w:tc>
          <w:tcPr>
            <w:tcW w:w="148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24 374</w:t>
            </w:r>
          </w:p>
        </w:tc>
        <w:tc>
          <w:tcPr>
            <w:tcW w:w="163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147 212</w:t>
            </w:r>
          </w:p>
        </w:tc>
        <w:tc>
          <w:tcPr>
            <w:tcW w:w="181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61 619</w:t>
            </w:r>
          </w:p>
        </w:tc>
        <w:tc>
          <w:tcPr>
            <w:tcW w:w="147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357 672</w:t>
            </w:r>
          </w:p>
        </w:tc>
      </w:tr>
      <w:tr w:rsidR="00D227E2">
        <w:tc>
          <w:tcPr>
            <w:tcW w:w="130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2013</w:t>
            </w:r>
          </w:p>
        </w:tc>
        <w:tc>
          <w:tcPr>
            <w:tcW w:w="1574"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127 347</w:t>
            </w:r>
          </w:p>
        </w:tc>
        <w:tc>
          <w:tcPr>
            <w:tcW w:w="148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25 488</w:t>
            </w:r>
          </w:p>
        </w:tc>
        <w:tc>
          <w:tcPr>
            <w:tcW w:w="163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143 132</w:t>
            </w:r>
          </w:p>
        </w:tc>
        <w:tc>
          <w:tcPr>
            <w:tcW w:w="181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74 445</w:t>
            </w:r>
          </w:p>
        </w:tc>
        <w:tc>
          <w:tcPr>
            <w:tcW w:w="147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370 412</w:t>
            </w:r>
          </w:p>
        </w:tc>
      </w:tr>
      <w:tr w:rsidR="00D227E2">
        <w:tc>
          <w:tcPr>
            <w:tcW w:w="130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2014</w:t>
            </w:r>
          </w:p>
        </w:tc>
        <w:tc>
          <w:tcPr>
            <w:tcW w:w="1574"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133 312</w:t>
            </w:r>
          </w:p>
        </w:tc>
        <w:tc>
          <w:tcPr>
            <w:tcW w:w="148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25 424</w:t>
            </w:r>
          </w:p>
        </w:tc>
        <w:tc>
          <w:tcPr>
            <w:tcW w:w="163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133 622</w:t>
            </w:r>
          </w:p>
        </w:tc>
        <w:tc>
          <w:tcPr>
            <w:tcW w:w="181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73 318</w:t>
            </w:r>
          </w:p>
        </w:tc>
        <w:tc>
          <w:tcPr>
            <w:tcW w:w="147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365 676</w:t>
            </w:r>
          </w:p>
        </w:tc>
      </w:tr>
    </w:tbl>
    <w:p w:rsidR="00D227E2" w:rsidRDefault="00934FC4">
      <w:pPr>
        <w:spacing w:after="0" w:line="240" w:lineRule="auto"/>
        <w:jc w:val="center"/>
        <w:outlineLvl w:val="3"/>
        <w:rPr>
          <w:rFonts w:ascii="Times New Roman" w:hAnsi="Times New Roman" w:cs="Times New Roman"/>
        </w:rPr>
      </w:pPr>
      <w:r>
        <w:rPr>
          <w:rFonts w:ascii="Times New Roman" w:eastAsia="Arial" w:hAnsi="Times New Roman" w:cs="Times New Roman"/>
          <w:kern w:val="2"/>
          <w:sz w:val="24"/>
          <w:szCs w:val="24"/>
        </w:rPr>
        <w:t>Таблиця 18.1. Обсяги постачання електроенергії споживачам, тис. кВт.год</w:t>
      </w:r>
    </w:p>
    <w:tbl>
      <w:tblPr>
        <w:tblW w:w="9405" w:type="dxa"/>
        <w:tblInd w:w="172" w:type="dxa"/>
        <w:tblLayout w:type="fixed"/>
        <w:tblCellMar>
          <w:top w:w="28" w:type="dxa"/>
          <w:left w:w="28" w:type="dxa"/>
          <w:bottom w:w="28" w:type="dxa"/>
          <w:right w:w="28" w:type="dxa"/>
        </w:tblCellMar>
        <w:tblLook w:val="04A0" w:firstRow="1" w:lastRow="0" w:firstColumn="1" w:lastColumn="0" w:noHBand="0" w:noVBand="1"/>
      </w:tblPr>
      <w:tblGrid>
        <w:gridCol w:w="538"/>
        <w:gridCol w:w="4667"/>
        <w:gridCol w:w="1071"/>
        <w:gridCol w:w="1075"/>
        <w:gridCol w:w="1079"/>
        <w:gridCol w:w="975"/>
      </w:tblGrid>
      <w:tr w:rsidR="00D227E2">
        <w:trPr>
          <w:trHeight w:val="20"/>
        </w:trPr>
        <w:tc>
          <w:tcPr>
            <w:tcW w:w="537" w:type="dxa"/>
            <w:vMerge w:val="restart"/>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w:t>
            </w:r>
          </w:p>
        </w:tc>
        <w:tc>
          <w:tcPr>
            <w:tcW w:w="4667" w:type="dxa"/>
            <w:vMerge w:val="restart"/>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Напрямки постачання електроенергії</w:t>
            </w:r>
          </w:p>
        </w:tc>
        <w:tc>
          <w:tcPr>
            <w:tcW w:w="4200" w:type="dxa"/>
            <w:gridSpan w:val="4"/>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Споживання електричної енергії, тис.кВт.год</w:t>
            </w:r>
          </w:p>
        </w:tc>
      </w:tr>
      <w:tr w:rsidR="00D227E2">
        <w:trPr>
          <w:trHeight w:val="270"/>
        </w:trPr>
        <w:tc>
          <w:tcPr>
            <w:tcW w:w="537" w:type="dxa"/>
            <w:vMerge/>
            <w:tcBorders>
              <w:top w:val="single" w:sz="4" w:space="0" w:color="000000"/>
              <w:left w:val="single" w:sz="4" w:space="0" w:color="000000"/>
              <w:bottom w:val="single" w:sz="4" w:space="0" w:color="000000"/>
              <w:right w:val="single" w:sz="4" w:space="0" w:color="000000"/>
            </w:tcBorders>
          </w:tcPr>
          <w:p w:rsidR="00D227E2" w:rsidRDefault="00D227E2">
            <w:pPr>
              <w:spacing w:after="0"/>
              <w:jc w:val="center"/>
              <w:rPr>
                <w:rFonts w:ascii="Times New Roman" w:hAnsi="Times New Roman" w:cs="Times New Roman"/>
              </w:rPr>
            </w:pPr>
          </w:p>
        </w:tc>
        <w:tc>
          <w:tcPr>
            <w:tcW w:w="4667" w:type="dxa"/>
            <w:vMerge/>
            <w:tcBorders>
              <w:top w:val="single" w:sz="4" w:space="0" w:color="000000"/>
              <w:left w:val="single" w:sz="4" w:space="0" w:color="000000"/>
              <w:bottom w:val="single" w:sz="4" w:space="0" w:color="000000"/>
              <w:right w:val="single" w:sz="4" w:space="0" w:color="000000"/>
            </w:tcBorders>
          </w:tcPr>
          <w:p w:rsidR="00D227E2" w:rsidRDefault="00D227E2">
            <w:pPr>
              <w:spacing w:after="0"/>
              <w:jc w:val="center"/>
              <w:rPr>
                <w:rFonts w:ascii="Times New Roman" w:hAnsi="Times New Roman" w:cs="Times New Roman"/>
              </w:rPr>
            </w:pPr>
          </w:p>
        </w:tc>
        <w:tc>
          <w:tcPr>
            <w:tcW w:w="1071"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2007</w:t>
            </w:r>
          </w:p>
        </w:tc>
        <w:tc>
          <w:tcPr>
            <w:tcW w:w="1075"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2020</w:t>
            </w:r>
          </w:p>
        </w:tc>
        <w:tc>
          <w:tcPr>
            <w:tcW w:w="1079"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2021</w:t>
            </w:r>
          </w:p>
        </w:tc>
        <w:tc>
          <w:tcPr>
            <w:tcW w:w="975"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2022</w:t>
            </w:r>
          </w:p>
        </w:tc>
      </w:tr>
      <w:tr w:rsidR="00D227E2">
        <w:trPr>
          <w:trHeight w:val="62"/>
        </w:trPr>
        <w:tc>
          <w:tcPr>
            <w:tcW w:w="9404" w:type="dxa"/>
            <w:gridSpan w:val="6"/>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Луцька МТГ</w:t>
            </w:r>
          </w:p>
        </w:tc>
      </w:tr>
      <w:tr w:rsidR="00D227E2">
        <w:trPr>
          <w:trHeight w:val="20"/>
        </w:trPr>
        <w:tc>
          <w:tcPr>
            <w:tcW w:w="537" w:type="dxa"/>
            <w:tcBorders>
              <w:top w:val="single" w:sz="4" w:space="0" w:color="000000"/>
              <w:left w:val="single" w:sz="4" w:space="0" w:color="000000"/>
              <w:bottom w:val="single" w:sz="4" w:space="0" w:color="000000"/>
              <w:right w:val="single" w:sz="4" w:space="0" w:color="000000"/>
            </w:tcBorders>
          </w:tcPr>
          <w:p w:rsidR="00D227E2" w:rsidRDefault="00934FC4">
            <w:pPr>
              <w:spacing w:after="0"/>
              <w:rPr>
                <w:rFonts w:ascii="Times New Roman" w:hAnsi="Times New Roman" w:cs="Times New Roman"/>
              </w:rPr>
            </w:pPr>
            <w:r>
              <w:rPr>
                <w:rFonts w:ascii="Times New Roman" w:hAnsi="Times New Roman" w:cs="Times New Roman"/>
              </w:rPr>
              <w:t>1</w:t>
            </w:r>
          </w:p>
        </w:tc>
        <w:tc>
          <w:tcPr>
            <w:tcW w:w="4667" w:type="dxa"/>
            <w:tcBorders>
              <w:top w:val="single" w:sz="4" w:space="0" w:color="000000"/>
              <w:left w:val="single" w:sz="4" w:space="0" w:color="000000"/>
              <w:bottom w:val="single" w:sz="4" w:space="0" w:color="000000"/>
              <w:right w:val="single" w:sz="4" w:space="0" w:color="000000"/>
            </w:tcBorders>
          </w:tcPr>
          <w:p w:rsidR="00D227E2" w:rsidRDefault="00934FC4">
            <w:pPr>
              <w:spacing w:after="0"/>
              <w:rPr>
                <w:rFonts w:ascii="Times New Roman" w:hAnsi="Times New Roman" w:cs="Times New Roman"/>
              </w:rPr>
            </w:pPr>
            <w:r>
              <w:rPr>
                <w:rFonts w:ascii="Times New Roman" w:hAnsi="Times New Roman" w:cs="Times New Roman"/>
              </w:rPr>
              <w:t>Бюджетний сектор</w:t>
            </w:r>
          </w:p>
        </w:tc>
        <w:tc>
          <w:tcPr>
            <w:tcW w:w="1071"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24607</w:t>
            </w:r>
          </w:p>
        </w:tc>
        <w:tc>
          <w:tcPr>
            <w:tcW w:w="1075"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25006</w:t>
            </w:r>
          </w:p>
        </w:tc>
        <w:tc>
          <w:tcPr>
            <w:tcW w:w="1079"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30955</w:t>
            </w:r>
          </w:p>
        </w:tc>
        <w:tc>
          <w:tcPr>
            <w:tcW w:w="975"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29762</w:t>
            </w:r>
          </w:p>
        </w:tc>
      </w:tr>
      <w:tr w:rsidR="00D227E2">
        <w:trPr>
          <w:trHeight w:val="20"/>
        </w:trPr>
        <w:tc>
          <w:tcPr>
            <w:tcW w:w="537" w:type="dxa"/>
            <w:tcBorders>
              <w:top w:val="single" w:sz="4" w:space="0" w:color="000000"/>
              <w:left w:val="single" w:sz="4" w:space="0" w:color="000000"/>
              <w:bottom w:val="single" w:sz="4" w:space="0" w:color="000000"/>
              <w:right w:val="single" w:sz="4" w:space="0" w:color="000000"/>
            </w:tcBorders>
          </w:tcPr>
          <w:p w:rsidR="00D227E2" w:rsidRDefault="00934FC4">
            <w:pPr>
              <w:spacing w:after="0"/>
              <w:rPr>
                <w:rFonts w:ascii="Times New Roman" w:hAnsi="Times New Roman" w:cs="Times New Roman"/>
              </w:rPr>
            </w:pPr>
            <w:r>
              <w:rPr>
                <w:rFonts w:ascii="Times New Roman" w:hAnsi="Times New Roman" w:cs="Times New Roman"/>
              </w:rPr>
              <w:t>2</w:t>
            </w:r>
          </w:p>
        </w:tc>
        <w:tc>
          <w:tcPr>
            <w:tcW w:w="4667" w:type="dxa"/>
            <w:tcBorders>
              <w:top w:val="single" w:sz="4" w:space="0" w:color="000000"/>
              <w:left w:val="single" w:sz="4" w:space="0" w:color="000000"/>
              <w:bottom w:val="single" w:sz="4" w:space="0" w:color="000000"/>
              <w:right w:val="single" w:sz="4" w:space="0" w:color="000000"/>
            </w:tcBorders>
          </w:tcPr>
          <w:p w:rsidR="00D227E2" w:rsidRDefault="00934FC4">
            <w:pPr>
              <w:spacing w:after="0"/>
              <w:rPr>
                <w:rFonts w:ascii="Times New Roman" w:hAnsi="Times New Roman" w:cs="Times New Roman"/>
              </w:rPr>
            </w:pPr>
            <w:r>
              <w:rPr>
                <w:rFonts w:ascii="Times New Roman" w:hAnsi="Times New Roman" w:cs="Times New Roman"/>
              </w:rPr>
              <w:t>Населення</w:t>
            </w:r>
          </w:p>
        </w:tc>
        <w:tc>
          <w:tcPr>
            <w:tcW w:w="1071"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87262</w:t>
            </w:r>
          </w:p>
        </w:tc>
        <w:tc>
          <w:tcPr>
            <w:tcW w:w="1075"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215333</w:t>
            </w:r>
          </w:p>
        </w:tc>
        <w:tc>
          <w:tcPr>
            <w:tcW w:w="1079"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233591</w:t>
            </w:r>
          </w:p>
        </w:tc>
        <w:tc>
          <w:tcPr>
            <w:tcW w:w="975"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228839</w:t>
            </w:r>
          </w:p>
        </w:tc>
      </w:tr>
      <w:tr w:rsidR="00D227E2">
        <w:trPr>
          <w:trHeight w:val="20"/>
        </w:trPr>
        <w:tc>
          <w:tcPr>
            <w:tcW w:w="537" w:type="dxa"/>
            <w:tcBorders>
              <w:top w:val="single" w:sz="4" w:space="0" w:color="000000"/>
              <w:left w:val="single" w:sz="4" w:space="0" w:color="000000"/>
              <w:bottom w:val="single" w:sz="4" w:space="0" w:color="000000"/>
              <w:right w:val="single" w:sz="4" w:space="0" w:color="000000"/>
            </w:tcBorders>
          </w:tcPr>
          <w:p w:rsidR="00D227E2" w:rsidRDefault="00934FC4">
            <w:pPr>
              <w:spacing w:after="0"/>
              <w:rPr>
                <w:rFonts w:ascii="Times New Roman" w:hAnsi="Times New Roman" w:cs="Times New Roman"/>
              </w:rPr>
            </w:pPr>
            <w:r>
              <w:rPr>
                <w:rFonts w:ascii="Times New Roman" w:hAnsi="Times New Roman" w:cs="Times New Roman"/>
              </w:rPr>
              <w:lastRenderedPageBreak/>
              <w:t>3</w:t>
            </w:r>
          </w:p>
        </w:tc>
        <w:tc>
          <w:tcPr>
            <w:tcW w:w="4667" w:type="dxa"/>
            <w:tcBorders>
              <w:top w:val="single" w:sz="4" w:space="0" w:color="000000"/>
              <w:left w:val="single" w:sz="4" w:space="0" w:color="000000"/>
              <w:bottom w:val="single" w:sz="4" w:space="0" w:color="000000"/>
              <w:right w:val="single" w:sz="4" w:space="0" w:color="000000"/>
            </w:tcBorders>
          </w:tcPr>
          <w:p w:rsidR="00D227E2" w:rsidRDefault="00934FC4">
            <w:pPr>
              <w:spacing w:after="0"/>
              <w:rPr>
                <w:rFonts w:ascii="Times New Roman" w:hAnsi="Times New Roman" w:cs="Times New Roman"/>
              </w:rPr>
            </w:pPr>
            <w:r>
              <w:rPr>
                <w:rFonts w:ascii="Times New Roman" w:hAnsi="Times New Roman" w:cs="Times New Roman"/>
              </w:rPr>
              <w:t>Промислові підприємства</w:t>
            </w:r>
          </w:p>
        </w:tc>
        <w:tc>
          <w:tcPr>
            <w:tcW w:w="1071"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238487</w:t>
            </w:r>
          </w:p>
        </w:tc>
        <w:tc>
          <w:tcPr>
            <w:tcW w:w="1075"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214027</w:t>
            </w:r>
          </w:p>
        </w:tc>
        <w:tc>
          <w:tcPr>
            <w:tcW w:w="1079"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246106</w:t>
            </w:r>
          </w:p>
        </w:tc>
        <w:tc>
          <w:tcPr>
            <w:tcW w:w="975"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198892</w:t>
            </w:r>
          </w:p>
        </w:tc>
      </w:tr>
      <w:tr w:rsidR="00D227E2">
        <w:trPr>
          <w:trHeight w:val="20"/>
        </w:trPr>
        <w:tc>
          <w:tcPr>
            <w:tcW w:w="537" w:type="dxa"/>
            <w:tcBorders>
              <w:top w:val="single" w:sz="4" w:space="0" w:color="000000"/>
              <w:left w:val="single" w:sz="4" w:space="0" w:color="000000"/>
              <w:bottom w:val="single" w:sz="4" w:space="0" w:color="000000"/>
              <w:right w:val="single" w:sz="4" w:space="0" w:color="000000"/>
            </w:tcBorders>
          </w:tcPr>
          <w:p w:rsidR="00D227E2" w:rsidRDefault="00934FC4">
            <w:pPr>
              <w:spacing w:after="0"/>
              <w:rPr>
                <w:rFonts w:ascii="Times New Roman" w:hAnsi="Times New Roman" w:cs="Times New Roman"/>
              </w:rPr>
            </w:pPr>
            <w:r>
              <w:rPr>
                <w:rFonts w:ascii="Times New Roman" w:hAnsi="Times New Roman" w:cs="Times New Roman"/>
              </w:rPr>
              <w:t>4</w:t>
            </w:r>
          </w:p>
        </w:tc>
        <w:tc>
          <w:tcPr>
            <w:tcW w:w="4667" w:type="dxa"/>
            <w:tcBorders>
              <w:top w:val="single" w:sz="4" w:space="0" w:color="000000"/>
              <w:left w:val="single" w:sz="4" w:space="0" w:color="000000"/>
              <w:bottom w:val="single" w:sz="4" w:space="0" w:color="000000"/>
              <w:right w:val="single" w:sz="4" w:space="0" w:color="000000"/>
            </w:tcBorders>
          </w:tcPr>
          <w:p w:rsidR="00D227E2" w:rsidRDefault="00934FC4">
            <w:pPr>
              <w:spacing w:after="0"/>
              <w:rPr>
                <w:rFonts w:ascii="Times New Roman" w:hAnsi="Times New Roman" w:cs="Times New Roman"/>
              </w:rPr>
            </w:pPr>
            <w:r>
              <w:rPr>
                <w:rFonts w:ascii="Times New Roman" w:hAnsi="Times New Roman" w:cs="Times New Roman"/>
              </w:rPr>
              <w:t>Інші (непромислові: склади, магазини офіси та інші)</w:t>
            </w:r>
          </w:p>
        </w:tc>
        <w:tc>
          <w:tcPr>
            <w:tcW w:w="1071"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40651</w:t>
            </w:r>
          </w:p>
        </w:tc>
        <w:tc>
          <w:tcPr>
            <w:tcW w:w="1075"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104739</w:t>
            </w:r>
          </w:p>
        </w:tc>
        <w:tc>
          <w:tcPr>
            <w:tcW w:w="1079"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120979</w:t>
            </w:r>
          </w:p>
        </w:tc>
        <w:tc>
          <w:tcPr>
            <w:tcW w:w="975"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107604</w:t>
            </w:r>
          </w:p>
        </w:tc>
      </w:tr>
      <w:tr w:rsidR="00D227E2">
        <w:trPr>
          <w:trHeight w:val="20"/>
        </w:trPr>
        <w:tc>
          <w:tcPr>
            <w:tcW w:w="537" w:type="dxa"/>
            <w:tcBorders>
              <w:top w:val="single" w:sz="4" w:space="0" w:color="000000"/>
              <w:left w:val="single" w:sz="4" w:space="0" w:color="000000"/>
              <w:bottom w:val="single" w:sz="4" w:space="0" w:color="000000"/>
              <w:right w:val="single" w:sz="4" w:space="0" w:color="000000"/>
            </w:tcBorders>
          </w:tcPr>
          <w:p w:rsidR="00D227E2" w:rsidRDefault="00934FC4">
            <w:pPr>
              <w:spacing w:after="0"/>
              <w:rPr>
                <w:rFonts w:ascii="Times New Roman" w:hAnsi="Times New Roman" w:cs="Times New Roman"/>
              </w:rPr>
            </w:pPr>
            <w:r>
              <w:rPr>
                <w:rFonts w:ascii="Times New Roman" w:hAnsi="Times New Roman" w:cs="Times New Roman"/>
              </w:rPr>
              <w:t>5</w:t>
            </w:r>
          </w:p>
        </w:tc>
        <w:tc>
          <w:tcPr>
            <w:tcW w:w="4667" w:type="dxa"/>
            <w:tcBorders>
              <w:top w:val="single" w:sz="4" w:space="0" w:color="000000"/>
              <w:left w:val="single" w:sz="4" w:space="0" w:color="000000"/>
              <w:bottom w:val="single" w:sz="4" w:space="0" w:color="000000"/>
              <w:right w:val="single" w:sz="4" w:space="0" w:color="000000"/>
            </w:tcBorders>
          </w:tcPr>
          <w:p w:rsidR="00D227E2" w:rsidRDefault="00934FC4">
            <w:pPr>
              <w:spacing w:after="0"/>
              <w:rPr>
                <w:rFonts w:ascii="Times New Roman" w:hAnsi="Times New Roman" w:cs="Times New Roman"/>
              </w:rPr>
            </w:pPr>
            <w:r>
              <w:rPr>
                <w:rFonts w:ascii="Times New Roman" w:hAnsi="Times New Roman" w:cs="Times New Roman"/>
              </w:rPr>
              <w:t>Комунальні підприємства:</w:t>
            </w:r>
          </w:p>
        </w:tc>
        <w:tc>
          <w:tcPr>
            <w:tcW w:w="1071"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75405</w:t>
            </w:r>
          </w:p>
        </w:tc>
        <w:tc>
          <w:tcPr>
            <w:tcW w:w="1075"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79100</w:t>
            </w:r>
          </w:p>
        </w:tc>
        <w:tc>
          <w:tcPr>
            <w:tcW w:w="1079"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80888</w:t>
            </w:r>
          </w:p>
        </w:tc>
        <w:tc>
          <w:tcPr>
            <w:tcW w:w="975"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73577</w:t>
            </w:r>
          </w:p>
        </w:tc>
      </w:tr>
      <w:tr w:rsidR="00D227E2">
        <w:trPr>
          <w:trHeight w:val="20"/>
        </w:trPr>
        <w:tc>
          <w:tcPr>
            <w:tcW w:w="537" w:type="dxa"/>
            <w:tcBorders>
              <w:top w:val="single" w:sz="4" w:space="0" w:color="000000"/>
              <w:left w:val="single" w:sz="4" w:space="0" w:color="000000"/>
              <w:bottom w:val="single" w:sz="4" w:space="0" w:color="000000"/>
              <w:right w:val="single" w:sz="4" w:space="0" w:color="000000"/>
            </w:tcBorders>
          </w:tcPr>
          <w:p w:rsidR="00D227E2" w:rsidRDefault="00934FC4">
            <w:pPr>
              <w:spacing w:after="0"/>
              <w:rPr>
                <w:rFonts w:ascii="Times New Roman" w:hAnsi="Times New Roman" w:cs="Times New Roman"/>
              </w:rPr>
            </w:pPr>
            <w:r>
              <w:rPr>
                <w:rFonts w:ascii="Times New Roman" w:hAnsi="Times New Roman" w:cs="Times New Roman"/>
              </w:rPr>
              <w:t>5.1</w:t>
            </w:r>
          </w:p>
        </w:tc>
        <w:tc>
          <w:tcPr>
            <w:tcW w:w="4667" w:type="dxa"/>
            <w:tcBorders>
              <w:top w:val="single" w:sz="4" w:space="0" w:color="000000"/>
              <w:left w:val="single" w:sz="4" w:space="0" w:color="000000"/>
              <w:bottom w:val="single" w:sz="4" w:space="0" w:color="000000"/>
              <w:right w:val="single" w:sz="4" w:space="0" w:color="000000"/>
            </w:tcBorders>
          </w:tcPr>
          <w:p w:rsidR="00D227E2" w:rsidRDefault="00934FC4">
            <w:pPr>
              <w:spacing w:after="0"/>
              <w:rPr>
                <w:rFonts w:ascii="Times New Roman" w:hAnsi="Times New Roman" w:cs="Times New Roman"/>
              </w:rPr>
            </w:pPr>
            <w:r>
              <w:rPr>
                <w:rFonts w:ascii="Times New Roman" w:hAnsi="Times New Roman" w:cs="Times New Roman"/>
              </w:rPr>
              <w:t>міськсвітло</w:t>
            </w:r>
          </w:p>
        </w:tc>
        <w:tc>
          <w:tcPr>
            <w:tcW w:w="1071"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w:t>
            </w:r>
          </w:p>
        </w:tc>
        <w:tc>
          <w:tcPr>
            <w:tcW w:w="1075"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3982</w:t>
            </w:r>
          </w:p>
        </w:tc>
        <w:tc>
          <w:tcPr>
            <w:tcW w:w="1079"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4815</w:t>
            </w:r>
          </w:p>
        </w:tc>
        <w:tc>
          <w:tcPr>
            <w:tcW w:w="975"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3560</w:t>
            </w:r>
          </w:p>
        </w:tc>
      </w:tr>
      <w:tr w:rsidR="00D227E2">
        <w:trPr>
          <w:trHeight w:val="20"/>
        </w:trPr>
        <w:tc>
          <w:tcPr>
            <w:tcW w:w="537" w:type="dxa"/>
            <w:tcBorders>
              <w:top w:val="single" w:sz="4" w:space="0" w:color="000000"/>
              <w:left w:val="single" w:sz="4" w:space="0" w:color="000000"/>
              <w:bottom w:val="single" w:sz="4" w:space="0" w:color="000000"/>
              <w:right w:val="single" w:sz="4" w:space="0" w:color="000000"/>
            </w:tcBorders>
          </w:tcPr>
          <w:p w:rsidR="00D227E2" w:rsidRDefault="00934FC4">
            <w:pPr>
              <w:spacing w:after="0"/>
              <w:rPr>
                <w:rFonts w:ascii="Times New Roman" w:hAnsi="Times New Roman" w:cs="Times New Roman"/>
              </w:rPr>
            </w:pPr>
            <w:r>
              <w:rPr>
                <w:rFonts w:ascii="Times New Roman" w:hAnsi="Times New Roman" w:cs="Times New Roman"/>
              </w:rPr>
              <w:t>5.2</w:t>
            </w:r>
          </w:p>
        </w:tc>
        <w:tc>
          <w:tcPr>
            <w:tcW w:w="4667" w:type="dxa"/>
            <w:tcBorders>
              <w:top w:val="single" w:sz="4" w:space="0" w:color="000000"/>
              <w:left w:val="single" w:sz="4" w:space="0" w:color="000000"/>
              <w:bottom w:val="single" w:sz="4" w:space="0" w:color="000000"/>
              <w:right w:val="single" w:sz="4" w:space="0" w:color="000000"/>
            </w:tcBorders>
          </w:tcPr>
          <w:p w:rsidR="00D227E2" w:rsidRDefault="00934FC4">
            <w:pPr>
              <w:spacing w:after="0"/>
              <w:rPr>
                <w:rFonts w:ascii="Times New Roman" w:hAnsi="Times New Roman" w:cs="Times New Roman"/>
              </w:rPr>
            </w:pPr>
            <w:r>
              <w:rPr>
                <w:rFonts w:ascii="Times New Roman" w:hAnsi="Times New Roman" w:cs="Times New Roman"/>
              </w:rPr>
              <w:t>водопостачальна організація</w:t>
            </w:r>
          </w:p>
        </w:tc>
        <w:tc>
          <w:tcPr>
            <w:tcW w:w="1071"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w:t>
            </w:r>
          </w:p>
        </w:tc>
        <w:tc>
          <w:tcPr>
            <w:tcW w:w="1075"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17780</w:t>
            </w:r>
          </w:p>
        </w:tc>
        <w:tc>
          <w:tcPr>
            <w:tcW w:w="1079"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18577</w:t>
            </w:r>
          </w:p>
        </w:tc>
        <w:tc>
          <w:tcPr>
            <w:tcW w:w="975"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16502</w:t>
            </w:r>
          </w:p>
        </w:tc>
      </w:tr>
      <w:tr w:rsidR="00D227E2">
        <w:trPr>
          <w:trHeight w:val="20"/>
        </w:trPr>
        <w:tc>
          <w:tcPr>
            <w:tcW w:w="537" w:type="dxa"/>
            <w:tcBorders>
              <w:top w:val="single" w:sz="4" w:space="0" w:color="000000"/>
              <w:left w:val="single" w:sz="4" w:space="0" w:color="000000"/>
              <w:bottom w:val="single" w:sz="4" w:space="0" w:color="000000"/>
              <w:right w:val="single" w:sz="4" w:space="0" w:color="000000"/>
            </w:tcBorders>
          </w:tcPr>
          <w:p w:rsidR="00D227E2" w:rsidRDefault="00934FC4">
            <w:pPr>
              <w:spacing w:after="0"/>
              <w:rPr>
                <w:rFonts w:ascii="Times New Roman" w:hAnsi="Times New Roman" w:cs="Times New Roman"/>
              </w:rPr>
            </w:pPr>
            <w:r>
              <w:rPr>
                <w:rFonts w:ascii="Times New Roman" w:hAnsi="Times New Roman" w:cs="Times New Roman"/>
              </w:rPr>
              <w:t>5.3</w:t>
            </w:r>
          </w:p>
        </w:tc>
        <w:tc>
          <w:tcPr>
            <w:tcW w:w="4667" w:type="dxa"/>
            <w:tcBorders>
              <w:top w:val="single" w:sz="4" w:space="0" w:color="000000"/>
              <w:left w:val="single" w:sz="4" w:space="0" w:color="000000"/>
              <w:bottom w:val="single" w:sz="4" w:space="0" w:color="000000"/>
              <w:right w:val="single" w:sz="4" w:space="0" w:color="000000"/>
            </w:tcBorders>
          </w:tcPr>
          <w:p w:rsidR="00D227E2" w:rsidRDefault="00934FC4">
            <w:pPr>
              <w:spacing w:after="0"/>
              <w:rPr>
                <w:rFonts w:ascii="Times New Roman" w:hAnsi="Times New Roman" w:cs="Times New Roman"/>
              </w:rPr>
            </w:pPr>
            <w:r>
              <w:rPr>
                <w:rFonts w:ascii="Times New Roman" w:hAnsi="Times New Roman" w:cs="Times New Roman"/>
              </w:rPr>
              <w:t>теплопостачальна організація</w:t>
            </w:r>
          </w:p>
        </w:tc>
        <w:tc>
          <w:tcPr>
            <w:tcW w:w="1071"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w:t>
            </w:r>
          </w:p>
        </w:tc>
        <w:tc>
          <w:tcPr>
            <w:tcW w:w="1075"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22460</w:t>
            </w:r>
          </w:p>
        </w:tc>
        <w:tc>
          <w:tcPr>
            <w:tcW w:w="1079"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21712</w:t>
            </w:r>
          </w:p>
        </w:tc>
        <w:tc>
          <w:tcPr>
            <w:tcW w:w="975"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18874</w:t>
            </w:r>
          </w:p>
        </w:tc>
      </w:tr>
      <w:tr w:rsidR="00D227E2">
        <w:trPr>
          <w:trHeight w:val="20"/>
        </w:trPr>
        <w:tc>
          <w:tcPr>
            <w:tcW w:w="537" w:type="dxa"/>
            <w:tcBorders>
              <w:top w:val="single" w:sz="4" w:space="0" w:color="000000"/>
              <w:left w:val="single" w:sz="4" w:space="0" w:color="000000"/>
              <w:bottom w:val="single" w:sz="4" w:space="0" w:color="000000"/>
              <w:right w:val="single" w:sz="4" w:space="0" w:color="000000"/>
            </w:tcBorders>
          </w:tcPr>
          <w:p w:rsidR="00D227E2" w:rsidRDefault="00934FC4">
            <w:pPr>
              <w:spacing w:after="0"/>
              <w:rPr>
                <w:rFonts w:ascii="Times New Roman" w:hAnsi="Times New Roman" w:cs="Times New Roman"/>
              </w:rPr>
            </w:pPr>
            <w:r>
              <w:rPr>
                <w:rFonts w:ascii="Times New Roman" w:hAnsi="Times New Roman" w:cs="Times New Roman"/>
              </w:rPr>
              <w:t>5.4</w:t>
            </w:r>
          </w:p>
        </w:tc>
        <w:tc>
          <w:tcPr>
            <w:tcW w:w="4667" w:type="dxa"/>
            <w:tcBorders>
              <w:top w:val="single" w:sz="4" w:space="0" w:color="000000"/>
              <w:left w:val="single" w:sz="4" w:space="0" w:color="000000"/>
              <w:bottom w:val="single" w:sz="4" w:space="0" w:color="000000"/>
              <w:right w:val="single" w:sz="4" w:space="0" w:color="000000"/>
            </w:tcBorders>
          </w:tcPr>
          <w:p w:rsidR="00D227E2" w:rsidRDefault="00934FC4">
            <w:pPr>
              <w:spacing w:after="0"/>
              <w:rPr>
                <w:rFonts w:ascii="Times New Roman" w:hAnsi="Times New Roman" w:cs="Times New Roman"/>
              </w:rPr>
            </w:pPr>
            <w:r>
              <w:rPr>
                <w:rFonts w:ascii="Times New Roman" w:hAnsi="Times New Roman" w:cs="Times New Roman"/>
              </w:rPr>
              <w:t>ОСББ, ЖБК, Управляючі компанії</w:t>
            </w:r>
          </w:p>
        </w:tc>
        <w:tc>
          <w:tcPr>
            <w:tcW w:w="1071"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w:t>
            </w:r>
          </w:p>
        </w:tc>
        <w:tc>
          <w:tcPr>
            <w:tcW w:w="1075"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6785</w:t>
            </w:r>
          </w:p>
        </w:tc>
        <w:tc>
          <w:tcPr>
            <w:tcW w:w="1079"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7227</w:t>
            </w:r>
          </w:p>
        </w:tc>
        <w:tc>
          <w:tcPr>
            <w:tcW w:w="975"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6527</w:t>
            </w:r>
          </w:p>
        </w:tc>
      </w:tr>
      <w:tr w:rsidR="00D227E2">
        <w:trPr>
          <w:trHeight w:val="20"/>
        </w:trPr>
        <w:tc>
          <w:tcPr>
            <w:tcW w:w="537" w:type="dxa"/>
            <w:tcBorders>
              <w:top w:val="single" w:sz="4" w:space="0" w:color="000000"/>
              <w:left w:val="single" w:sz="4" w:space="0" w:color="000000"/>
              <w:bottom w:val="single" w:sz="4" w:space="0" w:color="000000"/>
              <w:right w:val="single" w:sz="4" w:space="0" w:color="000000"/>
            </w:tcBorders>
          </w:tcPr>
          <w:p w:rsidR="00D227E2" w:rsidRDefault="00934FC4">
            <w:pPr>
              <w:spacing w:after="0"/>
              <w:rPr>
                <w:rFonts w:ascii="Times New Roman" w:hAnsi="Times New Roman" w:cs="Times New Roman"/>
              </w:rPr>
            </w:pPr>
            <w:r>
              <w:rPr>
                <w:rFonts w:ascii="Times New Roman" w:hAnsi="Times New Roman" w:cs="Times New Roman"/>
              </w:rPr>
              <w:t>5.5</w:t>
            </w:r>
          </w:p>
        </w:tc>
        <w:tc>
          <w:tcPr>
            <w:tcW w:w="4667" w:type="dxa"/>
            <w:tcBorders>
              <w:top w:val="single" w:sz="4" w:space="0" w:color="000000"/>
              <w:left w:val="single" w:sz="4" w:space="0" w:color="000000"/>
              <w:bottom w:val="single" w:sz="4" w:space="0" w:color="000000"/>
              <w:right w:val="single" w:sz="4" w:space="0" w:color="000000"/>
            </w:tcBorders>
          </w:tcPr>
          <w:p w:rsidR="00D227E2" w:rsidRDefault="00934FC4">
            <w:pPr>
              <w:spacing w:after="0"/>
              <w:rPr>
                <w:rFonts w:ascii="Times New Roman" w:hAnsi="Times New Roman" w:cs="Times New Roman"/>
              </w:rPr>
            </w:pPr>
            <w:r>
              <w:rPr>
                <w:rFonts w:ascii="Times New Roman" w:hAnsi="Times New Roman" w:cs="Times New Roman"/>
              </w:rPr>
              <w:t>інші комунальні підприємства</w:t>
            </w:r>
          </w:p>
        </w:tc>
        <w:tc>
          <w:tcPr>
            <w:tcW w:w="1071"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w:t>
            </w:r>
          </w:p>
        </w:tc>
        <w:tc>
          <w:tcPr>
            <w:tcW w:w="1075"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28093</w:t>
            </w:r>
          </w:p>
        </w:tc>
        <w:tc>
          <w:tcPr>
            <w:tcW w:w="1079"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28577</w:t>
            </w:r>
          </w:p>
        </w:tc>
        <w:tc>
          <w:tcPr>
            <w:tcW w:w="975"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28114</w:t>
            </w:r>
          </w:p>
        </w:tc>
      </w:tr>
      <w:tr w:rsidR="00D227E2">
        <w:trPr>
          <w:trHeight w:val="20"/>
        </w:trPr>
        <w:tc>
          <w:tcPr>
            <w:tcW w:w="537" w:type="dxa"/>
            <w:tcBorders>
              <w:top w:val="single" w:sz="4" w:space="0" w:color="000000"/>
              <w:left w:val="single" w:sz="4" w:space="0" w:color="000000"/>
              <w:bottom w:val="single" w:sz="4" w:space="0" w:color="000000"/>
              <w:right w:val="single" w:sz="4" w:space="0" w:color="000000"/>
            </w:tcBorders>
          </w:tcPr>
          <w:p w:rsidR="00D227E2" w:rsidRDefault="00934FC4">
            <w:pPr>
              <w:spacing w:after="0"/>
              <w:rPr>
                <w:rFonts w:ascii="Times New Roman" w:hAnsi="Times New Roman" w:cs="Times New Roman"/>
              </w:rPr>
            </w:pPr>
            <w:r>
              <w:rPr>
                <w:rFonts w:ascii="Times New Roman" w:hAnsi="Times New Roman" w:cs="Times New Roman"/>
              </w:rPr>
              <w:t>6</w:t>
            </w:r>
          </w:p>
        </w:tc>
        <w:tc>
          <w:tcPr>
            <w:tcW w:w="4667" w:type="dxa"/>
            <w:tcBorders>
              <w:top w:val="single" w:sz="4" w:space="0" w:color="000000"/>
              <w:left w:val="single" w:sz="4" w:space="0" w:color="000000"/>
              <w:bottom w:val="single" w:sz="4" w:space="0" w:color="000000"/>
              <w:right w:val="single" w:sz="4" w:space="0" w:color="000000"/>
            </w:tcBorders>
          </w:tcPr>
          <w:p w:rsidR="00D227E2" w:rsidRDefault="00934FC4">
            <w:pPr>
              <w:spacing w:after="0"/>
              <w:rPr>
                <w:rFonts w:ascii="Times New Roman" w:hAnsi="Times New Roman" w:cs="Times New Roman"/>
              </w:rPr>
            </w:pPr>
            <w:r>
              <w:rPr>
                <w:rFonts w:ascii="Times New Roman" w:hAnsi="Times New Roman" w:cs="Times New Roman"/>
              </w:rPr>
              <w:t>Сільськогосподарські споживачі</w:t>
            </w:r>
          </w:p>
        </w:tc>
        <w:tc>
          <w:tcPr>
            <w:tcW w:w="1071"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1044</w:t>
            </w:r>
          </w:p>
        </w:tc>
        <w:tc>
          <w:tcPr>
            <w:tcW w:w="1075"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w:t>
            </w:r>
          </w:p>
        </w:tc>
        <w:tc>
          <w:tcPr>
            <w:tcW w:w="1079"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w:t>
            </w:r>
          </w:p>
        </w:tc>
        <w:tc>
          <w:tcPr>
            <w:tcW w:w="975"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w:t>
            </w:r>
          </w:p>
        </w:tc>
      </w:tr>
      <w:tr w:rsidR="00D227E2">
        <w:trPr>
          <w:trHeight w:val="20"/>
        </w:trPr>
        <w:tc>
          <w:tcPr>
            <w:tcW w:w="537" w:type="dxa"/>
            <w:tcBorders>
              <w:top w:val="single" w:sz="4" w:space="0" w:color="000000"/>
              <w:left w:val="single" w:sz="4" w:space="0" w:color="000000"/>
              <w:bottom w:val="single" w:sz="4" w:space="0" w:color="000000"/>
              <w:right w:val="single" w:sz="4" w:space="0" w:color="000000"/>
            </w:tcBorders>
          </w:tcPr>
          <w:p w:rsidR="00D227E2" w:rsidRDefault="00934FC4">
            <w:pPr>
              <w:spacing w:after="0"/>
              <w:rPr>
                <w:rFonts w:ascii="Times New Roman" w:hAnsi="Times New Roman" w:cs="Times New Roman"/>
              </w:rPr>
            </w:pPr>
            <w:r>
              <w:rPr>
                <w:rFonts w:ascii="Times New Roman" w:hAnsi="Times New Roman" w:cs="Times New Roman"/>
              </w:rPr>
              <w:t>7</w:t>
            </w:r>
          </w:p>
        </w:tc>
        <w:tc>
          <w:tcPr>
            <w:tcW w:w="4667" w:type="dxa"/>
            <w:tcBorders>
              <w:top w:val="single" w:sz="4" w:space="0" w:color="000000"/>
              <w:left w:val="single" w:sz="4" w:space="0" w:color="000000"/>
              <w:bottom w:val="single" w:sz="4" w:space="0" w:color="000000"/>
              <w:right w:val="single" w:sz="4" w:space="0" w:color="000000"/>
            </w:tcBorders>
          </w:tcPr>
          <w:p w:rsidR="00D227E2" w:rsidRDefault="00934FC4">
            <w:pPr>
              <w:spacing w:after="0"/>
              <w:rPr>
                <w:rFonts w:ascii="Times New Roman" w:hAnsi="Times New Roman" w:cs="Times New Roman"/>
              </w:rPr>
            </w:pPr>
            <w:r>
              <w:rPr>
                <w:rFonts w:ascii="Times New Roman" w:hAnsi="Times New Roman" w:cs="Times New Roman"/>
              </w:rPr>
              <w:t>Електрофікований міський транспорт</w:t>
            </w:r>
          </w:p>
        </w:tc>
        <w:tc>
          <w:tcPr>
            <w:tcW w:w="1071"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8159</w:t>
            </w:r>
          </w:p>
        </w:tc>
        <w:tc>
          <w:tcPr>
            <w:tcW w:w="1075"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w:t>
            </w:r>
          </w:p>
        </w:tc>
        <w:tc>
          <w:tcPr>
            <w:tcW w:w="1079"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w:t>
            </w:r>
          </w:p>
        </w:tc>
        <w:tc>
          <w:tcPr>
            <w:tcW w:w="975"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w:t>
            </w:r>
          </w:p>
        </w:tc>
      </w:tr>
      <w:tr w:rsidR="00D227E2">
        <w:trPr>
          <w:trHeight w:val="236"/>
        </w:trPr>
        <w:tc>
          <w:tcPr>
            <w:tcW w:w="537" w:type="dxa"/>
            <w:tcBorders>
              <w:top w:val="single" w:sz="4" w:space="0" w:color="000000"/>
              <w:left w:val="single" w:sz="4" w:space="0" w:color="000000"/>
              <w:bottom w:val="single" w:sz="4" w:space="0" w:color="000000"/>
              <w:right w:val="single" w:sz="4" w:space="0" w:color="000000"/>
            </w:tcBorders>
          </w:tcPr>
          <w:p w:rsidR="00D227E2" w:rsidRDefault="00D227E2">
            <w:pPr>
              <w:spacing w:after="0"/>
              <w:rPr>
                <w:rFonts w:ascii="Times New Roman" w:hAnsi="Times New Roman" w:cs="Times New Roman"/>
              </w:rPr>
            </w:pPr>
          </w:p>
        </w:tc>
        <w:tc>
          <w:tcPr>
            <w:tcW w:w="4667"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Загалом</w:t>
            </w:r>
          </w:p>
        </w:tc>
        <w:tc>
          <w:tcPr>
            <w:tcW w:w="1071"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475615</w:t>
            </w:r>
          </w:p>
        </w:tc>
        <w:tc>
          <w:tcPr>
            <w:tcW w:w="1075"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638205</w:t>
            </w:r>
          </w:p>
        </w:tc>
        <w:tc>
          <w:tcPr>
            <w:tcW w:w="1079"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712519</w:t>
            </w:r>
          </w:p>
        </w:tc>
        <w:tc>
          <w:tcPr>
            <w:tcW w:w="975" w:type="dxa"/>
            <w:tcBorders>
              <w:top w:val="single" w:sz="4" w:space="0" w:color="000000"/>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rPr>
              <w:t>638674</w:t>
            </w:r>
          </w:p>
        </w:tc>
      </w:tr>
    </w:tbl>
    <w:p w:rsidR="00D227E2" w:rsidRDefault="00D227E2">
      <w:pPr>
        <w:spacing w:after="0"/>
        <w:rPr>
          <w:rFonts w:ascii="Times New Roman" w:hAnsi="Times New Roman" w:cs="Times New Roman"/>
          <w:color w:val="000000"/>
        </w:rPr>
      </w:pPr>
    </w:p>
    <w:p w:rsidR="00D227E2" w:rsidRDefault="00934FC4">
      <w:pPr>
        <w:spacing w:after="0"/>
        <w:rPr>
          <w:rFonts w:ascii="Times New Roman" w:hAnsi="Times New Roman" w:cs="Times New Roman"/>
          <w:color w:val="000000"/>
        </w:rPr>
      </w:pPr>
      <w:r>
        <w:rPr>
          <w:rFonts w:ascii="Times New Roman" w:hAnsi="Times New Roman" w:cs="Times New Roman"/>
          <w:noProof/>
          <w:color w:val="000000"/>
          <w:lang w:eastAsia="uk-UA"/>
        </w:rPr>
        <w:drawing>
          <wp:anchor distT="0" distB="0" distL="0" distR="0" simplePos="0" relativeHeight="92" behindDoc="0" locked="0" layoutInCell="0" allowOverlap="1" wp14:anchorId="66C62308" wp14:editId="5A3ACE62">
            <wp:simplePos x="0" y="0"/>
            <wp:positionH relativeFrom="column">
              <wp:posOffset>928370</wp:posOffset>
            </wp:positionH>
            <wp:positionV relativeFrom="paragraph">
              <wp:posOffset>57785</wp:posOffset>
            </wp:positionV>
            <wp:extent cx="4010660" cy="2255520"/>
            <wp:effectExtent l="0" t="0" r="0" b="0"/>
            <wp:wrapSquare wrapText="largest"/>
            <wp:docPr id="27" name="Об'єкт25" descr="діаграма"/>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anchor>
        </w:drawing>
      </w:r>
    </w:p>
    <w:p w:rsidR="00D227E2" w:rsidRDefault="00D227E2">
      <w:pPr>
        <w:spacing w:after="0"/>
        <w:rPr>
          <w:rFonts w:ascii="Times New Roman" w:hAnsi="Times New Roman" w:cs="Times New Roman"/>
          <w:color w:val="000000"/>
        </w:rPr>
      </w:pPr>
    </w:p>
    <w:p w:rsidR="00D227E2" w:rsidRDefault="00D227E2">
      <w:pPr>
        <w:spacing w:after="0"/>
        <w:rPr>
          <w:rFonts w:ascii="Times New Roman" w:hAnsi="Times New Roman" w:cs="Times New Roman"/>
          <w:color w:val="000000"/>
        </w:rPr>
      </w:pPr>
    </w:p>
    <w:p w:rsidR="00D227E2" w:rsidRDefault="00D227E2">
      <w:pPr>
        <w:spacing w:after="0"/>
        <w:rPr>
          <w:rFonts w:ascii="Times New Roman" w:hAnsi="Times New Roman" w:cs="Times New Roman"/>
          <w:color w:val="000000"/>
        </w:rPr>
      </w:pPr>
    </w:p>
    <w:p w:rsidR="00D227E2" w:rsidRDefault="00D227E2">
      <w:pPr>
        <w:spacing w:after="0"/>
        <w:rPr>
          <w:rFonts w:ascii="Times New Roman" w:hAnsi="Times New Roman" w:cs="Times New Roman"/>
          <w:color w:val="000000"/>
        </w:rPr>
      </w:pPr>
    </w:p>
    <w:p w:rsidR="00D227E2" w:rsidRDefault="00D227E2">
      <w:pPr>
        <w:spacing w:after="0"/>
        <w:rPr>
          <w:rFonts w:ascii="Times New Roman" w:hAnsi="Times New Roman" w:cs="Times New Roman"/>
          <w:color w:val="000000"/>
        </w:rPr>
      </w:pPr>
    </w:p>
    <w:p w:rsidR="00D227E2" w:rsidRDefault="00D227E2">
      <w:pPr>
        <w:spacing w:after="0"/>
        <w:rPr>
          <w:rFonts w:ascii="Times New Roman" w:hAnsi="Times New Roman" w:cs="Times New Roman"/>
          <w:color w:val="000000"/>
        </w:rPr>
      </w:pPr>
    </w:p>
    <w:p w:rsidR="00D227E2" w:rsidRDefault="00D227E2">
      <w:pPr>
        <w:spacing w:after="0"/>
        <w:rPr>
          <w:rFonts w:ascii="Times New Roman" w:hAnsi="Times New Roman" w:cs="Times New Roman"/>
          <w:color w:val="000000"/>
        </w:rPr>
      </w:pPr>
    </w:p>
    <w:p w:rsidR="00D227E2" w:rsidRDefault="00D227E2">
      <w:pPr>
        <w:spacing w:after="0"/>
        <w:rPr>
          <w:rFonts w:ascii="Times New Roman" w:hAnsi="Times New Roman" w:cs="Times New Roman"/>
          <w:color w:val="000000"/>
        </w:rPr>
      </w:pPr>
    </w:p>
    <w:p w:rsidR="00D227E2" w:rsidRDefault="00D227E2">
      <w:pPr>
        <w:spacing w:after="0"/>
        <w:rPr>
          <w:rFonts w:ascii="Times New Roman" w:hAnsi="Times New Roman" w:cs="Times New Roman"/>
          <w:color w:val="000000"/>
        </w:rPr>
      </w:pPr>
    </w:p>
    <w:p w:rsidR="00D227E2" w:rsidRDefault="00D227E2">
      <w:pPr>
        <w:spacing w:after="0"/>
        <w:rPr>
          <w:rFonts w:ascii="Times New Roman" w:hAnsi="Times New Roman" w:cs="Times New Roman"/>
          <w:color w:val="000000"/>
        </w:rPr>
      </w:pPr>
    </w:p>
    <w:p w:rsidR="00D227E2" w:rsidRDefault="00D227E2">
      <w:pPr>
        <w:spacing w:after="0"/>
        <w:ind w:firstLine="567"/>
        <w:jc w:val="center"/>
        <w:rPr>
          <w:rFonts w:ascii="Times New Roman" w:hAnsi="Times New Roman" w:cs="Times New Roman"/>
          <w:color w:val="000000"/>
        </w:rPr>
      </w:pPr>
    </w:p>
    <w:p w:rsidR="00D227E2" w:rsidRDefault="00D227E2">
      <w:pPr>
        <w:spacing w:after="0"/>
        <w:ind w:firstLine="567"/>
        <w:jc w:val="center"/>
        <w:rPr>
          <w:rFonts w:ascii="Times New Roman" w:eastAsia="NSimSun" w:hAnsi="Times New Roman" w:cs="Times New Roman"/>
          <w:color w:val="000000"/>
          <w:kern w:val="2"/>
          <w:sz w:val="24"/>
          <w:szCs w:val="24"/>
          <w:lang w:eastAsia="zh-CN" w:bidi="hi-IN"/>
        </w:rPr>
      </w:pPr>
    </w:p>
    <w:p w:rsidR="00D227E2" w:rsidRDefault="00934FC4">
      <w:pPr>
        <w:spacing w:after="0"/>
        <w:ind w:firstLine="567"/>
        <w:jc w:val="center"/>
        <w:rPr>
          <w:rFonts w:ascii="Times New Roman" w:hAnsi="Times New Roman" w:cs="Times New Roman"/>
        </w:rPr>
      </w:pPr>
      <w:r>
        <w:rPr>
          <w:rFonts w:ascii="Times New Roman" w:eastAsia="NSimSun" w:hAnsi="Times New Roman" w:cs="Times New Roman"/>
          <w:color w:val="000000"/>
          <w:kern w:val="2"/>
          <w:sz w:val="24"/>
          <w:szCs w:val="24"/>
          <w:lang w:eastAsia="zh-CN" w:bidi="hi-IN"/>
        </w:rPr>
        <w:t xml:space="preserve">Рисунок 15. </w:t>
      </w:r>
      <w:r>
        <w:rPr>
          <w:rFonts w:ascii="Times New Roman" w:eastAsia="Arial" w:hAnsi="Times New Roman" w:cs="Times New Roman"/>
          <w:color w:val="000000"/>
          <w:kern w:val="2"/>
          <w:sz w:val="24"/>
          <w:szCs w:val="24"/>
          <w:lang w:eastAsia="zh-CN" w:bidi="hi-IN"/>
        </w:rPr>
        <w:t>Обсяги постачання електроенергії споживачам м. Луцька, тис. кВт.год</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У порівнянні 2007 та 2022 роки спостерігається загальне зростання  споживання електричної енергії на 74 % (рис. 16). Основною причиною такого збільшення можна вважати приєднання до м. Луцька навколишніх громад в результаті адміністративної територіальної реформи. Також значний вплив на збільшення споживання електроенергії впливає використання енергоємних побутових приладів у господарстві. </w:t>
      </w:r>
    </w:p>
    <w:p w:rsidR="00D227E2" w:rsidRDefault="00934FC4">
      <w:pPr>
        <w:jc w:val="center"/>
        <w:rPr>
          <w:rFonts w:ascii="Times New Roman" w:hAnsi="Times New Roman" w:cs="Times New Roman"/>
        </w:rPr>
      </w:pPr>
      <w:r>
        <w:rPr>
          <w:noProof/>
          <w:lang w:eastAsia="uk-UA"/>
        </w:rPr>
        <w:drawing>
          <wp:inline distT="0" distB="0" distL="0" distR="0" wp14:anchorId="1D0C75B2" wp14:editId="020BFD51">
            <wp:extent cx="2908935" cy="1779270"/>
            <wp:effectExtent l="0" t="0" r="0" b="0"/>
            <wp:docPr id="28" name="Об'єкт5" descr="діаграма"/>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Pr>
          <w:noProof/>
          <w:lang w:eastAsia="uk-UA"/>
        </w:rPr>
        <w:drawing>
          <wp:inline distT="0" distB="0" distL="0" distR="0" wp14:anchorId="2101C320" wp14:editId="5BA76D08">
            <wp:extent cx="3016250" cy="1781810"/>
            <wp:effectExtent l="0" t="0" r="0" b="0"/>
            <wp:docPr id="29" name="Об'єкт6" descr="діаграма"/>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D227E2" w:rsidRDefault="00934FC4">
      <w:pPr>
        <w:jc w:val="center"/>
        <w:rPr>
          <w:rFonts w:ascii="Times New Roman" w:hAnsi="Times New Roman" w:cs="Times New Roman"/>
        </w:rPr>
      </w:pPr>
      <w:r>
        <w:rPr>
          <w:rFonts w:ascii="Times New Roman" w:eastAsia="Arial" w:hAnsi="Times New Roman" w:cs="Times New Roman"/>
          <w:color w:val="000000"/>
          <w:kern w:val="2"/>
          <w:sz w:val="24"/>
          <w:szCs w:val="24"/>
        </w:rPr>
        <w:t>Рисунок 16. Споживання електроенергії різними категоріями споживачів у 2007 та 2022 роки</w:t>
      </w:r>
    </w:p>
    <w:p w:rsidR="00934FC4" w:rsidRDefault="00934FC4">
      <w:pPr>
        <w:spacing w:after="0" w:line="240" w:lineRule="auto"/>
        <w:ind w:firstLine="567"/>
        <w:jc w:val="both"/>
        <w:rPr>
          <w:rFonts w:ascii="Times New Roman" w:eastAsia="NSimSun" w:hAnsi="Times New Roman" w:cs="Times New Roman"/>
          <w:b/>
          <w:bCs/>
          <w:color w:val="000000"/>
          <w:kern w:val="2"/>
          <w:sz w:val="24"/>
          <w:szCs w:val="24"/>
          <w:lang w:eastAsia="zh-CN" w:bidi="hi-IN"/>
        </w:rPr>
      </w:pPr>
    </w:p>
    <w:p w:rsidR="00934FC4" w:rsidRDefault="00934FC4">
      <w:pPr>
        <w:spacing w:after="0" w:line="240" w:lineRule="auto"/>
        <w:ind w:firstLine="567"/>
        <w:jc w:val="both"/>
        <w:rPr>
          <w:rFonts w:ascii="Times New Roman" w:eastAsia="NSimSun" w:hAnsi="Times New Roman" w:cs="Times New Roman"/>
          <w:b/>
          <w:bCs/>
          <w:color w:val="000000"/>
          <w:kern w:val="2"/>
          <w:sz w:val="24"/>
          <w:szCs w:val="24"/>
          <w:lang w:eastAsia="zh-CN" w:bidi="hi-IN"/>
        </w:rPr>
      </w:pPr>
    </w:p>
    <w:p w:rsidR="00D227E2" w:rsidRDefault="00934FC4">
      <w:pPr>
        <w:spacing w:after="0" w:line="240" w:lineRule="auto"/>
        <w:ind w:firstLine="567"/>
        <w:jc w:val="both"/>
        <w:rPr>
          <w:rFonts w:ascii="Times New Roman" w:hAnsi="Times New Roman" w:cs="Times New Roman"/>
        </w:rPr>
      </w:pPr>
      <w:r>
        <w:rPr>
          <w:rFonts w:ascii="Times New Roman" w:eastAsia="NSimSun" w:hAnsi="Times New Roman" w:cs="Times New Roman"/>
          <w:b/>
          <w:bCs/>
          <w:color w:val="000000"/>
          <w:kern w:val="2"/>
          <w:sz w:val="24"/>
          <w:szCs w:val="24"/>
          <w:lang w:eastAsia="zh-CN" w:bidi="hi-IN"/>
        </w:rPr>
        <w:lastRenderedPageBreak/>
        <w:t>3.1.3. Теплопостачання</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kern w:val="2"/>
          <w:sz w:val="24"/>
          <w:szCs w:val="24"/>
          <w:lang w:eastAsia="zh-CN" w:bidi="hi-IN"/>
        </w:rPr>
        <w:t>Надання послуг централізованого постачання тепла та централізованого постачання гарячої води у м. Луцьку здійснює державне комунальне підприємство «Луцьктепло». У старостинських округах Луцької МТГ централізоване теплопостачання та централізоване постачання гарячої води відсутнє.</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З метою визначення рівня споживання, використання енергоресурсу для опалення та стану утеплення житлових будівель було проведено опитування серед домогосподарств старостинських округів Луцької МТГ.</w:t>
      </w:r>
      <w:r>
        <w:rPr>
          <w:rFonts w:ascii="Times New Roman" w:eastAsia="NSimSun" w:hAnsi="Times New Roman" w:cs="Times New Roman"/>
          <w:color w:val="000000"/>
          <w:kern w:val="2"/>
          <w:sz w:val="24"/>
          <w:szCs w:val="24"/>
          <w:shd w:val="clear" w:color="auto" w:fill="FFFFFF"/>
          <w:lang w:eastAsia="zh-CN" w:bidi="hi-IN"/>
        </w:rPr>
        <w:t xml:space="preserve">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Детальніше ознайомитися з результатами дослідження можна у Додатку 1. Результати проведення опитування дозволили визначити кількість палива, що витрачається для приватних будинків на опалення, зібрати інформацію про виконані енергоефективні заходи, та отримати оцінку власників, що до зростання/зменшення використання обсягів енергоресурсів на опалення. Зібрані дані будуть використані для зведення інформації відносно споживання на опалення по громаді.</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Характеризуючи систему теплопостачання у м. Луцьку можна відмітити, що загальна протяжність теплових мереж становить 131,6 км (таблиця 19). Постачання теплової енергії до споживачів забезпечується 46 котельнями, 45 ЦТП та 331 ІТП. Сумарна потужність котелень становить 674,8 Гкал/год. На кінець 2022 року кількість котлів (енергоустановок) </w:t>
      </w:r>
      <w:r>
        <w:rPr>
          <w:rFonts w:ascii="Times New Roman" w:hAnsi="Times New Roman" w:cs="Times New Roman"/>
          <w:sz w:val="24"/>
          <w:szCs w:val="24"/>
        </w:rPr>
        <w:t>–</w:t>
      </w:r>
      <w:r>
        <w:rPr>
          <w:rFonts w:ascii="Times New Roman" w:eastAsia="NSimSun" w:hAnsi="Times New Roman" w:cs="Times New Roman"/>
          <w:kern w:val="2"/>
          <w:sz w:val="24"/>
          <w:szCs w:val="24"/>
          <w:lang w:eastAsia="zh-CN" w:bidi="hi-IN"/>
        </w:rPr>
        <w:t xml:space="preserve"> 159 одиниць, з яких 87 або 55 % з терміном експлуатації понад 20 років.</w:t>
      </w:r>
    </w:p>
    <w:p w:rsidR="00D227E2" w:rsidRDefault="00934FC4">
      <w:pPr>
        <w:tabs>
          <w:tab w:val="left" w:pos="2925"/>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Таблиця 19. Інформація стосовно характеристик мережі теплопостачання в двотрубному обчислені</w:t>
      </w:r>
    </w:p>
    <w:tbl>
      <w:tblPr>
        <w:tblW w:w="9670" w:type="dxa"/>
        <w:tblInd w:w="187" w:type="dxa"/>
        <w:tblLayout w:type="fixed"/>
        <w:tblLook w:val="04A0" w:firstRow="1" w:lastRow="0" w:firstColumn="1" w:lastColumn="0" w:noHBand="0" w:noVBand="1"/>
      </w:tblPr>
      <w:tblGrid>
        <w:gridCol w:w="498"/>
        <w:gridCol w:w="3164"/>
        <w:gridCol w:w="1846"/>
        <w:gridCol w:w="1836"/>
        <w:gridCol w:w="2326"/>
      </w:tblGrid>
      <w:tr w:rsidR="00D227E2">
        <w:tc>
          <w:tcPr>
            <w:tcW w:w="498" w:type="dxa"/>
            <w:vMerge w:val="restart"/>
            <w:tcBorders>
              <w:top w:val="single" w:sz="2" w:space="0" w:color="000000"/>
              <w:left w:val="single" w:sz="2" w:space="0" w:color="000000"/>
              <w:bottom w:val="single" w:sz="2"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kern w:val="2"/>
                <w:lang w:bidi="hi-IN"/>
              </w:rPr>
              <w:t>№</w:t>
            </w:r>
          </w:p>
        </w:tc>
        <w:tc>
          <w:tcPr>
            <w:tcW w:w="3164" w:type="dxa"/>
            <w:vMerge w:val="restart"/>
            <w:tcBorders>
              <w:top w:val="single" w:sz="2" w:space="0" w:color="000000"/>
              <w:left w:val="single" w:sz="2" w:space="0" w:color="000000"/>
              <w:bottom w:val="single" w:sz="2"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kern w:val="2"/>
                <w:lang w:bidi="hi-IN"/>
              </w:rPr>
              <w:t>Характеристика</w:t>
            </w:r>
          </w:p>
        </w:tc>
        <w:tc>
          <w:tcPr>
            <w:tcW w:w="6008" w:type="dxa"/>
            <w:gridSpan w:val="3"/>
            <w:tcBorders>
              <w:top w:val="single" w:sz="2" w:space="0" w:color="000000"/>
              <w:left w:val="single" w:sz="2" w:space="0" w:color="000000"/>
              <w:bottom w:val="single" w:sz="2" w:space="0" w:color="000000"/>
              <w:right w:val="single" w:sz="2"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kern w:val="2"/>
                <w:lang w:bidi="hi-IN"/>
              </w:rPr>
              <w:t>2023</w:t>
            </w:r>
          </w:p>
        </w:tc>
      </w:tr>
      <w:tr w:rsidR="00D227E2">
        <w:tc>
          <w:tcPr>
            <w:tcW w:w="498" w:type="dxa"/>
            <w:vMerge/>
            <w:tcBorders>
              <w:left w:val="single" w:sz="2" w:space="0" w:color="000000"/>
              <w:bottom w:val="single" w:sz="2" w:space="0" w:color="000000"/>
            </w:tcBorders>
            <w:shd w:val="clear" w:color="auto" w:fill="auto"/>
          </w:tcPr>
          <w:p w:rsidR="00D227E2" w:rsidRDefault="00D227E2">
            <w:pPr>
              <w:widowControl w:val="0"/>
              <w:spacing w:after="0" w:line="240" w:lineRule="auto"/>
              <w:jc w:val="center"/>
              <w:rPr>
                <w:rFonts w:ascii="Times New Roman" w:hAnsi="Times New Roman" w:cs="Times New Roman"/>
                <w:kern w:val="2"/>
                <w:lang w:bidi="hi-IN"/>
              </w:rPr>
            </w:pPr>
          </w:p>
        </w:tc>
        <w:tc>
          <w:tcPr>
            <w:tcW w:w="3164" w:type="dxa"/>
            <w:vMerge/>
            <w:tcBorders>
              <w:left w:val="single" w:sz="2" w:space="0" w:color="000000"/>
              <w:bottom w:val="single" w:sz="2" w:space="0" w:color="000000"/>
            </w:tcBorders>
            <w:shd w:val="clear" w:color="auto" w:fill="auto"/>
          </w:tcPr>
          <w:p w:rsidR="00D227E2" w:rsidRDefault="00D227E2">
            <w:pPr>
              <w:widowControl w:val="0"/>
              <w:spacing w:after="0" w:line="240" w:lineRule="auto"/>
              <w:jc w:val="center"/>
              <w:rPr>
                <w:rFonts w:ascii="Times New Roman" w:hAnsi="Times New Roman" w:cs="Times New Roman"/>
                <w:kern w:val="2"/>
                <w:lang w:bidi="hi-IN"/>
              </w:rPr>
            </w:pPr>
          </w:p>
        </w:tc>
        <w:tc>
          <w:tcPr>
            <w:tcW w:w="1846" w:type="dxa"/>
            <w:tcBorders>
              <w:left w:val="single" w:sz="2" w:space="0" w:color="000000"/>
              <w:bottom w:val="single" w:sz="2"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kern w:val="2"/>
                <w:lang w:bidi="hi-IN"/>
              </w:rPr>
              <w:t>Загальна довжина</w:t>
            </w:r>
          </w:p>
        </w:tc>
        <w:tc>
          <w:tcPr>
            <w:tcW w:w="1836" w:type="dxa"/>
            <w:tcBorders>
              <w:left w:val="single" w:sz="2" w:space="0" w:color="000000"/>
              <w:bottom w:val="single" w:sz="2"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kern w:val="2"/>
                <w:lang w:bidi="hi-IN"/>
              </w:rPr>
              <w:t>Попередньо-ізольовані</w:t>
            </w:r>
          </w:p>
        </w:tc>
        <w:tc>
          <w:tcPr>
            <w:tcW w:w="2326" w:type="dxa"/>
            <w:tcBorders>
              <w:left w:val="single" w:sz="2" w:space="0" w:color="000000"/>
              <w:bottom w:val="single" w:sz="2" w:space="0" w:color="000000"/>
              <w:right w:val="single" w:sz="2"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kern w:val="2"/>
                <w:lang w:bidi="hi-IN"/>
              </w:rPr>
              <w:t>Інші</w:t>
            </w:r>
            <w:r>
              <w:rPr>
                <w:rFonts w:ascii="Times New Roman" w:hAnsi="Times New Roman" w:cs="Times New Roman"/>
                <w:kern w:val="2"/>
                <w:lang w:bidi="hi-IN"/>
              </w:rPr>
              <w:br/>
              <w:t>(не утеплені або старе утеплення)</w:t>
            </w:r>
          </w:p>
        </w:tc>
      </w:tr>
      <w:tr w:rsidR="00D227E2">
        <w:tc>
          <w:tcPr>
            <w:tcW w:w="498" w:type="dxa"/>
            <w:tcBorders>
              <w:left w:val="single" w:sz="2" w:space="0" w:color="000000"/>
              <w:bottom w:val="single" w:sz="2"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hAnsi="Times New Roman" w:cs="Times New Roman"/>
                <w:kern w:val="2"/>
                <w:lang w:bidi="hi-IN"/>
              </w:rPr>
              <w:t>1</w:t>
            </w:r>
          </w:p>
        </w:tc>
        <w:tc>
          <w:tcPr>
            <w:tcW w:w="3164" w:type="dxa"/>
            <w:tcBorders>
              <w:left w:val="single" w:sz="2" w:space="0" w:color="000000"/>
              <w:bottom w:val="single" w:sz="2"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hAnsi="Times New Roman" w:cs="Times New Roman"/>
                <w:kern w:val="2"/>
                <w:lang w:bidi="hi-IN"/>
              </w:rPr>
              <w:t>Загальна довжина трубопроводів, м</w:t>
            </w:r>
          </w:p>
        </w:tc>
        <w:tc>
          <w:tcPr>
            <w:tcW w:w="1846" w:type="dxa"/>
            <w:tcBorders>
              <w:left w:val="single" w:sz="2" w:space="0" w:color="000000"/>
              <w:bottom w:val="single" w:sz="2" w:space="0" w:color="000000"/>
            </w:tcBorders>
            <w:shd w:val="clear" w:color="auto" w:fill="auto"/>
          </w:tcPr>
          <w:p w:rsidR="00D227E2" w:rsidRDefault="00934FC4">
            <w:pPr>
              <w:widowControl w:val="0"/>
              <w:suppressAutoHyphens w:val="0"/>
              <w:spacing w:after="0" w:line="240" w:lineRule="auto"/>
              <w:jc w:val="center"/>
              <w:rPr>
                <w:rFonts w:ascii="Times New Roman" w:hAnsi="Times New Roman" w:cs="Times New Roman"/>
              </w:rPr>
            </w:pPr>
            <w:r>
              <w:rPr>
                <w:rFonts w:ascii="Times New Roman" w:hAnsi="Times New Roman" w:cs="Times New Roman"/>
                <w:kern w:val="2"/>
                <w:lang w:bidi="hi-IN"/>
              </w:rPr>
              <w:t>131527,1</w:t>
            </w:r>
          </w:p>
          <w:p w:rsidR="00D227E2" w:rsidRDefault="00D227E2">
            <w:pPr>
              <w:widowControl w:val="0"/>
              <w:spacing w:after="0" w:line="240" w:lineRule="auto"/>
              <w:jc w:val="center"/>
              <w:rPr>
                <w:rFonts w:ascii="Times New Roman" w:hAnsi="Times New Roman" w:cs="Times New Roman"/>
                <w:kern w:val="2"/>
                <w:lang w:bidi="hi-IN"/>
              </w:rPr>
            </w:pPr>
          </w:p>
        </w:tc>
        <w:tc>
          <w:tcPr>
            <w:tcW w:w="1836" w:type="dxa"/>
            <w:tcBorders>
              <w:left w:val="single" w:sz="2" w:space="0" w:color="000000"/>
              <w:bottom w:val="single" w:sz="2" w:space="0" w:color="000000"/>
            </w:tcBorders>
            <w:shd w:val="clear" w:color="auto" w:fill="auto"/>
          </w:tcPr>
          <w:p w:rsidR="00D227E2" w:rsidRDefault="00934FC4">
            <w:pPr>
              <w:widowControl w:val="0"/>
              <w:suppressAutoHyphens w:val="0"/>
              <w:spacing w:after="0" w:line="240" w:lineRule="auto"/>
              <w:jc w:val="center"/>
              <w:rPr>
                <w:rFonts w:ascii="Times New Roman" w:hAnsi="Times New Roman" w:cs="Times New Roman"/>
              </w:rPr>
            </w:pPr>
            <w:r>
              <w:rPr>
                <w:rFonts w:ascii="Times New Roman" w:hAnsi="Times New Roman" w:cs="Times New Roman"/>
                <w:kern w:val="2"/>
                <w:lang w:bidi="hi-IN"/>
              </w:rPr>
              <w:t>17002,3</w:t>
            </w:r>
          </w:p>
          <w:p w:rsidR="00D227E2" w:rsidRDefault="00D227E2">
            <w:pPr>
              <w:widowControl w:val="0"/>
              <w:spacing w:after="0" w:line="240" w:lineRule="auto"/>
              <w:jc w:val="center"/>
              <w:rPr>
                <w:rFonts w:ascii="Times New Roman" w:hAnsi="Times New Roman" w:cs="Times New Roman"/>
                <w:kern w:val="2"/>
                <w:lang w:bidi="hi-IN"/>
              </w:rPr>
            </w:pPr>
          </w:p>
        </w:tc>
        <w:tc>
          <w:tcPr>
            <w:tcW w:w="2326" w:type="dxa"/>
            <w:tcBorders>
              <w:left w:val="single" w:sz="2" w:space="0" w:color="000000"/>
              <w:bottom w:val="single" w:sz="2" w:space="0" w:color="000000"/>
              <w:right w:val="single" w:sz="2"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kern w:val="2"/>
                <w:lang w:bidi="hi-IN"/>
              </w:rPr>
              <w:t>114524,8</w:t>
            </w:r>
          </w:p>
        </w:tc>
      </w:tr>
      <w:tr w:rsidR="00D227E2">
        <w:tc>
          <w:tcPr>
            <w:tcW w:w="498" w:type="dxa"/>
            <w:tcBorders>
              <w:left w:val="single" w:sz="2" w:space="0" w:color="000000"/>
              <w:bottom w:val="single" w:sz="4"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hAnsi="Times New Roman" w:cs="Times New Roman"/>
                <w:kern w:val="2"/>
                <w:lang w:bidi="hi-IN"/>
              </w:rPr>
              <w:t>2</w:t>
            </w:r>
          </w:p>
        </w:tc>
        <w:tc>
          <w:tcPr>
            <w:tcW w:w="3164" w:type="dxa"/>
            <w:tcBorders>
              <w:left w:val="single" w:sz="2" w:space="0" w:color="000000"/>
              <w:bottom w:val="single" w:sz="4"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hAnsi="Times New Roman" w:cs="Times New Roman"/>
                <w:kern w:val="2"/>
                <w:lang w:bidi="hi-IN"/>
              </w:rPr>
              <w:t>Довжина магістральних трубопроводів, м</w:t>
            </w:r>
          </w:p>
        </w:tc>
        <w:tc>
          <w:tcPr>
            <w:tcW w:w="1846" w:type="dxa"/>
            <w:tcBorders>
              <w:left w:val="single" w:sz="2" w:space="0" w:color="000000"/>
              <w:bottom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kern w:val="2"/>
                <w:lang w:bidi="hi-IN"/>
              </w:rPr>
              <w:t>3263,5</w:t>
            </w:r>
          </w:p>
        </w:tc>
        <w:tc>
          <w:tcPr>
            <w:tcW w:w="1836" w:type="dxa"/>
            <w:tcBorders>
              <w:left w:val="single" w:sz="2" w:space="0" w:color="000000"/>
              <w:bottom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kern w:val="2"/>
                <w:lang w:bidi="hi-IN"/>
              </w:rPr>
              <w:t>0</w:t>
            </w:r>
          </w:p>
        </w:tc>
        <w:tc>
          <w:tcPr>
            <w:tcW w:w="2326" w:type="dxa"/>
            <w:tcBorders>
              <w:left w:val="single" w:sz="2" w:space="0" w:color="000000"/>
              <w:bottom w:val="single" w:sz="4" w:space="0" w:color="000000"/>
              <w:right w:val="single" w:sz="2"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kern w:val="2"/>
                <w:lang w:bidi="hi-IN"/>
              </w:rPr>
              <w:t>0</w:t>
            </w:r>
          </w:p>
        </w:tc>
      </w:tr>
      <w:tr w:rsidR="00D227E2">
        <w:tc>
          <w:tcPr>
            <w:tcW w:w="498"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hAnsi="Times New Roman" w:cs="Times New Roman"/>
                <w:kern w:val="2"/>
                <w:lang w:bidi="hi-IN"/>
              </w:rPr>
              <w:t>3</w:t>
            </w:r>
          </w:p>
        </w:tc>
        <w:tc>
          <w:tcPr>
            <w:tcW w:w="3164"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hAnsi="Times New Roman" w:cs="Times New Roman"/>
                <w:kern w:val="2"/>
                <w:lang w:bidi="hi-IN"/>
              </w:rPr>
              <w:t>Довжина розподільчих трубопроводів, м</w:t>
            </w: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kern w:val="2"/>
                <w:lang w:bidi="hi-IN"/>
              </w:rPr>
              <w:t>128263,6</w:t>
            </w:r>
          </w:p>
        </w:tc>
        <w:tc>
          <w:tcPr>
            <w:tcW w:w="1836"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uppressAutoHyphens w:val="0"/>
              <w:spacing w:after="0" w:line="240" w:lineRule="auto"/>
              <w:jc w:val="center"/>
              <w:rPr>
                <w:rFonts w:ascii="Times New Roman" w:hAnsi="Times New Roman" w:cs="Times New Roman"/>
              </w:rPr>
            </w:pPr>
            <w:r>
              <w:rPr>
                <w:rFonts w:ascii="Times New Roman" w:hAnsi="Times New Roman" w:cs="Times New Roman"/>
                <w:kern w:val="2"/>
                <w:lang w:bidi="hi-IN"/>
              </w:rPr>
              <w:t>17002,3</w:t>
            </w:r>
          </w:p>
          <w:p w:rsidR="00D227E2" w:rsidRDefault="00D227E2">
            <w:pPr>
              <w:widowControl w:val="0"/>
              <w:spacing w:after="0" w:line="240" w:lineRule="auto"/>
              <w:jc w:val="center"/>
              <w:rPr>
                <w:rFonts w:ascii="Times New Roman" w:hAnsi="Times New Roman" w:cs="Times New Roman"/>
                <w:kern w:val="2"/>
                <w:lang w:bidi="hi-IN"/>
              </w:rPr>
            </w:pPr>
          </w:p>
        </w:tc>
        <w:tc>
          <w:tcPr>
            <w:tcW w:w="2326"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kern w:val="2"/>
                <w:lang w:bidi="hi-IN"/>
              </w:rPr>
              <w:t>111261,3</w:t>
            </w:r>
          </w:p>
        </w:tc>
      </w:tr>
    </w:tbl>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de-DE" w:bidi="hi-IN"/>
        </w:rPr>
        <w:t>В Луцьку є 2 основні зони теплопостачання:</w:t>
      </w:r>
    </w:p>
    <w:p w:rsidR="00D227E2" w:rsidRDefault="00934FC4">
      <w:pPr>
        <w:pStyle w:val="28"/>
        <w:numPr>
          <w:ilvl w:val="0"/>
          <w:numId w:val="43"/>
        </w:numPr>
        <w:tabs>
          <w:tab w:val="left" w:pos="0"/>
        </w:tabs>
        <w:jc w:val="both"/>
      </w:pPr>
      <w:r>
        <w:rPr>
          <w:rFonts w:eastAsia="Microsoft Sans Serif"/>
          <w:kern w:val="2"/>
          <w:lang w:eastAsia="de-DE"/>
        </w:rPr>
        <w:t>централізоване – зона багатоквартирної забудови;</w:t>
      </w:r>
    </w:p>
    <w:p w:rsidR="00D227E2" w:rsidRDefault="00934FC4">
      <w:pPr>
        <w:pStyle w:val="28"/>
        <w:numPr>
          <w:ilvl w:val="0"/>
          <w:numId w:val="43"/>
        </w:numPr>
        <w:tabs>
          <w:tab w:val="left" w:pos="0"/>
        </w:tabs>
        <w:jc w:val="both"/>
      </w:pPr>
      <w:r>
        <w:rPr>
          <w:rFonts w:eastAsia="Microsoft Sans Serif"/>
          <w:kern w:val="2"/>
          <w:lang w:eastAsia="de-DE"/>
        </w:rPr>
        <w:t>індивідуальне – зона забудови садибного типу та багатоквартирні будинки з індивідуальним теплопостачанням.</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de-DE" w:bidi="hi-IN"/>
        </w:rPr>
        <w:t xml:space="preserve">Окремо можна виділити промислові зони з автономним теплозабезпеченням. У садибній забудові використовується індивідуальне теплотехнічне обладнання. За основне паливо в теплотехнічному обладнанні використовується природний газ. Централізоване теплопостачання покриває переважно зону багатоквартирної забудови.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de-DE" w:bidi="hi-IN"/>
        </w:rPr>
        <w:t>Наразі спостерігається тенденція використання в зоні нової багатоквартирної забудови індивідуального опалення та гарячого водопостачання. Ця тенденція в основному пов’язана з неринковими механізмами ціноутворення для природного газу і є несприятливою в довгостроковій перспективі.</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На рисунку 17 можна побачити схему теплопостачання у м. Луцьку.</w:t>
      </w:r>
    </w:p>
    <w:p w:rsidR="00D227E2" w:rsidRDefault="00934FC4">
      <w:pPr>
        <w:spacing w:after="0" w:line="240" w:lineRule="auto"/>
        <w:jc w:val="center"/>
        <w:rPr>
          <w:rFonts w:ascii="Times New Roman" w:hAnsi="Times New Roman" w:cs="Times New Roman"/>
        </w:rPr>
      </w:pPr>
      <w:r>
        <w:rPr>
          <w:noProof/>
          <w:lang w:eastAsia="uk-UA"/>
        </w:rPr>
        <w:lastRenderedPageBreak/>
        <w:drawing>
          <wp:inline distT="0" distB="0" distL="0" distR="0" wp14:anchorId="410EA48C" wp14:editId="69CB6420">
            <wp:extent cx="6032500" cy="5894070"/>
            <wp:effectExtent l="0" t="0" r="0" b="0"/>
            <wp:docPr id="30" name="Рисунок 64" descr="C:\Users\Administrator\AppData\Local\Microsoft\Windows\INetCache\Content.Word\ГП_ГАЗ_ТА_ТЕПЛО_compressed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64" descr="C:\Users\Administrator\AppData\Local\Microsoft\Windows\INetCache\Content.Word\ГП_ГАЗ_ТА_ТЕПЛО_compressed_page-0001.jpg"/>
                    <pic:cNvPicPr>
                      <a:picLocks noChangeAspect="1" noChangeArrowheads="1"/>
                    </pic:cNvPicPr>
                  </pic:nvPicPr>
                  <pic:blipFill>
                    <a:blip r:embed="rId52"/>
                    <a:stretch>
                      <a:fillRect/>
                    </a:stretch>
                  </pic:blipFill>
                  <pic:spPr bwMode="auto">
                    <a:xfrm>
                      <a:off x="0" y="0"/>
                      <a:ext cx="6032500" cy="5894070"/>
                    </a:xfrm>
                    <a:prstGeom prst="rect">
                      <a:avLst/>
                    </a:prstGeom>
                  </pic:spPr>
                </pic:pic>
              </a:graphicData>
            </a:graphic>
          </wp:inline>
        </w:drawing>
      </w:r>
    </w:p>
    <w:p w:rsidR="00D227E2" w:rsidRDefault="00934FC4">
      <w:pPr>
        <w:spacing w:after="0" w:line="240" w:lineRule="auto"/>
        <w:jc w:val="center"/>
        <w:rPr>
          <w:rFonts w:ascii="Times New Roman" w:hAnsi="Times New Roman" w:cs="Times New Roman"/>
        </w:rPr>
      </w:pPr>
      <w:r>
        <w:rPr>
          <w:rFonts w:ascii="Times New Roman" w:eastAsia="NSimSun" w:hAnsi="Times New Roman" w:cs="Times New Roman"/>
          <w:kern w:val="2"/>
          <w:sz w:val="24"/>
          <w:szCs w:val="24"/>
          <w:shd w:val="clear" w:color="auto" w:fill="FFFFFF"/>
          <w:lang w:eastAsia="ru-RU" w:bidi="hi-IN"/>
        </w:rPr>
        <w:t>Рисунок 17. Схема теплопостачання м. Луцька</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Станом на 01.01.2023 ДКП «Луцьктепло» надає послуги:</w:t>
      </w:r>
    </w:p>
    <w:p w:rsidR="00D227E2" w:rsidRDefault="00934FC4">
      <w:pPr>
        <w:numPr>
          <w:ilvl w:val="0"/>
          <w:numId w:val="11"/>
        </w:numPr>
        <w:tabs>
          <w:tab w:val="left" w:pos="851"/>
        </w:tabs>
        <w:spacing w:after="0"/>
        <w:ind w:left="0" w:firstLine="567"/>
        <w:jc w:val="both"/>
        <w:rPr>
          <w:rFonts w:ascii="Times New Roman" w:hAnsi="Times New Roman" w:cs="Times New Roman"/>
        </w:rPr>
      </w:pPr>
      <w:r>
        <w:rPr>
          <w:rFonts w:ascii="Times New Roman" w:eastAsia="NSimSun" w:hAnsi="Times New Roman" w:cs="Times New Roman"/>
          <w:kern w:val="2"/>
          <w:lang w:bidi="hi-IN"/>
        </w:rPr>
        <w:t xml:space="preserve">населенню (постачання теплової енергії </w:t>
      </w:r>
      <w:r>
        <w:rPr>
          <w:rFonts w:ascii="Times New Roman" w:hAnsi="Times New Roman" w:cs="Times New Roman"/>
          <w:sz w:val="24"/>
          <w:szCs w:val="24"/>
        </w:rPr>
        <w:t>–</w:t>
      </w:r>
      <w:r>
        <w:rPr>
          <w:rFonts w:ascii="Times New Roman" w:eastAsia="NSimSun" w:hAnsi="Times New Roman" w:cs="Times New Roman"/>
          <w:kern w:val="2"/>
          <w:lang w:bidi="hi-IN"/>
        </w:rPr>
        <w:t xml:space="preserve"> 54808 абонентів у 758 житлових будинках та постачання гарячої води </w:t>
      </w:r>
      <w:r>
        <w:rPr>
          <w:rFonts w:ascii="Times New Roman" w:hAnsi="Times New Roman" w:cs="Times New Roman"/>
          <w:sz w:val="24"/>
          <w:szCs w:val="24"/>
        </w:rPr>
        <w:t>–</w:t>
      </w:r>
      <w:r>
        <w:rPr>
          <w:rFonts w:ascii="Times New Roman" w:eastAsia="NSimSun" w:hAnsi="Times New Roman" w:cs="Times New Roman"/>
          <w:kern w:val="2"/>
          <w:lang w:bidi="hi-IN"/>
        </w:rPr>
        <w:t xml:space="preserve"> 40464 абонентам у 475 житлових будинках);</w:t>
      </w:r>
    </w:p>
    <w:p w:rsidR="00D227E2" w:rsidRDefault="00934FC4">
      <w:pPr>
        <w:numPr>
          <w:ilvl w:val="0"/>
          <w:numId w:val="11"/>
        </w:numPr>
        <w:tabs>
          <w:tab w:val="left" w:pos="851"/>
        </w:tabs>
        <w:spacing w:after="0"/>
        <w:ind w:left="0" w:firstLine="567"/>
        <w:jc w:val="both"/>
        <w:rPr>
          <w:rFonts w:ascii="Times New Roman" w:hAnsi="Times New Roman" w:cs="Times New Roman"/>
        </w:rPr>
      </w:pPr>
      <w:r>
        <w:rPr>
          <w:rFonts w:ascii="Times New Roman" w:eastAsia="NSimSun" w:hAnsi="Times New Roman" w:cs="Times New Roman"/>
          <w:kern w:val="2"/>
          <w:lang w:bidi="hi-IN"/>
        </w:rPr>
        <w:t xml:space="preserve">юридичним особам (теплова енергія </w:t>
      </w:r>
      <w:r>
        <w:rPr>
          <w:rFonts w:ascii="Times New Roman" w:hAnsi="Times New Roman" w:cs="Times New Roman"/>
          <w:sz w:val="24"/>
          <w:szCs w:val="24"/>
        </w:rPr>
        <w:t>–</w:t>
      </w:r>
      <w:r>
        <w:rPr>
          <w:rFonts w:ascii="Times New Roman" w:eastAsia="NSimSun" w:hAnsi="Times New Roman" w:cs="Times New Roman"/>
          <w:kern w:val="2"/>
          <w:lang w:bidi="hi-IN"/>
        </w:rPr>
        <w:t xml:space="preserve"> 1047 споживачам  та гаряча вода </w:t>
      </w:r>
      <w:r>
        <w:rPr>
          <w:rFonts w:ascii="Times New Roman" w:hAnsi="Times New Roman" w:cs="Times New Roman"/>
          <w:sz w:val="24"/>
          <w:szCs w:val="24"/>
        </w:rPr>
        <w:t>–</w:t>
      </w:r>
      <w:r>
        <w:rPr>
          <w:rFonts w:ascii="Times New Roman" w:eastAsia="NSimSun" w:hAnsi="Times New Roman" w:cs="Times New Roman"/>
          <w:kern w:val="2"/>
          <w:lang w:bidi="hi-IN"/>
        </w:rPr>
        <w:t xml:space="preserve"> 201 споживачам).</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Із 758 житлових будинків, засобами обліку теплової енергії обладнані 701 або 92,5 % усієї кількості та 98,6 % загальної опалювальної площі (загальна опалювальна площа </w:t>
      </w:r>
      <w:r>
        <w:rPr>
          <w:rFonts w:ascii="Times New Roman" w:hAnsi="Times New Roman" w:cs="Times New Roman"/>
          <w:sz w:val="24"/>
          <w:szCs w:val="24"/>
        </w:rPr>
        <w:t>–</w:t>
      </w:r>
      <w:r>
        <w:rPr>
          <w:rFonts w:ascii="Times New Roman" w:eastAsia="NSimSun" w:hAnsi="Times New Roman" w:cs="Times New Roman"/>
          <w:kern w:val="2"/>
          <w:sz w:val="24"/>
          <w:szCs w:val="24"/>
          <w:lang w:eastAsia="zh-CN" w:bidi="hi-IN"/>
        </w:rPr>
        <w:t xml:space="preserve"> 2621970,7 м</w:t>
      </w:r>
      <w:r>
        <w:rPr>
          <w:rFonts w:ascii="Times New Roman" w:eastAsia="NSimSun" w:hAnsi="Times New Roman" w:cs="Times New Roman"/>
          <w:kern w:val="2"/>
          <w:sz w:val="24"/>
          <w:szCs w:val="24"/>
          <w:vertAlign w:val="superscript"/>
          <w:lang w:eastAsia="zh-CN" w:bidi="hi-IN"/>
        </w:rPr>
        <w:t>2</w:t>
      </w:r>
      <w:r>
        <w:rPr>
          <w:rFonts w:ascii="Times New Roman" w:eastAsia="NSimSun" w:hAnsi="Times New Roman" w:cs="Times New Roman"/>
          <w:kern w:val="2"/>
          <w:sz w:val="24"/>
          <w:szCs w:val="24"/>
          <w:lang w:eastAsia="zh-CN" w:bidi="hi-IN"/>
        </w:rPr>
        <w:t xml:space="preserve">).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Транспортування теплової енергії до споживача (таблиця 20) відбувається тепловими мережами двотрубного типу, що прокладені переважно підземно-канальним способом в непрохідних залізобетонних лотках (127,871 км) та тепловими мережами надземного способу прокладання (3,655 км). </w:t>
      </w:r>
    </w:p>
    <w:p w:rsidR="00D227E2" w:rsidRDefault="00934FC4">
      <w:pPr>
        <w:spacing w:after="0" w:line="240" w:lineRule="auto"/>
        <w:jc w:val="center"/>
        <w:rPr>
          <w:rFonts w:ascii="Times New Roman" w:hAnsi="Times New Roman" w:cs="Times New Roman"/>
        </w:rPr>
      </w:pPr>
      <w:r>
        <w:rPr>
          <w:rFonts w:ascii="Times New Roman" w:eastAsia="NSimSun" w:hAnsi="Times New Roman" w:cs="Times New Roman"/>
          <w:kern w:val="2"/>
          <w:sz w:val="24"/>
          <w:szCs w:val="24"/>
          <w:lang w:eastAsia="zh-CN" w:bidi="hi-IN"/>
        </w:rPr>
        <w:t>Таблиця 20. За типом прокладання трубопроводів в двотрубному обчислені</w:t>
      </w:r>
    </w:p>
    <w:tbl>
      <w:tblPr>
        <w:tblW w:w="9630" w:type="dxa"/>
        <w:tblInd w:w="226" w:type="dxa"/>
        <w:tblLayout w:type="fixed"/>
        <w:tblLook w:val="04A0" w:firstRow="1" w:lastRow="0" w:firstColumn="1" w:lastColumn="0" w:noHBand="0" w:noVBand="1"/>
      </w:tblPr>
      <w:tblGrid>
        <w:gridCol w:w="494"/>
        <w:gridCol w:w="7100"/>
        <w:gridCol w:w="2036"/>
      </w:tblGrid>
      <w:tr w:rsidR="00D227E2">
        <w:tc>
          <w:tcPr>
            <w:tcW w:w="494" w:type="dxa"/>
            <w:tcBorders>
              <w:top w:val="single" w:sz="2" w:space="0" w:color="000000"/>
              <w:left w:val="single" w:sz="2" w:space="0" w:color="000000"/>
              <w:bottom w:val="single" w:sz="2"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kern w:val="2"/>
                <w:sz w:val="24"/>
                <w:szCs w:val="24"/>
                <w:lang w:bidi="hi-IN"/>
              </w:rPr>
              <w:t>№</w:t>
            </w:r>
          </w:p>
        </w:tc>
        <w:tc>
          <w:tcPr>
            <w:tcW w:w="7100" w:type="dxa"/>
            <w:tcBorders>
              <w:top w:val="single" w:sz="2" w:space="0" w:color="000000"/>
              <w:left w:val="single" w:sz="2" w:space="0" w:color="000000"/>
              <w:bottom w:val="single" w:sz="2"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kern w:val="2"/>
                <w:sz w:val="24"/>
                <w:szCs w:val="24"/>
                <w:lang w:bidi="hi-IN"/>
              </w:rPr>
              <w:t>Характеристика</w:t>
            </w:r>
          </w:p>
        </w:tc>
        <w:tc>
          <w:tcPr>
            <w:tcW w:w="2036" w:type="dxa"/>
            <w:tcBorders>
              <w:top w:val="single" w:sz="2" w:space="0" w:color="000000"/>
              <w:left w:val="single" w:sz="2" w:space="0" w:color="000000"/>
              <w:bottom w:val="single" w:sz="2" w:space="0" w:color="000000"/>
              <w:right w:val="single" w:sz="2"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kern w:val="2"/>
                <w:sz w:val="24"/>
                <w:szCs w:val="24"/>
                <w:lang w:bidi="hi-IN"/>
              </w:rPr>
              <w:t>2023</w:t>
            </w:r>
          </w:p>
        </w:tc>
      </w:tr>
      <w:tr w:rsidR="00D227E2">
        <w:tc>
          <w:tcPr>
            <w:tcW w:w="494" w:type="dxa"/>
            <w:tcBorders>
              <w:left w:val="single" w:sz="2" w:space="0" w:color="000000"/>
              <w:bottom w:val="single" w:sz="2"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hAnsi="Times New Roman" w:cs="Times New Roman"/>
                <w:kern w:val="2"/>
                <w:sz w:val="24"/>
                <w:szCs w:val="24"/>
                <w:lang w:bidi="hi-IN"/>
              </w:rPr>
              <w:t>1</w:t>
            </w:r>
          </w:p>
        </w:tc>
        <w:tc>
          <w:tcPr>
            <w:tcW w:w="7100" w:type="dxa"/>
            <w:tcBorders>
              <w:left w:val="single" w:sz="2" w:space="0" w:color="000000"/>
              <w:bottom w:val="single" w:sz="2"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hAnsi="Times New Roman" w:cs="Times New Roman"/>
                <w:kern w:val="2"/>
                <w:sz w:val="24"/>
                <w:szCs w:val="24"/>
                <w:lang w:bidi="hi-IN"/>
              </w:rPr>
              <w:t>Трубопроводи підземного прокладення в каналах, м</w:t>
            </w:r>
          </w:p>
        </w:tc>
        <w:tc>
          <w:tcPr>
            <w:tcW w:w="2036" w:type="dxa"/>
            <w:tcBorders>
              <w:left w:val="single" w:sz="2" w:space="0" w:color="000000"/>
              <w:bottom w:val="single" w:sz="2" w:space="0" w:color="000000"/>
              <w:right w:val="single" w:sz="2"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kern w:val="2"/>
                <w:sz w:val="24"/>
                <w:szCs w:val="24"/>
                <w:lang w:bidi="hi-IN"/>
              </w:rPr>
              <w:t>127 871,9</w:t>
            </w:r>
          </w:p>
        </w:tc>
      </w:tr>
      <w:tr w:rsidR="00D227E2">
        <w:tc>
          <w:tcPr>
            <w:tcW w:w="494" w:type="dxa"/>
            <w:tcBorders>
              <w:left w:val="single" w:sz="2" w:space="0" w:color="000000"/>
              <w:bottom w:val="single" w:sz="2"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hAnsi="Times New Roman" w:cs="Times New Roman"/>
                <w:kern w:val="2"/>
                <w:sz w:val="24"/>
                <w:szCs w:val="24"/>
                <w:lang w:bidi="hi-IN"/>
              </w:rPr>
              <w:t>2</w:t>
            </w:r>
          </w:p>
        </w:tc>
        <w:tc>
          <w:tcPr>
            <w:tcW w:w="7100" w:type="dxa"/>
            <w:tcBorders>
              <w:left w:val="single" w:sz="2" w:space="0" w:color="000000"/>
              <w:bottom w:val="single" w:sz="2"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hAnsi="Times New Roman" w:cs="Times New Roman"/>
                <w:kern w:val="2"/>
                <w:sz w:val="24"/>
                <w:szCs w:val="24"/>
                <w:lang w:bidi="hi-IN"/>
              </w:rPr>
              <w:t>Трубопроводи повітряного розведення, м</w:t>
            </w:r>
          </w:p>
        </w:tc>
        <w:tc>
          <w:tcPr>
            <w:tcW w:w="2036" w:type="dxa"/>
            <w:tcBorders>
              <w:left w:val="single" w:sz="2" w:space="0" w:color="000000"/>
              <w:bottom w:val="single" w:sz="2" w:space="0" w:color="000000"/>
              <w:right w:val="single" w:sz="2" w:space="0" w:color="000000"/>
            </w:tcBorders>
            <w:shd w:val="clear" w:color="auto" w:fill="auto"/>
          </w:tcPr>
          <w:p w:rsidR="00D227E2" w:rsidRDefault="00934FC4">
            <w:pPr>
              <w:widowControl w:val="0"/>
              <w:suppressAutoHyphens w:val="0"/>
              <w:spacing w:after="0" w:line="240" w:lineRule="auto"/>
              <w:jc w:val="center"/>
              <w:rPr>
                <w:rFonts w:ascii="Times New Roman" w:hAnsi="Times New Roman" w:cs="Times New Roman"/>
              </w:rPr>
            </w:pPr>
            <w:r>
              <w:rPr>
                <w:rFonts w:ascii="Times New Roman" w:hAnsi="Times New Roman" w:cs="Times New Roman"/>
                <w:kern w:val="2"/>
                <w:sz w:val="24"/>
                <w:szCs w:val="24"/>
                <w:lang w:bidi="hi-IN"/>
              </w:rPr>
              <w:t>3 655,2</w:t>
            </w:r>
          </w:p>
        </w:tc>
      </w:tr>
    </w:tbl>
    <w:p w:rsidR="00D227E2" w:rsidRDefault="00934FC4">
      <w:pPr>
        <w:spacing w:after="0" w:line="240" w:lineRule="auto"/>
        <w:ind w:firstLine="510"/>
        <w:jc w:val="both"/>
        <w:rPr>
          <w:rFonts w:ascii="Times New Roman" w:hAnsi="Times New Roman" w:cs="Times New Roman"/>
        </w:rPr>
      </w:pPr>
      <w:r>
        <w:rPr>
          <w:rFonts w:ascii="Times New Roman" w:eastAsia="NSimSun" w:hAnsi="Times New Roman" w:cs="Times New Roman"/>
          <w:kern w:val="2"/>
          <w:sz w:val="24"/>
          <w:szCs w:val="24"/>
          <w:lang w:eastAsia="zh-CN" w:bidi="hi-IN"/>
        </w:rPr>
        <w:lastRenderedPageBreak/>
        <w:t xml:space="preserve">У таблиці 21 показано обсяги </w:t>
      </w:r>
      <w:r>
        <w:rPr>
          <w:rFonts w:ascii="Times New Roman" w:hAnsi="Times New Roman" w:cs="Times New Roman"/>
          <w:kern w:val="2"/>
          <w:sz w:val="24"/>
          <w:szCs w:val="24"/>
          <w:lang w:bidi="hi-IN"/>
        </w:rPr>
        <w:t>заміни трубопроводів на попередньо ізольовані в двотрубному обчислені</w:t>
      </w:r>
    </w:p>
    <w:p w:rsidR="00D227E2" w:rsidRDefault="00934FC4">
      <w:pPr>
        <w:spacing w:after="0" w:line="240" w:lineRule="auto"/>
        <w:ind w:firstLine="510"/>
        <w:jc w:val="center"/>
        <w:rPr>
          <w:rFonts w:ascii="Times New Roman" w:hAnsi="Times New Roman" w:cs="Times New Roman"/>
        </w:rPr>
      </w:pPr>
      <w:r>
        <w:rPr>
          <w:rFonts w:ascii="Times New Roman" w:hAnsi="Times New Roman" w:cs="Times New Roman"/>
          <w:kern w:val="2"/>
          <w:sz w:val="24"/>
          <w:szCs w:val="24"/>
          <w:lang w:bidi="hi-IN"/>
        </w:rPr>
        <w:t>Таблиця 21. Обсяги заміни трубопроводів на попередньо ізольовані в двотрубному обчислені</w:t>
      </w:r>
    </w:p>
    <w:tbl>
      <w:tblPr>
        <w:tblW w:w="9535" w:type="dxa"/>
        <w:tblInd w:w="242" w:type="dxa"/>
        <w:tblLayout w:type="fixed"/>
        <w:tblLook w:val="04A0" w:firstRow="1" w:lastRow="0" w:firstColumn="1" w:lastColumn="0" w:noHBand="0" w:noVBand="1"/>
      </w:tblPr>
      <w:tblGrid>
        <w:gridCol w:w="2910"/>
        <w:gridCol w:w="1580"/>
        <w:gridCol w:w="1579"/>
        <w:gridCol w:w="1596"/>
        <w:gridCol w:w="1870"/>
      </w:tblGrid>
      <w:tr w:rsidR="00D227E2">
        <w:tc>
          <w:tcPr>
            <w:tcW w:w="2910" w:type="dxa"/>
            <w:tcBorders>
              <w:top w:val="single" w:sz="2" w:space="0" w:color="000000"/>
              <w:left w:val="single" w:sz="2" w:space="0" w:color="000000"/>
              <w:bottom w:val="single" w:sz="2" w:space="0" w:color="000000"/>
            </w:tcBorders>
            <w:shd w:val="clear" w:color="auto" w:fill="auto"/>
          </w:tcPr>
          <w:p w:rsidR="00D227E2" w:rsidRDefault="00D227E2">
            <w:pPr>
              <w:widowControl w:val="0"/>
              <w:spacing w:after="0" w:line="240" w:lineRule="auto"/>
              <w:rPr>
                <w:rFonts w:ascii="Times New Roman" w:hAnsi="Times New Roman" w:cs="Times New Roman"/>
                <w:kern w:val="2"/>
                <w:sz w:val="24"/>
                <w:szCs w:val="24"/>
                <w:lang w:bidi="hi-IN"/>
              </w:rPr>
            </w:pPr>
          </w:p>
        </w:tc>
        <w:tc>
          <w:tcPr>
            <w:tcW w:w="1580" w:type="dxa"/>
            <w:tcBorders>
              <w:top w:val="single" w:sz="2" w:space="0" w:color="000000"/>
              <w:left w:val="single" w:sz="2" w:space="0" w:color="000000"/>
              <w:bottom w:val="single" w:sz="2"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kern w:val="2"/>
                <w:sz w:val="24"/>
                <w:szCs w:val="24"/>
                <w:lang w:bidi="hi-IN"/>
              </w:rPr>
              <w:t>2007-2009</w:t>
            </w:r>
          </w:p>
        </w:tc>
        <w:tc>
          <w:tcPr>
            <w:tcW w:w="1579" w:type="dxa"/>
            <w:tcBorders>
              <w:top w:val="single" w:sz="2" w:space="0" w:color="000000"/>
              <w:left w:val="single" w:sz="2" w:space="0" w:color="000000"/>
              <w:bottom w:val="single" w:sz="2"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kern w:val="2"/>
                <w:sz w:val="24"/>
                <w:szCs w:val="24"/>
                <w:lang w:bidi="hi-IN"/>
              </w:rPr>
              <w:t>2010-2014</w:t>
            </w:r>
          </w:p>
        </w:tc>
        <w:tc>
          <w:tcPr>
            <w:tcW w:w="1596" w:type="dxa"/>
            <w:tcBorders>
              <w:top w:val="single" w:sz="2" w:space="0" w:color="000000"/>
              <w:left w:val="single" w:sz="2" w:space="0" w:color="000000"/>
              <w:bottom w:val="single" w:sz="2"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kern w:val="2"/>
                <w:sz w:val="24"/>
                <w:szCs w:val="24"/>
                <w:lang w:bidi="hi-IN"/>
              </w:rPr>
              <w:t>2015-2019</w:t>
            </w:r>
          </w:p>
        </w:tc>
        <w:tc>
          <w:tcPr>
            <w:tcW w:w="1870" w:type="dxa"/>
            <w:tcBorders>
              <w:top w:val="single" w:sz="2" w:space="0" w:color="000000"/>
              <w:left w:val="single" w:sz="2" w:space="0" w:color="000000"/>
              <w:bottom w:val="single" w:sz="2" w:space="0" w:color="000000"/>
              <w:right w:val="single" w:sz="2"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kern w:val="2"/>
                <w:sz w:val="24"/>
                <w:szCs w:val="24"/>
                <w:lang w:bidi="hi-IN"/>
              </w:rPr>
              <w:t>2020-2022</w:t>
            </w:r>
          </w:p>
        </w:tc>
      </w:tr>
      <w:tr w:rsidR="00D227E2">
        <w:tc>
          <w:tcPr>
            <w:tcW w:w="2910" w:type="dxa"/>
            <w:tcBorders>
              <w:left w:val="single" w:sz="2" w:space="0" w:color="000000"/>
              <w:bottom w:val="single" w:sz="2"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hAnsi="Times New Roman" w:cs="Times New Roman"/>
                <w:kern w:val="2"/>
                <w:sz w:val="24"/>
                <w:szCs w:val="24"/>
                <w:lang w:bidi="hi-IN"/>
              </w:rPr>
              <w:t>Обсяги заміни трубопроводів на попередньо ізольовані, м</w:t>
            </w:r>
          </w:p>
        </w:tc>
        <w:tc>
          <w:tcPr>
            <w:tcW w:w="1580" w:type="dxa"/>
            <w:tcBorders>
              <w:left w:val="single" w:sz="2" w:space="0" w:color="000000"/>
              <w:bottom w:val="single" w:sz="2" w:space="0" w:color="000000"/>
            </w:tcBorders>
            <w:shd w:val="clear" w:color="auto" w:fill="auto"/>
            <w:vAlign w:val="center"/>
          </w:tcPr>
          <w:p w:rsidR="00D227E2" w:rsidRDefault="00934FC4">
            <w:pPr>
              <w:widowControl w:val="0"/>
              <w:suppressAutoHyphens w:val="0"/>
              <w:spacing w:after="0" w:line="240" w:lineRule="auto"/>
              <w:jc w:val="center"/>
              <w:rPr>
                <w:rFonts w:ascii="Times New Roman" w:hAnsi="Times New Roman" w:cs="Times New Roman"/>
              </w:rPr>
            </w:pPr>
            <w:r>
              <w:rPr>
                <w:rFonts w:ascii="Times New Roman" w:hAnsi="Times New Roman" w:cs="Times New Roman"/>
                <w:kern w:val="2"/>
                <w:sz w:val="24"/>
                <w:szCs w:val="24"/>
                <w:lang w:bidi="hi-IN"/>
              </w:rPr>
              <w:t>1939,4</w:t>
            </w:r>
          </w:p>
          <w:p w:rsidR="00D227E2" w:rsidRDefault="00D227E2">
            <w:pPr>
              <w:widowControl w:val="0"/>
              <w:spacing w:after="0" w:line="240" w:lineRule="auto"/>
              <w:jc w:val="center"/>
              <w:rPr>
                <w:rFonts w:ascii="Times New Roman" w:hAnsi="Times New Roman" w:cs="Times New Roman"/>
                <w:kern w:val="2"/>
                <w:sz w:val="24"/>
                <w:szCs w:val="24"/>
                <w:lang w:bidi="hi-IN"/>
              </w:rPr>
            </w:pPr>
          </w:p>
        </w:tc>
        <w:tc>
          <w:tcPr>
            <w:tcW w:w="1579" w:type="dxa"/>
            <w:tcBorders>
              <w:left w:val="single" w:sz="2" w:space="0" w:color="000000"/>
              <w:bottom w:val="single" w:sz="2" w:space="0" w:color="000000"/>
            </w:tcBorders>
            <w:shd w:val="clear" w:color="auto" w:fill="auto"/>
            <w:vAlign w:val="center"/>
          </w:tcPr>
          <w:p w:rsidR="00D227E2" w:rsidRDefault="00934FC4">
            <w:pPr>
              <w:widowControl w:val="0"/>
              <w:suppressAutoHyphens w:val="0"/>
              <w:spacing w:after="0" w:line="240" w:lineRule="auto"/>
              <w:jc w:val="center"/>
              <w:rPr>
                <w:rFonts w:ascii="Times New Roman" w:hAnsi="Times New Roman" w:cs="Times New Roman"/>
              </w:rPr>
            </w:pPr>
            <w:r>
              <w:rPr>
                <w:rFonts w:ascii="Times New Roman" w:hAnsi="Times New Roman" w:cs="Times New Roman"/>
                <w:kern w:val="2"/>
                <w:sz w:val="24"/>
                <w:szCs w:val="24"/>
                <w:lang w:bidi="hi-IN"/>
              </w:rPr>
              <w:t>1198,8</w:t>
            </w:r>
          </w:p>
          <w:p w:rsidR="00D227E2" w:rsidRDefault="00D227E2">
            <w:pPr>
              <w:widowControl w:val="0"/>
              <w:spacing w:after="0" w:line="240" w:lineRule="auto"/>
              <w:jc w:val="center"/>
              <w:rPr>
                <w:rFonts w:ascii="Times New Roman" w:hAnsi="Times New Roman" w:cs="Times New Roman"/>
                <w:kern w:val="2"/>
                <w:sz w:val="24"/>
                <w:szCs w:val="24"/>
                <w:lang w:bidi="hi-IN"/>
              </w:rPr>
            </w:pPr>
          </w:p>
        </w:tc>
        <w:tc>
          <w:tcPr>
            <w:tcW w:w="1596" w:type="dxa"/>
            <w:tcBorders>
              <w:left w:val="single" w:sz="2" w:space="0" w:color="000000"/>
              <w:bottom w:val="single" w:sz="2" w:space="0" w:color="000000"/>
            </w:tcBorders>
            <w:shd w:val="clear" w:color="auto" w:fill="auto"/>
            <w:vAlign w:val="center"/>
          </w:tcPr>
          <w:p w:rsidR="00D227E2" w:rsidRDefault="00934FC4">
            <w:pPr>
              <w:widowControl w:val="0"/>
              <w:suppressAutoHyphens w:val="0"/>
              <w:spacing w:after="0" w:line="240" w:lineRule="auto"/>
              <w:jc w:val="center"/>
              <w:rPr>
                <w:rFonts w:ascii="Times New Roman" w:hAnsi="Times New Roman" w:cs="Times New Roman"/>
              </w:rPr>
            </w:pPr>
            <w:r>
              <w:rPr>
                <w:rFonts w:ascii="Times New Roman" w:hAnsi="Times New Roman" w:cs="Times New Roman"/>
                <w:kern w:val="2"/>
                <w:sz w:val="24"/>
                <w:szCs w:val="24"/>
                <w:lang w:bidi="hi-IN"/>
              </w:rPr>
              <w:t>9229,9</w:t>
            </w:r>
          </w:p>
          <w:p w:rsidR="00D227E2" w:rsidRDefault="00D227E2">
            <w:pPr>
              <w:widowControl w:val="0"/>
              <w:spacing w:after="0" w:line="240" w:lineRule="auto"/>
              <w:jc w:val="center"/>
              <w:rPr>
                <w:rFonts w:ascii="Times New Roman" w:hAnsi="Times New Roman" w:cs="Times New Roman"/>
                <w:kern w:val="2"/>
                <w:sz w:val="24"/>
                <w:szCs w:val="24"/>
                <w:lang w:bidi="hi-IN"/>
              </w:rPr>
            </w:pPr>
          </w:p>
        </w:tc>
        <w:tc>
          <w:tcPr>
            <w:tcW w:w="1870" w:type="dxa"/>
            <w:tcBorders>
              <w:left w:val="single" w:sz="2" w:space="0" w:color="000000"/>
              <w:bottom w:val="single" w:sz="2" w:space="0" w:color="000000"/>
              <w:right w:val="single" w:sz="2" w:space="0" w:color="000000"/>
            </w:tcBorders>
            <w:shd w:val="clear" w:color="auto" w:fill="auto"/>
            <w:vAlign w:val="center"/>
          </w:tcPr>
          <w:p w:rsidR="00D227E2" w:rsidRDefault="00934FC4">
            <w:pPr>
              <w:widowControl w:val="0"/>
              <w:suppressAutoHyphens w:val="0"/>
              <w:spacing w:after="0" w:line="240" w:lineRule="auto"/>
              <w:jc w:val="center"/>
              <w:rPr>
                <w:rFonts w:ascii="Times New Roman" w:hAnsi="Times New Roman" w:cs="Times New Roman"/>
              </w:rPr>
            </w:pPr>
            <w:r>
              <w:rPr>
                <w:rFonts w:ascii="Times New Roman" w:hAnsi="Times New Roman" w:cs="Times New Roman"/>
                <w:kern w:val="2"/>
                <w:sz w:val="24"/>
                <w:szCs w:val="24"/>
                <w:lang w:bidi="hi-IN"/>
              </w:rPr>
              <w:t>258,4</w:t>
            </w:r>
          </w:p>
          <w:p w:rsidR="00D227E2" w:rsidRDefault="00D227E2">
            <w:pPr>
              <w:widowControl w:val="0"/>
              <w:spacing w:after="0" w:line="240" w:lineRule="auto"/>
              <w:jc w:val="center"/>
              <w:rPr>
                <w:rFonts w:ascii="Times New Roman" w:hAnsi="Times New Roman" w:cs="Times New Roman"/>
                <w:kern w:val="2"/>
                <w:sz w:val="24"/>
                <w:szCs w:val="24"/>
                <w:lang w:bidi="hi-IN"/>
              </w:rPr>
            </w:pPr>
          </w:p>
        </w:tc>
      </w:tr>
    </w:tbl>
    <w:p w:rsidR="00D227E2" w:rsidRDefault="00934FC4">
      <w:pPr>
        <w:spacing w:after="0"/>
        <w:ind w:firstLine="510"/>
        <w:jc w:val="both"/>
        <w:rPr>
          <w:rFonts w:ascii="Times New Roman" w:hAnsi="Times New Roman" w:cs="Times New Roman"/>
        </w:rPr>
      </w:pPr>
      <w:r>
        <w:rPr>
          <w:rFonts w:ascii="Times New Roman" w:eastAsia="NSimSun" w:hAnsi="Times New Roman" w:cs="Times New Roman"/>
          <w:kern w:val="2"/>
          <w:sz w:val="24"/>
          <w:szCs w:val="24"/>
          <w:lang w:eastAsia="zh-CN" w:bidi="hi-IN"/>
        </w:rPr>
        <w:t>Інформація про кількість виробленої теплової енергії ДКП «Луцьктепло» зазначена у таблиці 22 та на рисунку 18.</w:t>
      </w:r>
    </w:p>
    <w:p w:rsidR="00D227E2" w:rsidRDefault="00934FC4">
      <w:pPr>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Таблиця 22. Кількість виробленої теплової енергії ДКП «Луцьктепло»</w:t>
      </w:r>
    </w:p>
    <w:tbl>
      <w:tblPr>
        <w:tblW w:w="9596" w:type="dxa"/>
        <w:tblInd w:w="9" w:type="dxa"/>
        <w:tblLayout w:type="fixed"/>
        <w:tblCellMar>
          <w:left w:w="10" w:type="dxa"/>
          <w:right w:w="10" w:type="dxa"/>
        </w:tblCellMar>
        <w:tblLook w:val="01E0" w:firstRow="1" w:lastRow="1" w:firstColumn="1" w:lastColumn="1" w:noHBand="0" w:noVBand="0"/>
      </w:tblPr>
      <w:tblGrid>
        <w:gridCol w:w="1663"/>
        <w:gridCol w:w="1154"/>
        <w:gridCol w:w="1134"/>
        <w:gridCol w:w="1138"/>
        <w:gridCol w:w="1144"/>
        <w:gridCol w:w="1159"/>
        <w:gridCol w:w="1138"/>
        <w:gridCol w:w="1066"/>
      </w:tblGrid>
      <w:tr w:rsidR="00D227E2">
        <w:tc>
          <w:tcPr>
            <w:tcW w:w="1662" w:type="dxa"/>
            <w:vMerge w:val="restart"/>
            <w:tcBorders>
              <w:top w:val="single" w:sz="8" w:space="0" w:color="000000"/>
              <w:left w:val="single" w:sz="8" w:space="0" w:color="000000"/>
              <w:bottom w:val="single" w:sz="4"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4"/>
                <w:szCs w:val="24"/>
              </w:rPr>
              <w:t>Параметр</w:t>
            </w:r>
          </w:p>
        </w:tc>
        <w:tc>
          <w:tcPr>
            <w:tcW w:w="7932" w:type="dxa"/>
            <w:gridSpan w:val="7"/>
            <w:tcBorders>
              <w:top w:val="single" w:sz="8" w:space="0" w:color="000000"/>
              <w:left w:val="single" w:sz="8" w:space="0" w:color="000000"/>
              <w:bottom w:val="single" w:sz="8"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4"/>
                <w:szCs w:val="24"/>
              </w:rPr>
              <w:t>Роки</w:t>
            </w:r>
          </w:p>
        </w:tc>
      </w:tr>
      <w:tr w:rsidR="00D227E2">
        <w:tc>
          <w:tcPr>
            <w:tcW w:w="1662" w:type="dxa"/>
            <w:vMerge/>
            <w:tcBorders>
              <w:left w:val="single" w:sz="8" w:space="0" w:color="000000"/>
              <w:bottom w:val="single" w:sz="4" w:space="0" w:color="000000"/>
              <w:right w:val="single" w:sz="8" w:space="0" w:color="000000"/>
            </w:tcBorders>
            <w:shd w:val="clear" w:color="auto" w:fill="auto"/>
          </w:tcPr>
          <w:p w:rsidR="00D227E2" w:rsidRDefault="00D227E2">
            <w:pPr>
              <w:widowControl w:val="0"/>
              <w:spacing w:after="0" w:line="240" w:lineRule="auto"/>
              <w:jc w:val="center"/>
              <w:rPr>
                <w:rFonts w:ascii="Times New Roman" w:eastAsia="NSimSun" w:hAnsi="Times New Roman" w:cs="Times New Roman"/>
                <w:kern w:val="2"/>
                <w:sz w:val="24"/>
                <w:szCs w:val="24"/>
                <w:lang w:eastAsia="zh-CN" w:bidi="hi-IN"/>
              </w:rPr>
            </w:pPr>
          </w:p>
        </w:tc>
        <w:tc>
          <w:tcPr>
            <w:tcW w:w="1153" w:type="dxa"/>
            <w:tcBorders>
              <w:top w:val="single" w:sz="8" w:space="0" w:color="000000"/>
              <w:left w:val="single" w:sz="8" w:space="0" w:color="000000"/>
              <w:bottom w:val="single" w:sz="4"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4"/>
                <w:szCs w:val="24"/>
              </w:rPr>
              <w:t>2007</w:t>
            </w:r>
          </w:p>
        </w:tc>
        <w:tc>
          <w:tcPr>
            <w:tcW w:w="1134" w:type="dxa"/>
            <w:tcBorders>
              <w:top w:val="single" w:sz="8" w:space="0" w:color="000000"/>
              <w:left w:val="single" w:sz="8" w:space="0" w:color="000000"/>
              <w:bottom w:val="single" w:sz="4"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4"/>
                <w:szCs w:val="24"/>
              </w:rPr>
              <w:t>2017</w:t>
            </w:r>
          </w:p>
        </w:tc>
        <w:tc>
          <w:tcPr>
            <w:tcW w:w="1138" w:type="dxa"/>
            <w:tcBorders>
              <w:top w:val="single" w:sz="8" w:space="0" w:color="000000"/>
              <w:left w:val="single" w:sz="8" w:space="0" w:color="000000"/>
              <w:bottom w:val="single" w:sz="4"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4"/>
                <w:szCs w:val="24"/>
              </w:rPr>
              <w:t>2018</w:t>
            </w:r>
          </w:p>
        </w:tc>
        <w:tc>
          <w:tcPr>
            <w:tcW w:w="1144" w:type="dxa"/>
            <w:tcBorders>
              <w:top w:val="single" w:sz="8" w:space="0" w:color="000000"/>
              <w:left w:val="single" w:sz="8" w:space="0" w:color="000000"/>
              <w:bottom w:val="single" w:sz="4"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4"/>
                <w:szCs w:val="24"/>
              </w:rPr>
              <w:t>2019</w:t>
            </w:r>
          </w:p>
        </w:tc>
        <w:tc>
          <w:tcPr>
            <w:tcW w:w="1159" w:type="dxa"/>
            <w:tcBorders>
              <w:top w:val="single" w:sz="8" w:space="0" w:color="000000"/>
              <w:left w:val="single" w:sz="8" w:space="0" w:color="000000"/>
              <w:bottom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4"/>
                <w:szCs w:val="24"/>
              </w:rPr>
              <w:t>2020</w:t>
            </w:r>
          </w:p>
        </w:tc>
        <w:tc>
          <w:tcPr>
            <w:tcW w:w="1138" w:type="dxa"/>
            <w:tcBorders>
              <w:top w:val="single" w:sz="8" w:space="0" w:color="000000"/>
              <w:left w:val="single" w:sz="8" w:space="0" w:color="000000"/>
              <w:bottom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4"/>
                <w:szCs w:val="24"/>
              </w:rPr>
              <w:t>2021</w:t>
            </w:r>
          </w:p>
        </w:tc>
        <w:tc>
          <w:tcPr>
            <w:tcW w:w="1066" w:type="dxa"/>
            <w:tcBorders>
              <w:top w:val="single" w:sz="8" w:space="0" w:color="000000"/>
              <w:left w:val="single" w:sz="8" w:space="0" w:color="000000"/>
              <w:bottom w:val="single" w:sz="4"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4"/>
                <w:szCs w:val="24"/>
              </w:rPr>
              <w:t>2022</w:t>
            </w:r>
          </w:p>
        </w:tc>
      </w:tr>
      <w:tr w:rsidR="00D227E2">
        <w:trPr>
          <w:trHeight w:val="911"/>
        </w:trPr>
        <w:tc>
          <w:tcPr>
            <w:tcW w:w="1662"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sz w:val="24"/>
                <w:szCs w:val="24"/>
              </w:rPr>
              <w:t>Виробництво теплової енергії,</w:t>
            </w:r>
          </w:p>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sz w:val="24"/>
                <w:szCs w:val="24"/>
              </w:rPr>
              <w:t>тис. Гкал</w:t>
            </w:r>
          </w:p>
        </w:tc>
        <w:tc>
          <w:tcPr>
            <w:tcW w:w="11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4"/>
                <w:szCs w:val="24"/>
              </w:rPr>
              <w:t>608,4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4"/>
                <w:szCs w:val="24"/>
              </w:rPr>
              <w:t>516,3</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4"/>
                <w:szCs w:val="24"/>
              </w:rPr>
              <w:t>503,3</w:t>
            </w:r>
          </w:p>
        </w:tc>
        <w:tc>
          <w:tcPr>
            <w:tcW w:w="1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4"/>
                <w:szCs w:val="24"/>
              </w:rPr>
              <w:t>474,6</w:t>
            </w:r>
          </w:p>
        </w:tc>
        <w:tc>
          <w:tcPr>
            <w:tcW w:w="1159" w:type="dxa"/>
            <w:tcBorders>
              <w:top w:val="single" w:sz="4" w:space="0" w:color="000000"/>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4"/>
                <w:szCs w:val="24"/>
              </w:rPr>
              <w:t>475,9</w:t>
            </w:r>
          </w:p>
        </w:tc>
        <w:tc>
          <w:tcPr>
            <w:tcW w:w="1138" w:type="dxa"/>
            <w:tcBorders>
              <w:top w:val="single" w:sz="4" w:space="0" w:color="000000"/>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4"/>
                <w:szCs w:val="24"/>
              </w:rPr>
              <w:t>467,7</w:t>
            </w: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4"/>
                <w:szCs w:val="24"/>
              </w:rPr>
              <w:t>401,1</w:t>
            </w:r>
          </w:p>
        </w:tc>
      </w:tr>
    </w:tbl>
    <w:p w:rsidR="00D227E2" w:rsidRDefault="00934FC4">
      <w:pPr>
        <w:spacing w:after="0" w:line="240" w:lineRule="auto"/>
        <w:rPr>
          <w:rFonts w:ascii="Times New Roman" w:eastAsia="NSimSun" w:hAnsi="Times New Roman" w:cs="Times New Roman"/>
          <w:kern w:val="2"/>
          <w:sz w:val="24"/>
          <w:szCs w:val="24"/>
          <w:lang w:eastAsia="zh-CN" w:bidi="hi-IN"/>
        </w:rPr>
      </w:pPr>
      <w:r>
        <w:rPr>
          <w:rFonts w:ascii="Times New Roman" w:eastAsia="NSimSun" w:hAnsi="Times New Roman" w:cs="Times New Roman"/>
          <w:noProof/>
          <w:kern w:val="2"/>
          <w:sz w:val="24"/>
          <w:szCs w:val="24"/>
          <w:lang w:eastAsia="uk-UA"/>
        </w:rPr>
        <w:drawing>
          <wp:anchor distT="0" distB="0" distL="0" distR="0" simplePos="0" relativeHeight="84" behindDoc="0" locked="0" layoutInCell="0" allowOverlap="1" wp14:anchorId="3ACD1497" wp14:editId="689BAD16">
            <wp:simplePos x="0" y="0"/>
            <wp:positionH relativeFrom="column">
              <wp:posOffset>1042670</wp:posOffset>
            </wp:positionH>
            <wp:positionV relativeFrom="paragraph">
              <wp:posOffset>88900</wp:posOffset>
            </wp:positionV>
            <wp:extent cx="3941445" cy="2217420"/>
            <wp:effectExtent l="0" t="0" r="0" b="0"/>
            <wp:wrapSquare wrapText="largest"/>
            <wp:docPr id="31" name="Об'єкт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anchor>
        </w:drawing>
      </w:r>
    </w:p>
    <w:p w:rsidR="00D227E2" w:rsidRDefault="00D227E2">
      <w:pPr>
        <w:spacing w:after="0" w:line="240" w:lineRule="auto"/>
        <w:rPr>
          <w:rFonts w:ascii="Times New Roman" w:eastAsia="NSimSun" w:hAnsi="Times New Roman" w:cs="Times New Roman"/>
          <w:kern w:val="2"/>
          <w:sz w:val="24"/>
          <w:szCs w:val="24"/>
          <w:lang w:eastAsia="zh-CN" w:bidi="hi-IN"/>
        </w:rPr>
      </w:pPr>
    </w:p>
    <w:p w:rsidR="00D227E2" w:rsidRDefault="00D227E2">
      <w:pPr>
        <w:spacing w:after="0"/>
        <w:jc w:val="both"/>
        <w:rPr>
          <w:rFonts w:ascii="Times New Roman" w:eastAsia="NSimSun" w:hAnsi="Times New Roman" w:cs="Times New Roman"/>
          <w:kern w:val="2"/>
          <w:sz w:val="24"/>
          <w:szCs w:val="24"/>
          <w:lang w:eastAsia="zh-CN" w:bidi="hi-IN"/>
        </w:rPr>
      </w:pPr>
    </w:p>
    <w:p w:rsidR="00D227E2" w:rsidRDefault="00D227E2">
      <w:pPr>
        <w:spacing w:after="0"/>
        <w:jc w:val="both"/>
        <w:rPr>
          <w:rFonts w:ascii="Times New Roman" w:eastAsia="NSimSun" w:hAnsi="Times New Roman" w:cs="Times New Roman"/>
          <w:kern w:val="2"/>
          <w:sz w:val="24"/>
          <w:szCs w:val="24"/>
          <w:lang w:eastAsia="zh-CN" w:bidi="hi-IN"/>
        </w:rPr>
      </w:pPr>
    </w:p>
    <w:p w:rsidR="00D227E2" w:rsidRDefault="00D227E2">
      <w:pPr>
        <w:spacing w:after="0"/>
        <w:jc w:val="both"/>
        <w:rPr>
          <w:rFonts w:ascii="Times New Roman" w:eastAsia="NSimSun" w:hAnsi="Times New Roman" w:cs="Times New Roman"/>
          <w:kern w:val="2"/>
          <w:sz w:val="24"/>
          <w:szCs w:val="24"/>
          <w:lang w:eastAsia="zh-CN" w:bidi="hi-IN"/>
        </w:rPr>
      </w:pPr>
    </w:p>
    <w:p w:rsidR="00D227E2" w:rsidRDefault="00D227E2">
      <w:pPr>
        <w:spacing w:after="0"/>
        <w:jc w:val="both"/>
        <w:rPr>
          <w:rFonts w:ascii="Times New Roman" w:eastAsia="NSimSun" w:hAnsi="Times New Roman" w:cs="Times New Roman"/>
          <w:kern w:val="2"/>
          <w:sz w:val="24"/>
          <w:szCs w:val="24"/>
          <w:lang w:eastAsia="zh-CN" w:bidi="hi-IN"/>
        </w:rPr>
      </w:pPr>
    </w:p>
    <w:p w:rsidR="00D227E2" w:rsidRDefault="00D227E2">
      <w:pPr>
        <w:spacing w:after="0"/>
        <w:jc w:val="both"/>
        <w:rPr>
          <w:rFonts w:ascii="Times New Roman" w:eastAsia="NSimSun" w:hAnsi="Times New Roman" w:cs="Times New Roman"/>
          <w:kern w:val="2"/>
          <w:sz w:val="24"/>
          <w:szCs w:val="24"/>
          <w:lang w:eastAsia="zh-CN" w:bidi="hi-IN"/>
        </w:rPr>
      </w:pPr>
    </w:p>
    <w:p w:rsidR="00D227E2" w:rsidRDefault="00D227E2">
      <w:pPr>
        <w:spacing w:after="0"/>
        <w:jc w:val="both"/>
        <w:rPr>
          <w:rFonts w:ascii="Times New Roman" w:eastAsia="NSimSun" w:hAnsi="Times New Roman" w:cs="Times New Roman"/>
          <w:kern w:val="2"/>
          <w:sz w:val="24"/>
          <w:szCs w:val="24"/>
          <w:lang w:eastAsia="zh-CN" w:bidi="hi-IN"/>
        </w:rPr>
      </w:pPr>
    </w:p>
    <w:p w:rsidR="00D227E2" w:rsidRDefault="00D227E2">
      <w:pPr>
        <w:spacing w:after="0"/>
        <w:jc w:val="both"/>
        <w:rPr>
          <w:rFonts w:ascii="Times New Roman" w:eastAsia="NSimSun" w:hAnsi="Times New Roman" w:cs="Times New Roman"/>
          <w:kern w:val="2"/>
          <w:sz w:val="24"/>
          <w:szCs w:val="24"/>
          <w:lang w:eastAsia="zh-CN" w:bidi="hi-IN"/>
        </w:rPr>
      </w:pPr>
    </w:p>
    <w:p w:rsidR="00D227E2" w:rsidRDefault="00D227E2">
      <w:pPr>
        <w:spacing w:after="0"/>
        <w:jc w:val="both"/>
        <w:rPr>
          <w:rFonts w:ascii="Times New Roman" w:eastAsia="NSimSun" w:hAnsi="Times New Roman" w:cs="Times New Roman"/>
          <w:kern w:val="2"/>
          <w:sz w:val="24"/>
          <w:szCs w:val="24"/>
          <w:lang w:eastAsia="zh-CN" w:bidi="hi-IN"/>
        </w:rPr>
      </w:pPr>
    </w:p>
    <w:p w:rsidR="00D227E2" w:rsidRDefault="00D227E2">
      <w:pPr>
        <w:spacing w:after="0"/>
        <w:jc w:val="both"/>
        <w:rPr>
          <w:rFonts w:ascii="Times New Roman" w:eastAsia="NSimSun" w:hAnsi="Times New Roman" w:cs="Times New Roman"/>
          <w:kern w:val="2"/>
          <w:sz w:val="24"/>
          <w:szCs w:val="24"/>
          <w:lang w:eastAsia="zh-CN" w:bidi="hi-IN"/>
        </w:rPr>
      </w:pPr>
    </w:p>
    <w:p w:rsidR="00D227E2" w:rsidRDefault="00D227E2">
      <w:pPr>
        <w:spacing w:after="0"/>
        <w:jc w:val="both"/>
        <w:rPr>
          <w:rFonts w:ascii="Times New Roman" w:eastAsia="NSimSun" w:hAnsi="Times New Roman" w:cs="Times New Roman"/>
          <w:kern w:val="2"/>
          <w:sz w:val="24"/>
          <w:szCs w:val="24"/>
          <w:lang w:eastAsia="zh-CN" w:bidi="hi-IN"/>
        </w:rPr>
      </w:pPr>
    </w:p>
    <w:p w:rsidR="00D227E2" w:rsidRDefault="00934FC4">
      <w:pPr>
        <w:spacing w:after="0" w:line="240" w:lineRule="auto"/>
        <w:ind w:firstLine="567"/>
        <w:jc w:val="center"/>
        <w:rPr>
          <w:rFonts w:ascii="Times New Roman" w:hAnsi="Times New Roman" w:cs="Times New Roman"/>
        </w:rPr>
      </w:pPr>
      <w:r>
        <w:rPr>
          <w:rFonts w:ascii="Times New Roman" w:eastAsia="NSimSun" w:hAnsi="Times New Roman" w:cs="Times New Roman"/>
          <w:kern w:val="2"/>
          <w:sz w:val="24"/>
          <w:szCs w:val="24"/>
          <w:lang w:eastAsia="zh-CN" w:bidi="hi-IN"/>
        </w:rPr>
        <w:t>Рисунок 18. Кількість виробленої теплової енергії ДКП «Луцьктепло»</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shd w:val="clear" w:color="auto" w:fill="FFFFFF"/>
          <w:lang w:eastAsia="zh-CN" w:bidi="hi-IN"/>
        </w:rPr>
        <w:t xml:space="preserve">Кількість виробленої теплової енергії підприємством ДКП «Луцьктепло» протягом останніх років поступово зменшується. Така тенденція пояснюється зменшенням попиту на централізоване опалення та централізоване постачання гарячої води, підвищенням температури зовнішнього повітря опалювальних сезонів та проведенням енергоефективних заходів. </w:t>
      </w:r>
      <w:r>
        <w:rPr>
          <w:rFonts w:ascii="Times New Roman" w:eastAsia="NSimSun" w:hAnsi="Times New Roman" w:cs="Times New Roman"/>
          <w:kern w:val="2"/>
          <w:sz w:val="24"/>
          <w:szCs w:val="24"/>
          <w:lang w:eastAsia="zh-CN" w:bidi="hi-IN"/>
        </w:rPr>
        <w:t>Разом з цим, необхідно враховувати також залежність попиту від тривалості опалювального періоду.</w:t>
      </w:r>
    </w:p>
    <w:p w:rsidR="00D227E2" w:rsidRDefault="00934FC4">
      <w:pPr>
        <w:spacing w:after="0" w:line="20" w:lineRule="atLeast"/>
        <w:jc w:val="center"/>
        <w:rPr>
          <w:rFonts w:ascii="Times New Roman" w:hAnsi="Times New Roman" w:cs="Times New Roman"/>
        </w:rPr>
      </w:pPr>
      <w:r>
        <w:rPr>
          <w:rFonts w:ascii="Times New Roman" w:hAnsi="Times New Roman" w:cs="Times New Roman"/>
          <w:sz w:val="24"/>
          <w:szCs w:val="24"/>
        </w:rPr>
        <w:t>Таблиця 23. Тривалість опалювального сезону, середні температури протягом опалювального сезону та кількості градусоднів</w:t>
      </w:r>
    </w:p>
    <w:tbl>
      <w:tblPr>
        <w:tblpPr w:leftFromText="180" w:rightFromText="180" w:vertAnchor="text" w:horzAnchor="margin" w:tblpY="54"/>
        <w:tblW w:w="9649" w:type="dxa"/>
        <w:tblInd w:w="10" w:type="dxa"/>
        <w:tblLayout w:type="fixed"/>
        <w:tblCellMar>
          <w:left w:w="10" w:type="dxa"/>
          <w:right w:w="10" w:type="dxa"/>
        </w:tblCellMar>
        <w:tblLook w:val="01E0" w:firstRow="1" w:lastRow="1" w:firstColumn="1" w:lastColumn="1" w:noHBand="0" w:noVBand="0"/>
      </w:tblPr>
      <w:tblGrid>
        <w:gridCol w:w="1896"/>
        <w:gridCol w:w="1457"/>
        <w:gridCol w:w="1427"/>
        <w:gridCol w:w="2440"/>
        <w:gridCol w:w="2429"/>
      </w:tblGrid>
      <w:tr w:rsidR="00D227E2">
        <w:trPr>
          <w:trHeight w:val="20"/>
        </w:trPr>
        <w:tc>
          <w:tcPr>
            <w:tcW w:w="1896"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Опалювальний період</w:t>
            </w:r>
          </w:p>
        </w:tc>
        <w:tc>
          <w:tcPr>
            <w:tcW w:w="1457"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Початок</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Кінець</w:t>
            </w:r>
          </w:p>
        </w:tc>
        <w:tc>
          <w:tcPr>
            <w:tcW w:w="244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Тривалість, діб</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Середня температура повітря за опалювальний період, °С</w:t>
            </w:r>
          </w:p>
        </w:tc>
      </w:tr>
      <w:tr w:rsidR="00D227E2">
        <w:trPr>
          <w:trHeight w:val="20"/>
        </w:trPr>
        <w:tc>
          <w:tcPr>
            <w:tcW w:w="1896"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2007-2008</w:t>
            </w:r>
          </w:p>
        </w:tc>
        <w:tc>
          <w:tcPr>
            <w:tcW w:w="1457"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15.10.2007</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15.04.2008</w:t>
            </w:r>
          </w:p>
        </w:tc>
        <w:tc>
          <w:tcPr>
            <w:tcW w:w="244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184</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3,5</w:t>
            </w:r>
          </w:p>
        </w:tc>
      </w:tr>
      <w:tr w:rsidR="00D227E2">
        <w:trPr>
          <w:trHeight w:val="70"/>
        </w:trPr>
        <w:tc>
          <w:tcPr>
            <w:tcW w:w="1896"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2014-2015</w:t>
            </w:r>
          </w:p>
        </w:tc>
        <w:tc>
          <w:tcPr>
            <w:tcW w:w="1457"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22.10.2014</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17.04.2015</w:t>
            </w:r>
          </w:p>
        </w:tc>
        <w:tc>
          <w:tcPr>
            <w:tcW w:w="244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167 (призупинення в листопаді і березні)</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1,7</w:t>
            </w:r>
          </w:p>
        </w:tc>
      </w:tr>
      <w:tr w:rsidR="00D227E2">
        <w:trPr>
          <w:trHeight w:val="20"/>
        </w:trPr>
        <w:tc>
          <w:tcPr>
            <w:tcW w:w="1896"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2015-2016</w:t>
            </w:r>
          </w:p>
        </w:tc>
        <w:tc>
          <w:tcPr>
            <w:tcW w:w="1457"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11.10.2015</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31.03.2016</w:t>
            </w:r>
          </w:p>
        </w:tc>
        <w:tc>
          <w:tcPr>
            <w:tcW w:w="244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171</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2,6</w:t>
            </w:r>
          </w:p>
        </w:tc>
      </w:tr>
      <w:tr w:rsidR="00D227E2">
        <w:trPr>
          <w:trHeight w:val="20"/>
        </w:trPr>
        <w:tc>
          <w:tcPr>
            <w:tcW w:w="1896"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2016-2017</w:t>
            </w:r>
          </w:p>
        </w:tc>
        <w:tc>
          <w:tcPr>
            <w:tcW w:w="1457"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9.10.2016</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11.04.2017</w:t>
            </w:r>
          </w:p>
        </w:tc>
        <w:tc>
          <w:tcPr>
            <w:tcW w:w="244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182 (призупинення в березні)</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0,9</w:t>
            </w:r>
          </w:p>
        </w:tc>
      </w:tr>
      <w:tr w:rsidR="00D227E2">
        <w:trPr>
          <w:trHeight w:val="20"/>
        </w:trPr>
        <w:tc>
          <w:tcPr>
            <w:tcW w:w="1896"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2017-2018</w:t>
            </w:r>
          </w:p>
        </w:tc>
        <w:tc>
          <w:tcPr>
            <w:tcW w:w="1457"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22.10.2017</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05.04.2018</w:t>
            </w:r>
          </w:p>
        </w:tc>
        <w:tc>
          <w:tcPr>
            <w:tcW w:w="244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165</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0,6</w:t>
            </w:r>
          </w:p>
        </w:tc>
      </w:tr>
      <w:tr w:rsidR="00D227E2">
        <w:trPr>
          <w:trHeight w:val="20"/>
        </w:trPr>
        <w:tc>
          <w:tcPr>
            <w:tcW w:w="1896"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2018-2019</w:t>
            </w:r>
          </w:p>
        </w:tc>
        <w:tc>
          <w:tcPr>
            <w:tcW w:w="1457"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22.10.2018</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05.04.2018</w:t>
            </w:r>
          </w:p>
        </w:tc>
        <w:tc>
          <w:tcPr>
            <w:tcW w:w="244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158(призупинення в ли</w:t>
            </w:r>
            <w:r>
              <w:rPr>
                <w:rFonts w:ascii="Times New Roman" w:hAnsi="Times New Roman" w:cs="Times New Roman"/>
              </w:rPr>
              <w:t>с</w:t>
            </w:r>
            <w:r>
              <w:rPr>
                <w:rFonts w:ascii="Times New Roman" w:hAnsi="Times New Roman" w:cs="Times New Roman"/>
              </w:rPr>
              <w:lastRenderedPageBreak/>
              <w:t>топаді)</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lastRenderedPageBreak/>
              <w:t>1,3</w:t>
            </w:r>
          </w:p>
        </w:tc>
      </w:tr>
      <w:tr w:rsidR="00D227E2">
        <w:trPr>
          <w:trHeight w:val="20"/>
        </w:trPr>
        <w:tc>
          <w:tcPr>
            <w:tcW w:w="1896"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lastRenderedPageBreak/>
              <w:t>2019-2020</w:t>
            </w:r>
          </w:p>
        </w:tc>
        <w:tc>
          <w:tcPr>
            <w:tcW w:w="1457"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29.10.2019</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08.04.2020</w:t>
            </w:r>
          </w:p>
        </w:tc>
        <w:tc>
          <w:tcPr>
            <w:tcW w:w="244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162</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3,5</w:t>
            </w:r>
          </w:p>
        </w:tc>
      </w:tr>
      <w:tr w:rsidR="00D227E2">
        <w:trPr>
          <w:trHeight w:val="20"/>
        </w:trPr>
        <w:tc>
          <w:tcPr>
            <w:tcW w:w="1896"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2020-2021</w:t>
            </w:r>
          </w:p>
        </w:tc>
        <w:tc>
          <w:tcPr>
            <w:tcW w:w="1457"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15.10.2020</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11.04.2021</w:t>
            </w:r>
          </w:p>
        </w:tc>
        <w:tc>
          <w:tcPr>
            <w:tcW w:w="244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178</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1,7</w:t>
            </w:r>
          </w:p>
        </w:tc>
      </w:tr>
      <w:tr w:rsidR="00D227E2">
        <w:trPr>
          <w:trHeight w:val="20"/>
        </w:trPr>
        <w:tc>
          <w:tcPr>
            <w:tcW w:w="1896"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2021-2022</w:t>
            </w:r>
          </w:p>
        </w:tc>
        <w:tc>
          <w:tcPr>
            <w:tcW w:w="1457"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10.10.2021</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06.04.2022</w:t>
            </w:r>
          </w:p>
        </w:tc>
        <w:tc>
          <w:tcPr>
            <w:tcW w:w="244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178</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2,2</w:t>
            </w:r>
          </w:p>
        </w:tc>
      </w:tr>
      <w:tr w:rsidR="00D227E2">
        <w:trPr>
          <w:trHeight w:val="20"/>
        </w:trPr>
        <w:tc>
          <w:tcPr>
            <w:tcW w:w="1896"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2022-2023</w:t>
            </w:r>
          </w:p>
        </w:tc>
        <w:tc>
          <w:tcPr>
            <w:tcW w:w="1457"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03.11.2022</w:t>
            </w:r>
          </w:p>
        </w:tc>
        <w:tc>
          <w:tcPr>
            <w:tcW w:w="1427"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09.04.2023</w:t>
            </w:r>
          </w:p>
        </w:tc>
        <w:tc>
          <w:tcPr>
            <w:tcW w:w="244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154 (призупинення в листопаді і березні)</w:t>
            </w:r>
          </w:p>
        </w:tc>
        <w:tc>
          <w:tcPr>
            <w:tcW w:w="242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0" w:lineRule="atLeast"/>
              <w:jc w:val="center"/>
              <w:rPr>
                <w:rFonts w:ascii="Times New Roman" w:hAnsi="Times New Roman" w:cs="Times New Roman"/>
              </w:rPr>
            </w:pPr>
            <w:r>
              <w:rPr>
                <w:rFonts w:ascii="Times New Roman" w:hAnsi="Times New Roman" w:cs="Times New Roman"/>
              </w:rPr>
              <w:t>2,0</w:t>
            </w:r>
          </w:p>
        </w:tc>
      </w:tr>
    </w:tbl>
    <w:p w:rsidR="00D227E2" w:rsidRDefault="00934FC4">
      <w:pPr>
        <w:spacing w:after="0"/>
        <w:ind w:firstLine="510"/>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Порівняння показників залежності кількості виробленого тепла і кількості градусоднів наведено на рисунку 19. Як можна побачити, існує кореляція кількості градусоднів і кількістю спожитого тепла по роках. </w:t>
      </w:r>
    </w:p>
    <w:p w:rsidR="00D227E2" w:rsidRDefault="00934FC4">
      <w:pPr>
        <w:spacing w:after="0"/>
        <w:jc w:val="both"/>
        <w:rPr>
          <w:rFonts w:ascii="Times New Roman" w:hAnsi="Times New Roman" w:cs="Times New Roman"/>
        </w:rPr>
      </w:pPr>
      <w:r>
        <w:rPr>
          <w:rFonts w:ascii="Times New Roman" w:eastAsia="NSimSun" w:hAnsi="Times New Roman" w:cs="Times New Roman"/>
          <w:noProof/>
          <w:kern w:val="2"/>
          <w:sz w:val="24"/>
          <w:szCs w:val="24"/>
          <w:lang w:eastAsia="uk-UA"/>
        </w:rPr>
        <w:drawing>
          <wp:anchor distT="0" distB="0" distL="0" distR="0" simplePos="0" relativeHeight="82" behindDoc="0" locked="0" layoutInCell="0" allowOverlap="1" wp14:anchorId="374C02BA" wp14:editId="7A117C53">
            <wp:simplePos x="0" y="0"/>
            <wp:positionH relativeFrom="column">
              <wp:posOffset>1057910</wp:posOffset>
            </wp:positionH>
            <wp:positionV relativeFrom="paragraph">
              <wp:posOffset>52705</wp:posOffset>
            </wp:positionV>
            <wp:extent cx="4231005" cy="2379980"/>
            <wp:effectExtent l="0" t="0" r="0" b="0"/>
            <wp:wrapSquare wrapText="largest"/>
            <wp:docPr id="32" name="Об'єкт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anchor>
        </w:drawing>
      </w:r>
      <w:r>
        <w:rPr>
          <w:rFonts w:ascii="Times New Roman" w:eastAsia="NSimSun" w:hAnsi="Times New Roman" w:cs="Times New Roman"/>
          <w:kern w:val="2"/>
          <w:sz w:val="24"/>
          <w:szCs w:val="24"/>
          <w:lang w:eastAsia="zh-CN" w:bidi="hi-IN"/>
        </w:rPr>
        <w:t> </w:t>
      </w:r>
    </w:p>
    <w:p w:rsidR="00D227E2" w:rsidRDefault="00D227E2">
      <w:pPr>
        <w:spacing w:after="0"/>
        <w:jc w:val="both"/>
        <w:rPr>
          <w:rFonts w:ascii="Times New Roman" w:eastAsia="NSimSun" w:hAnsi="Times New Roman" w:cs="Times New Roman"/>
          <w:kern w:val="2"/>
          <w:sz w:val="24"/>
          <w:szCs w:val="24"/>
          <w:lang w:eastAsia="zh-CN" w:bidi="hi-IN"/>
        </w:rPr>
      </w:pPr>
    </w:p>
    <w:p w:rsidR="00D227E2" w:rsidRDefault="00D227E2">
      <w:pPr>
        <w:spacing w:after="0"/>
        <w:jc w:val="both"/>
        <w:rPr>
          <w:rFonts w:ascii="Times New Roman" w:eastAsia="NSimSun" w:hAnsi="Times New Roman" w:cs="Times New Roman"/>
          <w:kern w:val="2"/>
          <w:sz w:val="24"/>
          <w:szCs w:val="24"/>
          <w:lang w:eastAsia="zh-CN" w:bidi="hi-IN"/>
        </w:rPr>
      </w:pPr>
    </w:p>
    <w:p w:rsidR="00D227E2" w:rsidRDefault="00D227E2">
      <w:pPr>
        <w:spacing w:after="0"/>
        <w:jc w:val="both"/>
        <w:rPr>
          <w:rFonts w:ascii="Times New Roman" w:eastAsia="NSimSun" w:hAnsi="Times New Roman" w:cs="Times New Roman"/>
          <w:kern w:val="2"/>
          <w:sz w:val="24"/>
          <w:szCs w:val="24"/>
          <w:lang w:eastAsia="zh-CN" w:bidi="hi-IN"/>
        </w:rPr>
      </w:pPr>
    </w:p>
    <w:p w:rsidR="00D227E2" w:rsidRDefault="00D227E2">
      <w:pPr>
        <w:spacing w:after="0"/>
        <w:jc w:val="both"/>
        <w:rPr>
          <w:rFonts w:ascii="Times New Roman" w:eastAsia="NSimSun" w:hAnsi="Times New Roman" w:cs="Times New Roman"/>
          <w:kern w:val="2"/>
          <w:sz w:val="24"/>
          <w:szCs w:val="24"/>
          <w:lang w:eastAsia="zh-CN" w:bidi="hi-IN"/>
        </w:rPr>
      </w:pPr>
    </w:p>
    <w:p w:rsidR="00D227E2" w:rsidRDefault="00D227E2">
      <w:pPr>
        <w:spacing w:after="0"/>
        <w:jc w:val="both"/>
        <w:rPr>
          <w:rFonts w:ascii="Times New Roman" w:eastAsia="NSimSun" w:hAnsi="Times New Roman" w:cs="Times New Roman"/>
          <w:kern w:val="2"/>
          <w:sz w:val="24"/>
          <w:szCs w:val="24"/>
          <w:lang w:eastAsia="zh-CN" w:bidi="hi-IN"/>
        </w:rPr>
      </w:pPr>
    </w:p>
    <w:p w:rsidR="00D227E2" w:rsidRDefault="00D227E2">
      <w:pPr>
        <w:spacing w:after="0"/>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center"/>
        <w:rPr>
          <w:rFonts w:ascii="Times New Roman" w:eastAsia="NSimSun" w:hAnsi="Times New Roman" w:cs="Times New Roman"/>
          <w:kern w:val="2"/>
          <w:sz w:val="24"/>
          <w:szCs w:val="24"/>
          <w:lang w:eastAsia="zh-CN" w:bidi="hi-IN"/>
        </w:rPr>
      </w:pPr>
    </w:p>
    <w:p w:rsidR="00D227E2" w:rsidRDefault="00934FC4">
      <w:pPr>
        <w:spacing w:after="0"/>
        <w:ind w:firstLine="567"/>
        <w:jc w:val="center"/>
        <w:rPr>
          <w:rFonts w:ascii="Times New Roman" w:hAnsi="Times New Roman" w:cs="Times New Roman"/>
        </w:rPr>
      </w:pPr>
      <w:r>
        <w:rPr>
          <w:rFonts w:ascii="Times New Roman" w:eastAsia="NSimSun" w:hAnsi="Times New Roman" w:cs="Times New Roman"/>
          <w:kern w:val="2"/>
          <w:sz w:val="24"/>
          <w:szCs w:val="24"/>
          <w:lang w:eastAsia="zh-CN" w:bidi="hi-IN"/>
        </w:rPr>
        <w:t>Рисунок 19. Залежність кількості градусоднів і кількості виробленого тепла ДКП «Луцьктепло»</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Для аналізу витрат ДКП «Луцьктепло» та втрат під час транспортування надається таблиця 24.</w:t>
      </w:r>
    </w:p>
    <w:p w:rsidR="00D227E2" w:rsidRDefault="00934FC4">
      <w:pPr>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Таблиця 24. Аналіз витрат ДКП «Луцьктепло» та втрат під час транспортування теплової енергії</w:t>
      </w:r>
    </w:p>
    <w:tbl>
      <w:tblPr>
        <w:tblW w:w="9515" w:type="dxa"/>
        <w:tblInd w:w="49" w:type="dxa"/>
        <w:tblLayout w:type="fixed"/>
        <w:tblCellMar>
          <w:left w:w="10" w:type="dxa"/>
          <w:right w:w="5" w:type="dxa"/>
        </w:tblCellMar>
        <w:tblLook w:val="01E0" w:firstRow="1" w:lastRow="1" w:firstColumn="1" w:lastColumn="1" w:noHBand="0" w:noVBand="0"/>
      </w:tblPr>
      <w:tblGrid>
        <w:gridCol w:w="1707"/>
        <w:gridCol w:w="1148"/>
        <w:gridCol w:w="1116"/>
        <w:gridCol w:w="1118"/>
        <w:gridCol w:w="1121"/>
        <w:gridCol w:w="1137"/>
        <w:gridCol w:w="1119"/>
        <w:gridCol w:w="1049"/>
      </w:tblGrid>
      <w:tr w:rsidR="00D227E2">
        <w:trPr>
          <w:trHeight w:val="251"/>
        </w:trPr>
        <w:tc>
          <w:tcPr>
            <w:tcW w:w="1706" w:type="dxa"/>
            <w:vMerge w:val="restart"/>
            <w:tcBorders>
              <w:top w:val="single" w:sz="8" w:space="0" w:color="000000"/>
              <w:left w:val="single" w:sz="8"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Назва параметрів</w:t>
            </w:r>
          </w:p>
        </w:tc>
        <w:tc>
          <w:tcPr>
            <w:tcW w:w="7807" w:type="dxa"/>
            <w:gridSpan w:val="7"/>
            <w:tcBorders>
              <w:top w:val="single" w:sz="8" w:space="0" w:color="000000"/>
              <w:left w:val="single" w:sz="4" w:space="0" w:color="000000"/>
              <w:bottom w:val="single" w:sz="6"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Роки</w:t>
            </w:r>
          </w:p>
        </w:tc>
      </w:tr>
      <w:tr w:rsidR="00D227E2">
        <w:trPr>
          <w:trHeight w:val="261"/>
        </w:trPr>
        <w:tc>
          <w:tcPr>
            <w:tcW w:w="1706" w:type="dxa"/>
            <w:vMerge/>
            <w:tcBorders>
              <w:left w:val="single" w:sz="8" w:space="0" w:color="000000"/>
              <w:bottom w:val="single" w:sz="4" w:space="0" w:color="000000"/>
              <w:right w:val="single" w:sz="4" w:space="0" w:color="000000"/>
            </w:tcBorders>
            <w:shd w:val="clear" w:color="auto" w:fill="auto"/>
          </w:tcPr>
          <w:p w:rsidR="00D227E2" w:rsidRDefault="00D227E2">
            <w:pPr>
              <w:widowControl w:val="0"/>
              <w:spacing w:after="0" w:line="240" w:lineRule="auto"/>
              <w:jc w:val="center"/>
              <w:rPr>
                <w:rFonts w:ascii="Times New Roman" w:eastAsia="NSimSun" w:hAnsi="Times New Roman" w:cs="Times New Roman"/>
                <w:kern w:val="2"/>
                <w:sz w:val="20"/>
                <w:szCs w:val="20"/>
                <w:lang w:eastAsia="zh-CN" w:bidi="hi-IN"/>
              </w:rPr>
            </w:pPr>
          </w:p>
        </w:tc>
        <w:tc>
          <w:tcPr>
            <w:tcW w:w="1147" w:type="dxa"/>
            <w:tcBorders>
              <w:top w:val="single" w:sz="6"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2007</w:t>
            </w:r>
          </w:p>
        </w:tc>
        <w:tc>
          <w:tcPr>
            <w:tcW w:w="1116" w:type="dxa"/>
            <w:tcBorders>
              <w:top w:val="single" w:sz="6"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2017</w:t>
            </w:r>
          </w:p>
        </w:tc>
        <w:tc>
          <w:tcPr>
            <w:tcW w:w="1118" w:type="dxa"/>
            <w:tcBorders>
              <w:top w:val="single" w:sz="6"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2018</w:t>
            </w:r>
          </w:p>
        </w:tc>
        <w:tc>
          <w:tcPr>
            <w:tcW w:w="1121" w:type="dxa"/>
            <w:tcBorders>
              <w:top w:val="single" w:sz="6"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2019</w:t>
            </w:r>
          </w:p>
        </w:tc>
        <w:tc>
          <w:tcPr>
            <w:tcW w:w="1137" w:type="dxa"/>
            <w:tcBorders>
              <w:top w:val="single" w:sz="6" w:space="0" w:color="000000"/>
              <w:left w:val="single" w:sz="4" w:space="0" w:color="000000"/>
              <w:bottom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2020</w:t>
            </w:r>
          </w:p>
        </w:tc>
        <w:tc>
          <w:tcPr>
            <w:tcW w:w="1119" w:type="dxa"/>
            <w:tcBorders>
              <w:top w:val="single" w:sz="6" w:space="0" w:color="000000"/>
              <w:left w:val="single" w:sz="4" w:space="0" w:color="000000"/>
              <w:bottom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2021</w:t>
            </w:r>
          </w:p>
        </w:tc>
        <w:tc>
          <w:tcPr>
            <w:tcW w:w="1049" w:type="dxa"/>
            <w:tcBorders>
              <w:top w:val="single" w:sz="6" w:space="0" w:color="000000"/>
              <w:left w:val="single" w:sz="4" w:space="0" w:color="000000"/>
              <w:bottom w:val="single" w:sz="4"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2022</w:t>
            </w:r>
          </w:p>
        </w:tc>
      </w:tr>
      <w:tr w:rsidR="00D227E2">
        <w:trPr>
          <w:trHeight w:val="583"/>
        </w:trPr>
        <w:tc>
          <w:tcPr>
            <w:tcW w:w="1706" w:type="dxa"/>
            <w:tcBorders>
              <w:top w:val="single" w:sz="4" w:space="0" w:color="000000"/>
              <w:left w:val="single" w:sz="8" w:space="0" w:color="000000"/>
              <w:bottom w:val="single" w:sz="4" w:space="0" w:color="000000"/>
              <w:right w:val="single" w:sz="4"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sz w:val="20"/>
                <w:szCs w:val="20"/>
              </w:rPr>
              <w:t>Виробництво теплової енергії,</w:t>
            </w:r>
          </w:p>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sz w:val="20"/>
                <w:szCs w:val="20"/>
              </w:rPr>
              <w:t>тис. Гкал</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713,9</w:t>
            </w: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521,7</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504,1</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475,3</w:t>
            </w:r>
          </w:p>
        </w:tc>
        <w:tc>
          <w:tcPr>
            <w:tcW w:w="1137" w:type="dxa"/>
            <w:tcBorders>
              <w:top w:val="single" w:sz="4" w:space="0" w:color="000000"/>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476,5</w:t>
            </w:r>
          </w:p>
        </w:tc>
        <w:tc>
          <w:tcPr>
            <w:tcW w:w="1119" w:type="dxa"/>
            <w:tcBorders>
              <w:top w:val="single" w:sz="4" w:space="0" w:color="000000"/>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488,5</w:t>
            </w:r>
          </w:p>
        </w:tc>
        <w:tc>
          <w:tcPr>
            <w:tcW w:w="1049" w:type="dxa"/>
            <w:tcBorders>
              <w:top w:val="single" w:sz="4" w:space="0" w:color="000000"/>
              <w:left w:val="single" w:sz="4" w:space="0" w:color="000000"/>
              <w:bottom w:val="single" w:sz="4"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401,5</w:t>
            </w:r>
          </w:p>
        </w:tc>
      </w:tr>
      <w:tr w:rsidR="00D227E2">
        <w:trPr>
          <w:trHeight w:val="615"/>
        </w:trPr>
        <w:tc>
          <w:tcPr>
            <w:tcW w:w="1706" w:type="dxa"/>
            <w:tcBorders>
              <w:top w:val="single" w:sz="4" w:space="0" w:color="000000"/>
              <w:left w:val="single" w:sz="8" w:space="0" w:color="000000"/>
              <w:bottom w:val="single" w:sz="4" w:space="0" w:color="000000"/>
              <w:right w:val="single" w:sz="4"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sz w:val="20"/>
                <w:szCs w:val="20"/>
              </w:rPr>
              <w:t>Витрати на</w:t>
            </w:r>
          </w:p>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sz w:val="20"/>
                <w:szCs w:val="20"/>
              </w:rPr>
              <w:t>власні потреби, тис. Гкал</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12,8</w:t>
            </w: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11,3</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11,0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10,4</w:t>
            </w:r>
          </w:p>
        </w:tc>
        <w:tc>
          <w:tcPr>
            <w:tcW w:w="1137" w:type="dxa"/>
            <w:tcBorders>
              <w:top w:val="single" w:sz="4" w:space="0" w:color="000000"/>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10,4</w:t>
            </w:r>
          </w:p>
        </w:tc>
        <w:tc>
          <w:tcPr>
            <w:tcW w:w="1119" w:type="dxa"/>
            <w:tcBorders>
              <w:top w:val="single" w:sz="4" w:space="0" w:color="000000"/>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10,7</w:t>
            </w:r>
          </w:p>
        </w:tc>
        <w:tc>
          <w:tcPr>
            <w:tcW w:w="1049" w:type="dxa"/>
            <w:tcBorders>
              <w:top w:val="single" w:sz="4" w:space="0" w:color="000000"/>
              <w:left w:val="single" w:sz="4" w:space="0" w:color="000000"/>
              <w:bottom w:val="single" w:sz="4"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8,8</w:t>
            </w:r>
          </w:p>
        </w:tc>
      </w:tr>
      <w:tr w:rsidR="00D227E2">
        <w:trPr>
          <w:trHeight w:val="733"/>
        </w:trPr>
        <w:tc>
          <w:tcPr>
            <w:tcW w:w="1706" w:type="dxa"/>
            <w:tcBorders>
              <w:top w:val="single" w:sz="4" w:space="0" w:color="000000"/>
              <w:left w:val="single" w:sz="8" w:space="0" w:color="000000"/>
              <w:bottom w:val="single" w:sz="4" w:space="0" w:color="000000"/>
              <w:right w:val="single" w:sz="4"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sz w:val="20"/>
                <w:szCs w:val="20"/>
              </w:rPr>
              <w:t>Річний обсяг відпуску теплової енергії, тис. Гкал</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701,2</w:t>
            </w: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510,3</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493,1</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464,9</w:t>
            </w:r>
          </w:p>
        </w:tc>
        <w:tc>
          <w:tcPr>
            <w:tcW w:w="1137" w:type="dxa"/>
            <w:tcBorders>
              <w:top w:val="single" w:sz="4" w:space="0" w:color="000000"/>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466,1</w:t>
            </w:r>
          </w:p>
        </w:tc>
        <w:tc>
          <w:tcPr>
            <w:tcW w:w="1119" w:type="dxa"/>
            <w:tcBorders>
              <w:top w:val="single" w:sz="4" w:space="0" w:color="000000"/>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477,8</w:t>
            </w:r>
          </w:p>
        </w:tc>
        <w:tc>
          <w:tcPr>
            <w:tcW w:w="1049" w:type="dxa"/>
            <w:tcBorders>
              <w:top w:val="single" w:sz="4" w:space="0" w:color="000000"/>
              <w:left w:val="single" w:sz="4" w:space="0" w:color="000000"/>
              <w:bottom w:val="single" w:sz="4"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392,7</w:t>
            </w:r>
          </w:p>
        </w:tc>
      </w:tr>
      <w:tr w:rsidR="00D227E2">
        <w:trPr>
          <w:trHeight w:val="506"/>
        </w:trPr>
        <w:tc>
          <w:tcPr>
            <w:tcW w:w="1706" w:type="dxa"/>
            <w:tcBorders>
              <w:top w:val="single" w:sz="4" w:space="0" w:color="000000"/>
              <w:left w:val="single" w:sz="8" w:space="0" w:color="000000"/>
              <w:bottom w:val="single" w:sz="4" w:space="0" w:color="000000"/>
              <w:right w:val="single" w:sz="4"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sz w:val="20"/>
                <w:szCs w:val="20"/>
              </w:rPr>
              <w:t>Втрати в мережах, тис. Гкал</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80,4</w:t>
            </w: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62,3</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72,8</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108,8</w:t>
            </w:r>
          </w:p>
        </w:tc>
        <w:tc>
          <w:tcPr>
            <w:tcW w:w="1137" w:type="dxa"/>
            <w:tcBorders>
              <w:top w:val="single" w:sz="4" w:space="0" w:color="000000"/>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95,3</w:t>
            </w:r>
          </w:p>
        </w:tc>
        <w:tc>
          <w:tcPr>
            <w:tcW w:w="1119" w:type="dxa"/>
            <w:tcBorders>
              <w:top w:val="single" w:sz="4" w:space="0" w:color="000000"/>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103,2</w:t>
            </w:r>
          </w:p>
        </w:tc>
        <w:tc>
          <w:tcPr>
            <w:tcW w:w="1049" w:type="dxa"/>
            <w:tcBorders>
              <w:top w:val="single" w:sz="4" w:space="0" w:color="000000"/>
              <w:left w:val="single" w:sz="4" w:space="0" w:color="000000"/>
              <w:bottom w:val="single" w:sz="4"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83,2</w:t>
            </w:r>
          </w:p>
        </w:tc>
      </w:tr>
      <w:tr w:rsidR="00D227E2">
        <w:trPr>
          <w:trHeight w:val="760"/>
        </w:trPr>
        <w:tc>
          <w:tcPr>
            <w:tcW w:w="1706" w:type="dxa"/>
            <w:tcBorders>
              <w:top w:val="single" w:sz="4" w:space="0" w:color="000000"/>
              <w:left w:val="single" w:sz="8" w:space="0" w:color="000000"/>
              <w:bottom w:val="single" w:sz="4" w:space="0" w:color="000000"/>
              <w:right w:val="single" w:sz="4"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sz w:val="20"/>
                <w:szCs w:val="20"/>
              </w:rPr>
              <w:t>Корисний відпуск теплової енергії, тис. Гкал</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620,8</w:t>
            </w: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448,1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419,4</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356,1</w:t>
            </w:r>
          </w:p>
        </w:tc>
        <w:tc>
          <w:tcPr>
            <w:tcW w:w="1137" w:type="dxa"/>
            <w:tcBorders>
              <w:top w:val="single" w:sz="4" w:space="0" w:color="000000"/>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370,8</w:t>
            </w:r>
          </w:p>
        </w:tc>
        <w:tc>
          <w:tcPr>
            <w:tcW w:w="1119" w:type="dxa"/>
            <w:tcBorders>
              <w:top w:val="single" w:sz="4" w:space="0" w:color="000000"/>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374,6</w:t>
            </w:r>
          </w:p>
        </w:tc>
        <w:tc>
          <w:tcPr>
            <w:tcW w:w="1049" w:type="dxa"/>
            <w:tcBorders>
              <w:top w:val="single" w:sz="4" w:space="0" w:color="000000"/>
              <w:left w:val="single" w:sz="4" w:space="0" w:color="000000"/>
              <w:bottom w:val="single" w:sz="4"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309,5</w:t>
            </w:r>
          </w:p>
        </w:tc>
      </w:tr>
      <w:tr w:rsidR="00D227E2">
        <w:trPr>
          <w:trHeight w:val="504"/>
        </w:trPr>
        <w:tc>
          <w:tcPr>
            <w:tcW w:w="1706" w:type="dxa"/>
            <w:tcBorders>
              <w:top w:val="single" w:sz="4" w:space="0" w:color="000000"/>
              <w:left w:val="single" w:sz="8" w:space="0" w:color="000000"/>
              <w:bottom w:val="single" w:sz="4" w:space="0" w:color="000000"/>
              <w:right w:val="single" w:sz="4"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sz w:val="20"/>
                <w:szCs w:val="20"/>
              </w:rPr>
              <w:t xml:space="preserve"> % витрат на власне</w:t>
            </w:r>
          </w:p>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sz w:val="20"/>
                <w:szCs w:val="20"/>
              </w:rPr>
              <w:t>споживання</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w:t>
            </w:r>
          </w:p>
        </w:tc>
        <w:tc>
          <w:tcPr>
            <w:tcW w:w="1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0,188</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0,192</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0,199</w:t>
            </w:r>
          </w:p>
        </w:tc>
        <w:tc>
          <w:tcPr>
            <w:tcW w:w="1137" w:type="dxa"/>
            <w:tcBorders>
              <w:top w:val="single" w:sz="4" w:space="0" w:color="000000"/>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0,188</w:t>
            </w:r>
          </w:p>
        </w:tc>
        <w:tc>
          <w:tcPr>
            <w:tcW w:w="1119" w:type="dxa"/>
            <w:tcBorders>
              <w:top w:val="single" w:sz="4" w:space="0" w:color="000000"/>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0,362</w:t>
            </w:r>
          </w:p>
        </w:tc>
        <w:tc>
          <w:tcPr>
            <w:tcW w:w="1049" w:type="dxa"/>
            <w:tcBorders>
              <w:top w:val="single" w:sz="4" w:space="0" w:color="000000"/>
              <w:left w:val="single" w:sz="4" w:space="0" w:color="000000"/>
              <w:bottom w:val="single" w:sz="4"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0,406</w:t>
            </w:r>
          </w:p>
        </w:tc>
      </w:tr>
      <w:tr w:rsidR="00D227E2">
        <w:trPr>
          <w:trHeight w:val="505"/>
        </w:trPr>
        <w:tc>
          <w:tcPr>
            <w:tcW w:w="1706" w:type="dxa"/>
            <w:tcBorders>
              <w:top w:val="single" w:sz="4" w:space="0" w:color="000000"/>
              <w:left w:val="single" w:sz="8" w:space="0" w:color="000000"/>
              <w:bottom w:val="single" w:sz="8" w:space="0" w:color="000000"/>
              <w:right w:val="single" w:sz="4"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sz w:val="20"/>
                <w:szCs w:val="20"/>
              </w:rPr>
              <w:t xml:space="preserve"> % втрати в мережах</w:t>
            </w:r>
          </w:p>
        </w:tc>
        <w:tc>
          <w:tcPr>
            <w:tcW w:w="1147" w:type="dxa"/>
            <w:tcBorders>
              <w:top w:val="single" w:sz="4" w:space="0" w:color="000000"/>
              <w:left w:val="single" w:sz="4" w:space="0" w:color="000000"/>
              <w:bottom w:val="single" w:sz="8"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11,83</w:t>
            </w:r>
          </w:p>
        </w:tc>
        <w:tc>
          <w:tcPr>
            <w:tcW w:w="1116" w:type="dxa"/>
            <w:tcBorders>
              <w:top w:val="single" w:sz="4" w:space="0" w:color="000000"/>
              <w:left w:val="single" w:sz="4" w:space="0" w:color="000000"/>
              <w:bottom w:val="single" w:sz="8"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12,2</w:t>
            </w:r>
          </w:p>
        </w:tc>
        <w:tc>
          <w:tcPr>
            <w:tcW w:w="1118" w:type="dxa"/>
            <w:tcBorders>
              <w:top w:val="single" w:sz="4" w:space="0" w:color="000000"/>
              <w:left w:val="single" w:sz="4" w:space="0" w:color="000000"/>
              <w:bottom w:val="single" w:sz="8"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14,77</w:t>
            </w:r>
          </w:p>
        </w:tc>
        <w:tc>
          <w:tcPr>
            <w:tcW w:w="1121" w:type="dxa"/>
            <w:tcBorders>
              <w:top w:val="single" w:sz="4" w:space="0" w:color="000000"/>
              <w:left w:val="single" w:sz="4" w:space="0" w:color="000000"/>
              <w:bottom w:val="single" w:sz="8"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23,41</w:t>
            </w:r>
          </w:p>
        </w:tc>
        <w:tc>
          <w:tcPr>
            <w:tcW w:w="1137" w:type="dxa"/>
            <w:tcBorders>
              <w:top w:val="single" w:sz="4" w:space="0" w:color="000000"/>
              <w:left w:val="single" w:sz="4" w:space="0" w:color="000000"/>
              <w:bottom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20,45</w:t>
            </w:r>
          </w:p>
        </w:tc>
        <w:tc>
          <w:tcPr>
            <w:tcW w:w="1119" w:type="dxa"/>
            <w:tcBorders>
              <w:top w:val="single" w:sz="4" w:space="0" w:color="000000"/>
              <w:left w:val="single" w:sz="4" w:space="0" w:color="000000"/>
              <w:bottom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21,6</w:t>
            </w:r>
          </w:p>
        </w:tc>
        <w:tc>
          <w:tcPr>
            <w:tcW w:w="1049" w:type="dxa"/>
            <w:tcBorders>
              <w:top w:val="single" w:sz="4" w:space="0" w:color="000000"/>
              <w:left w:val="single" w:sz="4"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0"/>
                <w:szCs w:val="20"/>
              </w:rPr>
              <w:t>21,2</w:t>
            </w:r>
          </w:p>
        </w:tc>
      </w:tr>
    </w:tbl>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lastRenderedPageBreak/>
        <w:t>Відсоток витрат теплової енергії на технологічні потреби є стабільним і становить в середньому 0,23 % від загальної кількості виробленого тепла. Відсоток втрат теплової енергії в мережах є стабільним і в середньому становить 16 %.</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kern w:val="2"/>
          <w:sz w:val="24"/>
          <w:szCs w:val="24"/>
          <w:lang w:eastAsia="zh-CN" w:bidi="hi-IN"/>
        </w:rPr>
        <w:t>У м. Луцьку основними споживачами теплової енергії є: бюджетні установи, населення, промисловість, інші споживачі (комерційні установи, банки та інші), релігійні організації.</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Інформація щодо споживання теплової енергії по основним категоріям споживачів м. Луцька наведено в таблиці 25 та на рисунках 20,21.</w:t>
      </w:r>
    </w:p>
    <w:p w:rsidR="00D227E2" w:rsidRDefault="00934FC4">
      <w:pPr>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Таблиця 25. Споживання теплової енергії основними категоріями споживачів (тис. Гкал)</w:t>
      </w:r>
    </w:p>
    <w:tbl>
      <w:tblPr>
        <w:tblW w:w="9600" w:type="dxa"/>
        <w:tblInd w:w="9" w:type="dxa"/>
        <w:tblLayout w:type="fixed"/>
        <w:tblCellMar>
          <w:left w:w="10" w:type="dxa"/>
          <w:right w:w="10" w:type="dxa"/>
        </w:tblCellMar>
        <w:tblLook w:val="01E0" w:firstRow="1" w:lastRow="1" w:firstColumn="1" w:lastColumn="1" w:noHBand="0" w:noVBand="0"/>
      </w:tblPr>
      <w:tblGrid>
        <w:gridCol w:w="1880"/>
        <w:gridCol w:w="824"/>
        <w:gridCol w:w="778"/>
        <w:gridCol w:w="770"/>
        <w:gridCol w:w="769"/>
        <w:gridCol w:w="790"/>
        <w:gridCol w:w="796"/>
        <w:gridCol w:w="802"/>
        <w:gridCol w:w="779"/>
        <w:gridCol w:w="778"/>
        <w:gridCol w:w="634"/>
      </w:tblGrid>
      <w:tr w:rsidR="00D227E2">
        <w:tc>
          <w:tcPr>
            <w:tcW w:w="1879" w:type="dxa"/>
            <w:vMerge w:val="restart"/>
            <w:tcBorders>
              <w:top w:val="single" w:sz="8" w:space="0" w:color="000000"/>
              <w:left w:val="single" w:sz="8" w:space="0" w:color="000000"/>
              <w:bottom w:val="single" w:sz="4"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Параметр</w:t>
            </w:r>
          </w:p>
        </w:tc>
        <w:tc>
          <w:tcPr>
            <w:tcW w:w="7719" w:type="dxa"/>
            <w:gridSpan w:val="10"/>
            <w:tcBorders>
              <w:top w:val="single" w:sz="8" w:space="0" w:color="000000"/>
              <w:left w:val="single" w:sz="8" w:space="0" w:color="000000"/>
              <w:bottom w:val="single" w:sz="8"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Роки</w:t>
            </w:r>
          </w:p>
        </w:tc>
      </w:tr>
      <w:tr w:rsidR="00D227E2">
        <w:tc>
          <w:tcPr>
            <w:tcW w:w="1879" w:type="dxa"/>
            <w:vMerge/>
            <w:tcBorders>
              <w:left w:val="single" w:sz="8" w:space="0" w:color="000000"/>
              <w:bottom w:val="single" w:sz="4" w:space="0" w:color="000000"/>
              <w:right w:val="single" w:sz="8" w:space="0" w:color="000000"/>
            </w:tcBorders>
            <w:shd w:val="clear" w:color="auto" w:fill="auto"/>
          </w:tcPr>
          <w:p w:rsidR="00D227E2" w:rsidRDefault="00D227E2">
            <w:pPr>
              <w:widowControl w:val="0"/>
              <w:spacing w:after="0" w:line="240" w:lineRule="auto"/>
              <w:jc w:val="center"/>
              <w:rPr>
                <w:rFonts w:ascii="Times New Roman" w:eastAsia="NSimSun" w:hAnsi="Times New Roman" w:cs="Times New Roman"/>
                <w:kern w:val="2"/>
                <w:lang w:eastAsia="zh-CN" w:bidi="hi-IN"/>
              </w:rPr>
            </w:pPr>
          </w:p>
        </w:tc>
        <w:tc>
          <w:tcPr>
            <w:tcW w:w="823" w:type="dxa"/>
            <w:tcBorders>
              <w:top w:val="single" w:sz="8" w:space="0" w:color="000000"/>
              <w:left w:val="single" w:sz="8" w:space="0" w:color="000000"/>
              <w:bottom w:val="single" w:sz="4"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2007</w:t>
            </w:r>
          </w:p>
        </w:tc>
        <w:tc>
          <w:tcPr>
            <w:tcW w:w="778" w:type="dxa"/>
            <w:tcBorders>
              <w:top w:val="single" w:sz="8" w:space="0" w:color="000000"/>
              <w:left w:val="single" w:sz="8" w:space="0" w:color="000000"/>
              <w:bottom w:val="single" w:sz="4"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2014</w:t>
            </w:r>
          </w:p>
        </w:tc>
        <w:tc>
          <w:tcPr>
            <w:tcW w:w="770" w:type="dxa"/>
            <w:tcBorders>
              <w:top w:val="single" w:sz="8" w:space="0" w:color="000000"/>
              <w:left w:val="single" w:sz="8" w:space="0" w:color="000000"/>
              <w:bottom w:val="single" w:sz="4"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2015</w:t>
            </w:r>
          </w:p>
        </w:tc>
        <w:tc>
          <w:tcPr>
            <w:tcW w:w="769" w:type="dxa"/>
            <w:tcBorders>
              <w:top w:val="single" w:sz="8" w:space="0" w:color="000000"/>
              <w:left w:val="single" w:sz="8" w:space="0" w:color="000000"/>
              <w:bottom w:val="single" w:sz="4"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2016</w:t>
            </w:r>
          </w:p>
        </w:tc>
        <w:tc>
          <w:tcPr>
            <w:tcW w:w="790" w:type="dxa"/>
            <w:tcBorders>
              <w:top w:val="single" w:sz="8" w:space="0" w:color="000000"/>
              <w:left w:val="single" w:sz="8" w:space="0" w:color="000000"/>
              <w:bottom w:val="single" w:sz="4"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2017</w:t>
            </w:r>
          </w:p>
        </w:tc>
        <w:tc>
          <w:tcPr>
            <w:tcW w:w="796" w:type="dxa"/>
            <w:tcBorders>
              <w:top w:val="single" w:sz="8" w:space="0" w:color="000000"/>
              <w:left w:val="single" w:sz="8" w:space="0" w:color="000000"/>
              <w:bottom w:val="single" w:sz="4"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2018</w:t>
            </w:r>
          </w:p>
        </w:tc>
        <w:tc>
          <w:tcPr>
            <w:tcW w:w="802" w:type="dxa"/>
            <w:tcBorders>
              <w:top w:val="single" w:sz="8" w:space="0" w:color="000000"/>
              <w:left w:val="single" w:sz="8" w:space="0" w:color="000000"/>
              <w:bottom w:val="single" w:sz="4"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2019</w:t>
            </w:r>
          </w:p>
        </w:tc>
        <w:tc>
          <w:tcPr>
            <w:tcW w:w="779" w:type="dxa"/>
            <w:tcBorders>
              <w:top w:val="single" w:sz="8" w:space="0" w:color="000000"/>
              <w:left w:val="single" w:sz="8" w:space="0" w:color="000000"/>
              <w:bottom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2020</w:t>
            </w:r>
          </w:p>
        </w:tc>
        <w:tc>
          <w:tcPr>
            <w:tcW w:w="778" w:type="dxa"/>
            <w:tcBorders>
              <w:top w:val="single" w:sz="8" w:space="0" w:color="000000"/>
              <w:left w:val="single" w:sz="8" w:space="0" w:color="000000"/>
              <w:bottom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2021</w:t>
            </w:r>
          </w:p>
        </w:tc>
        <w:tc>
          <w:tcPr>
            <w:tcW w:w="634" w:type="dxa"/>
            <w:tcBorders>
              <w:top w:val="single" w:sz="8" w:space="0" w:color="000000"/>
              <w:left w:val="single" w:sz="8" w:space="0" w:color="000000"/>
              <w:bottom w:val="single" w:sz="4"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2022</w:t>
            </w:r>
          </w:p>
        </w:tc>
      </w:tr>
      <w:tr w:rsidR="00D227E2">
        <w:tc>
          <w:tcPr>
            <w:tcW w:w="187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Бюджетні установи</w:t>
            </w:r>
          </w:p>
        </w:tc>
        <w:tc>
          <w:tcPr>
            <w:tcW w:w="823" w:type="dxa"/>
            <w:tcBorders>
              <w:top w:val="single" w:sz="4" w:space="0" w:color="000000"/>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85,1</w:t>
            </w:r>
          </w:p>
        </w:tc>
        <w:tc>
          <w:tcPr>
            <w:tcW w:w="778" w:type="dxa"/>
            <w:tcBorders>
              <w:top w:val="single" w:sz="4" w:space="0" w:color="000000"/>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54,8</w:t>
            </w:r>
          </w:p>
        </w:tc>
        <w:tc>
          <w:tcPr>
            <w:tcW w:w="770" w:type="dxa"/>
            <w:tcBorders>
              <w:top w:val="single" w:sz="4" w:space="0" w:color="000000"/>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50,2</w:t>
            </w:r>
          </w:p>
        </w:tc>
        <w:tc>
          <w:tcPr>
            <w:tcW w:w="769" w:type="dxa"/>
            <w:tcBorders>
              <w:top w:val="single" w:sz="4" w:space="0" w:color="000000"/>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54,7</w:t>
            </w:r>
          </w:p>
        </w:tc>
        <w:tc>
          <w:tcPr>
            <w:tcW w:w="790" w:type="dxa"/>
            <w:tcBorders>
              <w:top w:val="single" w:sz="4" w:space="0" w:color="000000"/>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54,9</w:t>
            </w:r>
          </w:p>
        </w:tc>
        <w:tc>
          <w:tcPr>
            <w:tcW w:w="796" w:type="dxa"/>
            <w:tcBorders>
              <w:top w:val="single" w:sz="4" w:space="0" w:color="000000"/>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53,5</w:t>
            </w:r>
          </w:p>
        </w:tc>
        <w:tc>
          <w:tcPr>
            <w:tcW w:w="802" w:type="dxa"/>
            <w:tcBorders>
              <w:top w:val="single" w:sz="4" w:space="0" w:color="000000"/>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46,9</w:t>
            </w:r>
          </w:p>
        </w:tc>
        <w:tc>
          <w:tcPr>
            <w:tcW w:w="779" w:type="dxa"/>
            <w:tcBorders>
              <w:top w:val="single" w:sz="4" w:space="0" w:color="000000"/>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49,2</w:t>
            </w:r>
          </w:p>
        </w:tc>
        <w:tc>
          <w:tcPr>
            <w:tcW w:w="778" w:type="dxa"/>
            <w:tcBorders>
              <w:top w:val="single" w:sz="4" w:space="0" w:color="000000"/>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42,6</w:t>
            </w:r>
          </w:p>
        </w:tc>
        <w:tc>
          <w:tcPr>
            <w:tcW w:w="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41,7</w:t>
            </w:r>
          </w:p>
        </w:tc>
      </w:tr>
      <w:tr w:rsidR="00D227E2">
        <w:tc>
          <w:tcPr>
            <w:tcW w:w="1879" w:type="dxa"/>
            <w:tcBorders>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Населення</w:t>
            </w:r>
          </w:p>
        </w:tc>
        <w:tc>
          <w:tcPr>
            <w:tcW w:w="823" w:type="dxa"/>
            <w:tcBorders>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485,4</w:t>
            </w:r>
          </w:p>
        </w:tc>
        <w:tc>
          <w:tcPr>
            <w:tcW w:w="778" w:type="dxa"/>
            <w:tcBorders>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416,9</w:t>
            </w:r>
          </w:p>
        </w:tc>
        <w:tc>
          <w:tcPr>
            <w:tcW w:w="770" w:type="dxa"/>
            <w:tcBorders>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351,6</w:t>
            </w:r>
          </w:p>
        </w:tc>
        <w:tc>
          <w:tcPr>
            <w:tcW w:w="769" w:type="dxa"/>
            <w:tcBorders>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381,7</w:t>
            </w:r>
          </w:p>
        </w:tc>
        <w:tc>
          <w:tcPr>
            <w:tcW w:w="790" w:type="dxa"/>
            <w:tcBorders>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371,9</w:t>
            </w:r>
          </w:p>
        </w:tc>
        <w:tc>
          <w:tcPr>
            <w:tcW w:w="796" w:type="dxa"/>
            <w:tcBorders>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390,7</w:t>
            </w:r>
          </w:p>
        </w:tc>
        <w:tc>
          <w:tcPr>
            <w:tcW w:w="802" w:type="dxa"/>
            <w:tcBorders>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296,4</w:t>
            </w:r>
          </w:p>
        </w:tc>
        <w:tc>
          <w:tcPr>
            <w:tcW w:w="779" w:type="dxa"/>
            <w:tcBorders>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309,8</w:t>
            </w:r>
          </w:p>
        </w:tc>
        <w:tc>
          <w:tcPr>
            <w:tcW w:w="778" w:type="dxa"/>
            <w:tcBorders>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318,9</w:t>
            </w:r>
          </w:p>
        </w:tc>
        <w:tc>
          <w:tcPr>
            <w:tcW w:w="634" w:type="dxa"/>
            <w:tcBorders>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258,9</w:t>
            </w:r>
          </w:p>
        </w:tc>
      </w:tr>
      <w:tr w:rsidR="00D227E2">
        <w:tc>
          <w:tcPr>
            <w:tcW w:w="1879" w:type="dxa"/>
            <w:tcBorders>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Промисловість</w:t>
            </w:r>
          </w:p>
        </w:tc>
        <w:tc>
          <w:tcPr>
            <w:tcW w:w="823" w:type="dxa"/>
            <w:tcBorders>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18,4</w:t>
            </w:r>
          </w:p>
        </w:tc>
        <w:tc>
          <w:tcPr>
            <w:tcW w:w="778" w:type="dxa"/>
            <w:tcBorders>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8,7</w:t>
            </w:r>
          </w:p>
        </w:tc>
        <w:tc>
          <w:tcPr>
            <w:tcW w:w="770" w:type="dxa"/>
            <w:tcBorders>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6,5</w:t>
            </w:r>
          </w:p>
        </w:tc>
        <w:tc>
          <w:tcPr>
            <w:tcW w:w="769" w:type="dxa"/>
            <w:tcBorders>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10,1</w:t>
            </w:r>
          </w:p>
        </w:tc>
        <w:tc>
          <w:tcPr>
            <w:tcW w:w="790" w:type="dxa"/>
            <w:tcBorders>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5,9</w:t>
            </w:r>
          </w:p>
        </w:tc>
        <w:tc>
          <w:tcPr>
            <w:tcW w:w="796" w:type="dxa"/>
            <w:tcBorders>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802" w:type="dxa"/>
            <w:tcBorders>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779" w:type="dxa"/>
            <w:tcBorders>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778" w:type="dxa"/>
            <w:tcBorders>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634" w:type="dxa"/>
            <w:tcBorders>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r>
      <w:tr w:rsidR="00D227E2">
        <w:tc>
          <w:tcPr>
            <w:tcW w:w="1879" w:type="dxa"/>
            <w:tcBorders>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Інші споживачі</w:t>
            </w:r>
          </w:p>
        </w:tc>
        <w:tc>
          <w:tcPr>
            <w:tcW w:w="823" w:type="dxa"/>
            <w:tcBorders>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31,6</w:t>
            </w:r>
          </w:p>
        </w:tc>
        <w:tc>
          <w:tcPr>
            <w:tcW w:w="778" w:type="dxa"/>
            <w:tcBorders>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18,1</w:t>
            </w:r>
          </w:p>
        </w:tc>
        <w:tc>
          <w:tcPr>
            <w:tcW w:w="770" w:type="dxa"/>
            <w:tcBorders>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14,9</w:t>
            </w:r>
          </w:p>
        </w:tc>
        <w:tc>
          <w:tcPr>
            <w:tcW w:w="769" w:type="dxa"/>
            <w:tcBorders>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15,4</w:t>
            </w:r>
          </w:p>
        </w:tc>
        <w:tc>
          <w:tcPr>
            <w:tcW w:w="790" w:type="dxa"/>
            <w:tcBorders>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14,3</w:t>
            </w:r>
          </w:p>
        </w:tc>
        <w:tc>
          <w:tcPr>
            <w:tcW w:w="796" w:type="dxa"/>
            <w:tcBorders>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18,3</w:t>
            </w:r>
          </w:p>
        </w:tc>
        <w:tc>
          <w:tcPr>
            <w:tcW w:w="802" w:type="dxa"/>
            <w:tcBorders>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11,9</w:t>
            </w:r>
          </w:p>
        </w:tc>
        <w:tc>
          <w:tcPr>
            <w:tcW w:w="779" w:type="dxa"/>
            <w:tcBorders>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10,4</w:t>
            </w:r>
          </w:p>
        </w:tc>
        <w:tc>
          <w:tcPr>
            <w:tcW w:w="778" w:type="dxa"/>
            <w:tcBorders>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12,1</w:t>
            </w:r>
          </w:p>
        </w:tc>
        <w:tc>
          <w:tcPr>
            <w:tcW w:w="634" w:type="dxa"/>
            <w:tcBorders>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8,1</w:t>
            </w:r>
          </w:p>
        </w:tc>
      </w:tr>
      <w:tr w:rsidR="00D227E2">
        <w:tc>
          <w:tcPr>
            <w:tcW w:w="1879" w:type="dxa"/>
            <w:tcBorders>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Релігійні організації</w:t>
            </w:r>
          </w:p>
        </w:tc>
        <w:tc>
          <w:tcPr>
            <w:tcW w:w="823" w:type="dxa"/>
            <w:tcBorders>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778" w:type="dxa"/>
            <w:tcBorders>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0,86</w:t>
            </w:r>
          </w:p>
        </w:tc>
        <w:tc>
          <w:tcPr>
            <w:tcW w:w="770" w:type="dxa"/>
            <w:tcBorders>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0,11</w:t>
            </w:r>
          </w:p>
        </w:tc>
        <w:tc>
          <w:tcPr>
            <w:tcW w:w="769" w:type="dxa"/>
            <w:tcBorders>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0,93</w:t>
            </w:r>
          </w:p>
        </w:tc>
        <w:tc>
          <w:tcPr>
            <w:tcW w:w="790" w:type="dxa"/>
            <w:tcBorders>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0,15</w:t>
            </w:r>
          </w:p>
        </w:tc>
        <w:tc>
          <w:tcPr>
            <w:tcW w:w="796" w:type="dxa"/>
            <w:tcBorders>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0,17</w:t>
            </w:r>
          </w:p>
        </w:tc>
        <w:tc>
          <w:tcPr>
            <w:tcW w:w="802" w:type="dxa"/>
            <w:tcBorders>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0,77</w:t>
            </w:r>
          </w:p>
        </w:tc>
        <w:tc>
          <w:tcPr>
            <w:tcW w:w="779" w:type="dxa"/>
            <w:tcBorders>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0,76</w:t>
            </w:r>
          </w:p>
        </w:tc>
        <w:tc>
          <w:tcPr>
            <w:tcW w:w="778" w:type="dxa"/>
            <w:tcBorders>
              <w:left w:val="single" w:sz="4" w:space="0" w:color="000000"/>
              <w:bottom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0,84</w:t>
            </w:r>
          </w:p>
        </w:tc>
        <w:tc>
          <w:tcPr>
            <w:tcW w:w="634" w:type="dxa"/>
            <w:tcBorders>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0,10</w:t>
            </w:r>
          </w:p>
        </w:tc>
      </w:tr>
    </w:tbl>
    <w:p w:rsidR="00D227E2" w:rsidRDefault="00934FC4">
      <w:pPr>
        <w:spacing w:after="0" w:line="240" w:lineRule="auto"/>
        <w:jc w:val="both"/>
        <w:rPr>
          <w:rFonts w:ascii="Times New Roman" w:eastAsia="NSimSun" w:hAnsi="Times New Roman" w:cs="Times New Roman"/>
          <w:kern w:val="2"/>
          <w:sz w:val="24"/>
          <w:szCs w:val="24"/>
          <w:lang w:eastAsia="zh-CN" w:bidi="hi-IN"/>
        </w:rPr>
      </w:pPr>
      <w:r>
        <w:rPr>
          <w:rFonts w:ascii="Times New Roman" w:eastAsia="NSimSun" w:hAnsi="Times New Roman" w:cs="Times New Roman"/>
          <w:noProof/>
          <w:kern w:val="2"/>
          <w:sz w:val="24"/>
          <w:szCs w:val="24"/>
          <w:lang w:eastAsia="uk-UA"/>
        </w:rPr>
        <w:drawing>
          <wp:anchor distT="0" distB="0" distL="0" distR="0" simplePos="0" relativeHeight="80" behindDoc="0" locked="0" layoutInCell="0" allowOverlap="1" wp14:anchorId="0BDB656E" wp14:editId="7ACEE860">
            <wp:simplePos x="0" y="0"/>
            <wp:positionH relativeFrom="column">
              <wp:posOffset>1099820</wp:posOffset>
            </wp:positionH>
            <wp:positionV relativeFrom="paragraph">
              <wp:posOffset>102235</wp:posOffset>
            </wp:positionV>
            <wp:extent cx="4128135" cy="2188845"/>
            <wp:effectExtent l="0" t="0" r="0" b="0"/>
            <wp:wrapSquare wrapText="largest"/>
            <wp:docPr id="33" name="Об'єкт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anchor>
        </w:drawing>
      </w:r>
    </w:p>
    <w:p w:rsidR="00D227E2" w:rsidRDefault="00D227E2">
      <w:pPr>
        <w:spacing w:after="0"/>
        <w:jc w:val="both"/>
        <w:rPr>
          <w:rFonts w:ascii="Times New Roman" w:eastAsia="NSimSun" w:hAnsi="Times New Roman" w:cs="Times New Roman"/>
          <w:kern w:val="2"/>
          <w:sz w:val="24"/>
          <w:szCs w:val="24"/>
          <w:lang w:eastAsia="zh-CN" w:bidi="hi-IN"/>
        </w:rPr>
      </w:pPr>
    </w:p>
    <w:p w:rsidR="00D227E2" w:rsidRDefault="00D227E2">
      <w:pPr>
        <w:spacing w:after="0"/>
        <w:jc w:val="both"/>
        <w:rPr>
          <w:rFonts w:ascii="Times New Roman" w:eastAsia="NSimSun" w:hAnsi="Times New Roman" w:cs="Times New Roman"/>
          <w:kern w:val="2"/>
          <w:sz w:val="24"/>
          <w:szCs w:val="24"/>
          <w:lang w:eastAsia="zh-CN" w:bidi="hi-IN"/>
        </w:rPr>
      </w:pPr>
    </w:p>
    <w:p w:rsidR="00D227E2" w:rsidRDefault="00D227E2">
      <w:pPr>
        <w:spacing w:after="0"/>
        <w:jc w:val="both"/>
        <w:rPr>
          <w:rFonts w:ascii="Times New Roman" w:eastAsia="NSimSun" w:hAnsi="Times New Roman" w:cs="Times New Roman"/>
          <w:kern w:val="2"/>
          <w:sz w:val="24"/>
          <w:szCs w:val="24"/>
          <w:lang w:eastAsia="zh-CN" w:bidi="hi-IN"/>
        </w:rPr>
      </w:pPr>
    </w:p>
    <w:p w:rsidR="00D227E2" w:rsidRDefault="00D227E2">
      <w:pPr>
        <w:spacing w:after="0"/>
        <w:jc w:val="both"/>
        <w:rPr>
          <w:rFonts w:ascii="Times New Roman" w:eastAsia="NSimSun" w:hAnsi="Times New Roman" w:cs="Times New Roman"/>
          <w:kern w:val="2"/>
          <w:sz w:val="24"/>
          <w:szCs w:val="24"/>
          <w:lang w:eastAsia="zh-CN" w:bidi="hi-IN"/>
        </w:rPr>
      </w:pPr>
    </w:p>
    <w:p w:rsidR="00D227E2" w:rsidRDefault="00D227E2">
      <w:pPr>
        <w:spacing w:after="0"/>
        <w:jc w:val="both"/>
        <w:rPr>
          <w:rFonts w:ascii="Times New Roman" w:eastAsia="NSimSun" w:hAnsi="Times New Roman" w:cs="Times New Roman"/>
          <w:kern w:val="2"/>
          <w:sz w:val="24"/>
          <w:szCs w:val="24"/>
          <w:lang w:eastAsia="zh-CN" w:bidi="hi-IN"/>
        </w:rPr>
      </w:pPr>
    </w:p>
    <w:p w:rsidR="00D227E2" w:rsidRDefault="00D227E2">
      <w:pPr>
        <w:spacing w:after="0"/>
        <w:jc w:val="both"/>
        <w:rPr>
          <w:rFonts w:ascii="Times New Roman" w:eastAsia="NSimSun" w:hAnsi="Times New Roman" w:cs="Times New Roman"/>
          <w:kern w:val="2"/>
          <w:sz w:val="24"/>
          <w:szCs w:val="24"/>
          <w:lang w:eastAsia="zh-CN" w:bidi="hi-IN"/>
        </w:rPr>
      </w:pPr>
    </w:p>
    <w:p w:rsidR="00D227E2" w:rsidRDefault="00D227E2">
      <w:pPr>
        <w:spacing w:after="0"/>
        <w:jc w:val="both"/>
        <w:rPr>
          <w:rFonts w:ascii="Times New Roman" w:eastAsia="NSimSun" w:hAnsi="Times New Roman" w:cs="Times New Roman"/>
          <w:kern w:val="2"/>
          <w:sz w:val="24"/>
          <w:szCs w:val="24"/>
          <w:lang w:eastAsia="zh-CN" w:bidi="hi-IN"/>
        </w:rPr>
      </w:pPr>
    </w:p>
    <w:p w:rsidR="00D227E2" w:rsidRDefault="00D227E2">
      <w:pPr>
        <w:spacing w:after="0"/>
        <w:jc w:val="both"/>
        <w:rPr>
          <w:rFonts w:ascii="Times New Roman" w:eastAsia="NSimSun" w:hAnsi="Times New Roman" w:cs="Times New Roman"/>
          <w:kern w:val="2"/>
          <w:sz w:val="24"/>
          <w:szCs w:val="24"/>
          <w:lang w:eastAsia="zh-CN" w:bidi="hi-IN"/>
        </w:rPr>
      </w:pPr>
    </w:p>
    <w:p w:rsidR="00D227E2" w:rsidRDefault="00934FC4">
      <w:pPr>
        <w:spacing w:after="0"/>
        <w:jc w:val="both"/>
        <w:rPr>
          <w:rFonts w:ascii="Times New Roman" w:hAnsi="Times New Roman" w:cs="Times New Roman"/>
        </w:rPr>
      </w:pPr>
      <w:r>
        <w:rPr>
          <w:rFonts w:ascii="Times New Roman" w:eastAsia="NSimSun" w:hAnsi="Times New Roman" w:cs="Times New Roman"/>
          <w:kern w:val="2"/>
          <w:sz w:val="24"/>
          <w:szCs w:val="24"/>
          <w:lang w:eastAsia="zh-CN" w:bidi="hi-IN"/>
        </w:rPr>
        <w:t> </w:t>
      </w:r>
    </w:p>
    <w:p w:rsidR="00D227E2" w:rsidRDefault="00D227E2">
      <w:pPr>
        <w:spacing w:after="0"/>
        <w:jc w:val="center"/>
        <w:rPr>
          <w:rFonts w:ascii="Times New Roman" w:eastAsia="NSimSun" w:hAnsi="Times New Roman" w:cs="Times New Roman"/>
          <w:kern w:val="2"/>
          <w:sz w:val="24"/>
          <w:szCs w:val="24"/>
          <w:lang w:eastAsia="zh-CN" w:bidi="hi-IN"/>
        </w:rPr>
      </w:pPr>
    </w:p>
    <w:p w:rsidR="00D227E2" w:rsidRDefault="00D227E2">
      <w:pPr>
        <w:spacing w:after="0"/>
        <w:jc w:val="center"/>
        <w:rPr>
          <w:rFonts w:ascii="Times New Roman" w:eastAsia="NSimSun" w:hAnsi="Times New Roman" w:cs="Times New Roman"/>
          <w:kern w:val="2"/>
          <w:sz w:val="24"/>
          <w:szCs w:val="24"/>
          <w:lang w:eastAsia="zh-CN" w:bidi="hi-IN"/>
        </w:rPr>
      </w:pPr>
    </w:p>
    <w:p w:rsidR="00D227E2" w:rsidRDefault="00934FC4">
      <w:pPr>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Рисунок 20. Споживання теплової енергії основними категоріями споживачів (тис. Гкал) </w:t>
      </w:r>
    </w:p>
    <w:p w:rsidR="00D227E2" w:rsidRDefault="00934FC4">
      <w:pPr>
        <w:spacing w:after="0"/>
        <w:jc w:val="center"/>
        <w:rPr>
          <w:rFonts w:ascii="Times New Roman" w:eastAsia="NSimSun" w:hAnsi="Times New Roman" w:cs="Times New Roman"/>
          <w:kern w:val="2"/>
          <w:sz w:val="24"/>
          <w:szCs w:val="24"/>
          <w:lang w:eastAsia="zh-CN" w:bidi="hi-IN"/>
        </w:rPr>
      </w:pPr>
      <w:r>
        <w:rPr>
          <w:rFonts w:ascii="Times New Roman" w:eastAsia="NSimSun" w:hAnsi="Times New Roman" w:cs="Times New Roman"/>
          <w:noProof/>
          <w:kern w:val="2"/>
          <w:sz w:val="24"/>
          <w:szCs w:val="24"/>
          <w:lang w:eastAsia="uk-UA"/>
        </w:rPr>
        <w:drawing>
          <wp:anchor distT="0" distB="0" distL="0" distR="0" simplePos="0" relativeHeight="78" behindDoc="0" locked="0" layoutInCell="0" allowOverlap="1" wp14:anchorId="6EB5ACA6" wp14:editId="4AAD4D39">
            <wp:simplePos x="0" y="0"/>
            <wp:positionH relativeFrom="column">
              <wp:posOffset>1271270</wp:posOffset>
            </wp:positionH>
            <wp:positionV relativeFrom="paragraph">
              <wp:posOffset>14605</wp:posOffset>
            </wp:positionV>
            <wp:extent cx="3495040" cy="1924685"/>
            <wp:effectExtent l="0" t="0" r="0" b="0"/>
            <wp:wrapSquare wrapText="largest"/>
            <wp:docPr id="34" name="Об'єкт22" descr="діаграма"/>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anchor>
        </w:drawing>
      </w:r>
    </w:p>
    <w:p w:rsidR="00D227E2" w:rsidRDefault="00D227E2">
      <w:pPr>
        <w:spacing w:after="0" w:line="240" w:lineRule="auto"/>
        <w:ind w:firstLine="567"/>
        <w:jc w:val="both"/>
        <w:rPr>
          <w:rFonts w:ascii="Times New Roman" w:eastAsia="NSimSun" w:hAnsi="Times New Roman" w:cs="Times New Roman"/>
          <w:kern w:val="2"/>
          <w:sz w:val="24"/>
          <w:szCs w:val="24"/>
          <w:lang w:eastAsia="zh-CN" w:bidi="hi-IN"/>
        </w:rPr>
      </w:pPr>
    </w:p>
    <w:p w:rsidR="00D227E2" w:rsidRDefault="00D227E2">
      <w:pPr>
        <w:spacing w:after="0" w:line="240" w:lineRule="auto"/>
        <w:ind w:firstLine="567"/>
        <w:jc w:val="both"/>
        <w:rPr>
          <w:rFonts w:ascii="Times New Roman" w:eastAsia="NSimSun" w:hAnsi="Times New Roman" w:cs="Times New Roman"/>
          <w:kern w:val="2"/>
          <w:sz w:val="24"/>
          <w:szCs w:val="24"/>
          <w:lang w:eastAsia="zh-CN" w:bidi="hi-IN"/>
        </w:rPr>
      </w:pPr>
    </w:p>
    <w:p w:rsidR="00D227E2" w:rsidRDefault="00D227E2">
      <w:pPr>
        <w:spacing w:after="0" w:line="240" w:lineRule="auto"/>
        <w:ind w:firstLine="567"/>
        <w:jc w:val="both"/>
        <w:rPr>
          <w:rFonts w:ascii="Times New Roman" w:eastAsia="NSimSun" w:hAnsi="Times New Roman" w:cs="Times New Roman"/>
          <w:kern w:val="2"/>
          <w:sz w:val="24"/>
          <w:szCs w:val="24"/>
          <w:lang w:eastAsia="zh-CN" w:bidi="hi-IN"/>
        </w:rPr>
      </w:pPr>
    </w:p>
    <w:p w:rsidR="00D227E2" w:rsidRDefault="00D227E2">
      <w:pPr>
        <w:spacing w:after="0" w:line="240" w:lineRule="auto"/>
        <w:ind w:firstLine="567"/>
        <w:jc w:val="both"/>
        <w:rPr>
          <w:rFonts w:ascii="Times New Roman" w:eastAsia="NSimSun" w:hAnsi="Times New Roman" w:cs="Times New Roman"/>
          <w:kern w:val="2"/>
          <w:sz w:val="24"/>
          <w:szCs w:val="24"/>
          <w:lang w:eastAsia="zh-CN" w:bidi="hi-IN"/>
        </w:rPr>
      </w:pPr>
    </w:p>
    <w:p w:rsidR="00D227E2" w:rsidRDefault="00D227E2">
      <w:pPr>
        <w:spacing w:after="0" w:line="240" w:lineRule="auto"/>
        <w:ind w:firstLine="567"/>
        <w:jc w:val="both"/>
        <w:rPr>
          <w:rFonts w:ascii="Times New Roman" w:eastAsia="NSimSun" w:hAnsi="Times New Roman" w:cs="Times New Roman"/>
          <w:kern w:val="2"/>
          <w:sz w:val="24"/>
          <w:szCs w:val="24"/>
          <w:lang w:eastAsia="zh-CN" w:bidi="hi-IN"/>
        </w:rPr>
      </w:pPr>
    </w:p>
    <w:p w:rsidR="00D227E2" w:rsidRDefault="00D227E2">
      <w:pPr>
        <w:spacing w:after="0" w:line="240" w:lineRule="auto"/>
        <w:ind w:firstLine="567"/>
        <w:jc w:val="both"/>
        <w:rPr>
          <w:rFonts w:ascii="Times New Roman" w:eastAsia="NSimSun" w:hAnsi="Times New Roman" w:cs="Times New Roman"/>
          <w:kern w:val="2"/>
          <w:sz w:val="24"/>
          <w:szCs w:val="24"/>
          <w:lang w:eastAsia="zh-CN" w:bidi="hi-IN"/>
        </w:rPr>
      </w:pPr>
    </w:p>
    <w:p w:rsidR="00D227E2" w:rsidRDefault="00D227E2">
      <w:pPr>
        <w:spacing w:after="0" w:line="240" w:lineRule="auto"/>
        <w:ind w:firstLine="567"/>
        <w:jc w:val="both"/>
        <w:rPr>
          <w:rFonts w:ascii="Times New Roman" w:eastAsia="NSimSun" w:hAnsi="Times New Roman" w:cs="Times New Roman"/>
          <w:kern w:val="2"/>
          <w:sz w:val="24"/>
          <w:szCs w:val="24"/>
          <w:lang w:eastAsia="zh-CN" w:bidi="hi-IN"/>
        </w:rPr>
      </w:pPr>
    </w:p>
    <w:p w:rsidR="00D227E2" w:rsidRDefault="00D227E2">
      <w:pPr>
        <w:spacing w:after="0" w:line="240" w:lineRule="auto"/>
        <w:ind w:firstLine="567"/>
        <w:jc w:val="both"/>
        <w:rPr>
          <w:rFonts w:ascii="Times New Roman" w:eastAsia="NSimSun" w:hAnsi="Times New Roman" w:cs="Times New Roman"/>
          <w:kern w:val="2"/>
          <w:sz w:val="24"/>
          <w:szCs w:val="24"/>
          <w:lang w:eastAsia="zh-CN" w:bidi="hi-IN"/>
        </w:rPr>
      </w:pPr>
    </w:p>
    <w:p w:rsidR="00D227E2" w:rsidRDefault="00D227E2">
      <w:pPr>
        <w:spacing w:after="0" w:line="240" w:lineRule="auto"/>
        <w:ind w:firstLine="567"/>
        <w:jc w:val="center"/>
        <w:rPr>
          <w:rFonts w:ascii="Times New Roman" w:eastAsia="NSimSun" w:hAnsi="Times New Roman" w:cs="Times New Roman"/>
          <w:kern w:val="2"/>
          <w:sz w:val="24"/>
          <w:szCs w:val="24"/>
          <w:lang w:eastAsia="zh-CN" w:bidi="hi-IN"/>
        </w:rPr>
      </w:pPr>
    </w:p>
    <w:p w:rsidR="00D227E2" w:rsidRDefault="00D227E2">
      <w:pPr>
        <w:spacing w:after="0" w:line="240" w:lineRule="auto"/>
        <w:ind w:firstLine="567"/>
        <w:jc w:val="center"/>
        <w:rPr>
          <w:rFonts w:ascii="Times New Roman" w:eastAsia="NSimSun" w:hAnsi="Times New Roman" w:cs="Times New Roman"/>
          <w:kern w:val="2"/>
          <w:sz w:val="24"/>
          <w:szCs w:val="24"/>
          <w:lang w:eastAsia="zh-CN" w:bidi="hi-IN"/>
        </w:rPr>
      </w:pPr>
    </w:p>
    <w:p w:rsidR="00D227E2" w:rsidRDefault="00934FC4">
      <w:pPr>
        <w:spacing w:after="0" w:line="240" w:lineRule="auto"/>
        <w:ind w:firstLine="567"/>
        <w:jc w:val="center"/>
        <w:rPr>
          <w:rFonts w:ascii="Times New Roman" w:hAnsi="Times New Roman" w:cs="Times New Roman"/>
        </w:rPr>
      </w:pPr>
      <w:r>
        <w:rPr>
          <w:rFonts w:ascii="Times New Roman" w:eastAsia="NSimSun" w:hAnsi="Times New Roman" w:cs="Times New Roman"/>
          <w:kern w:val="2"/>
          <w:sz w:val="24"/>
          <w:szCs w:val="24"/>
          <w:lang w:eastAsia="zh-CN" w:bidi="hi-IN"/>
        </w:rPr>
        <w:t>Рисунок 21. Теплоспоживання основними категоріями споживачів у 2022 році</w:t>
      </w:r>
    </w:p>
    <w:p w:rsidR="00D227E2" w:rsidRDefault="00934FC4">
      <w:pPr>
        <w:spacing w:after="0" w:line="240" w:lineRule="auto"/>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Показники витрат енергоресурсів на виробництво теплової енергії та ефективності виробництва приведено у таблицях 26, 27 та 28.</w:t>
      </w:r>
    </w:p>
    <w:p w:rsidR="00D227E2" w:rsidRDefault="00934FC4">
      <w:pPr>
        <w:spacing w:after="0" w:line="240" w:lineRule="auto"/>
        <w:jc w:val="center"/>
        <w:rPr>
          <w:rFonts w:ascii="Times New Roman" w:hAnsi="Times New Roman" w:cs="Times New Roman"/>
        </w:rPr>
      </w:pPr>
      <w:r>
        <w:rPr>
          <w:rFonts w:ascii="Times New Roman" w:eastAsia="NSimSun" w:hAnsi="Times New Roman" w:cs="Times New Roman"/>
          <w:kern w:val="2"/>
          <w:sz w:val="24"/>
          <w:szCs w:val="24"/>
          <w:lang w:eastAsia="zh-CN" w:bidi="hi-IN"/>
        </w:rPr>
        <w:t>Таблиця 26. Показники витрат енергоресурсів на виробництво теплової енергії</w:t>
      </w:r>
    </w:p>
    <w:tbl>
      <w:tblPr>
        <w:tblW w:w="9360" w:type="dxa"/>
        <w:tblInd w:w="29" w:type="dxa"/>
        <w:tblLayout w:type="fixed"/>
        <w:tblCellMar>
          <w:left w:w="10" w:type="dxa"/>
          <w:right w:w="5" w:type="dxa"/>
        </w:tblCellMar>
        <w:tblLook w:val="01E0" w:firstRow="1" w:lastRow="1" w:firstColumn="1" w:lastColumn="1" w:noHBand="0" w:noVBand="0"/>
      </w:tblPr>
      <w:tblGrid>
        <w:gridCol w:w="3759"/>
        <w:gridCol w:w="1946"/>
        <w:gridCol w:w="1944"/>
        <w:gridCol w:w="1711"/>
      </w:tblGrid>
      <w:tr w:rsidR="00D227E2">
        <w:tc>
          <w:tcPr>
            <w:tcW w:w="3758" w:type="dxa"/>
            <w:vMerge w:val="restart"/>
            <w:tcBorders>
              <w:top w:val="single" w:sz="8" w:space="0" w:color="000000"/>
              <w:left w:val="single" w:sz="8"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Назва параметрів</w:t>
            </w:r>
          </w:p>
        </w:tc>
        <w:tc>
          <w:tcPr>
            <w:tcW w:w="5601" w:type="dxa"/>
            <w:gridSpan w:val="3"/>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Роки</w:t>
            </w:r>
          </w:p>
        </w:tc>
      </w:tr>
      <w:tr w:rsidR="00D227E2">
        <w:tc>
          <w:tcPr>
            <w:tcW w:w="3758" w:type="dxa"/>
            <w:vMerge/>
            <w:tcBorders>
              <w:left w:val="single" w:sz="8" w:space="0" w:color="000000"/>
              <w:bottom w:val="single" w:sz="4" w:space="0" w:color="000000"/>
              <w:right w:val="single" w:sz="4" w:space="0" w:color="000000"/>
            </w:tcBorders>
            <w:shd w:val="clear" w:color="auto" w:fill="auto"/>
          </w:tcPr>
          <w:p w:rsidR="00D227E2" w:rsidRDefault="00D227E2">
            <w:pPr>
              <w:widowControl w:val="0"/>
              <w:spacing w:after="0" w:line="240" w:lineRule="auto"/>
              <w:jc w:val="center"/>
              <w:rPr>
                <w:rFonts w:ascii="Times New Roman" w:eastAsia="NSimSun" w:hAnsi="Times New Roman" w:cs="Times New Roman"/>
                <w:kern w:val="2"/>
                <w:lang w:eastAsia="zh-CN" w:bidi="hi-IN"/>
              </w:rPr>
            </w:pPr>
          </w:p>
        </w:tc>
        <w:tc>
          <w:tcPr>
            <w:tcW w:w="1946"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2007</w:t>
            </w: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2020</w:t>
            </w:r>
          </w:p>
        </w:tc>
        <w:tc>
          <w:tcPr>
            <w:tcW w:w="1711" w:type="dxa"/>
            <w:tcBorders>
              <w:top w:val="single" w:sz="4" w:space="0" w:color="000000"/>
              <w:left w:val="single" w:sz="4" w:space="0" w:color="000000"/>
              <w:bottom w:val="single" w:sz="4"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2022</w:t>
            </w:r>
          </w:p>
        </w:tc>
      </w:tr>
      <w:tr w:rsidR="00D227E2">
        <w:tc>
          <w:tcPr>
            <w:tcW w:w="3758" w:type="dxa"/>
            <w:tcBorders>
              <w:top w:val="single" w:sz="2" w:space="0" w:color="000000"/>
              <w:left w:val="single" w:sz="2" w:space="0" w:color="000000"/>
              <w:bottom w:val="single" w:sz="2" w:space="0" w:color="000000"/>
              <w:right w:val="single" w:sz="2"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Виробництво теплової енергії, Гкал</w:t>
            </w:r>
          </w:p>
        </w:tc>
        <w:tc>
          <w:tcPr>
            <w:tcW w:w="1946"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608410</w:t>
            </w:r>
          </w:p>
        </w:tc>
        <w:tc>
          <w:tcPr>
            <w:tcW w:w="1944"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475905,8</w:t>
            </w:r>
          </w:p>
        </w:tc>
        <w:tc>
          <w:tcPr>
            <w:tcW w:w="1711" w:type="dxa"/>
            <w:tcBorders>
              <w:top w:val="single" w:sz="4" w:space="0" w:color="000000"/>
              <w:left w:val="single" w:sz="4" w:space="0" w:color="000000"/>
              <w:bottom w:val="single" w:sz="4"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401069,23</w:t>
            </w:r>
          </w:p>
        </w:tc>
      </w:tr>
      <w:tr w:rsidR="00D227E2" w:rsidTr="00934FC4">
        <w:tc>
          <w:tcPr>
            <w:tcW w:w="3758" w:type="dxa"/>
            <w:tcBorders>
              <w:left w:val="single" w:sz="2" w:space="0" w:color="000000"/>
              <w:bottom w:val="single" w:sz="4" w:space="0" w:color="auto"/>
              <w:right w:val="single" w:sz="2"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Відпуск теплової енергії з колекторів, Гкал</w:t>
            </w:r>
          </w:p>
        </w:tc>
        <w:tc>
          <w:tcPr>
            <w:tcW w:w="1946" w:type="dxa"/>
            <w:tcBorders>
              <w:top w:val="single" w:sz="4" w:space="0" w:color="000000"/>
              <w:left w:val="single" w:sz="4" w:space="0" w:color="000000"/>
              <w:bottom w:val="single" w:sz="4" w:space="0" w:color="auto"/>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595610</w:t>
            </w:r>
          </w:p>
        </w:tc>
        <w:tc>
          <w:tcPr>
            <w:tcW w:w="1944" w:type="dxa"/>
            <w:tcBorders>
              <w:top w:val="single" w:sz="4" w:space="0" w:color="000000"/>
              <w:left w:val="single" w:sz="4" w:space="0" w:color="000000"/>
              <w:bottom w:val="single" w:sz="4" w:space="0" w:color="auto"/>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465473,07</w:t>
            </w:r>
          </w:p>
        </w:tc>
        <w:tc>
          <w:tcPr>
            <w:tcW w:w="1711" w:type="dxa"/>
            <w:tcBorders>
              <w:top w:val="single" w:sz="4" w:space="0" w:color="000000"/>
              <w:left w:val="single" w:sz="4" w:space="0" w:color="000000"/>
              <w:bottom w:val="single" w:sz="4" w:space="0" w:color="auto"/>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392279,04</w:t>
            </w:r>
          </w:p>
        </w:tc>
      </w:tr>
      <w:tr w:rsidR="00D227E2" w:rsidTr="00934FC4">
        <w:tc>
          <w:tcPr>
            <w:tcW w:w="3758" w:type="dxa"/>
            <w:tcBorders>
              <w:top w:val="single" w:sz="4" w:space="0" w:color="auto"/>
              <w:left w:val="single" w:sz="4" w:space="0" w:color="auto"/>
              <w:bottom w:val="single" w:sz="4" w:space="0" w:color="auto"/>
              <w:right w:val="single" w:sz="4" w:space="0" w:color="auto"/>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lastRenderedPageBreak/>
              <w:t>Споживання газу, тис.м</w:t>
            </w:r>
            <w:r>
              <w:rPr>
                <w:rFonts w:ascii="Times New Roman" w:eastAsia="Microsoft Sans Serif" w:hAnsi="Times New Roman" w:cs="Times New Roman"/>
                <w:kern w:val="2"/>
                <w:vertAlign w:val="superscript"/>
              </w:rPr>
              <w:t>3</w:t>
            </w:r>
          </w:p>
        </w:tc>
        <w:tc>
          <w:tcPr>
            <w:tcW w:w="1946" w:type="dxa"/>
            <w:tcBorders>
              <w:top w:val="single" w:sz="4" w:space="0" w:color="auto"/>
              <w:left w:val="single" w:sz="4" w:space="0" w:color="auto"/>
              <w:bottom w:val="single" w:sz="4" w:space="0" w:color="auto"/>
              <w:right w:val="single" w:sz="4" w:space="0" w:color="auto"/>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86195,917</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60131,03877</w:t>
            </w: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51697,948</w:t>
            </w:r>
          </w:p>
        </w:tc>
      </w:tr>
      <w:tr w:rsidR="00D227E2" w:rsidTr="00934FC4">
        <w:tc>
          <w:tcPr>
            <w:tcW w:w="3758" w:type="dxa"/>
            <w:tcBorders>
              <w:top w:val="single" w:sz="4" w:space="0" w:color="auto"/>
              <w:left w:val="single" w:sz="4" w:space="0" w:color="auto"/>
              <w:bottom w:val="single" w:sz="4" w:space="0" w:color="auto"/>
              <w:right w:val="single" w:sz="4" w:space="0" w:color="auto"/>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Споживання електроенергії,</w:t>
            </w:r>
          </w:p>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тис. кВт.год</w:t>
            </w:r>
          </w:p>
        </w:tc>
        <w:tc>
          <w:tcPr>
            <w:tcW w:w="1946" w:type="dxa"/>
            <w:tcBorders>
              <w:top w:val="single" w:sz="4" w:space="0" w:color="auto"/>
              <w:left w:val="single" w:sz="4" w:space="0" w:color="auto"/>
              <w:bottom w:val="single" w:sz="4" w:space="0" w:color="auto"/>
              <w:right w:val="single" w:sz="4" w:space="0" w:color="auto"/>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24657,361</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20 253,225</w:t>
            </w: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16 978,456</w:t>
            </w:r>
          </w:p>
        </w:tc>
      </w:tr>
      <w:tr w:rsidR="00D227E2" w:rsidTr="00934FC4">
        <w:tc>
          <w:tcPr>
            <w:tcW w:w="3758" w:type="dxa"/>
            <w:tcBorders>
              <w:top w:val="single" w:sz="4" w:space="0" w:color="auto"/>
              <w:left w:val="single" w:sz="4" w:space="0" w:color="auto"/>
              <w:bottom w:val="single" w:sz="4" w:space="0" w:color="auto"/>
              <w:right w:val="single" w:sz="4" w:space="0" w:color="auto"/>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Споживання тріски (тонн)</w:t>
            </w:r>
          </w:p>
        </w:tc>
        <w:tc>
          <w:tcPr>
            <w:tcW w:w="1946" w:type="dxa"/>
            <w:tcBorders>
              <w:top w:val="single" w:sz="4" w:space="0" w:color="auto"/>
              <w:left w:val="single" w:sz="4" w:space="0" w:color="auto"/>
              <w:bottom w:val="single" w:sz="4" w:space="0" w:color="auto"/>
              <w:right w:val="single" w:sz="4" w:space="0" w:color="auto"/>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944" w:type="dxa"/>
            <w:tcBorders>
              <w:top w:val="single" w:sz="4" w:space="0" w:color="auto"/>
              <w:left w:val="single" w:sz="4" w:space="0" w:color="auto"/>
              <w:bottom w:val="single" w:sz="4" w:space="0" w:color="auto"/>
              <w:right w:val="single" w:sz="4" w:space="0" w:color="auto"/>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10010,163</w:t>
            </w:r>
          </w:p>
        </w:tc>
        <w:tc>
          <w:tcPr>
            <w:tcW w:w="1711" w:type="dxa"/>
            <w:tcBorders>
              <w:top w:val="single" w:sz="4" w:space="0" w:color="auto"/>
              <w:left w:val="single" w:sz="4" w:space="0" w:color="auto"/>
              <w:bottom w:val="single" w:sz="4" w:space="0" w:color="auto"/>
              <w:right w:val="single" w:sz="4" w:space="0" w:color="auto"/>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9272,085</w:t>
            </w:r>
          </w:p>
        </w:tc>
      </w:tr>
    </w:tbl>
    <w:p w:rsidR="00D227E2" w:rsidRDefault="00934FC4">
      <w:pPr>
        <w:spacing w:after="0"/>
        <w:jc w:val="center"/>
        <w:rPr>
          <w:rFonts w:ascii="Times New Roman" w:hAnsi="Times New Roman" w:cs="Times New Roman"/>
        </w:rPr>
      </w:pPr>
      <w:r>
        <w:rPr>
          <w:rFonts w:ascii="Times New Roman" w:eastAsia="NSimSun" w:hAnsi="Times New Roman" w:cs="Times New Roman"/>
          <w:kern w:val="2"/>
          <w:sz w:val="24"/>
          <w:szCs w:val="24"/>
          <w:lang w:bidi="hi-IN"/>
        </w:rPr>
        <w:t>Таблиця 27. Питомі показники витрат енергоресурсів та показники ефективності виробництва тепла</w:t>
      </w:r>
    </w:p>
    <w:tbl>
      <w:tblPr>
        <w:tblW w:w="9320" w:type="dxa"/>
        <w:tblInd w:w="89" w:type="dxa"/>
        <w:tblLayout w:type="fixed"/>
        <w:tblCellMar>
          <w:left w:w="10" w:type="dxa"/>
          <w:right w:w="5" w:type="dxa"/>
        </w:tblCellMar>
        <w:tblLook w:val="01E0" w:firstRow="1" w:lastRow="1" w:firstColumn="1" w:lastColumn="1" w:noHBand="0" w:noVBand="0"/>
      </w:tblPr>
      <w:tblGrid>
        <w:gridCol w:w="3687"/>
        <w:gridCol w:w="1950"/>
        <w:gridCol w:w="1943"/>
        <w:gridCol w:w="1740"/>
      </w:tblGrid>
      <w:tr w:rsidR="00D227E2">
        <w:tc>
          <w:tcPr>
            <w:tcW w:w="3686" w:type="dxa"/>
            <w:vMerge w:val="restart"/>
            <w:tcBorders>
              <w:top w:val="single" w:sz="8" w:space="0" w:color="000000"/>
              <w:left w:val="single" w:sz="8"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Назва параметрів</w:t>
            </w:r>
          </w:p>
        </w:tc>
        <w:tc>
          <w:tcPr>
            <w:tcW w:w="5633" w:type="dxa"/>
            <w:gridSpan w:val="3"/>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Роки</w:t>
            </w:r>
          </w:p>
        </w:tc>
      </w:tr>
      <w:tr w:rsidR="00D227E2">
        <w:tc>
          <w:tcPr>
            <w:tcW w:w="3686" w:type="dxa"/>
            <w:vMerge/>
            <w:tcBorders>
              <w:left w:val="single" w:sz="8" w:space="0" w:color="000000"/>
              <w:bottom w:val="single" w:sz="4" w:space="0" w:color="000000"/>
              <w:right w:val="single" w:sz="4" w:space="0" w:color="000000"/>
            </w:tcBorders>
            <w:shd w:val="clear" w:color="auto" w:fill="auto"/>
          </w:tcPr>
          <w:p w:rsidR="00D227E2" w:rsidRDefault="00D227E2">
            <w:pPr>
              <w:widowControl w:val="0"/>
              <w:spacing w:after="0" w:line="240" w:lineRule="auto"/>
              <w:rPr>
                <w:rFonts w:ascii="Times New Roman" w:eastAsia="NSimSun" w:hAnsi="Times New Roman" w:cs="Times New Roman"/>
                <w:kern w:val="2"/>
                <w:lang w:eastAsia="zh-CN" w:bidi="hi-IN"/>
              </w:rPr>
            </w:pP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2007</w:t>
            </w:r>
          </w:p>
        </w:tc>
        <w:tc>
          <w:tcPr>
            <w:tcW w:w="1943"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2020</w:t>
            </w:r>
          </w:p>
        </w:tc>
        <w:tc>
          <w:tcPr>
            <w:tcW w:w="1740" w:type="dxa"/>
            <w:tcBorders>
              <w:top w:val="single" w:sz="4" w:space="0" w:color="000000"/>
              <w:left w:val="single" w:sz="4" w:space="0" w:color="000000"/>
              <w:bottom w:val="single" w:sz="4"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2022</w:t>
            </w:r>
          </w:p>
        </w:tc>
      </w:tr>
      <w:tr w:rsidR="00D227E2">
        <w:tc>
          <w:tcPr>
            <w:tcW w:w="3686" w:type="dxa"/>
            <w:tcBorders>
              <w:top w:val="single" w:sz="4" w:space="0" w:color="000000"/>
              <w:left w:val="single" w:sz="8" w:space="0" w:color="000000"/>
              <w:bottom w:val="single" w:sz="4" w:space="0" w:color="000000"/>
              <w:right w:val="single" w:sz="4"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Відпуск теплової енергії з</w:t>
            </w:r>
          </w:p>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колекторів, Гкал</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595610</w:t>
            </w:r>
          </w:p>
        </w:tc>
        <w:tc>
          <w:tcPr>
            <w:tcW w:w="1943"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465473,07</w:t>
            </w:r>
          </w:p>
        </w:tc>
        <w:tc>
          <w:tcPr>
            <w:tcW w:w="1740" w:type="dxa"/>
            <w:tcBorders>
              <w:top w:val="single" w:sz="4" w:space="0" w:color="000000"/>
              <w:left w:val="single" w:sz="4" w:space="0" w:color="000000"/>
              <w:bottom w:val="single" w:sz="4"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392279,04</w:t>
            </w:r>
          </w:p>
        </w:tc>
      </w:tr>
      <w:tr w:rsidR="00D227E2">
        <w:tc>
          <w:tcPr>
            <w:tcW w:w="3686" w:type="dxa"/>
            <w:tcBorders>
              <w:top w:val="single" w:sz="4" w:space="0" w:color="000000"/>
              <w:left w:val="single" w:sz="8" w:space="0" w:color="000000"/>
              <w:bottom w:val="single" w:sz="4" w:space="0" w:color="000000"/>
              <w:right w:val="single" w:sz="4"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Споживання газу, т.у.п.</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99328,077</w:t>
            </w:r>
          </w:p>
        </w:tc>
        <w:tc>
          <w:tcPr>
            <w:tcW w:w="1943"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70591,71852</w:t>
            </w:r>
          </w:p>
        </w:tc>
        <w:tc>
          <w:tcPr>
            <w:tcW w:w="1740" w:type="dxa"/>
            <w:tcBorders>
              <w:top w:val="single" w:sz="4" w:space="0" w:color="000000"/>
              <w:left w:val="single" w:sz="4" w:space="0" w:color="000000"/>
              <w:bottom w:val="single" w:sz="4"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60802,33494</w:t>
            </w:r>
          </w:p>
        </w:tc>
      </w:tr>
      <w:tr w:rsidR="00D227E2">
        <w:tc>
          <w:tcPr>
            <w:tcW w:w="3686" w:type="dxa"/>
            <w:tcBorders>
              <w:top w:val="single" w:sz="4" w:space="0" w:color="000000"/>
              <w:left w:val="single" w:sz="8" w:space="0" w:color="000000"/>
              <w:bottom w:val="single" w:sz="4" w:space="0" w:color="000000"/>
              <w:right w:val="single" w:sz="4"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Споживання електроенергії,</w:t>
            </w:r>
          </w:p>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кВт.год</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24657361</w:t>
            </w:r>
          </w:p>
        </w:tc>
        <w:tc>
          <w:tcPr>
            <w:tcW w:w="1943"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20253225</w:t>
            </w:r>
          </w:p>
        </w:tc>
        <w:tc>
          <w:tcPr>
            <w:tcW w:w="1740" w:type="dxa"/>
            <w:tcBorders>
              <w:top w:val="single" w:sz="4" w:space="0" w:color="000000"/>
              <w:left w:val="single" w:sz="4" w:space="0" w:color="000000"/>
              <w:bottom w:val="single" w:sz="4"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16978456</w:t>
            </w:r>
          </w:p>
        </w:tc>
      </w:tr>
      <w:tr w:rsidR="00D227E2">
        <w:tc>
          <w:tcPr>
            <w:tcW w:w="3686" w:type="dxa"/>
            <w:tcBorders>
              <w:top w:val="single" w:sz="4" w:space="0" w:color="000000"/>
              <w:left w:val="single" w:sz="8" w:space="0" w:color="000000"/>
              <w:bottom w:val="single" w:sz="4" w:space="0" w:color="000000"/>
              <w:right w:val="single" w:sz="4"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Споживання тріски (т.у.п.)</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943"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3688,81038</w:t>
            </w:r>
          </w:p>
        </w:tc>
        <w:tc>
          <w:tcPr>
            <w:tcW w:w="1740" w:type="dxa"/>
            <w:tcBorders>
              <w:top w:val="single" w:sz="4" w:space="0" w:color="000000"/>
              <w:left w:val="single" w:sz="4" w:space="0" w:color="000000"/>
              <w:bottom w:val="single" w:sz="4"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3282,84366</w:t>
            </w:r>
          </w:p>
        </w:tc>
      </w:tr>
      <w:tr w:rsidR="00D227E2">
        <w:tc>
          <w:tcPr>
            <w:tcW w:w="3686" w:type="dxa"/>
            <w:tcBorders>
              <w:top w:val="single" w:sz="4" w:space="0" w:color="000000"/>
              <w:left w:val="single" w:sz="8" w:space="0" w:color="000000"/>
              <w:bottom w:val="single" w:sz="4" w:space="0" w:color="000000"/>
              <w:right w:val="single" w:sz="4"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Питомі витрати умовного палива на 1 Гкал теплової енергії, відпущеної з котелень</w:t>
            </w:r>
          </w:p>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(кг у.п./Гкал)</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166,38</w:t>
            </w:r>
          </w:p>
        </w:tc>
        <w:tc>
          <w:tcPr>
            <w:tcW w:w="1943"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159,45</w:t>
            </w:r>
          </w:p>
        </w:tc>
        <w:tc>
          <w:tcPr>
            <w:tcW w:w="1740" w:type="dxa"/>
            <w:tcBorders>
              <w:top w:val="single" w:sz="4" w:space="0" w:color="000000"/>
              <w:left w:val="single" w:sz="4" w:space="0" w:color="000000"/>
              <w:bottom w:val="single" w:sz="4"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163,27</w:t>
            </w:r>
          </w:p>
        </w:tc>
      </w:tr>
      <w:tr w:rsidR="00D227E2">
        <w:tc>
          <w:tcPr>
            <w:tcW w:w="3686" w:type="dxa"/>
            <w:tcBorders>
              <w:top w:val="single" w:sz="4" w:space="0" w:color="000000"/>
              <w:left w:val="single" w:sz="8" w:space="0" w:color="000000"/>
              <w:bottom w:val="single" w:sz="8" w:space="0" w:color="000000"/>
              <w:right w:val="single" w:sz="4"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Питомі витрати електроенергії на виробництво 1 Гкал теплової</w:t>
            </w:r>
          </w:p>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енергії, відпущеної з котелень  (кВт.год/Гкал)</w:t>
            </w:r>
          </w:p>
        </w:tc>
        <w:tc>
          <w:tcPr>
            <w:tcW w:w="1950" w:type="dxa"/>
            <w:tcBorders>
              <w:top w:val="single" w:sz="4" w:space="0" w:color="000000"/>
              <w:left w:val="single" w:sz="4" w:space="0" w:color="000000"/>
              <w:bottom w:val="single" w:sz="8"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41,40</w:t>
            </w:r>
          </w:p>
        </w:tc>
        <w:tc>
          <w:tcPr>
            <w:tcW w:w="1943" w:type="dxa"/>
            <w:tcBorders>
              <w:top w:val="single" w:sz="4" w:space="0" w:color="000000"/>
              <w:left w:val="single" w:sz="4" w:space="0" w:color="000000"/>
              <w:bottom w:val="single" w:sz="8"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43,51</w:t>
            </w:r>
          </w:p>
        </w:tc>
        <w:tc>
          <w:tcPr>
            <w:tcW w:w="1740" w:type="dxa"/>
            <w:tcBorders>
              <w:top w:val="single" w:sz="4" w:space="0" w:color="000000"/>
              <w:left w:val="single" w:sz="4" w:space="0" w:color="000000"/>
              <w:bottom w:val="single" w:sz="8"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43,28</w:t>
            </w:r>
          </w:p>
        </w:tc>
      </w:tr>
    </w:tbl>
    <w:p w:rsidR="00D227E2" w:rsidRDefault="00934FC4">
      <w:pPr>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Таблиця 28.  Ефективність виробництва та транспортування теплової енергії в системі централізованого теплопостачання</w:t>
      </w:r>
    </w:p>
    <w:tbl>
      <w:tblPr>
        <w:tblW w:w="9380" w:type="dxa"/>
        <w:tblInd w:w="49" w:type="dxa"/>
        <w:tblLayout w:type="fixed"/>
        <w:tblCellMar>
          <w:left w:w="10" w:type="dxa"/>
          <w:right w:w="5" w:type="dxa"/>
        </w:tblCellMar>
        <w:tblLook w:val="01E0" w:firstRow="1" w:lastRow="1" w:firstColumn="1" w:lastColumn="1" w:noHBand="0" w:noVBand="0"/>
      </w:tblPr>
      <w:tblGrid>
        <w:gridCol w:w="4161"/>
        <w:gridCol w:w="1815"/>
        <w:gridCol w:w="1803"/>
        <w:gridCol w:w="1601"/>
      </w:tblGrid>
      <w:tr w:rsidR="00D227E2">
        <w:tc>
          <w:tcPr>
            <w:tcW w:w="4160" w:type="dxa"/>
            <w:vMerge w:val="restart"/>
            <w:tcBorders>
              <w:top w:val="single" w:sz="8" w:space="0" w:color="000000"/>
              <w:left w:val="single" w:sz="8"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Назва параметрів</w:t>
            </w:r>
          </w:p>
        </w:tc>
        <w:tc>
          <w:tcPr>
            <w:tcW w:w="5219" w:type="dxa"/>
            <w:gridSpan w:val="3"/>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Роки</w:t>
            </w:r>
          </w:p>
        </w:tc>
      </w:tr>
      <w:tr w:rsidR="00D227E2">
        <w:tc>
          <w:tcPr>
            <w:tcW w:w="4160" w:type="dxa"/>
            <w:vMerge/>
            <w:tcBorders>
              <w:left w:val="single" w:sz="8" w:space="0" w:color="000000"/>
              <w:bottom w:val="single" w:sz="4" w:space="0" w:color="000000"/>
              <w:right w:val="single" w:sz="4" w:space="0" w:color="000000"/>
            </w:tcBorders>
            <w:shd w:val="clear" w:color="auto" w:fill="auto"/>
          </w:tcPr>
          <w:p w:rsidR="00D227E2" w:rsidRDefault="00D227E2">
            <w:pPr>
              <w:widowControl w:val="0"/>
              <w:spacing w:after="0" w:line="240" w:lineRule="auto"/>
              <w:jc w:val="center"/>
              <w:rPr>
                <w:rFonts w:ascii="Times New Roman" w:eastAsia="NSimSun" w:hAnsi="Times New Roman" w:cs="Times New Roman"/>
                <w:kern w:val="2"/>
                <w:lang w:eastAsia="zh-CN" w:bidi="hi-IN"/>
              </w:rPr>
            </w:pP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2007</w:t>
            </w:r>
          </w:p>
        </w:tc>
        <w:tc>
          <w:tcPr>
            <w:tcW w:w="1803"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2020</w:t>
            </w:r>
          </w:p>
        </w:tc>
        <w:tc>
          <w:tcPr>
            <w:tcW w:w="1601" w:type="dxa"/>
            <w:tcBorders>
              <w:top w:val="single" w:sz="4" w:space="0" w:color="000000"/>
              <w:left w:val="single" w:sz="4" w:space="0" w:color="000000"/>
              <w:bottom w:val="single" w:sz="4"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2022</w:t>
            </w:r>
          </w:p>
        </w:tc>
      </w:tr>
      <w:tr w:rsidR="00D227E2">
        <w:tc>
          <w:tcPr>
            <w:tcW w:w="4160" w:type="dxa"/>
            <w:tcBorders>
              <w:top w:val="single" w:sz="4" w:space="0" w:color="000000"/>
              <w:left w:val="single" w:sz="8" w:space="0" w:color="000000"/>
              <w:bottom w:val="single" w:sz="4" w:space="0" w:color="000000"/>
              <w:right w:val="single" w:sz="4"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Споживання палива, т.у.п.</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99328,077</w:t>
            </w:r>
          </w:p>
        </w:tc>
        <w:tc>
          <w:tcPr>
            <w:tcW w:w="1803"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74282,061</w:t>
            </w:r>
          </w:p>
        </w:tc>
        <w:tc>
          <w:tcPr>
            <w:tcW w:w="1601" w:type="dxa"/>
            <w:tcBorders>
              <w:top w:val="single" w:sz="4" w:space="0" w:color="000000"/>
              <w:left w:val="single" w:sz="4" w:space="0" w:color="000000"/>
              <w:bottom w:val="single" w:sz="4"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64086,1286</w:t>
            </w:r>
          </w:p>
        </w:tc>
      </w:tr>
      <w:tr w:rsidR="00D227E2">
        <w:tc>
          <w:tcPr>
            <w:tcW w:w="4160" w:type="dxa"/>
            <w:tcBorders>
              <w:top w:val="single" w:sz="4" w:space="0" w:color="000000"/>
              <w:left w:val="single" w:sz="8" w:space="0" w:color="000000"/>
              <w:bottom w:val="single" w:sz="4" w:space="0" w:color="000000"/>
              <w:right w:val="single" w:sz="4"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Тепловий потенціал палива, Гкал</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695597</w:t>
            </w:r>
          </w:p>
        </w:tc>
        <w:tc>
          <w:tcPr>
            <w:tcW w:w="1803"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519964</w:t>
            </w:r>
          </w:p>
        </w:tc>
        <w:tc>
          <w:tcPr>
            <w:tcW w:w="1601" w:type="dxa"/>
            <w:tcBorders>
              <w:top w:val="single" w:sz="4" w:space="0" w:color="000000"/>
              <w:left w:val="single" w:sz="4" w:space="0" w:color="000000"/>
              <w:bottom w:val="single" w:sz="4"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425629,2</w:t>
            </w:r>
          </w:p>
        </w:tc>
      </w:tr>
      <w:tr w:rsidR="00D227E2">
        <w:tc>
          <w:tcPr>
            <w:tcW w:w="4160" w:type="dxa"/>
            <w:tcBorders>
              <w:top w:val="single" w:sz="4" w:space="0" w:color="000000"/>
              <w:left w:val="single" w:sz="8" w:space="0" w:color="000000"/>
              <w:bottom w:val="single" w:sz="4" w:space="0" w:color="000000"/>
              <w:right w:val="single" w:sz="4"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Ефективність на етапі виробництва,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87,5</w:t>
            </w:r>
          </w:p>
        </w:tc>
        <w:tc>
          <w:tcPr>
            <w:tcW w:w="1803"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91,53</w:t>
            </w:r>
          </w:p>
        </w:tc>
        <w:tc>
          <w:tcPr>
            <w:tcW w:w="1601" w:type="dxa"/>
            <w:tcBorders>
              <w:top w:val="single" w:sz="4" w:space="0" w:color="000000"/>
              <w:left w:val="single" w:sz="4" w:space="0" w:color="000000"/>
              <w:bottom w:val="single" w:sz="4"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89,4</w:t>
            </w:r>
          </w:p>
        </w:tc>
      </w:tr>
      <w:tr w:rsidR="00D227E2">
        <w:tc>
          <w:tcPr>
            <w:tcW w:w="4160" w:type="dxa"/>
            <w:tcBorders>
              <w:top w:val="single" w:sz="4" w:space="0" w:color="000000"/>
              <w:left w:val="single" w:sz="8" w:space="0" w:color="000000"/>
              <w:bottom w:val="single" w:sz="4" w:space="0" w:color="000000"/>
              <w:right w:val="single" w:sz="4"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Ефективність на етапі транспортування,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85,4</w:t>
            </w:r>
          </w:p>
        </w:tc>
        <w:tc>
          <w:tcPr>
            <w:tcW w:w="1803"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89,34</w:t>
            </w:r>
          </w:p>
        </w:tc>
        <w:tc>
          <w:tcPr>
            <w:tcW w:w="1601" w:type="dxa"/>
            <w:tcBorders>
              <w:top w:val="single" w:sz="4" w:space="0" w:color="000000"/>
              <w:left w:val="single" w:sz="4" w:space="0" w:color="000000"/>
              <w:bottom w:val="single" w:sz="4"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87,208</w:t>
            </w:r>
          </w:p>
        </w:tc>
      </w:tr>
      <w:tr w:rsidR="00D227E2">
        <w:tc>
          <w:tcPr>
            <w:tcW w:w="4160" w:type="dxa"/>
            <w:tcBorders>
              <w:top w:val="single" w:sz="4" w:space="0" w:color="000000"/>
              <w:left w:val="single" w:sz="8" w:space="0" w:color="000000"/>
              <w:bottom w:val="single" w:sz="4" w:space="0" w:color="000000"/>
              <w:right w:val="single" w:sz="4"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Ефективність процесу відпуску тепла,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73,57</w:t>
            </w:r>
          </w:p>
        </w:tc>
        <w:tc>
          <w:tcPr>
            <w:tcW w:w="1803"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68,89</w:t>
            </w:r>
          </w:p>
        </w:tc>
        <w:tc>
          <w:tcPr>
            <w:tcW w:w="1601" w:type="dxa"/>
            <w:tcBorders>
              <w:top w:val="single" w:sz="4" w:space="0" w:color="000000"/>
              <w:left w:val="single" w:sz="4" w:space="0" w:color="000000"/>
              <w:bottom w:val="single" w:sz="4"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66</w:t>
            </w:r>
          </w:p>
        </w:tc>
      </w:tr>
    </w:tbl>
    <w:p w:rsidR="00D227E2" w:rsidRDefault="00934FC4">
      <w:pPr>
        <w:spacing w:after="0"/>
        <w:ind w:firstLine="510"/>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Порівнюючи 2007 рік з 2020 та 2022 роками, звертаємо увагу, що характеристики ефективності виробництва і транспортування теплової енергії ДКП «Луцьктепло» практично не змінилися. </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kern w:val="2"/>
          <w:sz w:val="24"/>
          <w:szCs w:val="24"/>
          <w:shd w:val="clear" w:color="auto" w:fill="FFFFFF"/>
          <w:lang w:eastAsia="zh-CN" w:bidi="hi-IN"/>
        </w:rPr>
        <w:t xml:space="preserve">Завдяки модернізації котелень, оптимізації теплових мереж і заміні труб на попередньо ізольовані, підприємство не допустило падіння ефективності виробництва і транспортування тепла, оскільки об’єм тепла, який був наданий споживачам у 2022 році зменшився на 36 % у порівнянні з 2007 роком. </w:t>
      </w:r>
    </w:p>
    <w:p w:rsidR="00D227E2" w:rsidRDefault="00D227E2">
      <w:pPr>
        <w:spacing w:after="0" w:line="240" w:lineRule="auto"/>
        <w:ind w:firstLine="567"/>
        <w:jc w:val="both"/>
        <w:rPr>
          <w:rFonts w:ascii="Times New Roman" w:hAnsi="Times New Roman" w:cs="Times New Roman"/>
          <w:color w:val="000000"/>
          <w:shd w:val="clear" w:color="auto" w:fill="FFFFFF"/>
        </w:rPr>
      </w:pPr>
    </w:p>
    <w:p w:rsidR="00D227E2" w:rsidRDefault="00934FC4">
      <w:pPr>
        <w:spacing w:after="0" w:line="240" w:lineRule="auto"/>
        <w:ind w:firstLine="567"/>
        <w:jc w:val="both"/>
        <w:rPr>
          <w:rFonts w:ascii="Times New Roman" w:hAnsi="Times New Roman" w:cs="Times New Roman"/>
        </w:rPr>
      </w:pPr>
      <w:r>
        <w:rPr>
          <w:rFonts w:ascii="Times New Roman" w:eastAsia="NSimSun" w:hAnsi="Times New Roman" w:cs="Times New Roman"/>
          <w:b/>
          <w:bCs/>
          <w:color w:val="000000"/>
          <w:kern w:val="2"/>
          <w:sz w:val="24"/>
          <w:szCs w:val="24"/>
          <w:shd w:val="clear" w:color="auto" w:fill="FFFFFF"/>
          <w:lang w:eastAsia="zh-CN" w:bidi="hi-IN"/>
        </w:rPr>
        <w:t>3.1.4. Водопостачання та водовідведення</w:t>
      </w:r>
    </w:p>
    <w:p w:rsidR="00D227E2" w:rsidRDefault="00934FC4">
      <w:pPr>
        <w:tabs>
          <w:tab w:val="left" w:pos="0"/>
        </w:tabs>
        <w:spacing w:after="0" w:line="240" w:lineRule="auto"/>
        <w:ind w:firstLine="567"/>
        <w:jc w:val="both"/>
        <w:rPr>
          <w:rFonts w:ascii="Times New Roman" w:hAnsi="Times New Roman" w:cs="Times New Roman"/>
        </w:rPr>
      </w:pPr>
      <w:r>
        <w:rPr>
          <w:rFonts w:ascii="Times New Roman" w:eastAsia="Times New Roman" w:hAnsi="Times New Roman" w:cs="Times New Roman"/>
          <w:color w:val="000000"/>
          <w:kern w:val="2"/>
          <w:sz w:val="24"/>
          <w:szCs w:val="24"/>
          <w:lang w:eastAsia="de-DE" w:bidi="hi-IN"/>
        </w:rPr>
        <w:t>Єдиним постачальником послуг з водопостачання та водовідведення у Луцькій МТГ є комунальне підприємство «Луцькводоканал».</w:t>
      </w:r>
    </w:p>
    <w:p w:rsidR="00D227E2" w:rsidRDefault="00934FC4">
      <w:pPr>
        <w:spacing w:after="11" w:line="247" w:lineRule="auto"/>
        <w:ind w:firstLine="567"/>
        <w:jc w:val="both"/>
        <w:rPr>
          <w:rFonts w:ascii="Times New Roman" w:hAnsi="Times New Roman" w:cs="Times New Roman"/>
        </w:rPr>
      </w:pPr>
      <w:r>
        <w:rPr>
          <w:rFonts w:ascii="Times New Roman" w:eastAsia="Times New Roman" w:hAnsi="Times New Roman" w:cs="Times New Roman"/>
          <w:kern w:val="2"/>
          <w:sz w:val="24"/>
          <w:szCs w:val="24"/>
          <w:lang w:eastAsia="zh-CN" w:bidi="hi-IN"/>
        </w:rPr>
        <w:t xml:space="preserve">У таблиці 29 наведено дані про наявність централізованого водопостачання та водовідведення у Луцькій МТГ станом на 01.01.2023. </w:t>
      </w:r>
    </w:p>
    <w:p w:rsidR="00D227E2" w:rsidRDefault="00934FC4">
      <w:pPr>
        <w:spacing w:after="11" w:line="247" w:lineRule="auto"/>
        <w:ind w:firstLine="567"/>
        <w:jc w:val="center"/>
        <w:rPr>
          <w:rFonts w:ascii="Times New Roman" w:hAnsi="Times New Roman" w:cs="Times New Roman"/>
        </w:rPr>
      </w:pPr>
      <w:r>
        <w:rPr>
          <w:rFonts w:ascii="Times New Roman" w:eastAsia="Times New Roman" w:hAnsi="Times New Roman" w:cs="Times New Roman"/>
          <w:kern w:val="2"/>
          <w:sz w:val="24"/>
          <w:szCs w:val="24"/>
          <w:lang w:eastAsia="zh-CN" w:bidi="hi-IN"/>
        </w:rPr>
        <w:t xml:space="preserve">Таблиця 29. Наявність централізованого водопостачання та водовідведення </w:t>
      </w:r>
    </w:p>
    <w:tbl>
      <w:tblPr>
        <w:tblW w:w="9462" w:type="dxa"/>
        <w:tblInd w:w="360" w:type="dxa"/>
        <w:tblLayout w:type="fixed"/>
        <w:tblCellMar>
          <w:top w:w="51" w:type="dxa"/>
          <w:right w:w="115" w:type="dxa"/>
        </w:tblCellMar>
        <w:tblLook w:val="04A0" w:firstRow="1" w:lastRow="0" w:firstColumn="1" w:lastColumn="0" w:noHBand="0" w:noVBand="1"/>
      </w:tblPr>
      <w:tblGrid>
        <w:gridCol w:w="2558"/>
        <w:gridCol w:w="2666"/>
        <w:gridCol w:w="2146"/>
        <w:gridCol w:w="2092"/>
      </w:tblGrid>
      <w:tr w:rsidR="00D227E2" w:rsidTr="00934FC4">
        <w:trPr>
          <w:trHeight w:val="615"/>
        </w:trPr>
        <w:tc>
          <w:tcPr>
            <w:tcW w:w="2557" w:type="dxa"/>
            <w:tcBorders>
              <w:top w:val="single" w:sz="2" w:space="0" w:color="000000"/>
              <w:left w:val="single" w:sz="2" w:space="0" w:color="000000"/>
              <w:bottom w:val="single" w:sz="4" w:space="0" w:color="auto"/>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Назва підприємства-водопостачальника</w:t>
            </w:r>
          </w:p>
        </w:tc>
        <w:tc>
          <w:tcPr>
            <w:tcW w:w="2666" w:type="dxa"/>
            <w:tcBorders>
              <w:top w:val="single" w:sz="2" w:space="0" w:color="000000"/>
              <w:left w:val="single" w:sz="2" w:space="0" w:color="000000"/>
              <w:bottom w:val="single" w:sz="4" w:space="0" w:color="auto"/>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Населені пункти, що обслуговує</w:t>
            </w:r>
          </w:p>
        </w:tc>
        <w:tc>
          <w:tcPr>
            <w:tcW w:w="2146" w:type="dxa"/>
            <w:tcBorders>
              <w:top w:val="single" w:sz="2" w:space="0" w:color="000000"/>
              <w:left w:val="single" w:sz="2" w:space="0" w:color="000000"/>
              <w:bottom w:val="single" w:sz="4" w:space="0" w:color="auto"/>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Кількість користувачів водопостачання</w:t>
            </w:r>
          </w:p>
        </w:tc>
        <w:tc>
          <w:tcPr>
            <w:tcW w:w="2092" w:type="dxa"/>
            <w:tcBorders>
              <w:top w:val="single" w:sz="2" w:space="0" w:color="000000"/>
              <w:left w:val="single" w:sz="2" w:space="0" w:color="000000"/>
              <w:bottom w:val="single" w:sz="4" w:space="0" w:color="auto"/>
              <w:right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Кількість користувачів водовідведення</w:t>
            </w:r>
          </w:p>
        </w:tc>
      </w:tr>
      <w:tr w:rsidR="00D227E2" w:rsidTr="00934FC4">
        <w:tc>
          <w:tcPr>
            <w:tcW w:w="2557" w:type="dxa"/>
            <w:vMerge w:val="restart"/>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КП «Луцькводоканал»</w:t>
            </w:r>
          </w:p>
        </w:tc>
        <w:tc>
          <w:tcPr>
            <w:tcW w:w="266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19"/>
                <w:szCs w:val="19"/>
                <w:lang w:eastAsia="zh-CN"/>
              </w:rPr>
              <w:t>м. Луцьк</w:t>
            </w:r>
          </w:p>
        </w:tc>
        <w:tc>
          <w:tcPr>
            <w:tcW w:w="214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188573</w:t>
            </w:r>
          </w:p>
        </w:tc>
        <w:tc>
          <w:tcPr>
            <w:tcW w:w="2092"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170510</w:t>
            </w:r>
          </w:p>
        </w:tc>
      </w:tr>
      <w:tr w:rsidR="00D227E2" w:rsidTr="00934FC4">
        <w:tc>
          <w:tcPr>
            <w:tcW w:w="2557" w:type="dxa"/>
            <w:vMerge/>
            <w:tcBorders>
              <w:top w:val="single" w:sz="4" w:space="0" w:color="auto"/>
              <w:left w:val="single" w:sz="4" w:space="0" w:color="auto"/>
              <w:bottom w:val="single" w:sz="4" w:space="0" w:color="auto"/>
              <w:right w:val="single" w:sz="4" w:space="0" w:color="auto"/>
            </w:tcBorders>
            <w:vAlign w:val="center"/>
          </w:tcPr>
          <w:p w:rsidR="00D227E2" w:rsidRDefault="00D227E2">
            <w:pPr>
              <w:widowControl w:val="0"/>
              <w:spacing w:after="0" w:line="240" w:lineRule="auto"/>
              <w:rPr>
                <w:rFonts w:ascii="Times New Roman" w:eastAsia="NSimSun" w:hAnsi="Times New Roman" w:cs="Times New Roman"/>
                <w:kern w:val="2"/>
                <w:sz w:val="19"/>
                <w:szCs w:val="19"/>
                <w:lang w:eastAsia="zh-CN" w:bidi="hi-IN"/>
              </w:rPr>
            </w:pPr>
          </w:p>
        </w:tc>
        <w:tc>
          <w:tcPr>
            <w:tcW w:w="266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19"/>
                <w:szCs w:val="19"/>
                <w:lang w:eastAsia="zh-CN"/>
              </w:rPr>
              <w:t>с. Крупа</w:t>
            </w:r>
          </w:p>
        </w:tc>
        <w:tc>
          <w:tcPr>
            <w:tcW w:w="214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387</w:t>
            </w:r>
          </w:p>
        </w:tc>
        <w:tc>
          <w:tcPr>
            <w:tcW w:w="2092"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0</w:t>
            </w:r>
          </w:p>
        </w:tc>
      </w:tr>
      <w:tr w:rsidR="00D227E2" w:rsidTr="00934FC4">
        <w:tc>
          <w:tcPr>
            <w:tcW w:w="2557" w:type="dxa"/>
            <w:vMerge/>
            <w:tcBorders>
              <w:top w:val="single" w:sz="4" w:space="0" w:color="auto"/>
              <w:left w:val="single" w:sz="4" w:space="0" w:color="auto"/>
              <w:bottom w:val="single" w:sz="4" w:space="0" w:color="auto"/>
              <w:right w:val="single" w:sz="4" w:space="0" w:color="auto"/>
            </w:tcBorders>
            <w:vAlign w:val="center"/>
          </w:tcPr>
          <w:p w:rsidR="00D227E2" w:rsidRDefault="00D227E2">
            <w:pPr>
              <w:widowControl w:val="0"/>
              <w:spacing w:after="0" w:line="240" w:lineRule="auto"/>
              <w:rPr>
                <w:rFonts w:ascii="Times New Roman" w:eastAsia="NSimSun" w:hAnsi="Times New Roman" w:cs="Times New Roman"/>
                <w:kern w:val="2"/>
                <w:sz w:val="19"/>
                <w:szCs w:val="19"/>
                <w:lang w:eastAsia="zh-CN" w:bidi="hi-IN"/>
              </w:rPr>
            </w:pPr>
          </w:p>
        </w:tc>
        <w:tc>
          <w:tcPr>
            <w:tcW w:w="266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19"/>
                <w:szCs w:val="19"/>
                <w:lang w:eastAsia="zh-CN"/>
              </w:rPr>
              <w:t>с. Лище</w:t>
            </w:r>
          </w:p>
        </w:tc>
        <w:tc>
          <w:tcPr>
            <w:tcW w:w="214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710</w:t>
            </w:r>
          </w:p>
        </w:tc>
        <w:tc>
          <w:tcPr>
            <w:tcW w:w="2092"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0</w:t>
            </w:r>
          </w:p>
        </w:tc>
      </w:tr>
      <w:tr w:rsidR="00D227E2" w:rsidTr="00934FC4">
        <w:tc>
          <w:tcPr>
            <w:tcW w:w="2557" w:type="dxa"/>
            <w:vMerge/>
            <w:tcBorders>
              <w:top w:val="single" w:sz="4" w:space="0" w:color="auto"/>
              <w:left w:val="single" w:sz="4" w:space="0" w:color="auto"/>
              <w:bottom w:val="single" w:sz="4" w:space="0" w:color="auto"/>
              <w:right w:val="single" w:sz="4" w:space="0" w:color="auto"/>
            </w:tcBorders>
            <w:vAlign w:val="center"/>
          </w:tcPr>
          <w:p w:rsidR="00D227E2" w:rsidRDefault="00D227E2">
            <w:pPr>
              <w:widowControl w:val="0"/>
              <w:spacing w:after="0" w:line="240" w:lineRule="auto"/>
              <w:rPr>
                <w:rFonts w:ascii="Times New Roman" w:eastAsia="NSimSun" w:hAnsi="Times New Roman" w:cs="Times New Roman"/>
                <w:kern w:val="2"/>
                <w:sz w:val="19"/>
                <w:szCs w:val="19"/>
                <w:lang w:eastAsia="zh-CN" w:bidi="hi-IN"/>
              </w:rPr>
            </w:pPr>
          </w:p>
        </w:tc>
        <w:tc>
          <w:tcPr>
            <w:tcW w:w="266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19"/>
                <w:szCs w:val="19"/>
                <w:lang w:eastAsia="zh-CN"/>
              </w:rPr>
              <w:t>с. Рованці</w:t>
            </w:r>
          </w:p>
        </w:tc>
        <w:tc>
          <w:tcPr>
            <w:tcW w:w="214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1822</w:t>
            </w:r>
          </w:p>
        </w:tc>
        <w:tc>
          <w:tcPr>
            <w:tcW w:w="2092"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185</w:t>
            </w:r>
          </w:p>
        </w:tc>
      </w:tr>
      <w:tr w:rsidR="00D227E2" w:rsidTr="00934FC4">
        <w:tc>
          <w:tcPr>
            <w:tcW w:w="2557" w:type="dxa"/>
            <w:vMerge/>
            <w:tcBorders>
              <w:top w:val="single" w:sz="4" w:space="0" w:color="auto"/>
              <w:left w:val="single" w:sz="4" w:space="0" w:color="auto"/>
              <w:bottom w:val="single" w:sz="4" w:space="0" w:color="auto"/>
              <w:right w:val="single" w:sz="4" w:space="0" w:color="auto"/>
            </w:tcBorders>
            <w:vAlign w:val="center"/>
          </w:tcPr>
          <w:p w:rsidR="00D227E2" w:rsidRDefault="00D227E2">
            <w:pPr>
              <w:widowControl w:val="0"/>
              <w:spacing w:after="0" w:line="240" w:lineRule="auto"/>
              <w:rPr>
                <w:rFonts w:ascii="Times New Roman" w:eastAsia="NSimSun" w:hAnsi="Times New Roman" w:cs="Times New Roman"/>
                <w:kern w:val="2"/>
                <w:sz w:val="19"/>
                <w:szCs w:val="19"/>
                <w:lang w:eastAsia="zh-CN" w:bidi="hi-IN"/>
              </w:rPr>
            </w:pPr>
          </w:p>
        </w:tc>
        <w:tc>
          <w:tcPr>
            <w:tcW w:w="266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19"/>
                <w:szCs w:val="19"/>
                <w:lang w:eastAsia="zh-CN"/>
              </w:rPr>
              <w:t>с. Новостав</w:t>
            </w:r>
          </w:p>
        </w:tc>
        <w:tc>
          <w:tcPr>
            <w:tcW w:w="214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496</w:t>
            </w:r>
          </w:p>
        </w:tc>
        <w:tc>
          <w:tcPr>
            <w:tcW w:w="2092"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0</w:t>
            </w:r>
          </w:p>
        </w:tc>
      </w:tr>
      <w:tr w:rsidR="00D227E2" w:rsidTr="00934FC4">
        <w:tc>
          <w:tcPr>
            <w:tcW w:w="2557" w:type="dxa"/>
            <w:vMerge/>
            <w:tcBorders>
              <w:top w:val="single" w:sz="4" w:space="0" w:color="auto"/>
              <w:left w:val="single" w:sz="4" w:space="0" w:color="auto"/>
              <w:bottom w:val="single" w:sz="4" w:space="0" w:color="auto"/>
              <w:right w:val="single" w:sz="4" w:space="0" w:color="auto"/>
            </w:tcBorders>
            <w:vAlign w:val="center"/>
          </w:tcPr>
          <w:p w:rsidR="00D227E2" w:rsidRDefault="00D227E2">
            <w:pPr>
              <w:widowControl w:val="0"/>
              <w:spacing w:after="0" w:line="240" w:lineRule="auto"/>
              <w:rPr>
                <w:rFonts w:ascii="Times New Roman" w:eastAsia="NSimSun" w:hAnsi="Times New Roman" w:cs="Times New Roman"/>
                <w:kern w:val="2"/>
                <w:sz w:val="19"/>
                <w:szCs w:val="19"/>
                <w:lang w:eastAsia="zh-CN" w:bidi="hi-IN"/>
              </w:rPr>
            </w:pPr>
          </w:p>
        </w:tc>
        <w:tc>
          <w:tcPr>
            <w:tcW w:w="266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19"/>
                <w:szCs w:val="19"/>
                <w:lang w:eastAsia="zh-CN"/>
              </w:rPr>
              <w:t>с. Боратин</w:t>
            </w:r>
          </w:p>
        </w:tc>
        <w:tc>
          <w:tcPr>
            <w:tcW w:w="214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1996</w:t>
            </w:r>
          </w:p>
        </w:tc>
        <w:tc>
          <w:tcPr>
            <w:tcW w:w="2092"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0</w:t>
            </w:r>
          </w:p>
        </w:tc>
      </w:tr>
      <w:tr w:rsidR="00D227E2" w:rsidTr="00934FC4">
        <w:tc>
          <w:tcPr>
            <w:tcW w:w="2557" w:type="dxa"/>
            <w:vMerge/>
            <w:tcBorders>
              <w:top w:val="single" w:sz="4" w:space="0" w:color="auto"/>
              <w:left w:val="single" w:sz="4" w:space="0" w:color="auto"/>
              <w:bottom w:val="single" w:sz="4" w:space="0" w:color="auto"/>
              <w:right w:val="single" w:sz="4" w:space="0" w:color="auto"/>
            </w:tcBorders>
            <w:vAlign w:val="center"/>
          </w:tcPr>
          <w:p w:rsidR="00D227E2" w:rsidRDefault="00D227E2">
            <w:pPr>
              <w:widowControl w:val="0"/>
              <w:spacing w:after="0" w:line="240" w:lineRule="auto"/>
              <w:rPr>
                <w:rFonts w:ascii="Times New Roman" w:eastAsia="NSimSun" w:hAnsi="Times New Roman" w:cs="Times New Roman"/>
                <w:kern w:val="2"/>
                <w:sz w:val="19"/>
                <w:szCs w:val="19"/>
                <w:lang w:eastAsia="zh-CN" w:bidi="hi-IN"/>
              </w:rPr>
            </w:pPr>
          </w:p>
        </w:tc>
        <w:tc>
          <w:tcPr>
            <w:tcW w:w="266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19"/>
                <w:szCs w:val="19"/>
                <w:lang w:eastAsia="zh-CN"/>
              </w:rPr>
              <w:t>с. Голишів</w:t>
            </w:r>
          </w:p>
        </w:tc>
        <w:tc>
          <w:tcPr>
            <w:tcW w:w="214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198</w:t>
            </w:r>
          </w:p>
        </w:tc>
        <w:tc>
          <w:tcPr>
            <w:tcW w:w="2092"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0</w:t>
            </w:r>
          </w:p>
        </w:tc>
      </w:tr>
      <w:tr w:rsidR="00D227E2" w:rsidTr="00934FC4">
        <w:tc>
          <w:tcPr>
            <w:tcW w:w="2557" w:type="dxa"/>
            <w:vMerge/>
            <w:tcBorders>
              <w:top w:val="single" w:sz="4" w:space="0" w:color="auto"/>
              <w:left w:val="single" w:sz="4" w:space="0" w:color="auto"/>
              <w:bottom w:val="single" w:sz="4" w:space="0" w:color="auto"/>
              <w:right w:val="single" w:sz="4" w:space="0" w:color="auto"/>
            </w:tcBorders>
            <w:vAlign w:val="center"/>
          </w:tcPr>
          <w:p w:rsidR="00D227E2" w:rsidRDefault="00D227E2">
            <w:pPr>
              <w:widowControl w:val="0"/>
              <w:spacing w:after="0" w:line="240" w:lineRule="auto"/>
              <w:rPr>
                <w:rFonts w:ascii="Times New Roman" w:eastAsia="NSimSun" w:hAnsi="Times New Roman" w:cs="Times New Roman"/>
                <w:kern w:val="2"/>
                <w:sz w:val="19"/>
                <w:szCs w:val="19"/>
                <w:lang w:eastAsia="zh-CN" w:bidi="hi-IN"/>
              </w:rPr>
            </w:pPr>
          </w:p>
        </w:tc>
        <w:tc>
          <w:tcPr>
            <w:tcW w:w="266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19"/>
                <w:szCs w:val="19"/>
                <w:lang w:eastAsia="zh-CN"/>
              </w:rPr>
              <w:t>с. Липляни</w:t>
            </w:r>
          </w:p>
        </w:tc>
        <w:tc>
          <w:tcPr>
            <w:tcW w:w="214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602</w:t>
            </w:r>
          </w:p>
        </w:tc>
        <w:tc>
          <w:tcPr>
            <w:tcW w:w="2092"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1</w:t>
            </w:r>
          </w:p>
        </w:tc>
      </w:tr>
      <w:tr w:rsidR="00D227E2" w:rsidTr="00934FC4">
        <w:tc>
          <w:tcPr>
            <w:tcW w:w="2557" w:type="dxa"/>
            <w:vMerge/>
            <w:tcBorders>
              <w:top w:val="single" w:sz="4" w:space="0" w:color="auto"/>
              <w:left w:val="single" w:sz="4" w:space="0" w:color="auto"/>
              <w:bottom w:val="single" w:sz="4" w:space="0" w:color="auto"/>
              <w:right w:val="single" w:sz="4" w:space="0" w:color="auto"/>
            </w:tcBorders>
            <w:vAlign w:val="center"/>
          </w:tcPr>
          <w:p w:rsidR="00D227E2" w:rsidRDefault="00D227E2">
            <w:pPr>
              <w:widowControl w:val="0"/>
              <w:spacing w:after="0" w:line="240" w:lineRule="auto"/>
              <w:rPr>
                <w:rFonts w:ascii="Times New Roman" w:eastAsia="NSimSun" w:hAnsi="Times New Roman" w:cs="Times New Roman"/>
                <w:kern w:val="2"/>
                <w:sz w:val="19"/>
                <w:szCs w:val="19"/>
                <w:lang w:eastAsia="zh-CN" w:bidi="hi-IN"/>
              </w:rPr>
            </w:pPr>
          </w:p>
        </w:tc>
        <w:tc>
          <w:tcPr>
            <w:tcW w:w="266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19"/>
                <w:szCs w:val="19"/>
                <w:lang w:eastAsia="zh-CN"/>
              </w:rPr>
              <w:t>с. Липини</w:t>
            </w:r>
          </w:p>
        </w:tc>
        <w:tc>
          <w:tcPr>
            <w:tcW w:w="214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1733</w:t>
            </w:r>
          </w:p>
        </w:tc>
        <w:tc>
          <w:tcPr>
            <w:tcW w:w="2092"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1957</w:t>
            </w:r>
          </w:p>
        </w:tc>
      </w:tr>
      <w:tr w:rsidR="00D227E2" w:rsidTr="00934FC4">
        <w:tc>
          <w:tcPr>
            <w:tcW w:w="2557" w:type="dxa"/>
            <w:vMerge/>
            <w:tcBorders>
              <w:top w:val="single" w:sz="4" w:space="0" w:color="auto"/>
              <w:left w:val="single" w:sz="4" w:space="0" w:color="auto"/>
              <w:bottom w:val="single" w:sz="4" w:space="0" w:color="auto"/>
              <w:right w:val="single" w:sz="4" w:space="0" w:color="auto"/>
            </w:tcBorders>
            <w:vAlign w:val="center"/>
          </w:tcPr>
          <w:p w:rsidR="00D227E2" w:rsidRDefault="00D227E2">
            <w:pPr>
              <w:widowControl w:val="0"/>
              <w:spacing w:after="0" w:line="240" w:lineRule="auto"/>
              <w:rPr>
                <w:rFonts w:ascii="Times New Roman" w:eastAsia="NSimSun" w:hAnsi="Times New Roman" w:cs="Times New Roman"/>
                <w:kern w:val="2"/>
                <w:sz w:val="19"/>
                <w:szCs w:val="19"/>
                <w:lang w:eastAsia="zh-CN" w:bidi="hi-IN"/>
              </w:rPr>
            </w:pPr>
          </w:p>
        </w:tc>
        <w:tc>
          <w:tcPr>
            <w:tcW w:w="266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19"/>
                <w:szCs w:val="19"/>
                <w:lang w:eastAsia="zh-CN"/>
              </w:rPr>
              <w:t>с. Зміїнець</w:t>
            </w:r>
          </w:p>
        </w:tc>
        <w:tc>
          <w:tcPr>
            <w:tcW w:w="214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1752</w:t>
            </w:r>
          </w:p>
        </w:tc>
        <w:tc>
          <w:tcPr>
            <w:tcW w:w="2092"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668</w:t>
            </w:r>
          </w:p>
        </w:tc>
      </w:tr>
      <w:tr w:rsidR="00D227E2" w:rsidTr="00934FC4">
        <w:tc>
          <w:tcPr>
            <w:tcW w:w="2557" w:type="dxa"/>
            <w:vMerge/>
            <w:tcBorders>
              <w:top w:val="single" w:sz="4" w:space="0" w:color="auto"/>
              <w:left w:val="single" w:sz="4" w:space="0" w:color="auto"/>
              <w:bottom w:val="single" w:sz="4" w:space="0" w:color="auto"/>
              <w:right w:val="single" w:sz="4" w:space="0" w:color="auto"/>
            </w:tcBorders>
            <w:vAlign w:val="center"/>
          </w:tcPr>
          <w:p w:rsidR="00D227E2" w:rsidRDefault="00D227E2">
            <w:pPr>
              <w:widowControl w:val="0"/>
              <w:spacing w:after="0" w:line="240" w:lineRule="auto"/>
              <w:rPr>
                <w:rFonts w:ascii="Times New Roman" w:eastAsia="NSimSun" w:hAnsi="Times New Roman" w:cs="Times New Roman"/>
                <w:kern w:val="2"/>
                <w:sz w:val="19"/>
                <w:szCs w:val="19"/>
                <w:lang w:eastAsia="zh-CN" w:bidi="hi-IN"/>
              </w:rPr>
            </w:pPr>
          </w:p>
        </w:tc>
        <w:tc>
          <w:tcPr>
            <w:tcW w:w="266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19"/>
                <w:szCs w:val="19"/>
                <w:lang w:eastAsia="zh-CN"/>
              </w:rPr>
              <w:t>с. Великий Омеляник</w:t>
            </w:r>
          </w:p>
        </w:tc>
        <w:tc>
          <w:tcPr>
            <w:tcW w:w="214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876</w:t>
            </w:r>
          </w:p>
        </w:tc>
        <w:tc>
          <w:tcPr>
            <w:tcW w:w="2092"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355</w:t>
            </w:r>
          </w:p>
        </w:tc>
      </w:tr>
      <w:tr w:rsidR="00D227E2" w:rsidTr="00934FC4">
        <w:tc>
          <w:tcPr>
            <w:tcW w:w="2557" w:type="dxa"/>
            <w:vMerge/>
            <w:tcBorders>
              <w:top w:val="single" w:sz="4" w:space="0" w:color="auto"/>
              <w:left w:val="single" w:sz="4" w:space="0" w:color="auto"/>
              <w:bottom w:val="single" w:sz="4" w:space="0" w:color="auto"/>
              <w:right w:val="single" w:sz="4" w:space="0" w:color="auto"/>
            </w:tcBorders>
            <w:vAlign w:val="center"/>
          </w:tcPr>
          <w:p w:rsidR="00D227E2" w:rsidRDefault="00D227E2">
            <w:pPr>
              <w:widowControl w:val="0"/>
              <w:spacing w:after="0" w:line="240" w:lineRule="auto"/>
              <w:rPr>
                <w:rFonts w:ascii="Times New Roman" w:eastAsia="NSimSun" w:hAnsi="Times New Roman" w:cs="Times New Roman"/>
                <w:kern w:val="2"/>
                <w:sz w:val="19"/>
                <w:szCs w:val="19"/>
                <w:lang w:eastAsia="zh-CN" w:bidi="hi-IN"/>
              </w:rPr>
            </w:pPr>
          </w:p>
        </w:tc>
        <w:tc>
          <w:tcPr>
            <w:tcW w:w="266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19"/>
                <w:szCs w:val="19"/>
                <w:lang w:eastAsia="zh-CN"/>
              </w:rPr>
              <w:t>с. Тарасове</w:t>
            </w:r>
          </w:p>
        </w:tc>
        <w:tc>
          <w:tcPr>
            <w:tcW w:w="214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1433</w:t>
            </w:r>
          </w:p>
        </w:tc>
        <w:tc>
          <w:tcPr>
            <w:tcW w:w="2092"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617</w:t>
            </w:r>
          </w:p>
        </w:tc>
      </w:tr>
      <w:tr w:rsidR="00D227E2" w:rsidTr="00934FC4">
        <w:tc>
          <w:tcPr>
            <w:tcW w:w="2557" w:type="dxa"/>
            <w:vMerge/>
            <w:tcBorders>
              <w:top w:val="single" w:sz="4" w:space="0" w:color="auto"/>
              <w:left w:val="single" w:sz="4" w:space="0" w:color="auto"/>
              <w:bottom w:val="single" w:sz="4" w:space="0" w:color="auto"/>
              <w:right w:val="single" w:sz="4" w:space="0" w:color="auto"/>
            </w:tcBorders>
            <w:vAlign w:val="center"/>
          </w:tcPr>
          <w:p w:rsidR="00D227E2" w:rsidRDefault="00D227E2">
            <w:pPr>
              <w:widowControl w:val="0"/>
              <w:spacing w:after="0" w:line="240" w:lineRule="auto"/>
              <w:rPr>
                <w:rFonts w:ascii="Times New Roman" w:eastAsia="NSimSun" w:hAnsi="Times New Roman" w:cs="Times New Roman"/>
                <w:kern w:val="2"/>
                <w:sz w:val="19"/>
                <w:szCs w:val="19"/>
                <w:lang w:eastAsia="zh-CN" w:bidi="hi-IN"/>
              </w:rPr>
            </w:pPr>
          </w:p>
        </w:tc>
        <w:tc>
          <w:tcPr>
            <w:tcW w:w="266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19"/>
                <w:szCs w:val="19"/>
                <w:lang w:eastAsia="zh-CN"/>
              </w:rPr>
              <w:t>с. Прилуцьке</w:t>
            </w:r>
          </w:p>
        </w:tc>
        <w:tc>
          <w:tcPr>
            <w:tcW w:w="214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264</w:t>
            </w:r>
          </w:p>
        </w:tc>
        <w:tc>
          <w:tcPr>
            <w:tcW w:w="2092"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339</w:t>
            </w:r>
          </w:p>
        </w:tc>
      </w:tr>
      <w:tr w:rsidR="00D227E2" w:rsidTr="00934FC4">
        <w:tc>
          <w:tcPr>
            <w:tcW w:w="2557" w:type="dxa"/>
            <w:vMerge/>
            <w:tcBorders>
              <w:top w:val="single" w:sz="4" w:space="0" w:color="auto"/>
              <w:left w:val="single" w:sz="4" w:space="0" w:color="auto"/>
              <w:bottom w:val="single" w:sz="4" w:space="0" w:color="auto"/>
              <w:right w:val="single" w:sz="4" w:space="0" w:color="auto"/>
            </w:tcBorders>
            <w:vAlign w:val="center"/>
          </w:tcPr>
          <w:p w:rsidR="00D227E2" w:rsidRDefault="00D227E2">
            <w:pPr>
              <w:widowControl w:val="0"/>
              <w:spacing w:after="0" w:line="240" w:lineRule="auto"/>
              <w:rPr>
                <w:rFonts w:ascii="Times New Roman" w:eastAsia="NSimSun" w:hAnsi="Times New Roman" w:cs="Times New Roman"/>
                <w:kern w:val="2"/>
                <w:sz w:val="19"/>
                <w:szCs w:val="19"/>
                <w:lang w:eastAsia="zh-CN" w:bidi="hi-IN"/>
              </w:rPr>
            </w:pPr>
          </w:p>
        </w:tc>
        <w:tc>
          <w:tcPr>
            <w:tcW w:w="266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19"/>
                <w:szCs w:val="19"/>
                <w:lang w:eastAsia="zh-CN"/>
              </w:rPr>
              <w:t>с. Струмівка</w:t>
            </w:r>
          </w:p>
        </w:tc>
        <w:tc>
          <w:tcPr>
            <w:tcW w:w="214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421</w:t>
            </w:r>
          </w:p>
        </w:tc>
        <w:tc>
          <w:tcPr>
            <w:tcW w:w="2092"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787</w:t>
            </w:r>
          </w:p>
        </w:tc>
      </w:tr>
      <w:tr w:rsidR="00D227E2" w:rsidTr="00934FC4">
        <w:tc>
          <w:tcPr>
            <w:tcW w:w="2557" w:type="dxa"/>
            <w:vMerge/>
            <w:tcBorders>
              <w:top w:val="single" w:sz="4" w:space="0" w:color="auto"/>
              <w:left w:val="single" w:sz="4" w:space="0" w:color="auto"/>
              <w:bottom w:val="single" w:sz="4" w:space="0" w:color="auto"/>
              <w:right w:val="single" w:sz="4" w:space="0" w:color="auto"/>
            </w:tcBorders>
            <w:vAlign w:val="center"/>
          </w:tcPr>
          <w:p w:rsidR="00D227E2" w:rsidRDefault="00D227E2">
            <w:pPr>
              <w:widowControl w:val="0"/>
              <w:spacing w:after="0" w:line="240" w:lineRule="auto"/>
              <w:rPr>
                <w:rFonts w:ascii="Times New Roman" w:eastAsia="NSimSun" w:hAnsi="Times New Roman" w:cs="Times New Roman"/>
                <w:kern w:val="2"/>
                <w:sz w:val="19"/>
                <w:szCs w:val="19"/>
                <w:lang w:eastAsia="zh-CN" w:bidi="hi-IN"/>
              </w:rPr>
            </w:pPr>
          </w:p>
        </w:tc>
        <w:tc>
          <w:tcPr>
            <w:tcW w:w="266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19"/>
                <w:szCs w:val="19"/>
                <w:lang w:eastAsia="zh-CN"/>
              </w:rPr>
              <w:t>с. Підгайці</w:t>
            </w:r>
          </w:p>
        </w:tc>
        <w:tc>
          <w:tcPr>
            <w:tcW w:w="214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346619</w:t>
            </w:r>
          </w:p>
        </w:tc>
        <w:tc>
          <w:tcPr>
            <w:tcW w:w="2092"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0</w:t>
            </w:r>
          </w:p>
        </w:tc>
      </w:tr>
      <w:tr w:rsidR="00D227E2" w:rsidTr="00934FC4">
        <w:tc>
          <w:tcPr>
            <w:tcW w:w="2557" w:type="dxa"/>
            <w:vMerge/>
            <w:tcBorders>
              <w:top w:val="single" w:sz="4" w:space="0" w:color="auto"/>
              <w:left w:val="single" w:sz="4" w:space="0" w:color="auto"/>
              <w:bottom w:val="single" w:sz="4" w:space="0" w:color="auto"/>
              <w:right w:val="single" w:sz="4" w:space="0" w:color="auto"/>
            </w:tcBorders>
            <w:vAlign w:val="center"/>
          </w:tcPr>
          <w:p w:rsidR="00D227E2" w:rsidRDefault="00D227E2">
            <w:pPr>
              <w:widowControl w:val="0"/>
              <w:spacing w:after="0" w:line="240" w:lineRule="auto"/>
              <w:rPr>
                <w:rFonts w:ascii="Times New Roman" w:eastAsia="NSimSun" w:hAnsi="Times New Roman" w:cs="Times New Roman"/>
                <w:kern w:val="2"/>
                <w:sz w:val="19"/>
                <w:szCs w:val="19"/>
                <w:lang w:eastAsia="zh-CN" w:bidi="hi-IN"/>
              </w:rPr>
            </w:pPr>
          </w:p>
        </w:tc>
        <w:tc>
          <w:tcPr>
            <w:tcW w:w="266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19"/>
                <w:szCs w:val="19"/>
                <w:lang w:eastAsia="zh-CN"/>
              </w:rPr>
              <w:t>с. Жидичин</w:t>
            </w:r>
          </w:p>
        </w:tc>
        <w:tc>
          <w:tcPr>
            <w:tcW w:w="214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19</w:t>
            </w:r>
          </w:p>
        </w:tc>
        <w:tc>
          <w:tcPr>
            <w:tcW w:w="2092"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0</w:t>
            </w:r>
          </w:p>
        </w:tc>
      </w:tr>
      <w:tr w:rsidR="00D227E2" w:rsidTr="00934FC4">
        <w:tc>
          <w:tcPr>
            <w:tcW w:w="2557" w:type="dxa"/>
            <w:vMerge/>
            <w:tcBorders>
              <w:top w:val="single" w:sz="4" w:space="0" w:color="auto"/>
              <w:left w:val="single" w:sz="4" w:space="0" w:color="auto"/>
              <w:bottom w:val="single" w:sz="4" w:space="0" w:color="auto"/>
              <w:right w:val="single" w:sz="4" w:space="0" w:color="auto"/>
            </w:tcBorders>
            <w:vAlign w:val="center"/>
          </w:tcPr>
          <w:p w:rsidR="00D227E2" w:rsidRDefault="00D227E2">
            <w:pPr>
              <w:widowControl w:val="0"/>
              <w:spacing w:after="0" w:line="240" w:lineRule="auto"/>
              <w:rPr>
                <w:rFonts w:ascii="Times New Roman" w:eastAsia="NSimSun" w:hAnsi="Times New Roman" w:cs="Times New Roman"/>
                <w:kern w:val="2"/>
                <w:sz w:val="19"/>
                <w:szCs w:val="19"/>
                <w:lang w:eastAsia="zh-CN" w:bidi="hi-IN"/>
              </w:rPr>
            </w:pPr>
          </w:p>
        </w:tc>
        <w:tc>
          <w:tcPr>
            <w:tcW w:w="266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19"/>
                <w:szCs w:val="19"/>
                <w:lang w:eastAsia="zh-CN"/>
              </w:rPr>
              <w:t>с. Забороль</w:t>
            </w:r>
          </w:p>
        </w:tc>
        <w:tc>
          <w:tcPr>
            <w:tcW w:w="214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1127</w:t>
            </w:r>
          </w:p>
        </w:tc>
        <w:tc>
          <w:tcPr>
            <w:tcW w:w="2092"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1</w:t>
            </w:r>
          </w:p>
        </w:tc>
      </w:tr>
      <w:tr w:rsidR="00D227E2" w:rsidTr="00934FC4">
        <w:tc>
          <w:tcPr>
            <w:tcW w:w="2557" w:type="dxa"/>
            <w:vMerge/>
            <w:tcBorders>
              <w:top w:val="single" w:sz="4" w:space="0" w:color="auto"/>
              <w:left w:val="single" w:sz="4" w:space="0" w:color="auto"/>
              <w:bottom w:val="single" w:sz="4" w:space="0" w:color="auto"/>
              <w:right w:val="single" w:sz="4" w:space="0" w:color="auto"/>
            </w:tcBorders>
            <w:vAlign w:val="center"/>
          </w:tcPr>
          <w:p w:rsidR="00D227E2" w:rsidRDefault="00D227E2">
            <w:pPr>
              <w:widowControl w:val="0"/>
              <w:spacing w:after="0" w:line="240" w:lineRule="auto"/>
              <w:rPr>
                <w:rFonts w:ascii="Times New Roman" w:eastAsia="NSimSun" w:hAnsi="Times New Roman" w:cs="Times New Roman"/>
                <w:kern w:val="2"/>
                <w:sz w:val="19"/>
                <w:szCs w:val="19"/>
                <w:lang w:eastAsia="zh-CN" w:bidi="hi-IN"/>
              </w:rPr>
            </w:pPr>
          </w:p>
        </w:tc>
        <w:tc>
          <w:tcPr>
            <w:tcW w:w="266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19"/>
                <w:szCs w:val="19"/>
                <w:lang w:eastAsia="zh-CN"/>
              </w:rPr>
              <w:t>с. Полонка</w:t>
            </w:r>
          </w:p>
        </w:tc>
        <w:tc>
          <w:tcPr>
            <w:tcW w:w="214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8</w:t>
            </w:r>
          </w:p>
        </w:tc>
        <w:tc>
          <w:tcPr>
            <w:tcW w:w="2092"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7</w:t>
            </w:r>
          </w:p>
        </w:tc>
      </w:tr>
      <w:tr w:rsidR="00D227E2" w:rsidTr="00934FC4">
        <w:tc>
          <w:tcPr>
            <w:tcW w:w="2557" w:type="dxa"/>
            <w:vMerge/>
            <w:tcBorders>
              <w:top w:val="single" w:sz="4" w:space="0" w:color="auto"/>
              <w:left w:val="single" w:sz="4" w:space="0" w:color="auto"/>
              <w:bottom w:val="single" w:sz="4" w:space="0" w:color="auto"/>
              <w:right w:val="single" w:sz="4" w:space="0" w:color="auto"/>
            </w:tcBorders>
            <w:vAlign w:val="center"/>
          </w:tcPr>
          <w:p w:rsidR="00D227E2" w:rsidRDefault="00D227E2">
            <w:pPr>
              <w:widowControl w:val="0"/>
              <w:spacing w:after="0" w:line="240" w:lineRule="auto"/>
              <w:rPr>
                <w:rFonts w:ascii="Times New Roman" w:eastAsia="NSimSun" w:hAnsi="Times New Roman" w:cs="Times New Roman"/>
                <w:kern w:val="2"/>
                <w:sz w:val="19"/>
                <w:szCs w:val="19"/>
                <w:lang w:eastAsia="zh-CN" w:bidi="hi-IN"/>
              </w:rPr>
            </w:pPr>
          </w:p>
        </w:tc>
        <w:tc>
          <w:tcPr>
            <w:tcW w:w="266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19"/>
                <w:szCs w:val="19"/>
                <w:lang w:eastAsia="zh-CN"/>
              </w:rPr>
              <w:t>с. Іванчиці</w:t>
            </w:r>
          </w:p>
        </w:tc>
        <w:tc>
          <w:tcPr>
            <w:tcW w:w="214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58</w:t>
            </w:r>
          </w:p>
        </w:tc>
        <w:tc>
          <w:tcPr>
            <w:tcW w:w="2092"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0</w:t>
            </w:r>
          </w:p>
        </w:tc>
      </w:tr>
      <w:tr w:rsidR="00D227E2" w:rsidTr="00934FC4">
        <w:tc>
          <w:tcPr>
            <w:tcW w:w="2557" w:type="dxa"/>
            <w:vMerge/>
            <w:tcBorders>
              <w:top w:val="single" w:sz="4" w:space="0" w:color="auto"/>
              <w:left w:val="single" w:sz="4" w:space="0" w:color="auto"/>
              <w:bottom w:val="single" w:sz="4" w:space="0" w:color="auto"/>
              <w:right w:val="single" w:sz="4" w:space="0" w:color="auto"/>
            </w:tcBorders>
            <w:vAlign w:val="center"/>
          </w:tcPr>
          <w:p w:rsidR="00D227E2" w:rsidRDefault="00D227E2">
            <w:pPr>
              <w:widowControl w:val="0"/>
              <w:spacing w:after="0" w:line="240" w:lineRule="auto"/>
              <w:rPr>
                <w:rFonts w:ascii="Times New Roman" w:eastAsia="NSimSun" w:hAnsi="Times New Roman" w:cs="Times New Roman"/>
                <w:kern w:val="2"/>
                <w:sz w:val="19"/>
                <w:szCs w:val="19"/>
                <w:lang w:eastAsia="zh-CN" w:bidi="hi-IN"/>
              </w:rPr>
            </w:pPr>
          </w:p>
        </w:tc>
        <w:tc>
          <w:tcPr>
            <w:tcW w:w="266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19"/>
                <w:szCs w:val="19"/>
                <w:lang w:eastAsia="zh-CN"/>
              </w:rPr>
              <w:t>с. Озденіж</w:t>
            </w:r>
          </w:p>
        </w:tc>
        <w:tc>
          <w:tcPr>
            <w:tcW w:w="214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22</w:t>
            </w:r>
          </w:p>
        </w:tc>
        <w:tc>
          <w:tcPr>
            <w:tcW w:w="2092"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0</w:t>
            </w:r>
          </w:p>
        </w:tc>
      </w:tr>
      <w:tr w:rsidR="00D227E2" w:rsidTr="00934FC4">
        <w:tc>
          <w:tcPr>
            <w:tcW w:w="2557" w:type="dxa"/>
            <w:vMerge/>
            <w:tcBorders>
              <w:top w:val="single" w:sz="4" w:space="0" w:color="auto"/>
              <w:left w:val="single" w:sz="4" w:space="0" w:color="auto"/>
              <w:bottom w:val="single" w:sz="4" w:space="0" w:color="auto"/>
              <w:right w:val="single" w:sz="4" w:space="0" w:color="auto"/>
            </w:tcBorders>
            <w:vAlign w:val="center"/>
          </w:tcPr>
          <w:p w:rsidR="00D227E2" w:rsidRDefault="00D227E2">
            <w:pPr>
              <w:widowControl w:val="0"/>
              <w:spacing w:after="0" w:line="240" w:lineRule="auto"/>
              <w:rPr>
                <w:rFonts w:ascii="Times New Roman" w:eastAsia="NSimSun" w:hAnsi="Times New Roman" w:cs="Times New Roman"/>
                <w:kern w:val="2"/>
                <w:sz w:val="19"/>
                <w:szCs w:val="19"/>
                <w:lang w:eastAsia="zh-CN" w:bidi="hi-IN"/>
              </w:rPr>
            </w:pPr>
          </w:p>
        </w:tc>
        <w:tc>
          <w:tcPr>
            <w:tcW w:w="266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19"/>
                <w:szCs w:val="19"/>
                <w:lang w:eastAsia="zh-CN"/>
              </w:rPr>
              <w:t>с. Всеволодівка</w:t>
            </w:r>
          </w:p>
        </w:tc>
        <w:tc>
          <w:tcPr>
            <w:tcW w:w="214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37</w:t>
            </w:r>
          </w:p>
        </w:tc>
        <w:tc>
          <w:tcPr>
            <w:tcW w:w="2092"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0</w:t>
            </w:r>
          </w:p>
        </w:tc>
      </w:tr>
      <w:tr w:rsidR="00D227E2" w:rsidTr="00934FC4">
        <w:tc>
          <w:tcPr>
            <w:tcW w:w="2557" w:type="dxa"/>
            <w:vMerge/>
            <w:tcBorders>
              <w:top w:val="single" w:sz="4" w:space="0" w:color="auto"/>
              <w:left w:val="single" w:sz="4" w:space="0" w:color="auto"/>
              <w:bottom w:val="single" w:sz="4" w:space="0" w:color="auto"/>
              <w:right w:val="single" w:sz="4" w:space="0" w:color="auto"/>
            </w:tcBorders>
            <w:vAlign w:val="center"/>
          </w:tcPr>
          <w:p w:rsidR="00D227E2" w:rsidRDefault="00D227E2">
            <w:pPr>
              <w:widowControl w:val="0"/>
              <w:spacing w:after="0" w:line="240" w:lineRule="auto"/>
              <w:rPr>
                <w:rFonts w:ascii="Times New Roman" w:eastAsia="NSimSun" w:hAnsi="Times New Roman" w:cs="Times New Roman"/>
                <w:kern w:val="2"/>
                <w:sz w:val="19"/>
                <w:szCs w:val="19"/>
                <w:lang w:eastAsia="zh-CN" w:bidi="hi-IN"/>
              </w:rPr>
            </w:pPr>
          </w:p>
        </w:tc>
        <w:tc>
          <w:tcPr>
            <w:tcW w:w="266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19"/>
                <w:szCs w:val="19"/>
                <w:lang w:eastAsia="zh-CN"/>
              </w:rPr>
              <w:t>с. Боголюби</w:t>
            </w:r>
          </w:p>
        </w:tc>
        <w:tc>
          <w:tcPr>
            <w:tcW w:w="214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871</w:t>
            </w:r>
          </w:p>
        </w:tc>
        <w:tc>
          <w:tcPr>
            <w:tcW w:w="2092"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0</w:t>
            </w:r>
          </w:p>
        </w:tc>
      </w:tr>
      <w:tr w:rsidR="00D227E2" w:rsidTr="00934FC4">
        <w:tc>
          <w:tcPr>
            <w:tcW w:w="2557" w:type="dxa"/>
            <w:vMerge/>
            <w:tcBorders>
              <w:top w:val="single" w:sz="4" w:space="0" w:color="auto"/>
              <w:left w:val="single" w:sz="4" w:space="0" w:color="auto"/>
              <w:bottom w:val="single" w:sz="4" w:space="0" w:color="auto"/>
              <w:right w:val="single" w:sz="4" w:space="0" w:color="auto"/>
            </w:tcBorders>
            <w:vAlign w:val="center"/>
          </w:tcPr>
          <w:p w:rsidR="00D227E2" w:rsidRDefault="00D227E2">
            <w:pPr>
              <w:widowControl w:val="0"/>
              <w:spacing w:after="0" w:line="240" w:lineRule="auto"/>
              <w:rPr>
                <w:rFonts w:ascii="Times New Roman" w:eastAsia="NSimSun" w:hAnsi="Times New Roman" w:cs="Times New Roman"/>
                <w:kern w:val="2"/>
                <w:sz w:val="19"/>
                <w:szCs w:val="19"/>
                <w:lang w:eastAsia="zh-CN" w:bidi="hi-IN"/>
              </w:rPr>
            </w:pPr>
          </w:p>
        </w:tc>
        <w:tc>
          <w:tcPr>
            <w:tcW w:w="266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19"/>
                <w:szCs w:val="19"/>
                <w:lang w:eastAsia="zh-CN"/>
              </w:rPr>
              <w:t>с. Богушівка</w:t>
            </w:r>
          </w:p>
        </w:tc>
        <w:tc>
          <w:tcPr>
            <w:tcW w:w="214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174</w:t>
            </w:r>
          </w:p>
        </w:tc>
        <w:tc>
          <w:tcPr>
            <w:tcW w:w="2092"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0</w:t>
            </w:r>
          </w:p>
        </w:tc>
      </w:tr>
      <w:tr w:rsidR="00D227E2" w:rsidTr="00934FC4">
        <w:tc>
          <w:tcPr>
            <w:tcW w:w="2557" w:type="dxa"/>
            <w:vMerge/>
            <w:tcBorders>
              <w:top w:val="single" w:sz="4" w:space="0" w:color="auto"/>
              <w:left w:val="single" w:sz="4" w:space="0" w:color="auto"/>
              <w:bottom w:val="single" w:sz="4" w:space="0" w:color="auto"/>
              <w:right w:val="single" w:sz="4" w:space="0" w:color="auto"/>
            </w:tcBorders>
            <w:vAlign w:val="center"/>
          </w:tcPr>
          <w:p w:rsidR="00D227E2" w:rsidRDefault="00D227E2">
            <w:pPr>
              <w:widowControl w:val="0"/>
              <w:spacing w:after="0" w:line="240" w:lineRule="auto"/>
              <w:rPr>
                <w:rFonts w:ascii="Times New Roman" w:eastAsia="NSimSun" w:hAnsi="Times New Roman" w:cs="Times New Roman"/>
                <w:kern w:val="2"/>
                <w:sz w:val="19"/>
                <w:szCs w:val="19"/>
                <w:lang w:eastAsia="zh-CN" w:bidi="hi-IN"/>
              </w:rPr>
            </w:pPr>
          </w:p>
        </w:tc>
        <w:tc>
          <w:tcPr>
            <w:tcW w:w="266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19"/>
                <w:szCs w:val="19"/>
                <w:lang w:eastAsia="zh-CN"/>
              </w:rPr>
              <w:t>с. Одеради</w:t>
            </w:r>
          </w:p>
        </w:tc>
        <w:tc>
          <w:tcPr>
            <w:tcW w:w="214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290</w:t>
            </w:r>
          </w:p>
        </w:tc>
        <w:tc>
          <w:tcPr>
            <w:tcW w:w="2092"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0</w:t>
            </w:r>
          </w:p>
        </w:tc>
      </w:tr>
      <w:tr w:rsidR="00D227E2" w:rsidTr="00934FC4">
        <w:tc>
          <w:tcPr>
            <w:tcW w:w="2557" w:type="dxa"/>
            <w:vMerge/>
            <w:tcBorders>
              <w:top w:val="single" w:sz="4" w:space="0" w:color="auto"/>
              <w:left w:val="single" w:sz="4" w:space="0" w:color="auto"/>
              <w:bottom w:val="single" w:sz="4" w:space="0" w:color="auto"/>
              <w:right w:val="single" w:sz="4" w:space="0" w:color="auto"/>
            </w:tcBorders>
            <w:vAlign w:val="center"/>
          </w:tcPr>
          <w:p w:rsidR="00D227E2" w:rsidRDefault="00D227E2">
            <w:pPr>
              <w:widowControl w:val="0"/>
              <w:spacing w:after="0" w:line="240" w:lineRule="auto"/>
              <w:rPr>
                <w:rFonts w:ascii="Times New Roman" w:eastAsia="NSimSun" w:hAnsi="Times New Roman" w:cs="Times New Roman"/>
                <w:kern w:val="2"/>
                <w:sz w:val="19"/>
                <w:szCs w:val="19"/>
                <w:lang w:eastAsia="zh-CN" w:bidi="hi-IN"/>
              </w:rPr>
            </w:pPr>
          </w:p>
        </w:tc>
        <w:tc>
          <w:tcPr>
            <w:tcW w:w="266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19"/>
                <w:szCs w:val="19"/>
                <w:lang w:eastAsia="zh-CN"/>
              </w:rPr>
              <w:t>с. Городок</w:t>
            </w:r>
          </w:p>
        </w:tc>
        <w:tc>
          <w:tcPr>
            <w:tcW w:w="214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155</w:t>
            </w:r>
          </w:p>
        </w:tc>
        <w:tc>
          <w:tcPr>
            <w:tcW w:w="2092"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0</w:t>
            </w:r>
          </w:p>
        </w:tc>
      </w:tr>
      <w:tr w:rsidR="00D227E2" w:rsidTr="00934FC4">
        <w:tc>
          <w:tcPr>
            <w:tcW w:w="2557" w:type="dxa"/>
            <w:vMerge/>
            <w:tcBorders>
              <w:top w:val="single" w:sz="4" w:space="0" w:color="auto"/>
              <w:left w:val="single" w:sz="4" w:space="0" w:color="auto"/>
              <w:bottom w:val="single" w:sz="4" w:space="0" w:color="auto"/>
              <w:right w:val="single" w:sz="4" w:space="0" w:color="auto"/>
            </w:tcBorders>
            <w:vAlign w:val="center"/>
          </w:tcPr>
          <w:p w:rsidR="00D227E2" w:rsidRDefault="00D227E2">
            <w:pPr>
              <w:widowControl w:val="0"/>
              <w:spacing w:after="0" w:line="240" w:lineRule="auto"/>
              <w:rPr>
                <w:rFonts w:ascii="Times New Roman" w:eastAsia="NSimSun" w:hAnsi="Times New Roman" w:cs="Times New Roman"/>
                <w:kern w:val="2"/>
                <w:sz w:val="19"/>
                <w:szCs w:val="19"/>
                <w:lang w:eastAsia="zh-CN" w:bidi="hi-IN"/>
              </w:rPr>
            </w:pPr>
          </w:p>
        </w:tc>
        <w:tc>
          <w:tcPr>
            <w:tcW w:w="266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19"/>
                <w:szCs w:val="19"/>
                <w:lang w:eastAsia="zh-CN"/>
              </w:rPr>
              <w:t>с. Сьомаки</w:t>
            </w:r>
          </w:p>
        </w:tc>
        <w:tc>
          <w:tcPr>
            <w:tcW w:w="214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178</w:t>
            </w:r>
          </w:p>
        </w:tc>
        <w:tc>
          <w:tcPr>
            <w:tcW w:w="2092"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0</w:t>
            </w:r>
          </w:p>
        </w:tc>
      </w:tr>
      <w:tr w:rsidR="00D227E2" w:rsidTr="00934FC4">
        <w:tc>
          <w:tcPr>
            <w:tcW w:w="2557" w:type="dxa"/>
            <w:vMerge/>
            <w:tcBorders>
              <w:top w:val="single" w:sz="4" w:space="0" w:color="auto"/>
              <w:left w:val="single" w:sz="4" w:space="0" w:color="auto"/>
              <w:bottom w:val="single" w:sz="4" w:space="0" w:color="auto"/>
              <w:right w:val="single" w:sz="4" w:space="0" w:color="auto"/>
            </w:tcBorders>
            <w:vAlign w:val="center"/>
          </w:tcPr>
          <w:p w:rsidR="00D227E2" w:rsidRDefault="00D227E2">
            <w:pPr>
              <w:widowControl w:val="0"/>
              <w:spacing w:after="0" w:line="240" w:lineRule="auto"/>
              <w:rPr>
                <w:rFonts w:ascii="Times New Roman" w:eastAsia="NSimSun" w:hAnsi="Times New Roman" w:cs="Times New Roman"/>
                <w:kern w:val="2"/>
                <w:sz w:val="19"/>
                <w:szCs w:val="19"/>
                <w:lang w:eastAsia="zh-CN" w:bidi="hi-IN"/>
              </w:rPr>
            </w:pPr>
          </w:p>
        </w:tc>
        <w:tc>
          <w:tcPr>
            <w:tcW w:w="266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19"/>
                <w:szCs w:val="19"/>
                <w:lang w:eastAsia="zh-CN"/>
              </w:rPr>
              <w:t>с. Шепель</w:t>
            </w:r>
          </w:p>
        </w:tc>
        <w:tc>
          <w:tcPr>
            <w:tcW w:w="214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136</w:t>
            </w:r>
          </w:p>
        </w:tc>
        <w:tc>
          <w:tcPr>
            <w:tcW w:w="2092"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0</w:t>
            </w:r>
          </w:p>
        </w:tc>
      </w:tr>
      <w:tr w:rsidR="00D227E2" w:rsidTr="00934FC4">
        <w:tc>
          <w:tcPr>
            <w:tcW w:w="2557" w:type="dxa"/>
            <w:vMerge/>
            <w:tcBorders>
              <w:top w:val="single" w:sz="4" w:space="0" w:color="auto"/>
              <w:left w:val="single" w:sz="4" w:space="0" w:color="auto"/>
              <w:bottom w:val="single" w:sz="4" w:space="0" w:color="auto"/>
              <w:right w:val="single" w:sz="4" w:space="0" w:color="auto"/>
            </w:tcBorders>
            <w:vAlign w:val="center"/>
          </w:tcPr>
          <w:p w:rsidR="00D227E2" w:rsidRDefault="00D227E2">
            <w:pPr>
              <w:widowControl w:val="0"/>
              <w:spacing w:after="0" w:line="240" w:lineRule="auto"/>
              <w:rPr>
                <w:rFonts w:ascii="Times New Roman" w:eastAsia="NSimSun" w:hAnsi="Times New Roman" w:cs="Times New Roman"/>
                <w:kern w:val="2"/>
                <w:sz w:val="19"/>
                <w:szCs w:val="19"/>
                <w:lang w:eastAsia="zh-CN" w:bidi="hi-IN"/>
              </w:rPr>
            </w:pPr>
          </w:p>
        </w:tc>
        <w:tc>
          <w:tcPr>
            <w:tcW w:w="266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19"/>
                <w:szCs w:val="19"/>
                <w:lang w:eastAsia="zh-CN"/>
              </w:rPr>
              <w:t>с. Охотин</w:t>
            </w:r>
          </w:p>
        </w:tc>
        <w:tc>
          <w:tcPr>
            <w:tcW w:w="214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204</w:t>
            </w:r>
          </w:p>
        </w:tc>
        <w:tc>
          <w:tcPr>
            <w:tcW w:w="2092"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0</w:t>
            </w:r>
          </w:p>
        </w:tc>
      </w:tr>
      <w:tr w:rsidR="00D227E2" w:rsidTr="00934FC4">
        <w:tc>
          <w:tcPr>
            <w:tcW w:w="2557" w:type="dxa"/>
            <w:vMerge/>
            <w:tcBorders>
              <w:top w:val="single" w:sz="4" w:space="0" w:color="auto"/>
              <w:left w:val="single" w:sz="4" w:space="0" w:color="auto"/>
              <w:bottom w:val="single" w:sz="4" w:space="0" w:color="auto"/>
              <w:right w:val="single" w:sz="4" w:space="0" w:color="auto"/>
            </w:tcBorders>
            <w:vAlign w:val="center"/>
          </w:tcPr>
          <w:p w:rsidR="00D227E2" w:rsidRDefault="00D227E2">
            <w:pPr>
              <w:widowControl w:val="0"/>
              <w:spacing w:after="0" w:line="240" w:lineRule="auto"/>
              <w:rPr>
                <w:rFonts w:ascii="Times New Roman" w:eastAsia="NSimSun" w:hAnsi="Times New Roman" w:cs="Times New Roman"/>
                <w:kern w:val="2"/>
                <w:sz w:val="19"/>
                <w:szCs w:val="19"/>
                <w:lang w:eastAsia="zh-CN" w:bidi="hi-IN"/>
              </w:rPr>
            </w:pPr>
          </w:p>
        </w:tc>
        <w:tc>
          <w:tcPr>
            <w:tcW w:w="266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19"/>
                <w:szCs w:val="19"/>
                <w:lang w:eastAsia="zh-CN"/>
              </w:rPr>
              <w:t>с. Кгягининок</w:t>
            </w:r>
          </w:p>
        </w:tc>
        <w:tc>
          <w:tcPr>
            <w:tcW w:w="214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691</w:t>
            </w:r>
          </w:p>
        </w:tc>
        <w:tc>
          <w:tcPr>
            <w:tcW w:w="2092"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254</w:t>
            </w:r>
          </w:p>
        </w:tc>
      </w:tr>
      <w:tr w:rsidR="00D227E2" w:rsidTr="00934FC4">
        <w:tc>
          <w:tcPr>
            <w:tcW w:w="2557" w:type="dxa"/>
            <w:vMerge/>
            <w:tcBorders>
              <w:top w:val="single" w:sz="4" w:space="0" w:color="auto"/>
              <w:left w:val="single" w:sz="4" w:space="0" w:color="auto"/>
              <w:bottom w:val="single" w:sz="4" w:space="0" w:color="auto"/>
              <w:right w:val="single" w:sz="4" w:space="0" w:color="auto"/>
            </w:tcBorders>
            <w:vAlign w:val="center"/>
          </w:tcPr>
          <w:p w:rsidR="00D227E2" w:rsidRDefault="00D227E2">
            <w:pPr>
              <w:widowControl w:val="0"/>
              <w:spacing w:after="0" w:line="240" w:lineRule="auto"/>
              <w:rPr>
                <w:rFonts w:ascii="Times New Roman" w:eastAsia="NSimSun" w:hAnsi="Times New Roman" w:cs="Times New Roman"/>
                <w:kern w:val="2"/>
                <w:sz w:val="19"/>
                <w:szCs w:val="19"/>
                <w:lang w:eastAsia="zh-CN" w:bidi="hi-IN"/>
              </w:rPr>
            </w:pPr>
          </w:p>
        </w:tc>
        <w:tc>
          <w:tcPr>
            <w:tcW w:w="266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19"/>
                <w:szCs w:val="19"/>
                <w:lang w:eastAsia="zh-CN"/>
              </w:rPr>
              <w:t>с. Милушин</w:t>
            </w:r>
          </w:p>
        </w:tc>
        <w:tc>
          <w:tcPr>
            <w:tcW w:w="214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54</w:t>
            </w:r>
          </w:p>
        </w:tc>
        <w:tc>
          <w:tcPr>
            <w:tcW w:w="2092"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0</w:t>
            </w:r>
          </w:p>
        </w:tc>
      </w:tr>
      <w:tr w:rsidR="00D227E2" w:rsidTr="00934FC4">
        <w:tc>
          <w:tcPr>
            <w:tcW w:w="2557" w:type="dxa"/>
            <w:vMerge/>
            <w:tcBorders>
              <w:top w:val="single" w:sz="4" w:space="0" w:color="auto"/>
              <w:left w:val="single" w:sz="4" w:space="0" w:color="auto"/>
              <w:bottom w:val="single" w:sz="4" w:space="0" w:color="auto"/>
              <w:right w:val="single" w:sz="4" w:space="0" w:color="auto"/>
            </w:tcBorders>
            <w:vAlign w:val="center"/>
          </w:tcPr>
          <w:p w:rsidR="00D227E2" w:rsidRDefault="00D227E2">
            <w:pPr>
              <w:widowControl w:val="0"/>
              <w:spacing w:after="0" w:line="240" w:lineRule="auto"/>
              <w:rPr>
                <w:rFonts w:ascii="Times New Roman" w:eastAsia="NSimSun" w:hAnsi="Times New Roman" w:cs="Times New Roman"/>
                <w:kern w:val="2"/>
                <w:sz w:val="19"/>
                <w:szCs w:val="19"/>
                <w:lang w:eastAsia="zh-CN" w:bidi="hi-IN"/>
              </w:rPr>
            </w:pPr>
          </w:p>
        </w:tc>
        <w:tc>
          <w:tcPr>
            <w:tcW w:w="266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19"/>
                <w:szCs w:val="19"/>
                <w:lang w:eastAsia="zh-CN"/>
              </w:rPr>
              <w:t>с. Милуші</w:t>
            </w:r>
          </w:p>
        </w:tc>
        <w:tc>
          <w:tcPr>
            <w:tcW w:w="214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146</w:t>
            </w:r>
          </w:p>
        </w:tc>
        <w:tc>
          <w:tcPr>
            <w:tcW w:w="2092"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0</w:t>
            </w:r>
          </w:p>
        </w:tc>
      </w:tr>
      <w:tr w:rsidR="00D227E2" w:rsidTr="00934FC4">
        <w:tc>
          <w:tcPr>
            <w:tcW w:w="2557" w:type="dxa"/>
            <w:vMerge/>
            <w:tcBorders>
              <w:top w:val="single" w:sz="4" w:space="0" w:color="auto"/>
              <w:left w:val="single" w:sz="4" w:space="0" w:color="auto"/>
              <w:bottom w:val="single" w:sz="4" w:space="0" w:color="auto"/>
              <w:right w:val="single" w:sz="4" w:space="0" w:color="auto"/>
            </w:tcBorders>
            <w:vAlign w:val="center"/>
          </w:tcPr>
          <w:p w:rsidR="00D227E2" w:rsidRDefault="00D227E2">
            <w:pPr>
              <w:widowControl w:val="0"/>
              <w:spacing w:after="0" w:line="240" w:lineRule="auto"/>
              <w:rPr>
                <w:rFonts w:ascii="Times New Roman" w:eastAsia="NSimSun" w:hAnsi="Times New Roman" w:cs="Times New Roman"/>
                <w:kern w:val="2"/>
                <w:sz w:val="19"/>
                <w:szCs w:val="19"/>
                <w:lang w:eastAsia="zh-CN" w:bidi="hi-IN"/>
              </w:rPr>
            </w:pPr>
          </w:p>
        </w:tc>
        <w:tc>
          <w:tcPr>
            <w:tcW w:w="266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19"/>
                <w:szCs w:val="19"/>
                <w:lang w:eastAsia="zh-CN"/>
              </w:rPr>
              <w:t>селище Рокині</w:t>
            </w:r>
          </w:p>
        </w:tc>
        <w:tc>
          <w:tcPr>
            <w:tcW w:w="214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843</w:t>
            </w:r>
          </w:p>
        </w:tc>
        <w:tc>
          <w:tcPr>
            <w:tcW w:w="2092"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893</w:t>
            </w:r>
          </w:p>
        </w:tc>
      </w:tr>
      <w:tr w:rsidR="00D227E2" w:rsidTr="00934FC4">
        <w:tc>
          <w:tcPr>
            <w:tcW w:w="2557" w:type="dxa"/>
            <w:vMerge/>
            <w:tcBorders>
              <w:top w:val="single" w:sz="4" w:space="0" w:color="auto"/>
              <w:left w:val="single" w:sz="4" w:space="0" w:color="auto"/>
              <w:bottom w:val="single" w:sz="4" w:space="0" w:color="auto"/>
              <w:right w:val="single" w:sz="4" w:space="0" w:color="auto"/>
            </w:tcBorders>
            <w:vAlign w:val="center"/>
          </w:tcPr>
          <w:p w:rsidR="00D227E2" w:rsidRDefault="00D227E2">
            <w:pPr>
              <w:widowControl w:val="0"/>
              <w:spacing w:after="0" w:line="240" w:lineRule="auto"/>
              <w:rPr>
                <w:rFonts w:ascii="Times New Roman" w:eastAsia="NSimSun" w:hAnsi="Times New Roman" w:cs="Times New Roman"/>
                <w:kern w:val="2"/>
                <w:sz w:val="19"/>
                <w:szCs w:val="19"/>
                <w:lang w:eastAsia="zh-CN" w:bidi="hi-IN"/>
              </w:rPr>
            </w:pPr>
          </w:p>
        </w:tc>
        <w:tc>
          <w:tcPr>
            <w:tcW w:w="266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rPr>
                <w:rFonts w:ascii="Times New Roman" w:hAnsi="Times New Roman" w:cs="Times New Roman"/>
              </w:rPr>
            </w:pPr>
            <w:r>
              <w:rPr>
                <w:rFonts w:ascii="Times New Roman" w:hAnsi="Times New Roman" w:cs="Times New Roman"/>
                <w:sz w:val="19"/>
                <w:szCs w:val="19"/>
                <w:lang w:eastAsia="zh-CN"/>
              </w:rPr>
              <w:t>с. Брище</w:t>
            </w:r>
          </w:p>
        </w:tc>
        <w:tc>
          <w:tcPr>
            <w:tcW w:w="2146"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304</w:t>
            </w:r>
          </w:p>
        </w:tc>
        <w:tc>
          <w:tcPr>
            <w:tcW w:w="2092" w:type="dxa"/>
            <w:tcBorders>
              <w:top w:val="single" w:sz="4" w:space="0" w:color="auto"/>
              <w:left w:val="single" w:sz="4" w:space="0" w:color="auto"/>
              <w:bottom w:val="single" w:sz="4" w:space="0" w:color="auto"/>
              <w:right w:val="single" w:sz="4" w:space="0" w:color="auto"/>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sz w:val="19"/>
                <w:szCs w:val="19"/>
                <w:lang w:eastAsia="zh-CN"/>
              </w:rPr>
              <w:t>0</w:t>
            </w:r>
          </w:p>
        </w:tc>
      </w:tr>
    </w:tbl>
    <w:p w:rsidR="00D227E2" w:rsidRDefault="00D227E2">
      <w:pPr>
        <w:spacing w:after="0" w:line="240" w:lineRule="auto"/>
        <w:jc w:val="center"/>
        <w:rPr>
          <w:rFonts w:ascii="Times New Roman" w:eastAsia="NSimSun" w:hAnsi="Times New Roman" w:cs="Times New Roman"/>
          <w:kern w:val="2"/>
          <w:sz w:val="24"/>
          <w:szCs w:val="24"/>
          <w:lang w:eastAsia="zh-CN" w:bidi="hi-IN"/>
        </w:rPr>
      </w:pPr>
    </w:p>
    <w:p w:rsidR="00D227E2" w:rsidRDefault="00934FC4">
      <w:pPr>
        <w:spacing w:after="0" w:line="240" w:lineRule="auto"/>
        <w:ind w:firstLine="567"/>
        <w:jc w:val="center"/>
        <w:rPr>
          <w:rFonts w:ascii="Times New Roman" w:hAnsi="Times New Roman" w:cs="Times New Roman"/>
        </w:rPr>
      </w:pPr>
      <w:r>
        <w:rPr>
          <w:rFonts w:ascii="Times New Roman" w:eastAsia="NSimSun" w:hAnsi="Times New Roman" w:cs="Times New Roman"/>
          <w:kern w:val="2"/>
          <w:sz w:val="24"/>
          <w:szCs w:val="24"/>
          <w:lang w:eastAsia="zh-CN" w:bidi="hi-IN"/>
        </w:rPr>
        <w:t>На рисунку 22 можна побачити схему водопостачання та водовідведення Луцької МТГ.</w:t>
      </w:r>
    </w:p>
    <w:p w:rsidR="00D227E2" w:rsidRDefault="00934FC4">
      <w:pPr>
        <w:spacing w:after="0" w:line="240" w:lineRule="auto"/>
        <w:ind w:left="-15" w:firstLine="15"/>
        <w:jc w:val="center"/>
        <w:rPr>
          <w:rFonts w:ascii="Times New Roman" w:hAnsi="Times New Roman" w:cs="Times New Roman"/>
        </w:rPr>
      </w:pPr>
      <w:r>
        <w:rPr>
          <w:noProof/>
          <w:lang w:eastAsia="uk-UA"/>
        </w:rPr>
        <w:lastRenderedPageBreak/>
        <w:drawing>
          <wp:inline distT="0" distB="0" distL="0" distR="0" wp14:anchorId="7578535A" wp14:editId="2422A71F">
            <wp:extent cx="6038850" cy="5267325"/>
            <wp:effectExtent l="0" t="0" r="0" b="0"/>
            <wp:docPr id="35" name="Рисунок 62" descr="C:\Users\Administrator\AppData\Local\Microsoft\Windows\INetCache\Content.Word\ГП_ВОДА_ТА_КАНАЛІЗАЦІЯ_compressed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62" descr="C:\Users\Administrator\AppData\Local\Microsoft\Windows\INetCache\Content.Word\ГП_ВОДА_ТА_КАНАЛІЗАЦІЯ_compressed_page-0001.jpg"/>
                    <pic:cNvPicPr>
                      <a:picLocks noChangeAspect="1" noChangeArrowheads="1"/>
                    </pic:cNvPicPr>
                  </pic:nvPicPr>
                  <pic:blipFill>
                    <a:blip r:embed="rId57"/>
                    <a:stretch>
                      <a:fillRect/>
                    </a:stretch>
                  </pic:blipFill>
                  <pic:spPr bwMode="auto">
                    <a:xfrm>
                      <a:off x="0" y="0"/>
                      <a:ext cx="6038850" cy="5267325"/>
                    </a:xfrm>
                    <a:prstGeom prst="rect">
                      <a:avLst/>
                    </a:prstGeom>
                  </pic:spPr>
                </pic:pic>
              </a:graphicData>
            </a:graphic>
          </wp:inline>
        </w:drawing>
      </w:r>
      <w:r>
        <w:rPr>
          <w:rFonts w:ascii="Times New Roman" w:eastAsia="NSimSun" w:hAnsi="Times New Roman" w:cs="Times New Roman"/>
          <w:kern w:val="2"/>
          <w:sz w:val="24"/>
          <w:szCs w:val="24"/>
          <w:lang w:eastAsia="zh-CN" w:bidi="hi-IN"/>
        </w:rPr>
        <w:t> Рисунок 22. Схема водопостачання та водовідведення Луцької МТГ</w:t>
      </w:r>
    </w:p>
    <w:p w:rsidR="00D227E2" w:rsidRDefault="00934FC4">
      <w:pPr>
        <w:spacing w:after="0" w:line="240" w:lineRule="auto"/>
        <w:ind w:left="-15" w:firstLine="567"/>
        <w:jc w:val="both"/>
        <w:rPr>
          <w:rFonts w:ascii="Times New Roman" w:hAnsi="Times New Roman" w:cs="Times New Roman"/>
        </w:rPr>
      </w:pPr>
      <w:r>
        <w:rPr>
          <w:rFonts w:ascii="Times New Roman" w:eastAsia="Times New Roman" w:hAnsi="Times New Roman" w:cs="Times New Roman"/>
          <w:kern w:val="2"/>
          <w:sz w:val="24"/>
          <w:szCs w:val="24"/>
          <w:lang w:eastAsia="zh-CN" w:bidi="hi-IN"/>
        </w:rPr>
        <w:t>Відсоток мешканців громади, що мають доступ до послуги централізованого водопостачання наведені у таблиці 30.</w:t>
      </w:r>
    </w:p>
    <w:p w:rsidR="00D227E2" w:rsidRDefault="00934FC4">
      <w:pPr>
        <w:spacing w:after="0" w:line="240" w:lineRule="auto"/>
        <w:ind w:left="-15" w:firstLine="567"/>
        <w:jc w:val="center"/>
        <w:rPr>
          <w:rFonts w:ascii="Times New Roman" w:hAnsi="Times New Roman" w:cs="Times New Roman"/>
        </w:rPr>
      </w:pPr>
      <w:r>
        <w:rPr>
          <w:rFonts w:ascii="Times New Roman" w:eastAsia="Times New Roman" w:hAnsi="Times New Roman" w:cs="Times New Roman"/>
          <w:kern w:val="2"/>
          <w:sz w:val="24"/>
          <w:szCs w:val="24"/>
          <w:lang w:eastAsia="zh-CN" w:bidi="hi-IN"/>
        </w:rPr>
        <w:t>Таблиця 30. Відсоток мешканців громади, що мають доступ до послуги централізованого водопостачання</w:t>
      </w:r>
    </w:p>
    <w:tbl>
      <w:tblPr>
        <w:tblW w:w="9690" w:type="dxa"/>
        <w:tblInd w:w="6" w:type="dxa"/>
        <w:tblLayout w:type="fixed"/>
        <w:tblCellMar>
          <w:top w:w="28" w:type="dxa"/>
          <w:left w:w="28" w:type="dxa"/>
          <w:bottom w:w="28" w:type="dxa"/>
          <w:right w:w="28" w:type="dxa"/>
        </w:tblCellMar>
        <w:tblLook w:val="04A0" w:firstRow="1" w:lastRow="0" w:firstColumn="1" w:lastColumn="0" w:noHBand="0" w:noVBand="1"/>
      </w:tblPr>
      <w:tblGrid>
        <w:gridCol w:w="2344"/>
        <w:gridCol w:w="3407"/>
        <w:gridCol w:w="3939"/>
      </w:tblGrid>
      <w:tr w:rsidR="00D227E2">
        <w:tc>
          <w:tcPr>
            <w:tcW w:w="2344" w:type="dxa"/>
            <w:tcBorders>
              <w:top w:val="single" w:sz="2" w:space="0" w:color="000000"/>
              <w:left w:val="single" w:sz="2" w:space="0" w:color="000000"/>
              <w:bottom w:val="single" w:sz="2" w:space="0" w:color="000000"/>
            </w:tcBorders>
          </w:tcPr>
          <w:p w:rsidR="00D227E2" w:rsidRDefault="00934FC4">
            <w:pPr>
              <w:widowControl w:val="0"/>
              <w:suppressLineNumbers/>
              <w:spacing w:after="0" w:line="240" w:lineRule="auto"/>
              <w:jc w:val="center"/>
              <w:rPr>
                <w:rFonts w:ascii="Times New Roman" w:hAnsi="Times New Roman" w:cs="Times New Roman"/>
              </w:rPr>
            </w:pPr>
            <w:r>
              <w:rPr>
                <w:rFonts w:ascii="Times New Roman" w:eastAsia="Times New Roman" w:hAnsi="Times New Roman" w:cs="Times New Roman"/>
                <w:kern w:val="2"/>
                <w:lang w:eastAsia="zh-CN" w:bidi="hi-IN"/>
              </w:rPr>
              <w:t>Станом на</w:t>
            </w:r>
          </w:p>
        </w:tc>
        <w:tc>
          <w:tcPr>
            <w:tcW w:w="3407" w:type="dxa"/>
            <w:tcBorders>
              <w:top w:val="single" w:sz="2" w:space="0" w:color="000000"/>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м. Луцьк</w:t>
            </w:r>
          </w:p>
        </w:tc>
        <w:tc>
          <w:tcPr>
            <w:tcW w:w="3939" w:type="dxa"/>
            <w:tcBorders>
              <w:top w:val="single" w:sz="2" w:space="0" w:color="000000"/>
              <w:left w:val="single" w:sz="2" w:space="0" w:color="000000"/>
              <w:bottom w:val="single" w:sz="2" w:space="0" w:color="000000"/>
              <w:right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Інші населені пункти</w:t>
            </w:r>
          </w:p>
        </w:tc>
      </w:tr>
      <w:tr w:rsidR="00D227E2">
        <w:tc>
          <w:tcPr>
            <w:tcW w:w="2344"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01.01.2022</w:t>
            </w:r>
          </w:p>
        </w:tc>
        <w:tc>
          <w:tcPr>
            <w:tcW w:w="3407" w:type="dxa"/>
            <w:tcBorders>
              <w:left w:val="single" w:sz="2" w:space="0" w:color="000000"/>
              <w:bottom w:val="single" w:sz="2" w:space="0" w:color="000000"/>
            </w:tcBorders>
          </w:tcPr>
          <w:p w:rsidR="00D227E2" w:rsidRDefault="00934FC4">
            <w:pPr>
              <w:widowControl w:val="0"/>
              <w:suppressLineNumbers/>
              <w:spacing w:after="0" w:line="240" w:lineRule="auto"/>
              <w:jc w:val="center"/>
              <w:rPr>
                <w:rFonts w:ascii="Times New Roman" w:hAnsi="Times New Roman" w:cs="Times New Roman"/>
              </w:rPr>
            </w:pPr>
            <w:r>
              <w:rPr>
                <w:rFonts w:ascii="Times New Roman" w:eastAsia="Times New Roman" w:hAnsi="Times New Roman" w:cs="Times New Roman"/>
                <w:kern w:val="2"/>
                <w:lang w:eastAsia="zh-CN" w:bidi="hi-IN"/>
              </w:rPr>
              <w:t>88,6 %</w:t>
            </w:r>
          </w:p>
        </w:tc>
        <w:tc>
          <w:tcPr>
            <w:tcW w:w="3939" w:type="dxa"/>
            <w:tcBorders>
              <w:left w:val="single" w:sz="2" w:space="0" w:color="000000"/>
              <w:bottom w:val="single" w:sz="2" w:space="0" w:color="000000"/>
              <w:right w:val="single" w:sz="2" w:space="0" w:color="000000"/>
            </w:tcBorders>
          </w:tcPr>
          <w:p w:rsidR="00D227E2" w:rsidRDefault="00934FC4">
            <w:pPr>
              <w:widowControl w:val="0"/>
              <w:suppressLineNumbers/>
              <w:spacing w:after="0" w:line="240" w:lineRule="auto"/>
              <w:jc w:val="center"/>
              <w:rPr>
                <w:rFonts w:ascii="Times New Roman" w:hAnsi="Times New Roman" w:cs="Times New Roman"/>
              </w:rPr>
            </w:pPr>
            <w:r>
              <w:rPr>
                <w:rFonts w:ascii="Times New Roman" w:eastAsia="Times New Roman" w:hAnsi="Times New Roman" w:cs="Times New Roman"/>
                <w:kern w:val="2"/>
                <w:lang w:eastAsia="zh-CN" w:bidi="hi-IN"/>
              </w:rPr>
              <w:t>48,4 %</w:t>
            </w:r>
          </w:p>
        </w:tc>
      </w:tr>
      <w:tr w:rsidR="00D227E2">
        <w:tc>
          <w:tcPr>
            <w:tcW w:w="2344"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lang w:eastAsia="zh-CN" w:bidi="hi-IN"/>
              </w:rPr>
              <w:t>01.01.2023</w:t>
            </w:r>
          </w:p>
        </w:tc>
        <w:tc>
          <w:tcPr>
            <w:tcW w:w="3407" w:type="dxa"/>
            <w:tcBorders>
              <w:left w:val="single" w:sz="2" w:space="0" w:color="000000"/>
              <w:bottom w:val="single" w:sz="2" w:space="0" w:color="000000"/>
            </w:tcBorders>
          </w:tcPr>
          <w:p w:rsidR="00D227E2" w:rsidRDefault="00934FC4">
            <w:pPr>
              <w:widowControl w:val="0"/>
              <w:suppressLineNumbers/>
              <w:spacing w:after="0" w:line="240" w:lineRule="auto"/>
              <w:jc w:val="center"/>
              <w:rPr>
                <w:rFonts w:ascii="Times New Roman" w:hAnsi="Times New Roman" w:cs="Times New Roman"/>
              </w:rPr>
            </w:pPr>
            <w:r>
              <w:rPr>
                <w:rFonts w:ascii="Times New Roman" w:eastAsia="Times New Roman" w:hAnsi="Times New Roman" w:cs="Times New Roman"/>
                <w:kern w:val="2"/>
                <w:lang w:eastAsia="zh-CN" w:bidi="hi-IN"/>
              </w:rPr>
              <w:t>86,9 %</w:t>
            </w:r>
          </w:p>
        </w:tc>
        <w:tc>
          <w:tcPr>
            <w:tcW w:w="3939" w:type="dxa"/>
            <w:tcBorders>
              <w:left w:val="single" w:sz="2" w:space="0" w:color="000000"/>
              <w:bottom w:val="single" w:sz="2" w:space="0" w:color="000000"/>
              <w:right w:val="single" w:sz="2" w:space="0" w:color="000000"/>
            </w:tcBorders>
          </w:tcPr>
          <w:p w:rsidR="00D227E2" w:rsidRDefault="00934FC4">
            <w:pPr>
              <w:widowControl w:val="0"/>
              <w:suppressLineNumbers/>
              <w:spacing w:after="0" w:line="240" w:lineRule="auto"/>
              <w:jc w:val="center"/>
              <w:rPr>
                <w:rFonts w:ascii="Times New Roman" w:hAnsi="Times New Roman" w:cs="Times New Roman"/>
              </w:rPr>
            </w:pPr>
            <w:r>
              <w:rPr>
                <w:rFonts w:ascii="Times New Roman" w:eastAsia="Times New Roman" w:hAnsi="Times New Roman" w:cs="Times New Roman"/>
                <w:kern w:val="2"/>
                <w:lang w:eastAsia="zh-CN" w:bidi="hi-IN"/>
              </w:rPr>
              <w:t>47,0 %</w:t>
            </w:r>
          </w:p>
        </w:tc>
      </w:tr>
    </w:tbl>
    <w:p w:rsidR="00D227E2" w:rsidRDefault="00934FC4">
      <w:pPr>
        <w:tabs>
          <w:tab w:val="left" w:pos="0"/>
        </w:tabs>
        <w:spacing w:after="0" w:line="240" w:lineRule="auto"/>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У таблиці 31 наведено інформацію про обсяги водопостачання та водовідведення.</w:t>
      </w:r>
    </w:p>
    <w:p w:rsidR="00D227E2" w:rsidRDefault="00934FC4">
      <w:pPr>
        <w:tabs>
          <w:tab w:val="left" w:pos="0"/>
        </w:tabs>
        <w:spacing w:after="0" w:line="240" w:lineRule="auto"/>
        <w:ind w:firstLine="567"/>
        <w:jc w:val="center"/>
        <w:rPr>
          <w:rFonts w:ascii="Times New Roman" w:hAnsi="Times New Roman" w:cs="Times New Roman"/>
        </w:rPr>
      </w:pPr>
      <w:r>
        <w:rPr>
          <w:rFonts w:ascii="Times New Roman" w:eastAsia="NSimSun" w:hAnsi="Times New Roman" w:cs="Times New Roman"/>
          <w:kern w:val="2"/>
          <w:sz w:val="24"/>
          <w:szCs w:val="24"/>
          <w:lang w:eastAsia="zh-CN" w:bidi="hi-IN"/>
        </w:rPr>
        <w:t xml:space="preserve">Таблиця 31. Інформація про обсяги водопостачання та водовідведення </w:t>
      </w:r>
    </w:p>
    <w:tbl>
      <w:tblPr>
        <w:tblW w:w="9734" w:type="dxa"/>
        <w:tblInd w:w="145" w:type="dxa"/>
        <w:tblLayout w:type="fixed"/>
        <w:tblCellMar>
          <w:top w:w="50" w:type="dxa"/>
          <w:left w:w="112" w:type="dxa"/>
          <w:right w:w="112" w:type="dxa"/>
        </w:tblCellMar>
        <w:tblLook w:val="04A0" w:firstRow="1" w:lastRow="0" w:firstColumn="1" w:lastColumn="0" w:noHBand="0" w:noVBand="1"/>
      </w:tblPr>
      <w:tblGrid>
        <w:gridCol w:w="3260"/>
        <w:gridCol w:w="929"/>
        <w:gridCol w:w="944"/>
        <w:gridCol w:w="922"/>
        <w:gridCol w:w="967"/>
        <w:gridCol w:w="940"/>
        <w:gridCol w:w="940"/>
        <w:gridCol w:w="832"/>
      </w:tblGrid>
      <w:tr w:rsidR="00D227E2">
        <w:tc>
          <w:tcPr>
            <w:tcW w:w="3258"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Тип послуги</w:t>
            </w:r>
          </w:p>
        </w:tc>
        <w:tc>
          <w:tcPr>
            <w:tcW w:w="929"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2016</w:t>
            </w:r>
          </w:p>
        </w:tc>
        <w:tc>
          <w:tcPr>
            <w:tcW w:w="944"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2017</w:t>
            </w:r>
          </w:p>
        </w:tc>
        <w:tc>
          <w:tcPr>
            <w:tcW w:w="922"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2018</w:t>
            </w:r>
          </w:p>
        </w:tc>
        <w:tc>
          <w:tcPr>
            <w:tcW w:w="967"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2019</w:t>
            </w:r>
          </w:p>
        </w:tc>
        <w:tc>
          <w:tcPr>
            <w:tcW w:w="940"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2020</w:t>
            </w:r>
          </w:p>
        </w:tc>
        <w:tc>
          <w:tcPr>
            <w:tcW w:w="940"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2021</w:t>
            </w:r>
          </w:p>
        </w:tc>
        <w:tc>
          <w:tcPr>
            <w:tcW w:w="832"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2022</w:t>
            </w:r>
          </w:p>
        </w:tc>
      </w:tr>
      <w:tr w:rsidR="00D227E2">
        <w:tc>
          <w:tcPr>
            <w:tcW w:w="3258"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Водопостачання, тис. м</w:t>
            </w:r>
            <w:r>
              <w:rPr>
                <w:rFonts w:ascii="Times New Roman" w:eastAsia="NSimSun" w:hAnsi="Times New Roman" w:cs="Times New Roman"/>
                <w:kern w:val="2"/>
                <w:vertAlign w:val="superscript"/>
                <w:lang w:eastAsia="zh-CN" w:bidi="hi-IN"/>
              </w:rPr>
              <w:t>3</w:t>
            </w:r>
          </w:p>
        </w:tc>
        <w:tc>
          <w:tcPr>
            <w:tcW w:w="929"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10628</w:t>
            </w:r>
          </w:p>
        </w:tc>
        <w:tc>
          <w:tcPr>
            <w:tcW w:w="944"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11316</w:t>
            </w:r>
          </w:p>
        </w:tc>
        <w:tc>
          <w:tcPr>
            <w:tcW w:w="922"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11272</w:t>
            </w:r>
          </w:p>
        </w:tc>
        <w:tc>
          <w:tcPr>
            <w:tcW w:w="967"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10879</w:t>
            </w:r>
          </w:p>
        </w:tc>
        <w:tc>
          <w:tcPr>
            <w:tcW w:w="940"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11268</w:t>
            </w:r>
          </w:p>
        </w:tc>
        <w:tc>
          <w:tcPr>
            <w:tcW w:w="940"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10892</w:t>
            </w:r>
          </w:p>
        </w:tc>
        <w:tc>
          <w:tcPr>
            <w:tcW w:w="832"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9993</w:t>
            </w:r>
          </w:p>
        </w:tc>
      </w:tr>
      <w:tr w:rsidR="00D227E2">
        <w:tc>
          <w:tcPr>
            <w:tcW w:w="3258"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Водовідведення, тис. м</w:t>
            </w:r>
            <w:r>
              <w:rPr>
                <w:rFonts w:ascii="Times New Roman" w:eastAsia="NSimSun" w:hAnsi="Times New Roman" w:cs="Times New Roman"/>
                <w:kern w:val="2"/>
                <w:vertAlign w:val="superscript"/>
                <w:lang w:eastAsia="zh-CN" w:bidi="hi-IN"/>
              </w:rPr>
              <w:t>3</w:t>
            </w:r>
          </w:p>
        </w:tc>
        <w:tc>
          <w:tcPr>
            <w:tcW w:w="929"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10214</w:t>
            </w:r>
          </w:p>
        </w:tc>
        <w:tc>
          <w:tcPr>
            <w:tcW w:w="944"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10656</w:t>
            </w:r>
          </w:p>
        </w:tc>
        <w:tc>
          <w:tcPr>
            <w:tcW w:w="922"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10065</w:t>
            </w:r>
          </w:p>
        </w:tc>
        <w:tc>
          <w:tcPr>
            <w:tcW w:w="967"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10104</w:t>
            </w:r>
          </w:p>
        </w:tc>
        <w:tc>
          <w:tcPr>
            <w:tcW w:w="940"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10211</w:t>
            </w:r>
          </w:p>
        </w:tc>
        <w:tc>
          <w:tcPr>
            <w:tcW w:w="940"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10122</w:t>
            </w:r>
          </w:p>
        </w:tc>
        <w:tc>
          <w:tcPr>
            <w:tcW w:w="832"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9240</w:t>
            </w:r>
          </w:p>
        </w:tc>
      </w:tr>
    </w:tbl>
    <w:p w:rsidR="00D227E2" w:rsidRDefault="00934FC4">
      <w:pPr>
        <w:tabs>
          <w:tab w:val="left" w:pos="0"/>
        </w:tabs>
        <w:spacing w:after="0" w:line="240" w:lineRule="auto"/>
        <w:ind w:firstLine="567"/>
        <w:jc w:val="both"/>
        <w:rPr>
          <w:rFonts w:ascii="Times New Roman" w:hAnsi="Times New Roman" w:cs="Times New Roman"/>
        </w:rPr>
      </w:pPr>
      <w:r>
        <w:rPr>
          <w:rFonts w:ascii="Times New Roman" w:eastAsia="Times New Roman" w:hAnsi="Times New Roman" w:cs="Times New Roman"/>
          <w:color w:val="000000"/>
          <w:kern w:val="2"/>
          <w:sz w:val="24"/>
          <w:szCs w:val="24"/>
          <w:lang w:eastAsia="de-DE" w:bidi="hi-IN"/>
        </w:rPr>
        <w:t>Обробка і подача води в м. Луцьку здійснюється на трьох площадках водопідготовки: Дубнівській, Омелянівській і Гнідавській. Всі площадки водопідготовки мають комплекс споруд по очищенню та обробці сирої води з парком резервуарів чистої води (РЧВ) в кількості 12 шт., загальним об’ємом 51,3 тис. м</w:t>
      </w:r>
      <w:r>
        <w:rPr>
          <w:rFonts w:ascii="Times New Roman" w:eastAsia="Times New Roman" w:hAnsi="Times New Roman" w:cs="Times New Roman"/>
          <w:color w:val="000000"/>
          <w:kern w:val="2"/>
          <w:sz w:val="24"/>
          <w:szCs w:val="24"/>
          <w:vertAlign w:val="superscript"/>
          <w:lang w:eastAsia="de-DE" w:bidi="hi-IN"/>
        </w:rPr>
        <w:t>3</w:t>
      </w:r>
      <w:r>
        <w:rPr>
          <w:rFonts w:ascii="Times New Roman" w:eastAsia="Times New Roman" w:hAnsi="Times New Roman" w:cs="Times New Roman"/>
          <w:color w:val="000000"/>
          <w:kern w:val="2"/>
          <w:sz w:val="24"/>
          <w:szCs w:val="24"/>
          <w:lang w:eastAsia="de-DE" w:bidi="hi-IN"/>
        </w:rPr>
        <w:t xml:space="preserve">. В комплекс споруд входять також станції знезалізнення та гіпохлоритні установки. </w:t>
      </w:r>
    </w:p>
    <w:p w:rsidR="00D227E2" w:rsidRDefault="00934FC4">
      <w:pPr>
        <w:spacing w:after="0" w:line="240" w:lineRule="auto"/>
        <w:ind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lang w:eastAsia="de-DE" w:bidi="hi-IN"/>
        </w:rPr>
        <w:t>Дубнівська площадка є головним джерелом водопостачання міста (з Дубнівського, Ново-Дубнівського, Східного, Південно-Східного водозаборів) із фактичним підйомом води 32 тис.м</w:t>
      </w:r>
      <w:r>
        <w:rPr>
          <w:rFonts w:ascii="Times New Roman" w:eastAsia="Times New Roman" w:hAnsi="Times New Roman" w:cs="Times New Roman"/>
          <w:color w:val="000000"/>
          <w:kern w:val="2"/>
          <w:sz w:val="24"/>
          <w:szCs w:val="24"/>
          <w:shd w:val="clear" w:color="auto" w:fill="FFFFFF"/>
          <w:vertAlign w:val="superscript"/>
          <w:lang w:eastAsia="de-DE" w:bidi="hi-IN"/>
        </w:rPr>
        <w:t>3</w:t>
      </w:r>
      <w:r>
        <w:rPr>
          <w:rFonts w:ascii="Times New Roman" w:eastAsia="Times New Roman" w:hAnsi="Times New Roman" w:cs="Times New Roman"/>
          <w:color w:val="000000"/>
          <w:kern w:val="2"/>
          <w:sz w:val="24"/>
          <w:szCs w:val="24"/>
          <w:shd w:val="clear" w:color="auto" w:fill="FFFFFF"/>
          <w:lang w:eastAsia="de-DE" w:bidi="hi-IN"/>
        </w:rPr>
        <w:t>/добу (проєктна продуктивність 66,5 тис.м</w:t>
      </w:r>
      <w:r>
        <w:rPr>
          <w:rFonts w:ascii="Times New Roman" w:eastAsia="Times New Roman" w:hAnsi="Times New Roman" w:cs="Times New Roman"/>
          <w:color w:val="000000"/>
          <w:kern w:val="2"/>
          <w:sz w:val="24"/>
          <w:szCs w:val="24"/>
          <w:shd w:val="clear" w:color="auto" w:fill="FFFFFF"/>
          <w:vertAlign w:val="superscript"/>
          <w:lang w:eastAsia="de-DE" w:bidi="hi-IN"/>
        </w:rPr>
        <w:t>3</w:t>
      </w:r>
      <w:r>
        <w:rPr>
          <w:rFonts w:ascii="Times New Roman" w:eastAsia="Times New Roman" w:hAnsi="Times New Roman" w:cs="Times New Roman"/>
          <w:color w:val="000000"/>
          <w:kern w:val="2"/>
          <w:sz w:val="24"/>
          <w:szCs w:val="24"/>
          <w:shd w:val="clear" w:color="auto" w:fill="FFFFFF"/>
          <w:lang w:eastAsia="de-DE" w:bidi="hi-IN"/>
        </w:rPr>
        <w:t xml:space="preserve">/добу). </w:t>
      </w:r>
    </w:p>
    <w:p w:rsidR="00D227E2" w:rsidRDefault="00934FC4">
      <w:pPr>
        <w:spacing w:after="0" w:line="240" w:lineRule="auto"/>
        <w:ind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lang w:eastAsia="de-DE" w:bidi="hi-IN"/>
        </w:rPr>
        <w:lastRenderedPageBreak/>
        <w:t>Омелянівська площадка водопідготовки забезпечується Омелянівським водозабором потужністю 12,1 тис. м</w:t>
      </w:r>
      <w:r>
        <w:rPr>
          <w:rFonts w:ascii="Times New Roman" w:eastAsia="Times New Roman" w:hAnsi="Times New Roman" w:cs="Times New Roman"/>
          <w:color w:val="000000"/>
          <w:kern w:val="2"/>
          <w:sz w:val="24"/>
          <w:szCs w:val="24"/>
          <w:shd w:val="clear" w:color="auto" w:fill="FFFFFF"/>
          <w:vertAlign w:val="superscript"/>
          <w:lang w:eastAsia="de-DE" w:bidi="hi-IN"/>
        </w:rPr>
        <w:t>3</w:t>
      </w:r>
      <w:r>
        <w:rPr>
          <w:rFonts w:ascii="Times New Roman" w:eastAsia="Times New Roman" w:hAnsi="Times New Roman" w:cs="Times New Roman"/>
          <w:color w:val="000000"/>
          <w:kern w:val="2"/>
          <w:sz w:val="24"/>
          <w:szCs w:val="24"/>
          <w:shd w:val="clear" w:color="auto" w:fill="FFFFFF"/>
          <w:lang w:eastAsia="de-DE" w:bidi="hi-IN"/>
        </w:rPr>
        <w:t>/добу. Реальна подача води 4,0-4,3 тис.м</w:t>
      </w:r>
      <w:r>
        <w:rPr>
          <w:rFonts w:ascii="Times New Roman" w:eastAsia="Times New Roman" w:hAnsi="Times New Roman" w:cs="Times New Roman"/>
          <w:color w:val="000000"/>
          <w:kern w:val="2"/>
          <w:sz w:val="24"/>
          <w:szCs w:val="24"/>
          <w:shd w:val="clear" w:color="auto" w:fill="FFFFFF"/>
          <w:vertAlign w:val="superscript"/>
          <w:lang w:eastAsia="de-DE" w:bidi="hi-IN"/>
        </w:rPr>
        <w:t>3</w:t>
      </w:r>
      <w:r>
        <w:rPr>
          <w:rFonts w:ascii="Times New Roman" w:eastAsia="Times New Roman" w:hAnsi="Times New Roman" w:cs="Times New Roman"/>
          <w:color w:val="000000"/>
          <w:kern w:val="2"/>
          <w:sz w:val="24"/>
          <w:szCs w:val="24"/>
          <w:shd w:val="clear" w:color="auto" w:fill="FFFFFF"/>
          <w:lang w:eastAsia="de-DE" w:bidi="hi-IN"/>
        </w:rPr>
        <w:t>/добу).</w:t>
      </w:r>
    </w:p>
    <w:p w:rsidR="00D227E2" w:rsidRDefault="00934FC4">
      <w:pPr>
        <w:spacing w:after="0" w:line="240" w:lineRule="auto"/>
        <w:ind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lang w:eastAsia="de-DE" w:bidi="hi-IN"/>
        </w:rPr>
        <w:t>Гнідавська площадка водопідготовки забезпечує водою південну частину міста і обробляє воду трьох свердловин Південно-Східного водозабору і однієї свердловини потужністю 0,5 тис.м</w:t>
      </w:r>
      <w:r>
        <w:rPr>
          <w:rFonts w:ascii="Times New Roman" w:eastAsia="Times New Roman" w:hAnsi="Times New Roman" w:cs="Times New Roman"/>
          <w:color w:val="000000"/>
          <w:kern w:val="2"/>
          <w:sz w:val="24"/>
          <w:szCs w:val="24"/>
          <w:shd w:val="clear" w:color="auto" w:fill="FFFFFF"/>
          <w:vertAlign w:val="superscript"/>
          <w:lang w:eastAsia="de-DE" w:bidi="hi-IN"/>
        </w:rPr>
        <w:t>3</w:t>
      </w:r>
      <w:r>
        <w:rPr>
          <w:rFonts w:ascii="Times New Roman" w:eastAsia="Times New Roman" w:hAnsi="Times New Roman" w:cs="Times New Roman"/>
          <w:color w:val="000000"/>
          <w:kern w:val="2"/>
          <w:sz w:val="24"/>
          <w:szCs w:val="24"/>
          <w:shd w:val="clear" w:color="auto" w:fill="FFFFFF"/>
          <w:lang w:eastAsia="de-DE" w:bidi="hi-IN"/>
        </w:rPr>
        <w:t>/добу (проєктна потужність 54 тис.м</w:t>
      </w:r>
      <w:r>
        <w:rPr>
          <w:rFonts w:ascii="Times New Roman" w:eastAsia="Times New Roman" w:hAnsi="Times New Roman" w:cs="Times New Roman"/>
          <w:color w:val="000000"/>
          <w:kern w:val="2"/>
          <w:sz w:val="24"/>
          <w:szCs w:val="24"/>
          <w:shd w:val="clear" w:color="auto" w:fill="FFFFFF"/>
          <w:vertAlign w:val="superscript"/>
          <w:lang w:eastAsia="de-DE" w:bidi="hi-IN"/>
        </w:rPr>
        <w:t>3</w:t>
      </w:r>
      <w:r>
        <w:rPr>
          <w:rFonts w:ascii="Times New Roman" w:eastAsia="Times New Roman" w:hAnsi="Times New Roman" w:cs="Times New Roman"/>
          <w:color w:val="000000"/>
          <w:kern w:val="2"/>
          <w:sz w:val="24"/>
          <w:szCs w:val="24"/>
          <w:shd w:val="clear" w:color="auto" w:fill="FFFFFF"/>
          <w:lang w:eastAsia="de-DE" w:bidi="hi-IN"/>
        </w:rPr>
        <w:t>/добу, реальна подача води 9,5-10 тис.м</w:t>
      </w:r>
      <w:r>
        <w:rPr>
          <w:rFonts w:ascii="Times New Roman" w:eastAsia="Times New Roman" w:hAnsi="Times New Roman" w:cs="Times New Roman"/>
          <w:color w:val="000000"/>
          <w:kern w:val="2"/>
          <w:sz w:val="24"/>
          <w:szCs w:val="24"/>
          <w:shd w:val="clear" w:color="auto" w:fill="FFFFFF"/>
          <w:vertAlign w:val="superscript"/>
          <w:lang w:eastAsia="de-DE" w:bidi="hi-IN"/>
        </w:rPr>
        <w:t>3</w:t>
      </w:r>
      <w:r>
        <w:rPr>
          <w:rFonts w:ascii="Times New Roman" w:eastAsia="Times New Roman" w:hAnsi="Times New Roman" w:cs="Times New Roman"/>
          <w:color w:val="000000"/>
          <w:kern w:val="2"/>
          <w:sz w:val="24"/>
          <w:szCs w:val="24"/>
          <w:shd w:val="clear" w:color="auto" w:fill="FFFFFF"/>
          <w:lang w:eastAsia="de-DE" w:bidi="hi-IN"/>
        </w:rPr>
        <w:t xml:space="preserve">/добу). </w:t>
      </w:r>
    </w:p>
    <w:p w:rsidR="00D227E2" w:rsidRDefault="00934FC4">
      <w:pPr>
        <w:spacing w:after="0" w:line="240" w:lineRule="auto"/>
        <w:ind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lang w:eastAsia="de-DE" w:bidi="hi-IN"/>
        </w:rPr>
        <w:t>Подача води в місто забезпечується розгалуженою водопровідною мережею із чавунних, сталевих, азбестоцементних і поліетиленових труб діаметром 50-600 мм, протяжністю 348,1 км. Середньодобова подача води у мережу 43,2 тис.м</w:t>
      </w:r>
      <w:r>
        <w:rPr>
          <w:rFonts w:ascii="Times New Roman" w:eastAsia="Times New Roman" w:hAnsi="Times New Roman" w:cs="Times New Roman"/>
          <w:color w:val="000000"/>
          <w:kern w:val="2"/>
          <w:sz w:val="24"/>
          <w:szCs w:val="24"/>
          <w:shd w:val="clear" w:color="auto" w:fill="FFFFFF"/>
          <w:vertAlign w:val="superscript"/>
          <w:lang w:eastAsia="de-DE" w:bidi="hi-IN"/>
        </w:rPr>
        <w:t>3</w:t>
      </w:r>
      <w:r>
        <w:rPr>
          <w:rFonts w:ascii="Times New Roman" w:eastAsia="Times New Roman" w:hAnsi="Times New Roman" w:cs="Times New Roman"/>
          <w:color w:val="000000"/>
          <w:kern w:val="2"/>
          <w:sz w:val="24"/>
          <w:szCs w:val="24"/>
          <w:shd w:val="clear" w:color="auto" w:fill="FFFFFF"/>
          <w:lang w:eastAsia="de-DE" w:bidi="hi-IN"/>
        </w:rPr>
        <w:t xml:space="preserve">/добу. </w:t>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lang w:eastAsia="de-DE" w:bidi="hi-IN"/>
        </w:rPr>
        <w:t>На балансі КП «Луцькводоканал» знаходиться річковий водозабір (р. Стир), продуктивністю 6,0 тис. м</w:t>
      </w:r>
      <w:r>
        <w:rPr>
          <w:rFonts w:ascii="Times New Roman" w:eastAsia="Times New Roman" w:hAnsi="Times New Roman" w:cs="Times New Roman"/>
          <w:color w:val="000000"/>
          <w:kern w:val="2"/>
          <w:sz w:val="24"/>
          <w:szCs w:val="24"/>
          <w:shd w:val="clear" w:color="auto" w:fill="FFFFFF"/>
          <w:vertAlign w:val="superscript"/>
          <w:lang w:eastAsia="de-DE" w:bidi="hi-IN"/>
        </w:rPr>
        <w:t>3</w:t>
      </w:r>
      <w:r>
        <w:rPr>
          <w:rFonts w:ascii="Times New Roman" w:eastAsia="Times New Roman" w:hAnsi="Times New Roman" w:cs="Times New Roman"/>
          <w:color w:val="000000"/>
          <w:kern w:val="2"/>
          <w:sz w:val="24"/>
          <w:szCs w:val="24"/>
          <w:shd w:val="clear" w:color="auto" w:fill="FFFFFF"/>
          <w:lang w:eastAsia="de-DE" w:bidi="hi-IN"/>
        </w:rPr>
        <w:t>/добу, який станом на сьогодні знаходиться в резерві. Усі водозабірні споруди міста мають зони санітарної охорони.</w:t>
      </w:r>
    </w:p>
    <w:p w:rsidR="00D227E2" w:rsidRDefault="00934FC4">
      <w:pPr>
        <w:spacing w:after="0"/>
        <w:ind w:firstLine="567"/>
        <w:rPr>
          <w:rFonts w:ascii="Times New Roman" w:hAnsi="Times New Roman" w:cs="Times New Roman"/>
        </w:rPr>
      </w:pPr>
      <w:r>
        <w:rPr>
          <w:rFonts w:ascii="Times New Roman" w:hAnsi="Times New Roman" w:cs="Times New Roman"/>
          <w:sz w:val="24"/>
          <w:szCs w:val="24"/>
        </w:rPr>
        <w:t>В таблиці 32 наведені технічні характеристики систем водопостачання станом на 01.01.2023.</w:t>
      </w:r>
    </w:p>
    <w:p w:rsidR="00D227E2" w:rsidRDefault="00934FC4">
      <w:pPr>
        <w:spacing w:after="0"/>
        <w:jc w:val="center"/>
        <w:rPr>
          <w:rFonts w:ascii="Times New Roman" w:hAnsi="Times New Roman" w:cs="Times New Roman"/>
        </w:rPr>
      </w:pPr>
      <w:r>
        <w:rPr>
          <w:rFonts w:ascii="Times New Roman" w:hAnsi="Times New Roman" w:cs="Times New Roman"/>
          <w:sz w:val="24"/>
          <w:szCs w:val="24"/>
        </w:rPr>
        <w:t>Таблиця 32. Технічні характеристики систем водопостачання</w:t>
      </w:r>
    </w:p>
    <w:tbl>
      <w:tblPr>
        <w:tblW w:w="9642" w:type="dxa"/>
        <w:tblInd w:w="306" w:type="dxa"/>
        <w:tblLayout w:type="fixed"/>
        <w:tblCellMar>
          <w:top w:w="51" w:type="dxa"/>
          <w:left w:w="125" w:type="dxa"/>
          <w:right w:w="99" w:type="dxa"/>
        </w:tblCellMar>
        <w:tblLook w:val="04A0" w:firstRow="1" w:lastRow="0" w:firstColumn="1" w:lastColumn="0" w:noHBand="0" w:noVBand="1"/>
      </w:tblPr>
      <w:tblGrid>
        <w:gridCol w:w="2835"/>
        <w:gridCol w:w="2283"/>
        <w:gridCol w:w="2262"/>
        <w:gridCol w:w="2262"/>
      </w:tblGrid>
      <w:tr w:rsidR="00D227E2">
        <w:trPr>
          <w:trHeight w:val="695"/>
        </w:trPr>
        <w:tc>
          <w:tcPr>
            <w:tcW w:w="2834"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Назва підприємства</w:t>
            </w:r>
          </w:p>
        </w:tc>
        <w:tc>
          <w:tcPr>
            <w:tcW w:w="2283"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Загальна протяжність мереж водопостачання</w:t>
            </w:r>
          </w:p>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(км)</w:t>
            </w:r>
          </w:p>
        </w:tc>
        <w:tc>
          <w:tcPr>
            <w:tcW w:w="2262"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Загальна протяжність мереж водовідведення</w:t>
            </w:r>
          </w:p>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(км)</w:t>
            </w:r>
          </w:p>
        </w:tc>
        <w:tc>
          <w:tcPr>
            <w:tcW w:w="2262"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ind w:left="113" w:right="227"/>
              <w:jc w:val="center"/>
              <w:rPr>
                <w:rFonts w:ascii="Times New Roman" w:hAnsi="Times New Roman" w:cs="Times New Roman"/>
                <w:vertAlign w:val="superscript"/>
              </w:rPr>
            </w:pPr>
            <w:r>
              <w:rPr>
                <w:rFonts w:ascii="Times New Roman" w:eastAsia="NSimSun" w:hAnsi="Times New Roman" w:cs="Times New Roman"/>
                <w:kern w:val="2"/>
                <w:shd w:val="clear" w:color="auto" w:fill="FFFFFF"/>
                <w:lang w:eastAsia="zh-CN" w:bidi="hi-IN"/>
              </w:rPr>
              <w:t>Наявність обліку спожитої води, тис. м</w:t>
            </w:r>
            <w:r>
              <w:rPr>
                <w:rFonts w:ascii="Times New Roman" w:eastAsia="NSimSun" w:hAnsi="Times New Roman" w:cs="Times New Roman"/>
                <w:kern w:val="2"/>
                <w:shd w:val="clear" w:color="auto" w:fill="FFFFFF"/>
                <w:vertAlign w:val="superscript"/>
                <w:lang w:eastAsia="zh-CN" w:bidi="hi-IN"/>
              </w:rPr>
              <w:t>3</w:t>
            </w:r>
          </w:p>
        </w:tc>
      </w:tr>
      <w:tr w:rsidR="00D227E2">
        <w:trPr>
          <w:trHeight w:val="235"/>
        </w:trPr>
        <w:tc>
          <w:tcPr>
            <w:tcW w:w="2834" w:type="dxa"/>
            <w:tcBorders>
              <w:top w:val="single" w:sz="2" w:space="0" w:color="000000"/>
              <w:left w:val="single" w:sz="2" w:space="0" w:color="000000"/>
              <w:bottom w:val="single" w:sz="2" w:space="0" w:color="000000"/>
              <w:right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КП «Луцькводоканал»</w:t>
            </w:r>
          </w:p>
        </w:tc>
        <w:tc>
          <w:tcPr>
            <w:tcW w:w="2283" w:type="dxa"/>
            <w:tcBorders>
              <w:top w:val="single" w:sz="2" w:space="0" w:color="000000"/>
              <w:left w:val="single" w:sz="2" w:space="0" w:color="000000"/>
              <w:bottom w:val="single" w:sz="2" w:space="0" w:color="000000"/>
              <w:right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348,1</w:t>
            </w:r>
          </w:p>
        </w:tc>
        <w:tc>
          <w:tcPr>
            <w:tcW w:w="2262" w:type="dxa"/>
            <w:tcBorders>
              <w:top w:val="single" w:sz="2" w:space="0" w:color="000000"/>
              <w:left w:val="single" w:sz="2" w:space="0" w:color="000000"/>
              <w:bottom w:val="single" w:sz="2" w:space="0" w:color="000000"/>
              <w:right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226,2</w:t>
            </w:r>
          </w:p>
        </w:tc>
        <w:tc>
          <w:tcPr>
            <w:tcW w:w="2262" w:type="dxa"/>
            <w:tcBorders>
              <w:top w:val="single" w:sz="2" w:space="0" w:color="000000"/>
              <w:left w:val="single" w:sz="2" w:space="0" w:color="000000"/>
              <w:bottom w:val="single" w:sz="2" w:space="0" w:color="000000"/>
              <w:right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shd w:val="clear" w:color="auto" w:fill="FFFFFF"/>
                <w:lang w:eastAsia="zh-CN" w:bidi="hi-IN"/>
              </w:rPr>
              <w:t>9993</w:t>
            </w:r>
          </w:p>
        </w:tc>
      </w:tr>
    </w:tbl>
    <w:p w:rsidR="00D227E2" w:rsidRDefault="00934FC4">
      <w:pPr>
        <w:spacing w:after="0" w:line="240" w:lineRule="auto"/>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В таблиці 33 наведені дані щодо стану мереж КП «Луцькводоканал» станом на 01.01.2023.</w:t>
      </w:r>
    </w:p>
    <w:p w:rsidR="00D227E2" w:rsidRDefault="00934FC4">
      <w:pPr>
        <w:spacing w:after="0" w:line="240" w:lineRule="auto"/>
        <w:jc w:val="center"/>
        <w:rPr>
          <w:rFonts w:ascii="Times New Roman" w:hAnsi="Times New Roman" w:cs="Times New Roman"/>
        </w:rPr>
      </w:pPr>
      <w:r>
        <w:rPr>
          <w:rFonts w:ascii="Times New Roman" w:eastAsia="NSimSun" w:hAnsi="Times New Roman" w:cs="Times New Roman"/>
          <w:kern w:val="2"/>
          <w:sz w:val="24"/>
          <w:szCs w:val="24"/>
          <w:lang w:eastAsia="zh-CN" w:bidi="hi-IN"/>
        </w:rPr>
        <w:t>Таблиця 33. Стан мереж КП «Луцькводоканал»</w:t>
      </w:r>
    </w:p>
    <w:tbl>
      <w:tblPr>
        <w:tblW w:w="9615" w:type="dxa"/>
        <w:tblInd w:w="368" w:type="dxa"/>
        <w:tblLayout w:type="fixed"/>
        <w:tblCellMar>
          <w:top w:w="51" w:type="dxa"/>
          <w:left w:w="126" w:type="dxa"/>
          <w:right w:w="115" w:type="dxa"/>
        </w:tblCellMar>
        <w:tblLook w:val="04A0" w:firstRow="1" w:lastRow="0" w:firstColumn="1" w:lastColumn="0" w:noHBand="0" w:noVBand="1"/>
      </w:tblPr>
      <w:tblGrid>
        <w:gridCol w:w="3205"/>
        <w:gridCol w:w="3205"/>
        <w:gridCol w:w="3205"/>
      </w:tblGrid>
      <w:tr w:rsidR="00D227E2">
        <w:trPr>
          <w:trHeight w:val="465"/>
        </w:trPr>
        <w:tc>
          <w:tcPr>
            <w:tcW w:w="3205"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Назва підприємства-водопостачальника</w:t>
            </w:r>
          </w:p>
        </w:tc>
        <w:tc>
          <w:tcPr>
            <w:tcW w:w="3205"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Рівень зношеності мережі водопостачання ( %)</w:t>
            </w:r>
          </w:p>
        </w:tc>
        <w:tc>
          <w:tcPr>
            <w:tcW w:w="3205"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Невраховані втрати води в мережі ( %)</w:t>
            </w:r>
          </w:p>
        </w:tc>
      </w:tr>
      <w:tr w:rsidR="00D227E2">
        <w:trPr>
          <w:trHeight w:val="235"/>
        </w:trPr>
        <w:tc>
          <w:tcPr>
            <w:tcW w:w="3205"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КП «Луцькводоканал»</w:t>
            </w:r>
          </w:p>
        </w:tc>
        <w:tc>
          <w:tcPr>
            <w:tcW w:w="3205"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48,0</w:t>
            </w:r>
          </w:p>
        </w:tc>
        <w:tc>
          <w:tcPr>
            <w:tcW w:w="3205"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32,8</w:t>
            </w:r>
          </w:p>
        </w:tc>
      </w:tr>
    </w:tbl>
    <w:p w:rsidR="00D227E2" w:rsidRDefault="00934FC4">
      <w:pPr>
        <w:spacing w:after="0" w:line="240" w:lineRule="auto"/>
        <w:ind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lang w:eastAsia="de-DE" w:bidi="hi-IN"/>
        </w:rPr>
        <w:t>Водовідведення м. Луцька здійснюється по неповній роздільній схемі. У центральній частині міста існує загальносплавна система (побудована у 1939 році), у північній – частково роздільна та загальносплавна, у східній і західній частині – повна роздільна.</w:t>
      </w:r>
    </w:p>
    <w:p w:rsidR="00D227E2" w:rsidRDefault="00934FC4">
      <w:pPr>
        <w:spacing w:after="0" w:line="240" w:lineRule="auto"/>
        <w:ind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lang w:eastAsia="de-DE" w:bidi="hi-IN"/>
        </w:rPr>
        <w:t>Відведення і очищення побутових та виробничих стічних вод здійснюється загальноміською централізованою системою каналізації. Очисні споруди міської системи каналізації щорічно відводять та очищають близько 13-14 млн м</w:t>
      </w:r>
      <w:r>
        <w:rPr>
          <w:rFonts w:ascii="Times New Roman" w:eastAsia="Times New Roman" w:hAnsi="Times New Roman" w:cs="Times New Roman"/>
          <w:color w:val="000000"/>
          <w:kern w:val="2"/>
          <w:sz w:val="24"/>
          <w:szCs w:val="24"/>
          <w:shd w:val="clear" w:color="auto" w:fill="FFFFFF"/>
          <w:vertAlign w:val="superscript"/>
          <w:lang w:eastAsia="de-DE" w:bidi="hi-IN"/>
        </w:rPr>
        <w:t>3</w:t>
      </w:r>
      <w:r>
        <w:rPr>
          <w:rFonts w:ascii="Times New Roman" w:eastAsia="Times New Roman" w:hAnsi="Times New Roman" w:cs="Times New Roman"/>
          <w:color w:val="000000"/>
          <w:kern w:val="2"/>
          <w:sz w:val="24"/>
          <w:szCs w:val="24"/>
          <w:shd w:val="clear" w:color="auto" w:fill="FFFFFF"/>
          <w:lang w:eastAsia="de-DE" w:bidi="hi-IN"/>
        </w:rPr>
        <w:t xml:space="preserve"> стічних вод (35-38 тис.м</w:t>
      </w:r>
      <w:r>
        <w:rPr>
          <w:rFonts w:ascii="Times New Roman" w:eastAsia="Times New Roman" w:hAnsi="Times New Roman" w:cs="Times New Roman"/>
          <w:color w:val="000000"/>
          <w:kern w:val="2"/>
          <w:sz w:val="24"/>
          <w:szCs w:val="24"/>
          <w:shd w:val="clear" w:color="auto" w:fill="FFFFFF"/>
          <w:vertAlign w:val="superscript"/>
          <w:lang w:eastAsia="de-DE" w:bidi="hi-IN"/>
        </w:rPr>
        <w:t>3</w:t>
      </w:r>
      <w:r>
        <w:rPr>
          <w:rFonts w:ascii="Times New Roman" w:eastAsia="Times New Roman" w:hAnsi="Times New Roman" w:cs="Times New Roman"/>
          <w:color w:val="000000"/>
          <w:kern w:val="2"/>
          <w:sz w:val="24"/>
          <w:szCs w:val="24"/>
          <w:shd w:val="clear" w:color="auto" w:fill="FFFFFF"/>
          <w:lang w:eastAsia="de-DE" w:bidi="hi-IN"/>
        </w:rPr>
        <w:t>/добу). Установлена виробнича потужність системи каналізації 120,0 тис. м</w:t>
      </w:r>
      <w:r>
        <w:rPr>
          <w:rFonts w:ascii="Times New Roman" w:eastAsia="Times New Roman" w:hAnsi="Times New Roman" w:cs="Times New Roman"/>
          <w:color w:val="000000"/>
          <w:kern w:val="2"/>
          <w:sz w:val="24"/>
          <w:szCs w:val="24"/>
          <w:shd w:val="clear" w:color="auto" w:fill="FFFFFF"/>
          <w:vertAlign w:val="superscript"/>
          <w:lang w:eastAsia="de-DE" w:bidi="hi-IN"/>
        </w:rPr>
        <w:t>3</w:t>
      </w:r>
      <w:r>
        <w:rPr>
          <w:rFonts w:ascii="Times New Roman" w:eastAsia="Times New Roman" w:hAnsi="Times New Roman" w:cs="Times New Roman"/>
          <w:color w:val="000000"/>
          <w:kern w:val="2"/>
          <w:sz w:val="24"/>
          <w:szCs w:val="24"/>
          <w:shd w:val="clear" w:color="auto" w:fill="FFFFFF"/>
          <w:lang w:eastAsia="de-DE" w:bidi="hi-IN"/>
        </w:rPr>
        <w:t>/добу.</w:t>
      </w:r>
    </w:p>
    <w:p w:rsidR="00D227E2" w:rsidRDefault="00934FC4">
      <w:pPr>
        <w:spacing w:after="0" w:line="240" w:lineRule="auto"/>
        <w:ind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lang w:eastAsia="de-DE" w:bidi="hi-IN"/>
        </w:rPr>
        <w:t xml:space="preserve">Сумарна протяжність головних колекторів 56,7 км, із них застарілих та аварійних 26,0 км (47 %). Вуличної каналізаційної мережі 94,9 км, із неї застарілої та аварійної 38,8 км (41 %). Внутрішньоквартальної та внутрішньодворової мережі 74,5 км, із неї застарілої та аварійної 42,4 км (57 %). </w:t>
      </w:r>
    </w:p>
    <w:p w:rsidR="00D227E2" w:rsidRDefault="00934FC4">
      <w:pPr>
        <w:spacing w:after="0" w:line="240" w:lineRule="auto"/>
        <w:ind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lang w:eastAsia="de-DE" w:bidi="hi-IN"/>
        </w:rPr>
        <w:t>Житловий фонд міста Луцьк обладнано централізованою системою каналізації на 86,9 % від загальної площі. Садибна забудова частково не каналізована, мешканці користуються вигрібними ямами.</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Інформація щодо загальних обсягів</w:t>
      </w:r>
      <w:r>
        <w:rPr>
          <w:rFonts w:ascii="Times New Roman" w:eastAsia="NSimSun" w:hAnsi="Times New Roman" w:cs="Times New Roman"/>
          <w:kern w:val="2"/>
          <w:sz w:val="24"/>
          <w:szCs w:val="24"/>
          <w:lang w:eastAsia="zh-CN" w:bidi="hi-IN"/>
        </w:rPr>
        <w:tab/>
        <w:t>водопостачання та водовідведення надано в таблиці 34 та на рисунку 23.</w:t>
      </w:r>
    </w:p>
    <w:p w:rsidR="00D227E2" w:rsidRDefault="00934FC4">
      <w:pPr>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 xml:space="preserve">Таблиця 34. </w:t>
      </w:r>
      <w:r>
        <w:rPr>
          <w:rFonts w:ascii="Times New Roman" w:eastAsia="NSimSun" w:hAnsi="Times New Roman" w:cs="Times New Roman"/>
          <w:color w:val="000000" w:themeColor="text1"/>
          <w:kern w:val="2"/>
          <w:sz w:val="24"/>
          <w:szCs w:val="24"/>
          <w:lang w:eastAsia="zh-CN" w:bidi="hi-IN"/>
        </w:rPr>
        <w:t>Загальні обсяги водоспоживання, водовідведення та стічних вод</w:t>
      </w:r>
    </w:p>
    <w:tbl>
      <w:tblPr>
        <w:tblW w:w="9690" w:type="dxa"/>
        <w:tblInd w:w="212" w:type="dxa"/>
        <w:tblLayout w:type="fixed"/>
        <w:tblLook w:val="04A0" w:firstRow="1" w:lastRow="0" w:firstColumn="1" w:lastColumn="0" w:noHBand="0" w:noVBand="1"/>
      </w:tblPr>
      <w:tblGrid>
        <w:gridCol w:w="615"/>
        <w:gridCol w:w="5169"/>
        <w:gridCol w:w="1124"/>
        <w:gridCol w:w="1397"/>
        <w:gridCol w:w="1385"/>
      </w:tblGrid>
      <w:tr w:rsidR="00D227E2">
        <w:tc>
          <w:tcPr>
            <w:tcW w:w="615" w:type="dxa"/>
            <w:vMerge w:val="restart"/>
            <w:tcBorders>
              <w:top w:val="single" w:sz="2" w:space="0" w:color="000000"/>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w:t>
            </w:r>
          </w:p>
        </w:tc>
        <w:tc>
          <w:tcPr>
            <w:tcW w:w="5169" w:type="dxa"/>
            <w:vMerge w:val="restart"/>
            <w:tcBorders>
              <w:top w:val="single" w:sz="2" w:space="0" w:color="000000"/>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Параметр</w:t>
            </w:r>
          </w:p>
        </w:tc>
        <w:tc>
          <w:tcPr>
            <w:tcW w:w="3906" w:type="dxa"/>
            <w:gridSpan w:val="3"/>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Роки</w:t>
            </w:r>
          </w:p>
        </w:tc>
      </w:tr>
      <w:tr w:rsidR="00D227E2">
        <w:tc>
          <w:tcPr>
            <w:tcW w:w="615" w:type="dxa"/>
            <w:vMerge/>
            <w:tcBorders>
              <w:left w:val="single" w:sz="2" w:space="0" w:color="000000"/>
              <w:bottom w:val="single" w:sz="2" w:space="0" w:color="000000"/>
            </w:tcBorders>
            <w:vAlign w:val="center"/>
          </w:tcPr>
          <w:p w:rsidR="00D227E2" w:rsidRDefault="00D227E2">
            <w:pPr>
              <w:widowControl w:val="0"/>
              <w:spacing w:after="0" w:line="240" w:lineRule="auto"/>
              <w:contextualSpacing/>
              <w:jc w:val="center"/>
              <w:rPr>
                <w:rFonts w:ascii="Times New Roman" w:hAnsi="Times New Roman" w:cs="Times New Roman"/>
                <w:color w:val="000000" w:themeColor="text1"/>
              </w:rPr>
            </w:pPr>
          </w:p>
        </w:tc>
        <w:tc>
          <w:tcPr>
            <w:tcW w:w="5169" w:type="dxa"/>
            <w:vMerge/>
            <w:tcBorders>
              <w:left w:val="single" w:sz="2" w:space="0" w:color="000000"/>
              <w:bottom w:val="single" w:sz="2" w:space="0" w:color="000000"/>
            </w:tcBorders>
            <w:vAlign w:val="center"/>
          </w:tcPr>
          <w:p w:rsidR="00D227E2" w:rsidRDefault="00D227E2">
            <w:pPr>
              <w:widowControl w:val="0"/>
              <w:spacing w:after="0" w:line="240" w:lineRule="auto"/>
              <w:contextualSpacing/>
              <w:jc w:val="center"/>
              <w:rPr>
                <w:rFonts w:ascii="Times New Roman" w:hAnsi="Times New Roman" w:cs="Times New Roman"/>
                <w:color w:val="000000" w:themeColor="text1"/>
              </w:rPr>
            </w:pPr>
          </w:p>
        </w:tc>
        <w:tc>
          <w:tcPr>
            <w:tcW w:w="1124"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2007</w:t>
            </w:r>
          </w:p>
        </w:tc>
        <w:tc>
          <w:tcPr>
            <w:tcW w:w="1397"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2020</w:t>
            </w:r>
          </w:p>
        </w:tc>
        <w:tc>
          <w:tcPr>
            <w:tcW w:w="1385" w:type="dxa"/>
            <w:tcBorders>
              <w:left w:val="single" w:sz="2" w:space="0" w:color="000000"/>
              <w:bottom w:val="single" w:sz="2" w:space="0" w:color="000000"/>
              <w:right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2022</w:t>
            </w:r>
          </w:p>
        </w:tc>
      </w:tr>
      <w:tr w:rsidR="00D227E2">
        <w:tc>
          <w:tcPr>
            <w:tcW w:w="615"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1</w:t>
            </w:r>
          </w:p>
        </w:tc>
        <w:tc>
          <w:tcPr>
            <w:tcW w:w="5169" w:type="dxa"/>
            <w:tcBorders>
              <w:left w:val="single" w:sz="2" w:space="0" w:color="000000"/>
              <w:bottom w:val="single" w:sz="2" w:space="0" w:color="000000"/>
            </w:tcBorders>
            <w:vAlign w:val="center"/>
          </w:tcPr>
          <w:p w:rsidR="00D227E2" w:rsidRDefault="00934FC4">
            <w:pPr>
              <w:widowControl w:val="0"/>
              <w:spacing w:after="0" w:line="240" w:lineRule="auto"/>
              <w:contextualSpacing/>
              <w:rPr>
                <w:rFonts w:ascii="Times New Roman" w:hAnsi="Times New Roman" w:cs="Times New Roman"/>
              </w:rPr>
            </w:pPr>
            <w:r>
              <w:rPr>
                <w:rFonts w:ascii="Times New Roman" w:hAnsi="Times New Roman" w:cs="Times New Roman"/>
                <w:color w:val="000000" w:themeColor="text1"/>
              </w:rPr>
              <w:t>Загальна кількість води, що надана споживачеві*, тис. м</w:t>
            </w:r>
            <w:r>
              <w:rPr>
                <w:rFonts w:ascii="Times New Roman" w:hAnsi="Times New Roman" w:cs="Times New Roman"/>
                <w:color w:val="000000" w:themeColor="text1"/>
                <w:vertAlign w:val="superscript"/>
              </w:rPr>
              <w:t>3</w:t>
            </w:r>
          </w:p>
        </w:tc>
        <w:tc>
          <w:tcPr>
            <w:tcW w:w="1124"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14762,0</w:t>
            </w:r>
          </w:p>
        </w:tc>
        <w:tc>
          <w:tcPr>
            <w:tcW w:w="1397"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11435,6</w:t>
            </w:r>
          </w:p>
        </w:tc>
        <w:tc>
          <w:tcPr>
            <w:tcW w:w="1385" w:type="dxa"/>
            <w:tcBorders>
              <w:left w:val="single" w:sz="2" w:space="0" w:color="000000"/>
              <w:bottom w:val="single" w:sz="2" w:space="0" w:color="000000"/>
              <w:right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9993,0</w:t>
            </w:r>
          </w:p>
        </w:tc>
      </w:tr>
      <w:tr w:rsidR="00D227E2">
        <w:tc>
          <w:tcPr>
            <w:tcW w:w="615"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2</w:t>
            </w:r>
          </w:p>
        </w:tc>
        <w:tc>
          <w:tcPr>
            <w:tcW w:w="5169" w:type="dxa"/>
            <w:tcBorders>
              <w:left w:val="single" w:sz="2" w:space="0" w:color="000000"/>
              <w:bottom w:val="single" w:sz="2" w:space="0" w:color="000000"/>
            </w:tcBorders>
            <w:vAlign w:val="center"/>
          </w:tcPr>
          <w:p w:rsidR="00D227E2" w:rsidRDefault="00934FC4">
            <w:pPr>
              <w:widowControl w:val="0"/>
              <w:spacing w:after="0" w:line="240" w:lineRule="auto"/>
              <w:contextualSpacing/>
              <w:rPr>
                <w:rFonts w:ascii="Times New Roman" w:hAnsi="Times New Roman" w:cs="Times New Roman"/>
              </w:rPr>
            </w:pPr>
            <w:r>
              <w:rPr>
                <w:rFonts w:ascii="Times New Roman" w:hAnsi="Times New Roman" w:cs="Times New Roman"/>
                <w:color w:val="000000" w:themeColor="text1"/>
              </w:rPr>
              <w:t>Загальна кількість виробленої питної води, тис. м</w:t>
            </w:r>
            <w:r>
              <w:rPr>
                <w:rFonts w:ascii="Times New Roman" w:hAnsi="Times New Roman" w:cs="Times New Roman"/>
                <w:color w:val="000000" w:themeColor="text1"/>
                <w:vertAlign w:val="superscript"/>
              </w:rPr>
              <w:t>3</w:t>
            </w:r>
          </w:p>
        </w:tc>
        <w:tc>
          <w:tcPr>
            <w:tcW w:w="1124"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17183,0</w:t>
            </w:r>
          </w:p>
        </w:tc>
        <w:tc>
          <w:tcPr>
            <w:tcW w:w="1397"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15431,2</w:t>
            </w:r>
          </w:p>
        </w:tc>
        <w:tc>
          <w:tcPr>
            <w:tcW w:w="1385" w:type="dxa"/>
            <w:tcBorders>
              <w:left w:val="single" w:sz="2" w:space="0" w:color="000000"/>
              <w:bottom w:val="single" w:sz="2" w:space="0" w:color="000000"/>
              <w:right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15234,1</w:t>
            </w:r>
          </w:p>
        </w:tc>
      </w:tr>
      <w:tr w:rsidR="00D227E2">
        <w:tc>
          <w:tcPr>
            <w:tcW w:w="615"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3</w:t>
            </w:r>
          </w:p>
        </w:tc>
        <w:tc>
          <w:tcPr>
            <w:tcW w:w="5169" w:type="dxa"/>
            <w:tcBorders>
              <w:left w:val="single" w:sz="2" w:space="0" w:color="000000"/>
              <w:bottom w:val="single" w:sz="2" w:space="0" w:color="000000"/>
            </w:tcBorders>
            <w:vAlign w:val="center"/>
          </w:tcPr>
          <w:p w:rsidR="00D227E2" w:rsidRDefault="00934FC4">
            <w:pPr>
              <w:widowControl w:val="0"/>
              <w:spacing w:after="0" w:line="240" w:lineRule="auto"/>
              <w:contextualSpacing/>
              <w:rPr>
                <w:rFonts w:ascii="Times New Roman" w:hAnsi="Times New Roman" w:cs="Times New Roman"/>
              </w:rPr>
            </w:pPr>
            <w:r>
              <w:rPr>
                <w:rFonts w:ascii="Times New Roman" w:hAnsi="Times New Roman" w:cs="Times New Roman"/>
                <w:color w:val="000000" w:themeColor="text1"/>
              </w:rPr>
              <w:t>Загальна кількість стічних вод**, тис. м</w:t>
            </w:r>
            <w:r>
              <w:rPr>
                <w:rFonts w:ascii="Times New Roman" w:hAnsi="Times New Roman" w:cs="Times New Roman"/>
                <w:color w:val="000000" w:themeColor="text1"/>
                <w:vertAlign w:val="superscript"/>
              </w:rPr>
              <w:t>3</w:t>
            </w:r>
          </w:p>
        </w:tc>
        <w:tc>
          <w:tcPr>
            <w:tcW w:w="1124"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u w:val="single"/>
              </w:rPr>
              <w:t>12993,0</w:t>
            </w:r>
          </w:p>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16848,0</w:t>
            </w:r>
          </w:p>
        </w:tc>
        <w:tc>
          <w:tcPr>
            <w:tcW w:w="1397"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u w:val="single"/>
              </w:rPr>
              <w:t>10211,4</w:t>
            </w:r>
          </w:p>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17660,3</w:t>
            </w:r>
          </w:p>
        </w:tc>
        <w:tc>
          <w:tcPr>
            <w:tcW w:w="1385" w:type="dxa"/>
            <w:tcBorders>
              <w:left w:val="single" w:sz="2" w:space="0" w:color="000000"/>
              <w:bottom w:val="single" w:sz="2" w:space="0" w:color="000000"/>
              <w:right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u w:val="single"/>
              </w:rPr>
              <w:t>9239,7</w:t>
            </w:r>
          </w:p>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13024,4</w:t>
            </w:r>
          </w:p>
        </w:tc>
      </w:tr>
    </w:tbl>
    <w:p w:rsidR="00D227E2" w:rsidRDefault="00934FC4">
      <w:pPr>
        <w:spacing w:after="0" w:line="240" w:lineRule="auto"/>
        <w:ind w:left="720" w:hanging="720"/>
        <w:rPr>
          <w:rFonts w:ascii="Times New Roman" w:hAnsi="Times New Roman" w:cs="Times New Roman"/>
        </w:rPr>
      </w:pPr>
      <w:r>
        <w:rPr>
          <w:rFonts w:ascii="Times New Roman" w:eastAsia="NSimSun" w:hAnsi="Times New Roman" w:cs="Times New Roman"/>
          <w:color w:val="000000" w:themeColor="text1"/>
          <w:kern w:val="2"/>
          <w:sz w:val="24"/>
          <w:szCs w:val="24"/>
          <w:lang w:eastAsia="zh-CN" w:bidi="hi-IN"/>
        </w:rPr>
        <w:t>*- згідно виставлених рахунків</w:t>
      </w:r>
    </w:p>
    <w:p w:rsidR="00D227E2" w:rsidRDefault="00934FC4">
      <w:pPr>
        <w:spacing w:after="0" w:line="240" w:lineRule="auto"/>
        <w:ind w:left="720" w:hanging="720"/>
        <w:rPr>
          <w:rFonts w:ascii="Times New Roman" w:hAnsi="Times New Roman" w:cs="Times New Roman"/>
        </w:rPr>
      </w:pPr>
      <w:r>
        <w:rPr>
          <w:rFonts w:ascii="Times New Roman" w:eastAsia="NSimSun" w:hAnsi="Times New Roman" w:cs="Times New Roman"/>
          <w:color w:val="000000" w:themeColor="text1"/>
          <w:kern w:val="2"/>
          <w:sz w:val="24"/>
          <w:szCs w:val="24"/>
          <w:lang w:eastAsia="zh-CN" w:bidi="hi-IN"/>
        </w:rPr>
        <w:lastRenderedPageBreak/>
        <w:t>**- чисельник - реалізація, знаменник - пропуск</w:t>
      </w:r>
    </w:p>
    <w:p w:rsidR="00D227E2" w:rsidRDefault="00934FC4">
      <w:pPr>
        <w:spacing w:after="0" w:line="240" w:lineRule="auto"/>
        <w:ind w:left="720" w:hanging="720"/>
        <w:rPr>
          <w:rFonts w:ascii="Times New Roman" w:eastAsia="NSimSun" w:hAnsi="Times New Roman" w:cs="Times New Roman"/>
          <w:kern w:val="2"/>
          <w:sz w:val="24"/>
          <w:szCs w:val="24"/>
          <w:lang w:eastAsia="zh-CN" w:bidi="hi-IN"/>
        </w:rPr>
      </w:pPr>
      <w:r>
        <w:rPr>
          <w:rFonts w:ascii="Times New Roman" w:eastAsia="NSimSun" w:hAnsi="Times New Roman" w:cs="Times New Roman"/>
          <w:noProof/>
          <w:kern w:val="2"/>
          <w:sz w:val="24"/>
          <w:szCs w:val="24"/>
          <w:lang w:eastAsia="uk-UA"/>
        </w:rPr>
        <w:drawing>
          <wp:anchor distT="0" distB="0" distL="0" distR="0" simplePos="0" relativeHeight="72" behindDoc="0" locked="0" layoutInCell="0" allowOverlap="1" wp14:anchorId="60721AAA" wp14:editId="1475D3C3">
            <wp:simplePos x="0" y="0"/>
            <wp:positionH relativeFrom="column">
              <wp:align>center</wp:align>
            </wp:positionH>
            <wp:positionV relativeFrom="paragraph">
              <wp:posOffset>635</wp:posOffset>
            </wp:positionV>
            <wp:extent cx="4424680" cy="2489200"/>
            <wp:effectExtent l="0" t="0" r="0" b="0"/>
            <wp:wrapSquare wrapText="largest"/>
            <wp:docPr id="36" name="Об'єкт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anchor>
        </w:drawing>
      </w:r>
    </w:p>
    <w:p w:rsidR="00D227E2" w:rsidRDefault="00D227E2">
      <w:pPr>
        <w:spacing w:after="0" w:line="240" w:lineRule="auto"/>
        <w:ind w:left="720" w:hanging="720"/>
        <w:rPr>
          <w:rFonts w:ascii="Times New Roman" w:eastAsia="NSimSun" w:hAnsi="Times New Roman" w:cs="Times New Roman"/>
          <w:kern w:val="2"/>
          <w:sz w:val="24"/>
          <w:szCs w:val="24"/>
          <w:lang w:eastAsia="zh-CN" w:bidi="hi-IN"/>
        </w:rPr>
      </w:pPr>
    </w:p>
    <w:p w:rsidR="00D227E2" w:rsidRDefault="00D227E2">
      <w:pPr>
        <w:spacing w:after="0" w:line="240" w:lineRule="auto"/>
        <w:ind w:left="720" w:hanging="720"/>
        <w:rPr>
          <w:rFonts w:ascii="Times New Roman" w:eastAsia="NSimSun" w:hAnsi="Times New Roman" w:cs="Times New Roman"/>
          <w:kern w:val="2"/>
          <w:sz w:val="24"/>
          <w:szCs w:val="24"/>
          <w:lang w:eastAsia="zh-CN" w:bidi="hi-IN"/>
        </w:rPr>
      </w:pPr>
    </w:p>
    <w:p w:rsidR="00D227E2" w:rsidRDefault="00D227E2">
      <w:pPr>
        <w:spacing w:after="0" w:line="240" w:lineRule="auto"/>
        <w:ind w:left="720" w:hanging="720"/>
        <w:rPr>
          <w:rFonts w:ascii="Times New Roman" w:eastAsia="NSimSun" w:hAnsi="Times New Roman" w:cs="Times New Roman"/>
          <w:kern w:val="2"/>
          <w:sz w:val="24"/>
          <w:szCs w:val="24"/>
          <w:lang w:eastAsia="zh-CN" w:bidi="hi-IN"/>
        </w:rPr>
      </w:pPr>
    </w:p>
    <w:p w:rsidR="00D227E2" w:rsidRDefault="00D227E2">
      <w:pPr>
        <w:spacing w:after="0" w:line="240" w:lineRule="auto"/>
        <w:ind w:left="720" w:hanging="720"/>
        <w:rPr>
          <w:rFonts w:ascii="Times New Roman" w:eastAsia="NSimSun" w:hAnsi="Times New Roman" w:cs="Times New Roman"/>
          <w:kern w:val="2"/>
          <w:sz w:val="24"/>
          <w:szCs w:val="24"/>
          <w:lang w:eastAsia="zh-CN" w:bidi="hi-IN"/>
        </w:rPr>
      </w:pPr>
    </w:p>
    <w:p w:rsidR="00D227E2" w:rsidRDefault="00D227E2">
      <w:pPr>
        <w:spacing w:after="0" w:line="240" w:lineRule="auto"/>
        <w:ind w:left="720" w:hanging="720"/>
        <w:rPr>
          <w:rFonts w:ascii="Times New Roman" w:eastAsia="NSimSun" w:hAnsi="Times New Roman" w:cs="Times New Roman"/>
          <w:kern w:val="2"/>
          <w:sz w:val="24"/>
          <w:szCs w:val="24"/>
          <w:lang w:eastAsia="zh-CN" w:bidi="hi-IN"/>
        </w:rPr>
      </w:pPr>
    </w:p>
    <w:p w:rsidR="00D227E2" w:rsidRDefault="00D227E2">
      <w:pPr>
        <w:spacing w:after="0" w:line="240" w:lineRule="auto"/>
        <w:ind w:left="720" w:hanging="720"/>
        <w:rPr>
          <w:rFonts w:ascii="Times New Roman" w:eastAsia="NSimSun" w:hAnsi="Times New Roman" w:cs="Times New Roman"/>
          <w:kern w:val="2"/>
          <w:sz w:val="24"/>
          <w:szCs w:val="24"/>
          <w:lang w:eastAsia="zh-CN" w:bidi="hi-IN"/>
        </w:rPr>
      </w:pPr>
    </w:p>
    <w:p w:rsidR="00D227E2" w:rsidRDefault="00D227E2">
      <w:pPr>
        <w:spacing w:after="0" w:line="240" w:lineRule="auto"/>
        <w:ind w:left="720" w:hanging="720"/>
        <w:rPr>
          <w:rFonts w:ascii="Times New Roman" w:eastAsia="NSimSun" w:hAnsi="Times New Roman" w:cs="Times New Roman"/>
          <w:kern w:val="2"/>
          <w:sz w:val="24"/>
          <w:szCs w:val="24"/>
          <w:lang w:eastAsia="zh-CN" w:bidi="hi-IN"/>
        </w:rPr>
      </w:pPr>
    </w:p>
    <w:p w:rsidR="00D227E2" w:rsidRDefault="00D227E2">
      <w:pPr>
        <w:spacing w:after="0" w:line="240" w:lineRule="auto"/>
        <w:ind w:left="720" w:hanging="720"/>
        <w:rPr>
          <w:rFonts w:ascii="Times New Roman" w:eastAsia="NSimSun" w:hAnsi="Times New Roman" w:cs="Times New Roman"/>
          <w:kern w:val="2"/>
          <w:sz w:val="24"/>
          <w:szCs w:val="24"/>
          <w:lang w:eastAsia="zh-CN" w:bidi="hi-IN"/>
        </w:rPr>
      </w:pPr>
    </w:p>
    <w:p w:rsidR="00D227E2" w:rsidRDefault="00D227E2">
      <w:pPr>
        <w:spacing w:after="0" w:line="240" w:lineRule="auto"/>
        <w:ind w:left="720" w:hanging="720"/>
        <w:rPr>
          <w:rFonts w:ascii="Times New Roman" w:eastAsia="NSimSun" w:hAnsi="Times New Roman" w:cs="Times New Roman"/>
          <w:kern w:val="2"/>
          <w:sz w:val="24"/>
          <w:szCs w:val="24"/>
          <w:lang w:eastAsia="zh-CN" w:bidi="hi-IN"/>
        </w:rPr>
      </w:pPr>
    </w:p>
    <w:p w:rsidR="00D227E2" w:rsidRDefault="00D227E2">
      <w:pPr>
        <w:spacing w:after="0" w:line="240" w:lineRule="auto"/>
        <w:ind w:left="720" w:hanging="720"/>
        <w:rPr>
          <w:rFonts w:ascii="Times New Roman" w:eastAsia="NSimSun" w:hAnsi="Times New Roman" w:cs="Times New Roman"/>
          <w:kern w:val="2"/>
          <w:sz w:val="24"/>
          <w:szCs w:val="24"/>
          <w:lang w:eastAsia="zh-CN" w:bidi="hi-IN"/>
        </w:rPr>
      </w:pPr>
    </w:p>
    <w:p w:rsidR="00D227E2" w:rsidRDefault="00D227E2">
      <w:pPr>
        <w:spacing w:after="0" w:line="240" w:lineRule="auto"/>
        <w:ind w:left="720" w:hanging="720"/>
        <w:rPr>
          <w:rFonts w:ascii="Times New Roman" w:eastAsia="NSimSun" w:hAnsi="Times New Roman" w:cs="Times New Roman"/>
          <w:kern w:val="2"/>
          <w:sz w:val="24"/>
          <w:szCs w:val="24"/>
          <w:lang w:eastAsia="zh-CN" w:bidi="hi-IN"/>
        </w:rPr>
      </w:pPr>
    </w:p>
    <w:p w:rsidR="00D227E2" w:rsidRDefault="00D227E2">
      <w:pPr>
        <w:spacing w:after="0" w:line="240" w:lineRule="auto"/>
        <w:ind w:left="720" w:hanging="720"/>
        <w:rPr>
          <w:rFonts w:ascii="Times New Roman" w:eastAsia="NSimSun" w:hAnsi="Times New Roman" w:cs="Times New Roman"/>
          <w:kern w:val="2"/>
          <w:sz w:val="24"/>
          <w:szCs w:val="24"/>
          <w:lang w:eastAsia="zh-CN" w:bidi="hi-IN"/>
        </w:rPr>
      </w:pPr>
    </w:p>
    <w:p w:rsidR="00D227E2" w:rsidRDefault="00D227E2">
      <w:pPr>
        <w:spacing w:after="0"/>
        <w:ind w:firstLine="567"/>
        <w:jc w:val="center"/>
        <w:rPr>
          <w:rFonts w:ascii="Times New Roman" w:eastAsia="NSimSun" w:hAnsi="Times New Roman" w:cs="Times New Roman"/>
          <w:kern w:val="2"/>
          <w:sz w:val="24"/>
          <w:szCs w:val="24"/>
          <w:lang w:eastAsia="zh-CN" w:bidi="hi-IN"/>
        </w:rPr>
      </w:pPr>
    </w:p>
    <w:p w:rsidR="00D227E2" w:rsidRDefault="00D227E2">
      <w:pPr>
        <w:spacing w:after="0"/>
        <w:ind w:firstLine="567"/>
        <w:jc w:val="center"/>
        <w:rPr>
          <w:rFonts w:ascii="Times New Roman" w:eastAsia="NSimSun" w:hAnsi="Times New Roman" w:cs="Times New Roman"/>
          <w:kern w:val="2"/>
          <w:sz w:val="24"/>
          <w:szCs w:val="24"/>
          <w:lang w:eastAsia="zh-CN" w:bidi="hi-IN"/>
        </w:rPr>
      </w:pPr>
    </w:p>
    <w:p w:rsidR="00D227E2" w:rsidRDefault="00934FC4">
      <w:pPr>
        <w:spacing w:after="0"/>
        <w:ind w:firstLine="567"/>
        <w:jc w:val="center"/>
        <w:rPr>
          <w:rFonts w:ascii="Times New Roman" w:hAnsi="Times New Roman" w:cs="Times New Roman"/>
        </w:rPr>
      </w:pPr>
      <w:r>
        <w:rPr>
          <w:rFonts w:ascii="Times New Roman" w:eastAsia="NSimSun" w:hAnsi="Times New Roman" w:cs="Times New Roman"/>
          <w:kern w:val="2"/>
          <w:sz w:val="24"/>
          <w:szCs w:val="24"/>
          <w:lang w:eastAsia="zh-CN" w:bidi="hi-IN"/>
        </w:rPr>
        <w:t xml:space="preserve">Рисунок 23. Загальні обсяги водоспоживання в Луцькій МТГ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shd w:val="clear" w:color="auto" w:fill="FFFFFF"/>
          <w:lang w:eastAsia="zh-CN" w:bidi="hi-IN"/>
        </w:rPr>
        <w:t>Аналіз загальної кількості води, що надана споживачеві Луцької МТГ, показує, що відсоток зменшення обсягів споживання води в порівнянні 2022 із 2007 роками склав 32 %.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Обсяг та розподіл споживання води за категоріями споживачів наведено у таблиці 35, а у таблиці 36 зведено обсяги водовідведення у розподілі за категоріями споживачів.</w:t>
      </w:r>
    </w:p>
    <w:p w:rsidR="00D227E2" w:rsidRDefault="00934FC4">
      <w:pPr>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Таблиця 35. Споживання води за категоріями споживачів міста</w:t>
      </w:r>
    </w:p>
    <w:tbl>
      <w:tblPr>
        <w:tblW w:w="9915" w:type="dxa"/>
        <w:tblInd w:w="-37" w:type="dxa"/>
        <w:tblLayout w:type="fixed"/>
        <w:tblLook w:val="04A0" w:firstRow="1" w:lastRow="0" w:firstColumn="1" w:lastColumn="0" w:noHBand="0" w:noVBand="1"/>
      </w:tblPr>
      <w:tblGrid>
        <w:gridCol w:w="459"/>
        <w:gridCol w:w="2860"/>
        <w:gridCol w:w="1134"/>
        <w:gridCol w:w="1076"/>
        <w:gridCol w:w="1139"/>
        <w:gridCol w:w="1130"/>
        <w:gridCol w:w="1112"/>
        <w:gridCol w:w="1005"/>
      </w:tblGrid>
      <w:tr w:rsidR="00D227E2">
        <w:tc>
          <w:tcPr>
            <w:tcW w:w="458" w:type="dxa"/>
            <w:vMerge w:val="restart"/>
            <w:tcBorders>
              <w:top w:val="single" w:sz="2" w:space="0" w:color="000000"/>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w:t>
            </w:r>
          </w:p>
        </w:tc>
        <w:tc>
          <w:tcPr>
            <w:tcW w:w="2859" w:type="dxa"/>
            <w:vMerge w:val="restart"/>
            <w:tcBorders>
              <w:top w:val="single" w:sz="2" w:space="0" w:color="000000"/>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Споживачі</w:t>
            </w:r>
          </w:p>
        </w:tc>
        <w:tc>
          <w:tcPr>
            <w:tcW w:w="6596" w:type="dxa"/>
            <w:gridSpan w:val="6"/>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Обсяг постачання води по роках, тис.м</w:t>
            </w:r>
            <w:r>
              <w:rPr>
                <w:rFonts w:ascii="Times New Roman" w:hAnsi="Times New Roman" w:cs="Times New Roman"/>
                <w:color w:val="000000" w:themeColor="text1"/>
                <w:vertAlign w:val="superscript"/>
              </w:rPr>
              <w:t>3</w:t>
            </w:r>
          </w:p>
        </w:tc>
      </w:tr>
      <w:tr w:rsidR="00D227E2">
        <w:trPr>
          <w:trHeight w:val="291"/>
        </w:trPr>
        <w:tc>
          <w:tcPr>
            <w:tcW w:w="458" w:type="dxa"/>
            <w:vMerge/>
            <w:tcBorders>
              <w:left w:val="single" w:sz="2" w:space="0" w:color="000000"/>
              <w:bottom w:val="single" w:sz="2" w:space="0" w:color="000000"/>
            </w:tcBorders>
            <w:vAlign w:val="center"/>
          </w:tcPr>
          <w:p w:rsidR="00D227E2" w:rsidRDefault="00D227E2">
            <w:pPr>
              <w:widowControl w:val="0"/>
              <w:spacing w:after="0" w:line="240" w:lineRule="auto"/>
              <w:contextualSpacing/>
              <w:jc w:val="center"/>
              <w:rPr>
                <w:rFonts w:ascii="Times New Roman" w:hAnsi="Times New Roman" w:cs="Times New Roman"/>
                <w:color w:val="000000" w:themeColor="text1"/>
              </w:rPr>
            </w:pPr>
          </w:p>
        </w:tc>
        <w:tc>
          <w:tcPr>
            <w:tcW w:w="2859" w:type="dxa"/>
            <w:vMerge/>
            <w:tcBorders>
              <w:left w:val="single" w:sz="2" w:space="0" w:color="000000"/>
              <w:bottom w:val="single" w:sz="2" w:space="0" w:color="000000"/>
            </w:tcBorders>
            <w:vAlign w:val="center"/>
          </w:tcPr>
          <w:p w:rsidR="00D227E2" w:rsidRDefault="00D227E2">
            <w:pPr>
              <w:widowControl w:val="0"/>
              <w:spacing w:after="0" w:line="240" w:lineRule="auto"/>
              <w:contextualSpacing/>
              <w:jc w:val="center"/>
              <w:rPr>
                <w:rFonts w:ascii="Times New Roman" w:hAnsi="Times New Roman" w:cs="Times New Roman"/>
                <w:color w:val="000000" w:themeColor="text1"/>
              </w:rPr>
            </w:pPr>
          </w:p>
        </w:tc>
        <w:tc>
          <w:tcPr>
            <w:tcW w:w="1134"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2007</w:t>
            </w:r>
          </w:p>
        </w:tc>
        <w:tc>
          <w:tcPr>
            <w:tcW w:w="1076"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2014</w:t>
            </w:r>
          </w:p>
        </w:tc>
        <w:tc>
          <w:tcPr>
            <w:tcW w:w="1139"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2016</w:t>
            </w:r>
          </w:p>
        </w:tc>
        <w:tc>
          <w:tcPr>
            <w:tcW w:w="1130"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2018</w:t>
            </w:r>
          </w:p>
        </w:tc>
        <w:tc>
          <w:tcPr>
            <w:tcW w:w="1112"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2020</w:t>
            </w:r>
          </w:p>
        </w:tc>
        <w:tc>
          <w:tcPr>
            <w:tcW w:w="1005" w:type="dxa"/>
            <w:tcBorders>
              <w:left w:val="single" w:sz="2" w:space="0" w:color="000000"/>
              <w:bottom w:val="single" w:sz="2" w:space="0" w:color="000000"/>
              <w:right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2022</w:t>
            </w:r>
          </w:p>
        </w:tc>
      </w:tr>
      <w:tr w:rsidR="00D227E2">
        <w:trPr>
          <w:trHeight w:val="352"/>
        </w:trPr>
        <w:tc>
          <w:tcPr>
            <w:tcW w:w="458"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1</w:t>
            </w:r>
          </w:p>
        </w:tc>
        <w:tc>
          <w:tcPr>
            <w:tcW w:w="2859" w:type="dxa"/>
            <w:tcBorders>
              <w:left w:val="single" w:sz="2" w:space="0" w:color="000000"/>
              <w:bottom w:val="single" w:sz="2" w:space="0" w:color="000000"/>
            </w:tcBorders>
            <w:vAlign w:val="center"/>
          </w:tcPr>
          <w:p w:rsidR="00D227E2" w:rsidRDefault="00934FC4">
            <w:pPr>
              <w:widowControl w:val="0"/>
              <w:spacing w:after="0" w:line="240" w:lineRule="auto"/>
              <w:contextualSpacing/>
              <w:rPr>
                <w:rFonts w:ascii="Times New Roman" w:hAnsi="Times New Roman" w:cs="Times New Roman"/>
              </w:rPr>
            </w:pPr>
            <w:r>
              <w:rPr>
                <w:rFonts w:ascii="Times New Roman" w:hAnsi="Times New Roman" w:cs="Times New Roman"/>
                <w:color w:val="000000" w:themeColor="text1"/>
              </w:rPr>
              <w:t>Населення</w:t>
            </w:r>
          </w:p>
        </w:tc>
        <w:tc>
          <w:tcPr>
            <w:tcW w:w="1134"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eastAsia="Times New Roman" w:hAnsi="Times New Roman" w:cs="Times New Roman"/>
                <w:lang w:eastAsia="uk-UA"/>
              </w:rPr>
              <w:t>12086</w:t>
            </w:r>
          </w:p>
        </w:tc>
        <w:tc>
          <w:tcPr>
            <w:tcW w:w="1076"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eastAsia="Times New Roman" w:hAnsi="Times New Roman" w:cs="Times New Roman"/>
                <w:lang w:eastAsia="uk-UA"/>
              </w:rPr>
              <w:t>9925,8</w:t>
            </w:r>
          </w:p>
        </w:tc>
        <w:tc>
          <w:tcPr>
            <w:tcW w:w="1139"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themeColor="text1"/>
                <w:lang w:eastAsia="uk-UA"/>
              </w:rPr>
              <w:t>6830,3</w:t>
            </w:r>
          </w:p>
        </w:tc>
        <w:tc>
          <w:tcPr>
            <w:tcW w:w="1130"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themeColor="text1"/>
                <w:lang w:eastAsia="uk-UA"/>
              </w:rPr>
              <w:t>7254,67</w:t>
            </w:r>
          </w:p>
        </w:tc>
        <w:tc>
          <w:tcPr>
            <w:tcW w:w="1112"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themeColor="text1"/>
                <w:lang w:eastAsia="uk-UA"/>
              </w:rPr>
              <w:t>7575,7</w:t>
            </w:r>
          </w:p>
        </w:tc>
        <w:tc>
          <w:tcPr>
            <w:tcW w:w="1005" w:type="dxa"/>
            <w:tcBorders>
              <w:left w:val="single" w:sz="2" w:space="0" w:color="000000"/>
              <w:bottom w:val="single" w:sz="2" w:space="0" w:color="000000"/>
              <w:right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themeColor="text1"/>
                <w:lang w:eastAsia="uk-UA"/>
              </w:rPr>
              <w:t>6910,2</w:t>
            </w:r>
          </w:p>
        </w:tc>
      </w:tr>
      <w:tr w:rsidR="00D227E2">
        <w:trPr>
          <w:trHeight w:val="352"/>
        </w:trPr>
        <w:tc>
          <w:tcPr>
            <w:tcW w:w="458"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2</w:t>
            </w:r>
          </w:p>
        </w:tc>
        <w:tc>
          <w:tcPr>
            <w:tcW w:w="2859" w:type="dxa"/>
            <w:tcBorders>
              <w:left w:val="single" w:sz="2" w:space="0" w:color="000000"/>
              <w:bottom w:val="single" w:sz="2" w:space="0" w:color="000000"/>
            </w:tcBorders>
            <w:vAlign w:val="center"/>
          </w:tcPr>
          <w:p w:rsidR="00D227E2" w:rsidRDefault="00934FC4">
            <w:pPr>
              <w:widowControl w:val="0"/>
              <w:spacing w:after="0" w:line="240" w:lineRule="auto"/>
              <w:contextualSpacing/>
              <w:rPr>
                <w:rFonts w:ascii="Times New Roman" w:hAnsi="Times New Roman" w:cs="Times New Roman"/>
              </w:rPr>
            </w:pPr>
            <w:r>
              <w:rPr>
                <w:rFonts w:ascii="Times New Roman" w:hAnsi="Times New Roman" w:cs="Times New Roman"/>
              </w:rPr>
              <w:t>Заклади бюджетної сфери</w:t>
            </w:r>
          </w:p>
        </w:tc>
        <w:tc>
          <w:tcPr>
            <w:tcW w:w="1134"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901</w:t>
            </w:r>
          </w:p>
        </w:tc>
        <w:tc>
          <w:tcPr>
            <w:tcW w:w="1076"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601,7</w:t>
            </w:r>
          </w:p>
        </w:tc>
        <w:tc>
          <w:tcPr>
            <w:tcW w:w="1139"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674,1</w:t>
            </w:r>
          </w:p>
        </w:tc>
        <w:tc>
          <w:tcPr>
            <w:tcW w:w="1130"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656,8</w:t>
            </w:r>
          </w:p>
        </w:tc>
        <w:tc>
          <w:tcPr>
            <w:tcW w:w="1112"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530,3</w:t>
            </w:r>
          </w:p>
        </w:tc>
        <w:tc>
          <w:tcPr>
            <w:tcW w:w="1005" w:type="dxa"/>
            <w:tcBorders>
              <w:left w:val="single" w:sz="2" w:space="0" w:color="000000"/>
              <w:bottom w:val="single" w:sz="2" w:space="0" w:color="000000"/>
              <w:right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510,6</w:t>
            </w:r>
          </w:p>
        </w:tc>
      </w:tr>
      <w:tr w:rsidR="00D227E2">
        <w:trPr>
          <w:trHeight w:val="352"/>
        </w:trPr>
        <w:tc>
          <w:tcPr>
            <w:tcW w:w="458"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3</w:t>
            </w:r>
          </w:p>
        </w:tc>
        <w:tc>
          <w:tcPr>
            <w:tcW w:w="2859" w:type="dxa"/>
            <w:tcBorders>
              <w:left w:val="single" w:sz="2" w:space="0" w:color="000000"/>
              <w:bottom w:val="single" w:sz="2" w:space="0" w:color="000000"/>
            </w:tcBorders>
            <w:vAlign w:val="center"/>
          </w:tcPr>
          <w:p w:rsidR="00D227E2" w:rsidRDefault="00934FC4">
            <w:pPr>
              <w:widowControl w:val="0"/>
              <w:spacing w:after="0" w:line="240" w:lineRule="auto"/>
              <w:contextualSpacing/>
              <w:rPr>
                <w:rFonts w:ascii="Times New Roman" w:hAnsi="Times New Roman" w:cs="Times New Roman"/>
              </w:rPr>
            </w:pPr>
            <w:r>
              <w:rPr>
                <w:rFonts w:ascii="Times New Roman" w:hAnsi="Times New Roman" w:cs="Times New Roman"/>
              </w:rPr>
              <w:t>Промислові та інші підприємства</w:t>
            </w:r>
          </w:p>
        </w:tc>
        <w:tc>
          <w:tcPr>
            <w:tcW w:w="1134"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1775</w:t>
            </w:r>
          </w:p>
        </w:tc>
        <w:tc>
          <w:tcPr>
            <w:tcW w:w="1076"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1097</w:t>
            </w:r>
          </w:p>
        </w:tc>
        <w:tc>
          <w:tcPr>
            <w:tcW w:w="1139"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3121,4</w:t>
            </w:r>
          </w:p>
        </w:tc>
        <w:tc>
          <w:tcPr>
            <w:tcW w:w="1130"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3537</w:t>
            </w:r>
          </w:p>
        </w:tc>
        <w:tc>
          <w:tcPr>
            <w:tcW w:w="1112"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3329,6</w:t>
            </w:r>
          </w:p>
        </w:tc>
        <w:tc>
          <w:tcPr>
            <w:tcW w:w="1005" w:type="dxa"/>
            <w:tcBorders>
              <w:left w:val="single" w:sz="2" w:space="0" w:color="000000"/>
              <w:bottom w:val="single" w:sz="2" w:space="0" w:color="000000"/>
              <w:right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2572,1</w:t>
            </w:r>
          </w:p>
        </w:tc>
      </w:tr>
      <w:tr w:rsidR="00D227E2">
        <w:trPr>
          <w:trHeight w:val="352"/>
        </w:trPr>
        <w:tc>
          <w:tcPr>
            <w:tcW w:w="458"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4</w:t>
            </w:r>
          </w:p>
        </w:tc>
        <w:tc>
          <w:tcPr>
            <w:tcW w:w="2859" w:type="dxa"/>
            <w:tcBorders>
              <w:left w:val="single" w:sz="2" w:space="0" w:color="000000"/>
              <w:bottom w:val="single" w:sz="2" w:space="0" w:color="000000"/>
            </w:tcBorders>
            <w:vAlign w:val="center"/>
          </w:tcPr>
          <w:p w:rsidR="00D227E2" w:rsidRDefault="00934FC4">
            <w:pPr>
              <w:widowControl w:val="0"/>
              <w:spacing w:after="0" w:line="240" w:lineRule="auto"/>
              <w:contextualSpacing/>
              <w:rPr>
                <w:rFonts w:ascii="Times New Roman" w:hAnsi="Times New Roman" w:cs="Times New Roman"/>
              </w:rPr>
            </w:pPr>
            <w:r>
              <w:rPr>
                <w:rFonts w:ascii="Times New Roman" w:hAnsi="Times New Roman" w:cs="Times New Roman"/>
              </w:rPr>
              <w:t>Всього</w:t>
            </w:r>
          </w:p>
        </w:tc>
        <w:tc>
          <w:tcPr>
            <w:tcW w:w="1134"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14762</w:t>
            </w:r>
          </w:p>
        </w:tc>
        <w:tc>
          <w:tcPr>
            <w:tcW w:w="1076"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11624,5</w:t>
            </w:r>
          </w:p>
        </w:tc>
        <w:tc>
          <w:tcPr>
            <w:tcW w:w="1139"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10625,8</w:t>
            </w:r>
          </w:p>
        </w:tc>
        <w:tc>
          <w:tcPr>
            <w:tcW w:w="1130"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11448,5</w:t>
            </w:r>
          </w:p>
        </w:tc>
        <w:tc>
          <w:tcPr>
            <w:tcW w:w="1112"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11435,6</w:t>
            </w:r>
          </w:p>
        </w:tc>
        <w:tc>
          <w:tcPr>
            <w:tcW w:w="1005" w:type="dxa"/>
            <w:tcBorders>
              <w:left w:val="single" w:sz="2" w:space="0" w:color="000000"/>
              <w:bottom w:val="single" w:sz="2" w:space="0" w:color="000000"/>
              <w:right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9993</w:t>
            </w:r>
          </w:p>
        </w:tc>
      </w:tr>
    </w:tbl>
    <w:p w:rsidR="00D227E2" w:rsidRDefault="00934FC4">
      <w:pPr>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Таблиця 36. Водовідведення за категоріями споживачів міста</w:t>
      </w:r>
    </w:p>
    <w:tbl>
      <w:tblPr>
        <w:tblW w:w="9972" w:type="dxa"/>
        <w:tblInd w:w="-59" w:type="dxa"/>
        <w:tblLayout w:type="fixed"/>
        <w:tblLook w:val="04A0" w:firstRow="1" w:lastRow="0" w:firstColumn="1" w:lastColumn="0" w:noHBand="0" w:noVBand="1"/>
      </w:tblPr>
      <w:tblGrid>
        <w:gridCol w:w="616"/>
        <w:gridCol w:w="2748"/>
        <w:gridCol w:w="1126"/>
        <w:gridCol w:w="1166"/>
        <w:gridCol w:w="1107"/>
        <w:gridCol w:w="1103"/>
        <w:gridCol w:w="1097"/>
        <w:gridCol w:w="1009"/>
      </w:tblGrid>
      <w:tr w:rsidR="00D227E2">
        <w:tc>
          <w:tcPr>
            <w:tcW w:w="615" w:type="dxa"/>
            <w:vMerge w:val="restart"/>
            <w:tcBorders>
              <w:top w:val="single" w:sz="2" w:space="0" w:color="000000"/>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w:t>
            </w:r>
          </w:p>
        </w:tc>
        <w:tc>
          <w:tcPr>
            <w:tcW w:w="2747" w:type="dxa"/>
            <w:vMerge w:val="restart"/>
            <w:tcBorders>
              <w:top w:val="single" w:sz="2" w:space="0" w:color="000000"/>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Споживачі</w:t>
            </w:r>
          </w:p>
        </w:tc>
        <w:tc>
          <w:tcPr>
            <w:tcW w:w="6608" w:type="dxa"/>
            <w:gridSpan w:val="6"/>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Обсяг водовідведення по роках, тис.м</w:t>
            </w:r>
            <w:r>
              <w:rPr>
                <w:rFonts w:ascii="Times New Roman" w:hAnsi="Times New Roman" w:cs="Times New Roman"/>
                <w:color w:val="000000" w:themeColor="text1"/>
                <w:vertAlign w:val="superscript"/>
              </w:rPr>
              <w:t>3</w:t>
            </w:r>
          </w:p>
        </w:tc>
      </w:tr>
      <w:tr w:rsidR="00D227E2">
        <w:trPr>
          <w:trHeight w:val="348"/>
        </w:trPr>
        <w:tc>
          <w:tcPr>
            <w:tcW w:w="615" w:type="dxa"/>
            <w:vMerge/>
            <w:tcBorders>
              <w:left w:val="single" w:sz="2" w:space="0" w:color="000000"/>
              <w:bottom w:val="single" w:sz="2" w:space="0" w:color="000000"/>
            </w:tcBorders>
            <w:vAlign w:val="center"/>
          </w:tcPr>
          <w:p w:rsidR="00D227E2" w:rsidRDefault="00D227E2">
            <w:pPr>
              <w:widowControl w:val="0"/>
              <w:spacing w:after="0" w:line="240" w:lineRule="auto"/>
              <w:contextualSpacing/>
              <w:jc w:val="center"/>
              <w:rPr>
                <w:rFonts w:ascii="Times New Roman" w:hAnsi="Times New Roman" w:cs="Times New Roman"/>
                <w:color w:val="000000" w:themeColor="text1"/>
              </w:rPr>
            </w:pPr>
          </w:p>
        </w:tc>
        <w:tc>
          <w:tcPr>
            <w:tcW w:w="2747" w:type="dxa"/>
            <w:vMerge/>
            <w:tcBorders>
              <w:left w:val="single" w:sz="2" w:space="0" w:color="000000"/>
              <w:bottom w:val="single" w:sz="2" w:space="0" w:color="000000"/>
            </w:tcBorders>
            <w:vAlign w:val="center"/>
          </w:tcPr>
          <w:p w:rsidR="00D227E2" w:rsidRDefault="00D227E2">
            <w:pPr>
              <w:widowControl w:val="0"/>
              <w:spacing w:after="0" w:line="240" w:lineRule="auto"/>
              <w:contextualSpacing/>
              <w:jc w:val="center"/>
              <w:rPr>
                <w:rFonts w:ascii="Times New Roman" w:hAnsi="Times New Roman" w:cs="Times New Roman"/>
                <w:color w:val="000000" w:themeColor="text1"/>
              </w:rPr>
            </w:pPr>
          </w:p>
        </w:tc>
        <w:tc>
          <w:tcPr>
            <w:tcW w:w="1126"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2007</w:t>
            </w:r>
          </w:p>
        </w:tc>
        <w:tc>
          <w:tcPr>
            <w:tcW w:w="1166"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2014</w:t>
            </w:r>
          </w:p>
        </w:tc>
        <w:tc>
          <w:tcPr>
            <w:tcW w:w="1107"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2016</w:t>
            </w:r>
          </w:p>
        </w:tc>
        <w:tc>
          <w:tcPr>
            <w:tcW w:w="1103"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2018</w:t>
            </w:r>
          </w:p>
        </w:tc>
        <w:tc>
          <w:tcPr>
            <w:tcW w:w="1097"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2020</w:t>
            </w:r>
          </w:p>
        </w:tc>
        <w:tc>
          <w:tcPr>
            <w:tcW w:w="1009" w:type="dxa"/>
            <w:tcBorders>
              <w:left w:val="single" w:sz="2" w:space="0" w:color="000000"/>
              <w:bottom w:val="single" w:sz="2" w:space="0" w:color="000000"/>
              <w:right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2022</w:t>
            </w:r>
          </w:p>
        </w:tc>
      </w:tr>
      <w:tr w:rsidR="00D227E2">
        <w:trPr>
          <w:trHeight w:val="288"/>
        </w:trPr>
        <w:tc>
          <w:tcPr>
            <w:tcW w:w="615"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1</w:t>
            </w:r>
          </w:p>
        </w:tc>
        <w:tc>
          <w:tcPr>
            <w:tcW w:w="2747" w:type="dxa"/>
            <w:tcBorders>
              <w:left w:val="single" w:sz="2" w:space="0" w:color="000000"/>
              <w:bottom w:val="single" w:sz="2" w:space="0" w:color="000000"/>
            </w:tcBorders>
            <w:vAlign w:val="center"/>
          </w:tcPr>
          <w:p w:rsidR="00D227E2" w:rsidRDefault="00934FC4">
            <w:pPr>
              <w:widowControl w:val="0"/>
              <w:spacing w:after="0" w:line="240" w:lineRule="auto"/>
              <w:contextualSpacing/>
              <w:rPr>
                <w:rFonts w:ascii="Times New Roman" w:hAnsi="Times New Roman" w:cs="Times New Roman"/>
              </w:rPr>
            </w:pPr>
            <w:r>
              <w:rPr>
                <w:rFonts w:ascii="Times New Roman" w:hAnsi="Times New Roman" w:cs="Times New Roman"/>
                <w:color w:val="000000" w:themeColor="text1"/>
              </w:rPr>
              <w:t>Населення</w:t>
            </w:r>
          </w:p>
        </w:tc>
        <w:tc>
          <w:tcPr>
            <w:tcW w:w="1126"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themeColor="text1"/>
                <w:lang w:eastAsia="uk-UA"/>
              </w:rPr>
              <w:t>10605</w:t>
            </w:r>
          </w:p>
        </w:tc>
        <w:tc>
          <w:tcPr>
            <w:tcW w:w="1166"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eastAsia="Times New Roman" w:hAnsi="Times New Roman" w:cs="Times New Roman"/>
                <w:lang w:eastAsia="uk-UA"/>
              </w:rPr>
              <w:t>8331,3</w:t>
            </w:r>
          </w:p>
        </w:tc>
        <w:tc>
          <w:tcPr>
            <w:tcW w:w="1107"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7139,4</w:t>
            </w:r>
          </w:p>
        </w:tc>
        <w:tc>
          <w:tcPr>
            <w:tcW w:w="1103"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7082,9</w:t>
            </w:r>
          </w:p>
        </w:tc>
        <w:tc>
          <w:tcPr>
            <w:tcW w:w="1097"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7427,6</w:t>
            </w:r>
          </w:p>
        </w:tc>
        <w:tc>
          <w:tcPr>
            <w:tcW w:w="1009" w:type="dxa"/>
            <w:tcBorders>
              <w:left w:val="single" w:sz="2" w:space="0" w:color="000000"/>
              <w:bottom w:val="single" w:sz="2" w:space="0" w:color="000000"/>
              <w:right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6444,9</w:t>
            </w:r>
          </w:p>
        </w:tc>
      </w:tr>
      <w:tr w:rsidR="00D227E2">
        <w:trPr>
          <w:trHeight w:val="288"/>
        </w:trPr>
        <w:tc>
          <w:tcPr>
            <w:tcW w:w="615"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2</w:t>
            </w:r>
          </w:p>
        </w:tc>
        <w:tc>
          <w:tcPr>
            <w:tcW w:w="2747" w:type="dxa"/>
            <w:tcBorders>
              <w:left w:val="single" w:sz="2" w:space="0" w:color="000000"/>
              <w:bottom w:val="single" w:sz="2" w:space="0" w:color="000000"/>
            </w:tcBorders>
            <w:vAlign w:val="center"/>
          </w:tcPr>
          <w:p w:rsidR="00D227E2" w:rsidRDefault="00934FC4">
            <w:pPr>
              <w:widowControl w:val="0"/>
              <w:spacing w:after="0" w:line="240" w:lineRule="auto"/>
              <w:contextualSpacing/>
              <w:rPr>
                <w:rFonts w:ascii="Times New Roman" w:hAnsi="Times New Roman" w:cs="Times New Roman"/>
              </w:rPr>
            </w:pPr>
            <w:r>
              <w:rPr>
                <w:rFonts w:ascii="Times New Roman" w:hAnsi="Times New Roman" w:cs="Times New Roman"/>
              </w:rPr>
              <w:t>Заклади бюджетної сфери</w:t>
            </w:r>
          </w:p>
        </w:tc>
        <w:tc>
          <w:tcPr>
            <w:tcW w:w="1126"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1110</w:t>
            </w:r>
          </w:p>
        </w:tc>
        <w:tc>
          <w:tcPr>
            <w:tcW w:w="1166"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915,8</w:t>
            </w:r>
          </w:p>
        </w:tc>
        <w:tc>
          <w:tcPr>
            <w:tcW w:w="1107"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1153,5</w:t>
            </w:r>
          </w:p>
        </w:tc>
        <w:tc>
          <w:tcPr>
            <w:tcW w:w="1103"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1125,2</w:t>
            </w:r>
          </w:p>
        </w:tc>
        <w:tc>
          <w:tcPr>
            <w:tcW w:w="1097"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1070,6</w:t>
            </w:r>
          </w:p>
        </w:tc>
        <w:tc>
          <w:tcPr>
            <w:tcW w:w="1009" w:type="dxa"/>
            <w:tcBorders>
              <w:left w:val="single" w:sz="2" w:space="0" w:color="000000"/>
              <w:bottom w:val="single" w:sz="2" w:space="0" w:color="000000"/>
              <w:right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957,2</w:t>
            </w:r>
          </w:p>
        </w:tc>
      </w:tr>
      <w:tr w:rsidR="00D227E2">
        <w:trPr>
          <w:trHeight w:val="288"/>
        </w:trPr>
        <w:tc>
          <w:tcPr>
            <w:tcW w:w="615"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3</w:t>
            </w:r>
          </w:p>
        </w:tc>
        <w:tc>
          <w:tcPr>
            <w:tcW w:w="2747" w:type="dxa"/>
            <w:tcBorders>
              <w:left w:val="single" w:sz="2" w:space="0" w:color="000000"/>
              <w:bottom w:val="single" w:sz="2" w:space="0" w:color="000000"/>
            </w:tcBorders>
            <w:vAlign w:val="center"/>
          </w:tcPr>
          <w:p w:rsidR="00D227E2" w:rsidRDefault="00934FC4">
            <w:pPr>
              <w:widowControl w:val="0"/>
              <w:spacing w:after="0" w:line="240" w:lineRule="auto"/>
              <w:contextualSpacing/>
              <w:rPr>
                <w:rFonts w:ascii="Times New Roman" w:hAnsi="Times New Roman" w:cs="Times New Roman"/>
              </w:rPr>
            </w:pPr>
            <w:r>
              <w:rPr>
                <w:rFonts w:ascii="Times New Roman" w:hAnsi="Times New Roman" w:cs="Times New Roman"/>
              </w:rPr>
              <w:t>Промислові та інші підприємства</w:t>
            </w:r>
          </w:p>
        </w:tc>
        <w:tc>
          <w:tcPr>
            <w:tcW w:w="1126"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3513</w:t>
            </w:r>
          </w:p>
        </w:tc>
        <w:tc>
          <w:tcPr>
            <w:tcW w:w="1166"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1893,9</w:t>
            </w:r>
          </w:p>
        </w:tc>
        <w:tc>
          <w:tcPr>
            <w:tcW w:w="1107"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1921,33</w:t>
            </w:r>
          </w:p>
        </w:tc>
        <w:tc>
          <w:tcPr>
            <w:tcW w:w="1103"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2084,9</w:t>
            </w:r>
          </w:p>
        </w:tc>
        <w:tc>
          <w:tcPr>
            <w:tcW w:w="1097"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1869,2</w:t>
            </w:r>
          </w:p>
        </w:tc>
        <w:tc>
          <w:tcPr>
            <w:tcW w:w="1009" w:type="dxa"/>
            <w:tcBorders>
              <w:left w:val="single" w:sz="2" w:space="0" w:color="000000"/>
              <w:bottom w:val="single" w:sz="2" w:space="0" w:color="000000"/>
              <w:right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1837,8</w:t>
            </w:r>
          </w:p>
        </w:tc>
      </w:tr>
      <w:tr w:rsidR="00D227E2">
        <w:trPr>
          <w:trHeight w:val="288"/>
        </w:trPr>
        <w:tc>
          <w:tcPr>
            <w:tcW w:w="615"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4</w:t>
            </w:r>
          </w:p>
        </w:tc>
        <w:tc>
          <w:tcPr>
            <w:tcW w:w="2747" w:type="dxa"/>
            <w:tcBorders>
              <w:left w:val="single" w:sz="2" w:space="0" w:color="000000"/>
              <w:bottom w:val="single" w:sz="2" w:space="0" w:color="000000"/>
            </w:tcBorders>
            <w:vAlign w:val="center"/>
          </w:tcPr>
          <w:p w:rsidR="00D227E2" w:rsidRDefault="00934FC4">
            <w:pPr>
              <w:widowControl w:val="0"/>
              <w:spacing w:after="0" w:line="240" w:lineRule="auto"/>
              <w:contextualSpacing/>
              <w:rPr>
                <w:rFonts w:ascii="Times New Roman" w:hAnsi="Times New Roman" w:cs="Times New Roman"/>
              </w:rPr>
            </w:pPr>
            <w:r>
              <w:rPr>
                <w:rFonts w:ascii="Times New Roman" w:hAnsi="Times New Roman" w:cs="Times New Roman"/>
              </w:rPr>
              <w:t>Всього</w:t>
            </w:r>
          </w:p>
        </w:tc>
        <w:tc>
          <w:tcPr>
            <w:tcW w:w="1126"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15228</w:t>
            </w:r>
          </w:p>
        </w:tc>
        <w:tc>
          <w:tcPr>
            <w:tcW w:w="1166"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11141,0</w:t>
            </w:r>
          </w:p>
        </w:tc>
        <w:tc>
          <w:tcPr>
            <w:tcW w:w="1107"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10214,2</w:t>
            </w:r>
          </w:p>
        </w:tc>
        <w:tc>
          <w:tcPr>
            <w:tcW w:w="1103"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10293,1</w:t>
            </w:r>
          </w:p>
        </w:tc>
        <w:tc>
          <w:tcPr>
            <w:tcW w:w="1097" w:type="dxa"/>
            <w:tcBorders>
              <w:left w:val="single" w:sz="2" w:space="0" w:color="000000"/>
              <w:bottom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10367,4</w:t>
            </w:r>
          </w:p>
        </w:tc>
        <w:tc>
          <w:tcPr>
            <w:tcW w:w="1009" w:type="dxa"/>
            <w:tcBorders>
              <w:left w:val="single" w:sz="2" w:space="0" w:color="000000"/>
              <w:bottom w:val="single" w:sz="2" w:space="0" w:color="000000"/>
              <w:right w:val="single" w:sz="2"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9239,9</w:t>
            </w:r>
          </w:p>
        </w:tc>
      </w:tr>
    </w:tbl>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lang w:eastAsia="zh-CN" w:bidi="hi-IN"/>
        </w:rPr>
        <w:t>Структура водоспоживання та водовідведення за категоріями споживачів станом на 2022 рік наведено на рисунку 24. </w:t>
      </w:r>
    </w:p>
    <w:p w:rsidR="00D227E2" w:rsidRDefault="00D227E2">
      <w:pPr>
        <w:rPr>
          <w:rFonts w:ascii="Times New Roman" w:hAnsi="Times New Roman" w:cs="Times New Roman"/>
          <w:lang w:eastAsia="zh-CN" w:bidi="hi-IN"/>
        </w:rPr>
      </w:pPr>
    </w:p>
    <w:p w:rsidR="00D227E2" w:rsidRDefault="00D227E2">
      <w:pPr>
        <w:rPr>
          <w:rFonts w:ascii="Times New Roman" w:hAnsi="Times New Roman" w:cs="Times New Roman"/>
          <w:lang w:eastAsia="zh-CN" w:bidi="hi-IN"/>
        </w:rPr>
      </w:pPr>
    </w:p>
    <w:p w:rsidR="00D227E2" w:rsidRDefault="00934FC4">
      <w:pPr>
        <w:rPr>
          <w:rFonts w:ascii="Times New Roman" w:hAnsi="Times New Roman" w:cs="Times New Roman"/>
        </w:rPr>
      </w:pPr>
      <w:r>
        <w:rPr>
          <w:noProof/>
          <w:lang w:eastAsia="uk-UA"/>
        </w:rPr>
        <w:lastRenderedPageBreak/>
        <w:drawing>
          <wp:inline distT="0" distB="0" distL="0" distR="0" wp14:anchorId="074997D1" wp14:editId="2D51D457">
            <wp:extent cx="3137535" cy="1760855"/>
            <wp:effectExtent l="0" t="0" r="0" b="0"/>
            <wp:docPr id="37" name="Об'єкт15" descr="діаграма"/>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Pr>
          <w:noProof/>
          <w:lang w:eastAsia="uk-UA"/>
        </w:rPr>
        <w:drawing>
          <wp:inline distT="0" distB="0" distL="0" distR="0" wp14:anchorId="374BD5EA" wp14:editId="735A3058">
            <wp:extent cx="2887345" cy="1751965"/>
            <wp:effectExtent l="0" t="0" r="0" b="0"/>
            <wp:docPr id="38" name="Об'єкт16" descr="діаграма"/>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D227E2" w:rsidRDefault="00934FC4">
      <w:pPr>
        <w:spacing w:after="0"/>
        <w:jc w:val="center"/>
        <w:rPr>
          <w:rFonts w:ascii="Times New Roman" w:hAnsi="Times New Roman" w:cs="Times New Roman"/>
        </w:rPr>
      </w:pPr>
      <w:r>
        <w:rPr>
          <w:rFonts w:ascii="Times New Roman" w:hAnsi="Times New Roman" w:cs="Times New Roman"/>
          <w:lang w:eastAsia="zh-CN" w:bidi="hi-IN"/>
        </w:rPr>
        <w:t> Р</w:t>
      </w:r>
      <w:r>
        <w:rPr>
          <w:rFonts w:ascii="Times New Roman" w:hAnsi="Times New Roman" w:cs="Times New Roman"/>
          <w:sz w:val="24"/>
          <w:szCs w:val="24"/>
          <w:lang w:eastAsia="zh-CN" w:bidi="hi-IN"/>
        </w:rPr>
        <w:t>исунок 24. Структура водоспоживання та водовідведення за показниками 2022 року</w:t>
      </w:r>
    </w:p>
    <w:p w:rsidR="00D227E2" w:rsidRDefault="00934FC4">
      <w:pPr>
        <w:spacing w:after="0"/>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На рисунку 25 наведена динаміка водоспоживання та водовідведення по роках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noProof/>
          <w:kern w:val="2"/>
          <w:sz w:val="24"/>
          <w:szCs w:val="24"/>
          <w:lang w:eastAsia="uk-UA"/>
        </w:rPr>
        <w:drawing>
          <wp:anchor distT="0" distB="0" distL="0" distR="0" simplePos="0" relativeHeight="70" behindDoc="0" locked="0" layoutInCell="0" allowOverlap="1" wp14:anchorId="65FDA4F7" wp14:editId="4EAE8174">
            <wp:simplePos x="0" y="0"/>
            <wp:positionH relativeFrom="column">
              <wp:align>center</wp:align>
            </wp:positionH>
            <wp:positionV relativeFrom="paragraph">
              <wp:posOffset>635</wp:posOffset>
            </wp:positionV>
            <wp:extent cx="3989070" cy="2244090"/>
            <wp:effectExtent l="0" t="0" r="0" b="0"/>
            <wp:wrapSquare wrapText="largest"/>
            <wp:docPr id="39" name="Об'єкт12" descr="діаграма"/>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anchor>
        </w:drawing>
      </w:r>
      <w:r>
        <w:rPr>
          <w:rFonts w:ascii="Times New Roman" w:eastAsia="NSimSun" w:hAnsi="Times New Roman" w:cs="Times New Roman"/>
          <w:kern w:val="2"/>
          <w:sz w:val="24"/>
          <w:szCs w:val="24"/>
          <w:lang w:eastAsia="zh-CN" w:bidi="hi-IN"/>
        </w:rPr>
        <w:t> </w:t>
      </w: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center"/>
        <w:rPr>
          <w:rFonts w:ascii="Times New Roman" w:eastAsia="NSimSun" w:hAnsi="Times New Roman" w:cs="Times New Roman"/>
          <w:kern w:val="2"/>
          <w:sz w:val="24"/>
          <w:szCs w:val="24"/>
          <w:lang w:eastAsia="zh-CN" w:bidi="hi-IN"/>
        </w:rPr>
      </w:pPr>
    </w:p>
    <w:p w:rsidR="00D227E2" w:rsidRDefault="00934FC4">
      <w:pPr>
        <w:spacing w:after="0"/>
        <w:ind w:firstLine="567"/>
        <w:jc w:val="center"/>
        <w:rPr>
          <w:rFonts w:ascii="Times New Roman" w:hAnsi="Times New Roman" w:cs="Times New Roman"/>
        </w:rPr>
      </w:pPr>
      <w:r>
        <w:rPr>
          <w:rFonts w:ascii="Times New Roman" w:eastAsia="NSimSun" w:hAnsi="Times New Roman" w:cs="Times New Roman"/>
          <w:kern w:val="2"/>
          <w:sz w:val="24"/>
          <w:szCs w:val="24"/>
          <w:lang w:eastAsia="zh-CN" w:bidi="hi-IN"/>
        </w:rPr>
        <w:t xml:space="preserve">Рисунок 25. Динаміка обсягів водоспоживання та водовідведення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Загальна кількість абонентів з водопостачання та водовідведення приведена у таблиці 37 та на рисунку 26.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Відсоток абонентів, що мають встановлені прилади обліку поступово зростає і на 2022 рік складає 88,23 % від усіх абонентів.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Враховуючи постійний ріст тарифів на водопостачання та водовідведення відсоток встановлених лічильників буде зростати та з роками наближатися до відмітки 100 %.</w:t>
      </w:r>
    </w:p>
    <w:p w:rsidR="00D227E2" w:rsidRDefault="00934FC4">
      <w:pPr>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 xml:space="preserve">Таблиця 37. </w:t>
      </w:r>
      <w:r>
        <w:rPr>
          <w:rFonts w:ascii="Times New Roman" w:eastAsia="NSimSun" w:hAnsi="Times New Roman" w:cs="Times New Roman"/>
          <w:color w:val="000000" w:themeColor="text1"/>
          <w:kern w:val="2"/>
          <w:sz w:val="24"/>
          <w:szCs w:val="24"/>
          <w:lang w:eastAsia="zh-CN" w:bidi="hi-IN"/>
        </w:rPr>
        <w:t>Загальна кількість абонентів з водопостачання та водовідведення</w:t>
      </w:r>
    </w:p>
    <w:tbl>
      <w:tblPr>
        <w:tblW w:w="9630" w:type="dxa"/>
        <w:tblInd w:w="109" w:type="dxa"/>
        <w:tblLayout w:type="fixed"/>
        <w:tblLook w:val="04A0" w:firstRow="1" w:lastRow="0" w:firstColumn="1" w:lastColumn="0" w:noHBand="0" w:noVBand="1"/>
      </w:tblPr>
      <w:tblGrid>
        <w:gridCol w:w="391"/>
        <w:gridCol w:w="4086"/>
        <w:gridCol w:w="1073"/>
        <w:gridCol w:w="1478"/>
        <w:gridCol w:w="1177"/>
        <w:gridCol w:w="1425"/>
      </w:tblGrid>
      <w:tr w:rsidR="00D227E2">
        <w:tc>
          <w:tcPr>
            <w:tcW w:w="390" w:type="dxa"/>
            <w:vMerge w:val="restart"/>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w:t>
            </w:r>
          </w:p>
        </w:tc>
        <w:tc>
          <w:tcPr>
            <w:tcW w:w="4086" w:type="dxa"/>
            <w:vMerge w:val="restart"/>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Найменування</w:t>
            </w:r>
          </w:p>
        </w:tc>
        <w:tc>
          <w:tcPr>
            <w:tcW w:w="1073" w:type="dxa"/>
            <w:vMerge w:val="restart"/>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Послуга</w:t>
            </w:r>
          </w:p>
        </w:tc>
        <w:tc>
          <w:tcPr>
            <w:tcW w:w="4080" w:type="dxa"/>
            <w:gridSpan w:val="3"/>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Роки</w:t>
            </w:r>
          </w:p>
        </w:tc>
      </w:tr>
      <w:tr w:rsidR="00D227E2">
        <w:tc>
          <w:tcPr>
            <w:tcW w:w="390"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widowControl w:val="0"/>
              <w:spacing w:after="0" w:line="240" w:lineRule="auto"/>
              <w:contextualSpacing/>
              <w:jc w:val="center"/>
              <w:rPr>
                <w:rFonts w:ascii="Times New Roman" w:hAnsi="Times New Roman" w:cs="Times New Roman"/>
                <w:color w:val="000000" w:themeColor="text1"/>
              </w:rPr>
            </w:pPr>
          </w:p>
        </w:tc>
        <w:tc>
          <w:tcPr>
            <w:tcW w:w="4086"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widowControl w:val="0"/>
              <w:spacing w:after="0" w:line="240" w:lineRule="auto"/>
              <w:contextualSpacing/>
              <w:jc w:val="center"/>
              <w:rPr>
                <w:rFonts w:ascii="Times New Roman" w:hAnsi="Times New Roman" w:cs="Times New Roman"/>
                <w:color w:val="000000" w:themeColor="text1"/>
              </w:rPr>
            </w:pPr>
          </w:p>
        </w:tc>
        <w:tc>
          <w:tcPr>
            <w:tcW w:w="1073"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widowControl w:val="0"/>
              <w:spacing w:after="0" w:line="240" w:lineRule="auto"/>
              <w:contextualSpacing/>
              <w:jc w:val="center"/>
              <w:rPr>
                <w:rFonts w:ascii="Times New Roman" w:hAnsi="Times New Roman" w:cs="Times New Roman"/>
                <w:color w:val="000000" w:themeColor="text1"/>
              </w:rPr>
            </w:pPr>
          </w:p>
        </w:tc>
        <w:tc>
          <w:tcPr>
            <w:tcW w:w="147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2007</w:t>
            </w:r>
          </w:p>
        </w:tc>
        <w:tc>
          <w:tcPr>
            <w:tcW w:w="117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2020</w:t>
            </w:r>
          </w:p>
        </w:tc>
        <w:tc>
          <w:tcPr>
            <w:tcW w:w="142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2022</w:t>
            </w:r>
          </w:p>
        </w:tc>
      </w:tr>
      <w:tr w:rsidR="00D227E2">
        <w:tc>
          <w:tcPr>
            <w:tcW w:w="390" w:type="dxa"/>
            <w:vMerge w:val="restart"/>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1</w:t>
            </w:r>
          </w:p>
        </w:tc>
        <w:tc>
          <w:tcPr>
            <w:tcW w:w="4086" w:type="dxa"/>
            <w:vMerge w:val="restart"/>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rPr>
                <w:rFonts w:ascii="Times New Roman" w:hAnsi="Times New Roman" w:cs="Times New Roman"/>
              </w:rPr>
            </w:pPr>
            <w:r>
              <w:rPr>
                <w:rFonts w:ascii="Times New Roman" w:hAnsi="Times New Roman" w:cs="Times New Roman"/>
                <w:color w:val="000000" w:themeColor="text1"/>
              </w:rPr>
              <w:t>Кількість абонентів, од.</w:t>
            </w:r>
          </w:p>
          <w:p w:rsidR="00D227E2" w:rsidRDefault="00934FC4">
            <w:pPr>
              <w:widowControl w:val="0"/>
              <w:spacing w:after="0" w:line="240" w:lineRule="auto"/>
              <w:contextualSpacing/>
              <w:rPr>
                <w:rFonts w:ascii="Times New Roman" w:hAnsi="Times New Roman" w:cs="Times New Roman"/>
              </w:rPr>
            </w:pPr>
            <w:r>
              <w:rPr>
                <w:rFonts w:ascii="Times New Roman" w:hAnsi="Times New Roman" w:cs="Times New Roman"/>
                <w:color w:val="000000" w:themeColor="text1"/>
              </w:rPr>
              <w:t>в т. ч.</w:t>
            </w:r>
          </w:p>
        </w:tc>
        <w:tc>
          <w:tcPr>
            <w:tcW w:w="107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водоп</w:t>
            </w:r>
          </w:p>
        </w:tc>
        <w:tc>
          <w:tcPr>
            <w:tcW w:w="147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themeColor="text1"/>
                <w:lang w:eastAsia="uk-UA"/>
              </w:rPr>
              <w:t>82325</w:t>
            </w:r>
          </w:p>
        </w:tc>
        <w:tc>
          <w:tcPr>
            <w:tcW w:w="117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lang w:eastAsia="uk-UA"/>
              </w:rPr>
              <w:t>90152</w:t>
            </w:r>
          </w:p>
        </w:tc>
        <w:tc>
          <w:tcPr>
            <w:tcW w:w="142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lang w:eastAsia="uk-UA"/>
              </w:rPr>
              <w:t>97835</w:t>
            </w:r>
          </w:p>
        </w:tc>
      </w:tr>
      <w:tr w:rsidR="00D227E2">
        <w:tc>
          <w:tcPr>
            <w:tcW w:w="390"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widowControl w:val="0"/>
              <w:spacing w:after="0" w:line="240" w:lineRule="auto"/>
              <w:contextualSpacing/>
              <w:jc w:val="center"/>
              <w:rPr>
                <w:rFonts w:ascii="Times New Roman" w:hAnsi="Times New Roman" w:cs="Times New Roman"/>
                <w:color w:val="000000" w:themeColor="text1"/>
              </w:rPr>
            </w:pPr>
          </w:p>
        </w:tc>
        <w:tc>
          <w:tcPr>
            <w:tcW w:w="4086"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widowControl w:val="0"/>
              <w:spacing w:after="0" w:line="240" w:lineRule="auto"/>
              <w:contextualSpacing/>
              <w:rPr>
                <w:rFonts w:ascii="Times New Roman" w:hAnsi="Times New Roman" w:cs="Times New Roman"/>
                <w:color w:val="000000" w:themeColor="text1"/>
              </w:rPr>
            </w:pPr>
          </w:p>
        </w:tc>
        <w:tc>
          <w:tcPr>
            <w:tcW w:w="107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водовід</w:t>
            </w:r>
          </w:p>
        </w:tc>
        <w:tc>
          <w:tcPr>
            <w:tcW w:w="147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70969*</w:t>
            </w:r>
          </w:p>
        </w:tc>
        <w:tc>
          <w:tcPr>
            <w:tcW w:w="117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78081</w:t>
            </w:r>
          </w:p>
        </w:tc>
        <w:tc>
          <w:tcPr>
            <w:tcW w:w="142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85201</w:t>
            </w:r>
          </w:p>
        </w:tc>
      </w:tr>
      <w:tr w:rsidR="00D227E2">
        <w:tc>
          <w:tcPr>
            <w:tcW w:w="390"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widowControl w:val="0"/>
              <w:spacing w:after="0" w:line="240" w:lineRule="auto"/>
              <w:contextualSpacing/>
              <w:jc w:val="center"/>
              <w:rPr>
                <w:rFonts w:ascii="Times New Roman" w:hAnsi="Times New Roman" w:cs="Times New Roman"/>
                <w:color w:val="000000" w:themeColor="text1"/>
              </w:rPr>
            </w:pPr>
          </w:p>
        </w:tc>
        <w:tc>
          <w:tcPr>
            <w:tcW w:w="4086" w:type="dxa"/>
            <w:vMerge w:val="restart"/>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rPr>
                <w:rFonts w:ascii="Times New Roman" w:hAnsi="Times New Roman" w:cs="Times New Roman"/>
              </w:rPr>
            </w:pPr>
            <w:r>
              <w:rPr>
                <w:rFonts w:ascii="Times New Roman" w:hAnsi="Times New Roman" w:cs="Times New Roman"/>
                <w:color w:val="000000" w:themeColor="text1"/>
              </w:rPr>
              <w:t>домогосподарства</w:t>
            </w:r>
          </w:p>
        </w:tc>
        <w:tc>
          <w:tcPr>
            <w:tcW w:w="107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водоп</w:t>
            </w:r>
          </w:p>
        </w:tc>
        <w:tc>
          <w:tcPr>
            <w:tcW w:w="147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lang w:eastAsia="uk-UA"/>
              </w:rPr>
              <w:t>80900</w:t>
            </w:r>
          </w:p>
        </w:tc>
        <w:tc>
          <w:tcPr>
            <w:tcW w:w="117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87752</w:t>
            </w:r>
          </w:p>
        </w:tc>
        <w:tc>
          <w:tcPr>
            <w:tcW w:w="142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95183</w:t>
            </w:r>
          </w:p>
        </w:tc>
      </w:tr>
      <w:tr w:rsidR="00D227E2">
        <w:tc>
          <w:tcPr>
            <w:tcW w:w="390"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widowControl w:val="0"/>
              <w:spacing w:after="0" w:line="240" w:lineRule="auto"/>
              <w:contextualSpacing/>
              <w:jc w:val="center"/>
              <w:rPr>
                <w:rFonts w:ascii="Times New Roman" w:hAnsi="Times New Roman" w:cs="Times New Roman"/>
                <w:color w:val="000000" w:themeColor="text1"/>
              </w:rPr>
            </w:pPr>
          </w:p>
        </w:tc>
        <w:tc>
          <w:tcPr>
            <w:tcW w:w="4086"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widowControl w:val="0"/>
              <w:spacing w:after="0" w:line="240" w:lineRule="auto"/>
              <w:contextualSpacing/>
              <w:rPr>
                <w:rFonts w:ascii="Times New Roman" w:hAnsi="Times New Roman" w:cs="Times New Roman"/>
                <w:color w:val="000000" w:themeColor="text1"/>
              </w:rPr>
            </w:pPr>
          </w:p>
        </w:tc>
        <w:tc>
          <w:tcPr>
            <w:tcW w:w="107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водовід</w:t>
            </w:r>
          </w:p>
        </w:tc>
        <w:tc>
          <w:tcPr>
            <w:tcW w:w="147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інформація відсутня</w:t>
            </w:r>
          </w:p>
        </w:tc>
        <w:tc>
          <w:tcPr>
            <w:tcW w:w="117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75797</w:t>
            </w:r>
          </w:p>
        </w:tc>
        <w:tc>
          <w:tcPr>
            <w:tcW w:w="142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82725</w:t>
            </w:r>
          </w:p>
        </w:tc>
      </w:tr>
      <w:tr w:rsidR="00D227E2">
        <w:tc>
          <w:tcPr>
            <w:tcW w:w="390"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widowControl w:val="0"/>
              <w:spacing w:after="0" w:line="240" w:lineRule="auto"/>
              <w:contextualSpacing/>
              <w:jc w:val="center"/>
              <w:rPr>
                <w:rFonts w:ascii="Times New Roman" w:hAnsi="Times New Roman" w:cs="Times New Roman"/>
                <w:color w:val="000000" w:themeColor="text1"/>
              </w:rPr>
            </w:pPr>
          </w:p>
        </w:tc>
        <w:tc>
          <w:tcPr>
            <w:tcW w:w="4086" w:type="dxa"/>
            <w:vMerge w:val="restart"/>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rPr>
                <w:rFonts w:ascii="Times New Roman" w:hAnsi="Times New Roman" w:cs="Times New Roman"/>
              </w:rPr>
            </w:pPr>
            <w:r>
              <w:rPr>
                <w:rFonts w:ascii="Times New Roman" w:hAnsi="Times New Roman" w:cs="Times New Roman"/>
                <w:color w:val="000000" w:themeColor="text1"/>
              </w:rPr>
              <w:t>юридичні особи</w:t>
            </w:r>
          </w:p>
        </w:tc>
        <w:tc>
          <w:tcPr>
            <w:tcW w:w="107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водоп</w:t>
            </w:r>
          </w:p>
        </w:tc>
        <w:tc>
          <w:tcPr>
            <w:tcW w:w="147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1425</w:t>
            </w:r>
          </w:p>
        </w:tc>
        <w:tc>
          <w:tcPr>
            <w:tcW w:w="117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2400</w:t>
            </w:r>
          </w:p>
        </w:tc>
        <w:tc>
          <w:tcPr>
            <w:tcW w:w="142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2652</w:t>
            </w:r>
          </w:p>
        </w:tc>
      </w:tr>
      <w:tr w:rsidR="00D227E2">
        <w:tc>
          <w:tcPr>
            <w:tcW w:w="390"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widowControl w:val="0"/>
              <w:spacing w:after="0" w:line="240" w:lineRule="auto"/>
              <w:contextualSpacing/>
              <w:jc w:val="center"/>
              <w:rPr>
                <w:rFonts w:ascii="Times New Roman" w:hAnsi="Times New Roman" w:cs="Times New Roman"/>
                <w:color w:val="000000" w:themeColor="text1"/>
              </w:rPr>
            </w:pPr>
          </w:p>
        </w:tc>
        <w:tc>
          <w:tcPr>
            <w:tcW w:w="4086"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widowControl w:val="0"/>
              <w:spacing w:after="0" w:line="240" w:lineRule="auto"/>
              <w:contextualSpacing/>
              <w:rPr>
                <w:rFonts w:ascii="Times New Roman" w:hAnsi="Times New Roman" w:cs="Times New Roman"/>
                <w:color w:val="000000" w:themeColor="text1"/>
              </w:rPr>
            </w:pPr>
          </w:p>
        </w:tc>
        <w:tc>
          <w:tcPr>
            <w:tcW w:w="107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водовід</w:t>
            </w:r>
          </w:p>
        </w:tc>
        <w:tc>
          <w:tcPr>
            <w:tcW w:w="147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1295</w:t>
            </w:r>
          </w:p>
        </w:tc>
        <w:tc>
          <w:tcPr>
            <w:tcW w:w="117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2284</w:t>
            </w:r>
          </w:p>
        </w:tc>
        <w:tc>
          <w:tcPr>
            <w:tcW w:w="142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rPr>
              <w:t>2476</w:t>
            </w:r>
          </w:p>
        </w:tc>
      </w:tr>
      <w:tr w:rsidR="00D227E2">
        <w:tc>
          <w:tcPr>
            <w:tcW w:w="390" w:type="dxa"/>
            <w:vMerge w:val="restart"/>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2</w:t>
            </w:r>
          </w:p>
        </w:tc>
        <w:tc>
          <w:tcPr>
            <w:tcW w:w="4086" w:type="dxa"/>
            <w:vMerge w:val="restart"/>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rPr>
                <w:rFonts w:ascii="Times New Roman" w:hAnsi="Times New Roman" w:cs="Times New Roman"/>
              </w:rPr>
            </w:pPr>
            <w:r>
              <w:rPr>
                <w:rFonts w:ascii="Times New Roman" w:hAnsi="Times New Roman" w:cs="Times New Roman"/>
                <w:color w:val="000000" w:themeColor="text1"/>
              </w:rPr>
              <w:t>Чисельність населення, що обслуговується підприємством, чол.</w:t>
            </w:r>
          </w:p>
        </w:tc>
        <w:tc>
          <w:tcPr>
            <w:tcW w:w="107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водоп</w:t>
            </w:r>
          </w:p>
        </w:tc>
        <w:tc>
          <w:tcPr>
            <w:tcW w:w="147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174950</w:t>
            </w:r>
          </w:p>
        </w:tc>
        <w:tc>
          <w:tcPr>
            <w:tcW w:w="117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205003</w:t>
            </w:r>
          </w:p>
        </w:tc>
        <w:tc>
          <w:tcPr>
            <w:tcW w:w="142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210086</w:t>
            </w:r>
          </w:p>
        </w:tc>
      </w:tr>
      <w:tr w:rsidR="00D227E2">
        <w:tc>
          <w:tcPr>
            <w:tcW w:w="390"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widowControl w:val="0"/>
              <w:spacing w:after="0" w:line="240" w:lineRule="auto"/>
              <w:contextualSpacing/>
              <w:jc w:val="center"/>
              <w:rPr>
                <w:rFonts w:ascii="Times New Roman" w:hAnsi="Times New Roman" w:cs="Times New Roman"/>
                <w:color w:val="000000" w:themeColor="text1"/>
              </w:rPr>
            </w:pPr>
          </w:p>
        </w:tc>
        <w:tc>
          <w:tcPr>
            <w:tcW w:w="4086"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widowControl w:val="0"/>
              <w:spacing w:after="0" w:line="240" w:lineRule="auto"/>
              <w:contextualSpacing/>
              <w:rPr>
                <w:rFonts w:ascii="Times New Roman" w:hAnsi="Times New Roman" w:cs="Times New Roman"/>
                <w:color w:val="000000" w:themeColor="text1"/>
              </w:rPr>
            </w:pPr>
          </w:p>
        </w:tc>
        <w:tc>
          <w:tcPr>
            <w:tcW w:w="107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водовід</w:t>
            </w:r>
          </w:p>
        </w:tc>
        <w:tc>
          <w:tcPr>
            <w:tcW w:w="147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інформація відсутня</w:t>
            </w:r>
          </w:p>
        </w:tc>
        <w:tc>
          <w:tcPr>
            <w:tcW w:w="117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176353</w:t>
            </w:r>
          </w:p>
        </w:tc>
        <w:tc>
          <w:tcPr>
            <w:tcW w:w="142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176574</w:t>
            </w:r>
          </w:p>
        </w:tc>
      </w:tr>
      <w:tr w:rsidR="00D227E2">
        <w:tc>
          <w:tcPr>
            <w:tcW w:w="390"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3</w:t>
            </w:r>
          </w:p>
        </w:tc>
        <w:tc>
          <w:tcPr>
            <w:tcW w:w="4086"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rPr>
                <w:rFonts w:ascii="Times New Roman" w:hAnsi="Times New Roman" w:cs="Times New Roman"/>
              </w:rPr>
            </w:pPr>
            <w:r>
              <w:rPr>
                <w:rFonts w:ascii="Times New Roman" w:hAnsi="Times New Roman" w:cs="Times New Roman"/>
                <w:color w:val="000000" w:themeColor="text1"/>
              </w:rPr>
              <w:t>Відсоток абонентів від загальної кількості підключених абонентів, що мають прилади обліку споживання води</w:t>
            </w:r>
          </w:p>
        </w:tc>
        <w:tc>
          <w:tcPr>
            <w:tcW w:w="107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 xml:space="preserve"> %</w:t>
            </w:r>
          </w:p>
        </w:tc>
        <w:tc>
          <w:tcPr>
            <w:tcW w:w="147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themeColor="text1"/>
              </w:rPr>
              <w:t>інформація відсутня</w:t>
            </w:r>
          </w:p>
        </w:tc>
        <w:tc>
          <w:tcPr>
            <w:tcW w:w="117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shd w:val="clear" w:color="auto" w:fill="FFFFF0"/>
              </w:rPr>
              <w:t>86,53</w:t>
            </w:r>
          </w:p>
        </w:tc>
        <w:tc>
          <w:tcPr>
            <w:tcW w:w="142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shd w:val="clear" w:color="auto" w:fill="FFFFF0"/>
              </w:rPr>
              <w:t>88,23</w:t>
            </w:r>
          </w:p>
        </w:tc>
      </w:tr>
    </w:tbl>
    <w:p w:rsidR="00D227E2" w:rsidRDefault="00934FC4">
      <w:pPr>
        <w:spacing w:after="0"/>
        <w:rPr>
          <w:rFonts w:ascii="Times New Roman" w:hAnsi="Times New Roman" w:cs="Times New Roman"/>
        </w:rPr>
      </w:pPr>
      <w:r>
        <w:rPr>
          <w:rFonts w:ascii="Times New Roman" w:eastAsia="NSimSun" w:hAnsi="Times New Roman" w:cs="Times New Roman"/>
          <w:color w:val="000000" w:themeColor="text1"/>
          <w:kern w:val="2"/>
          <w:sz w:val="24"/>
          <w:szCs w:val="24"/>
          <w:lang w:eastAsia="zh-CN" w:bidi="hi-IN"/>
        </w:rPr>
        <w:t>*розрахункова</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kern w:val="2"/>
          <w:sz w:val="24"/>
          <w:szCs w:val="24"/>
          <w:lang w:eastAsia="zh-CN" w:bidi="hi-IN"/>
        </w:rPr>
        <w:lastRenderedPageBreak/>
        <w:t> </w:t>
      </w:r>
    </w:p>
    <w:p w:rsidR="00D227E2" w:rsidRDefault="00D227E2">
      <w:pPr>
        <w:spacing w:after="0"/>
        <w:ind w:firstLine="510"/>
        <w:jc w:val="both"/>
        <w:rPr>
          <w:rFonts w:ascii="Times New Roman" w:eastAsia="NSimSun" w:hAnsi="Times New Roman" w:cs="Times New Roman"/>
          <w:kern w:val="2"/>
          <w:sz w:val="24"/>
          <w:szCs w:val="24"/>
          <w:lang w:eastAsia="zh-CN" w:bidi="hi-IN"/>
        </w:rPr>
      </w:pPr>
    </w:p>
    <w:p w:rsidR="00D227E2" w:rsidRDefault="00D227E2">
      <w:pPr>
        <w:spacing w:after="0"/>
        <w:ind w:firstLine="510"/>
        <w:jc w:val="both"/>
        <w:rPr>
          <w:rFonts w:ascii="Times New Roman" w:eastAsia="NSimSun" w:hAnsi="Times New Roman" w:cs="Times New Roman"/>
          <w:kern w:val="2"/>
          <w:sz w:val="24"/>
          <w:szCs w:val="24"/>
          <w:lang w:eastAsia="zh-CN" w:bidi="hi-IN"/>
        </w:rPr>
      </w:pPr>
    </w:p>
    <w:p w:rsidR="00D227E2" w:rsidRDefault="00934FC4">
      <w:pPr>
        <w:spacing w:after="0"/>
        <w:ind w:firstLine="510"/>
        <w:jc w:val="both"/>
        <w:rPr>
          <w:rFonts w:ascii="Times New Roman" w:eastAsia="NSimSun" w:hAnsi="Times New Roman" w:cs="Times New Roman"/>
          <w:kern w:val="2"/>
          <w:sz w:val="24"/>
          <w:szCs w:val="24"/>
          <w:lang w:eastAsia="zh-CN" w:bidi="hi-IN"/>
        </w:rPr>
      </w:pPr>
      <w:r>
        <w:rPr>
          <w:rFonts w:ascii="Times New Roman" w:eastAsia="NSimSun" w:hAnsi="Times New Roman" w:cs="Times New Roman"/>
          <w:noProof/>
          <w:kern w:val="2"/>
          <w:sz w:val="24"/>
          <w:szCs w:val="24"/>
          <w:lang w:eastAsia="uk-UA"/>
        </w:rPr>
        <w:drawing>
          <wp:anchor distT="0" distB="0" distL="0" distR="0" simplePos="0" relativeHeight="68" behindDoc="0" locked="0" layoutInCell="0" allowOverlap="1" wp14:anchorId="17A9244C" wp14:editId="4EE23354">
            <wp:simplePos x="0" y="0"/>
            <wp:positionH relativeFrom="column">
              <wp:posOffset>1042670</wp:posOffset>
            </wp:positionH>
            <wp:positionV relativeFrom="paragraph">
              <wp:posOffset>-188595</wp:posOffset>
            </wp:positionV>
            <wp:extent cx="3813810" cy="2145665"/>
            <wp:effectExtent l="0" t="0" r="0" b="0"/>
            <wp:wrapSquare wrapText="largest"/>
            <wp:docPr id="40" name="Об'єкт18" descr="діаграма"/>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anchor>
        </w:drawing>
      </w:r>
    </w:p>
    <w:p w:rsidR="00D227E2" w:rsidRDefault="00D227E2">
      <w:pPr>
        <w:spacing w:after="0"/>
        <w:ind w:firstLine="510"/>
        <w:jc w:val="both"/>
        <w:rPr>
          <w:rFonts w:ascii="Times New Roman" w:eastAsia="NSimSun" w:hAnsi="Times New Roman" w:cs="Times New Roman"/>
          <w:kern w:val="2"/>
          <w:sz w:val="24"/>
          <w:szCs w:val="24"/>
          <w:lang w:eastAsia="zh-CN" w:bidi="hi-IN"/>
        </w:rPr>
      </w:pPr>
    </w:p>
    <w:p w:rsidR="00D227E2" w:rsidRDefault="00D227E2">
      <w:pPr>
        <w:spacing w:after="0"/>
        <w:ind w:firstLine="510"/>
        <w:jc w:val="both"/>
        <w:rPr>
          <w:rFonts w:ascii="Times New Roman" w:eastAsia="NSimSun" w:hAnsi="Times New Roman" w:cs="Times New Roman"/>
          <w:kern w:val="2"/>
          <w:sz w:val="24"/>
          <w:szCs w:val="24"/>
          <w:lang w:eastAsia="zh-CN" w:bidi="hi-IN"/>
        </w:rPr>
      </w:pPr>
    </w:p>
    <w:p w:rsidR="00D227E2" w:rsidRDefault="00D227E2">
      <w:pPr>
        <w:spacing w:after="0"/>
        <w:ind w:firstLine="510"/>
        <w:jc w:val="both"/>
        <w:rPr>
          <w:rFonts w:ascii="Times New Roman" w:eastAsia="NSimSun" w:hAnsi="Times New Roman" w:cs="Times New Roman"/>
          <w:kern w:val="2"/>
          <w:sz w:val="24"/>
          <w:szCs w:val="24"/>
          <w:lang w:eastAsia="zh-CN" w:bidi="hi-IN"/>
        </w:rPr>
      </w:pPr>
    </w:p>
    <w:p w:rsidR="00D227E2" w:rsidRDefault="00D227E2">
      <w:pPr>
        <w:spacing w:after="0"/>
        <w:ind w:firstLine="510"/>
        <w:jc w:val="both"/>
        <w:rPr>
          <w:rFonts w:ascii="Times New Roman" w:eastAsia="NSimSun" w:hAnsi="Times New Roman" w:cs="Times New Roman"/>
          <w:kern w:val="2"/>
          <w:sz w:val="24"/>
          <w:szCs w:val="24"/>
          <w:lang w:eastAsia="zh-CN" w:bidi="hi-IN"/>
        </w:rPr>
      </w:pPr>
    </w:p>
    <w:p w:rsidR="00D227E2" w:rsidRDefault="00D227E2">
      <w:pPr>
        <w:spacing w:after="0"/>
        <w:ind w:firstLine="510"/>
        <w:jc w:val="both"/>
        <w:rPr>
          <w:rFonts w:ascii="Times New Roman" w:eastAsia="NSimSun" w:hAnsi="Times New Roman" w:cs="Times New Roman"/>
          <w:kern w:val="2"/>
          <w:sz w:val="24"/>
          <w:szCs w:val="24"/>
          <w:lang w:eastAsia="zh-CN" w:bidi="hi-IN"/>
        </w:rPr>
      </w:pPr>
    </w:p>
    <w:p w:rsidR="00D227E2" w:rsidRDefault="00D227E2">
      <w:pPr>
        <w:spacing w:after="0"/>
        <w:ind w:firstLine="510"/>
        <w:jc w:val="both"/>
        <w:rPr>
          <w:rFonts w:ascii="Times New Roman" w:eastAsia="NSimSun" w:hAnsi="Times New Roman" w:cs="Times New Roman"/>
          <w:kern w:val="2"/>
          <w:sz w:val="24"/>
          <w:szCs w:val="24"/>
          <w:lang w:eastAsia="zh-CN" w:bidi="hi-IN"/>
        </w:rPr>
      </w:pPr>
    </w:p>
    <w:p w:rsidR="00D227E2" w:rsidRDefault="00D227E2">
      <w:pPr>
        <w:spacing w:after="0"/>
        <w:ind w:firstLine="510"/>
        <w:jc w:val="both"/>
        <w:rPr>
          <w:rFonts w:ascii="Times New Roman" w:eastAsia="NSimSun" w:hAnsi="Times New Roman" w:cs="Times New Roman"/>
          <w:kern w:val="2"/>
          <w:sz w:val="24"/>
          <w:szCs w:val="24"/>
          <w:lang w:eastAsia="zh-CN" w:bidi="hi-IN"/>
        </w:rPr>
      </w:pPr>
    </w:p>
    <w:p w:rsidR="00D227E2" w:rsidRDefault="00D227E2">
      <w:pPr>
        <w:spacing w:after="0"/>
        <w:ind w:firstLine="510"/>
        <w:jc w:val="both"/>
        <w:rPr>
          <w:rFonts w:ascii="Times New Roman" w:eastAsia="NSimSun" w:hAnsi="Times New Roman" w:cs="Times New Roman"/>
          <w:kern w:val="2"/>
          <w:sz w:val="24"/>
          <w:szCs w:val="24"/>
          <w:lang w:eastAsia="zh-CN" w:bidi="hi-IN"/>
        </w:rPr>
      </w:pPr>
    </w:p>
    <w:p w:rsidR="00D227E2" w:rsidRDefault="00D227E2">
      <w:pPr>
        <w:spacing w:after="0"/>
        <w:ind w:firstLine="510"/>
        <w:jc w:val="both"/>
        <w:rPr>
          <w:rFonts w:ascii="Times New Roman" w:eastAsia="NSimSun" w:hAnsi="Times New Roman" w:cs="Times New Roman"/>
          <w:kern w:val="2"/>
          <w:sz w:val="24"/>
          <w:szCs w:val="24"/>
          <w:lang w:eastAsia="zh-CN" w:bidi="hi-IN"/>
        </w:rPr>
      </w:pPr>
    </w:p>
    <w:p w:rsidR="00D227E2" w:rsidRDefault="00934FC4">
      <w:pPr>
        <w:spacing w:after="0"/>
        <w:ind w:firstLine="567"/>
        <w:jc w:val="center"/>
        <w:rPr>
          <w:rFonts w:ascii="Times New Roman" w:hAnsi="Times New Roman" w:cs="Times New Roman"/>
        </w:rPr>
      </w:pPr>
      <w:r>
        <w:rPr>
          <w:rFonts w:ascii="Times New Roman" w:eastAsia="NSimSun" w:hAnsi="Times New Roman" w:cs="Times New Roman"/>
          <w:kern w:val="2"/>
          <w:sz w:val="24"/>
          <w:szCs w:val="24"/>
          <w:lang w:eastAsia="zh-CN" w:bidi="hi-IN"/>
        </w:rPr>
        <w:t xml:space="preserve">Рисунок 26. Кількість абонентів водопостачання та водовідведення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shd w:val="clear" w:color="auto" w:fill="FFFFFF"/>
          <w:lang w:eastAsia="zh-CN" w:bidi="hi-IN"/>
        </w:rPr>
        <w:t xml:space="preserve">Аналізуючи показники водопостачання та водовідведення, а також темпи забудови громади, можна спрогнозувати, що кількість абонентів постійно буде зростати, </w:t>
      </w:r>
      <w:r>
        <w:rPr>
          <w:rFonts w:ascii="Times New Roman" w:eastAsia="NSimSun" w:hAnsi="Times New Roman" w:cs="Times New Roman"/>
          <w:color w:val="000000"/>
          <w:kern w:val="2"/>
          <w:sz w:val="24"/>
          <w:szCs w:val="24"/>
          <w:shd w:val="clear" w:color="auto" w:fill="FFFFFF"/>
          <w:lang w:eastAsia="zh-CN" w:bidi="hi-IN"/>
        </w:rPr>
        <w:t>тому КП «Луцькводоканал» треба завчасно передбачити збільшення своїх потужностей.</w:t>
      </w:r>
    </w:p>
    <w:p w:rsidR="00D227E2" w:rsidRDefault="00934FC4">
      <w:pPr>
        <w:spacing w:after="100" w:line="240" w:lineRule="auto"/>
        <w:ind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lang w:eastAsia="de-DE" w:bidi="hi-IN"/>
        </w:rPr>
        <w:t xml:space="preserve">У таблиці 38 наведені дані щодо обсягів </w:t>
      </w:r>
      <w:r>
        <w:rPr>
          <w:rFonts w:ascii="Times New Roman" w:eastAsia="NSimSun" w:hAnsi="Times New Roman" w:cs="Times New Roman"/>
          <w:kern w:val="2"/>
          <w:sz w:val="24"/>
          <w:szCs w:val="24"/>
          <w:shd w:val="clear" w:color="auto" w:fill="FFFFFF"/>
          <w:lang w:eastAsia="zh-CN" w:bidi="hi-IN"/>
        </w:rPr>
        <w:t>спожитої електроенергії КП «Луцькводоканал» (МВт.год).</w:t>
      </w:r>
    </w:p>
    <w:p w:rsidR="00D227E2" w:rsidRDefault="00934FC4">
      <w:pPr>
        <w:spacing w:after="0" w:line="240" w:lineRule="auto"/>
        <w:jc w:val="center"/>
        <w:rPr>
          <w:rFonts w:ascii="Times New Roman" w:hAnsi="Times New Roman" w:cs="Times New Roman"/>
        </w:rPr>
      </w:pPr>
      <w:r>
        <w:rPr>
          <w:rFonts w:ascii="Times New Roman" w:eastAsia="NSimSun" w:hAnsi="Times New Roman" w:cs="Times New Roman"/>
          <w:kern w:val="2"/>
          <w:sz w:val="24"/>
          <w:szCs w:val="24"/>
          <w:shd w:val="clear" w:color="auto" w:fill="FFFFFF"/>
          <w:lang w:eastAsia="zh-CN" w:bidi="hi-IN"/>
        </w:rPr>
        <w:t>Таблиця 38. О</w:t>
      </w:r>
      <w:r>
        <w:rPr>
          <w:rFonts w:ascii="Times New Roman" w:eastAsia="Times New Roman" w:hAnsi="Times New Roman" w:cs="Times New Roman"/>
          <w:color w:val="000000"/>
          <w:kern w:val="2"/>
          <w:sz w:val="24"/>
          <w:szCs w:val="24"/>
          <w:shd w:val="clear" w:color="auto" w:fill="FFFFFF"/>
          <w:lang w:eastAsia="de-DE" w:bidi="hi-IN"/>
        </w:rPr>
        <w:t xml:space="preserve">бсяги </w:t>
      </w:r>
      <w:r>
        <w:rPr>
          <w:rFonts w:ascii="Times New Roman" w:eastAsia="NSimSun" w:hAnsi="Times New Roman" w:cs="Times New Roman"/>
          <w:kern w:val="2"/>
          <w:sz w:val="24"/>
          <w:szCs w:val="24"/>
          <w:shd w:val="clear" w:color="auto" w:fill="FFFFFF"/>
          <w:lang w:eastAsia="zh-CN" w:bidi="hi-IN"/>
        </w:rPr>
        <w:t>спожитої електроенергії КП «Луцькводоканал» (МВт.год)</w:t>
      </w:r>
    </w:p>
    <w:tbl>
      <w:tblPr>
        <w:tblW w:w="9582" w:type="dxa"/>
        <w:tblInd w:w="331" w:type="dxa"/>
        <w:tblLayout w:type="fixed"/>
        <w:tblCellMar>
          <w:top w:w="51" w:type="dxa"/>
          <w:left w:w="115" w:type="dxa"/>
          <w:right w:w="115" w:type="dxa"/>
        </w:tblCellMar>
        <w:tblLook w:val="04A0" w:firstRow="1" w:lastRow="0" w:firstColumn="1" w:lastColumn="0" w:noHBand="0" w:noVBand="1"/>
      </w:tblPr>
      <w:tblGrid>
        <w:gridCol w:w="2866"/>
        <w:gridCol w:w="966"/>
        <w:gridCol w:w="969"/>
        <w:gridCol w:w="979"/>
        <w:gridCol w:w="983"/>
        <w:gridCol w:w="984"/>
        <w:gridCol w:w="968"/>
        <w:gridCol w:w="867"/>
      </w:tblGrid>
      <w:tr w:rsidR="00D227E2">
        <w:trPr>
          <w:trHeight w:val="465"/>
        </w:trPr>
        <w:tc>
          <w:tcPr>
            <w:tcW w:w="2864"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shd w:val="clear" w:color="auto" w:fill="FFFFFF"/>
                <w:lang w:eastAsia="zh-CN" w:bidi="hi-IN"/>
              </w:rPr>
              <w:t>Підприємство - водопостачальник</w:t>
            </w:r>
          </w:p>
        </w:tc>
        <w:tc>
          <w:tcPr>
            <w:tcW w:w="966"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shd w:val="clear" w:color="auto" w:fill="FFFFFF"/>
                <w:lang w:eastAsia="zh-CN" w:bidi="hi-IN"/>
              </w:rPr>
              <w:t>2016</w:t>
            </w:r>
          </w:p>
        </w:tc>
        <w:tc>
          <w:tcPr>
            <w:tcW w:w="969"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shd w:val="clear" w:color="auto" w:fill="FFFFFF"/>
                <w:lang w:eastAsia="zh-CN" w:bidi="hi-IN"/>
              </w:rPr>
              <w:t>2017</w:t>
            </w:r>
          </w:p>
        </w:tc>
        <w:tc>
          <w:tcPr>
            <w:tcW w:w="979"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shd w:val="clear" w:color="auto" w:fill="FFFFFF"/>
                <w:lang w:eastAsia="zh-CN" w:bidi="hi-IN"/>
              </w:rPr>
              <w:t>2018</w:t>
            </w:r>
          </w:p>
        </w:tc>
        <w:tc>
          <w:tcPr>
            <w:tcW w:w="983"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shd w:val="clear" w:color="auto" w:fill="FFFFFF"/>
                <w:lang w:eastAsia="zh-CN" w:bidi="hi-IN"/>
              </w:rPr>
              <w:t>2019</w:t>
            </w:r>
          </w:p>
        </w:tc>
        <w:tc>
          <w:tcPr>
            <w:tcW w:w="984"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shd w:val="clear" w:color="auto" w:fill="FFFFFF"/>
                <w:lang w:eastAsia="zh-CN" w:bidi="hi-IN"/>
              </w:rPr>
              <w:t>2020</w:t>
            </w:r>
          </w:p>
        </w:tc>
        <w:tc>
          <w:tcPr>
            <w:tcW w:w="968"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shd w:val="clear" w:color="auto" w:fill="FFFFFF"/>
                <w:lang w:eastAsia="zh-CN" w:bidi="hi-IN"/>
              </w:rPr>
              <w:t>2021</w:t>
            </w:r>
          </w:p>
        </w:tc>
        <w:tc>
          <w:tcPr>
            <w:tcW w:w="867"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shd w:val="clear" w:color="auto" w:fill="FFFFFF"/>
                <w:lang w:eastAsia="zh-CN" w:bidi="hi-IN"/>
              </w:rPr>
              <w:t>2022</w:t>
            </w:r>
          </w:p>
        </w:tc>
      </w:tr>
      <w:tr w:rsidR="00D227E2">
        <w:trPr>
          <w:trHeight w:val="235"/>
        </w:trPr>
        <w:tc>
          <w:tcPr>
            <w:tcW w:w="2864"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100" w:line="240" w:lineRule="auto"/>
              <w:rPr>
                <w:rFonts w:ascii="Times New Roman" w:hAnsi="Times New Roman" w:cs="Times New Roman"/>
              </w:rPr>
            </w:pPr>
            <w:r>
              <w:rPr>
                <w:rFonts w:ascii="Times New Roman" w:eastAsia="NSimSun" w:hAnsi="Times New Roman" w:cs="Times New Roman"/>
                <w:kern w:val="2"/>
                <w:shd w:val="clear" w:color="auto" w:fill="FFFFFF"/>
                <w:lang w:eastAsia="zh-CN" w:bidi="hi-IN"/>
              </w:rPr>
              <w:t>КП «Луцькводоканал»</w:t>
            </w:r>
          </w:p>
        </w:tc>
        <w:tc>
          <w:tcPr>
            <w:tcW w:w="966"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shd w:val="clear" w:color="auto" w:fill="FFFFFF"/>
                <w:lang w:eastAsia="zh-CN" w:bidi="hi-IN"/>
              </w:rPr>
              <w:t>19,5</w:t>
            </w:r>
          </w:p>
        </w:tc>
        <w:tc>
          <w:tcPr>
            <w:tcW w:w="969"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shd w:val="clear" w:color="auto" w:fill="FFFFFF"/>
                <w:lang w:eastAsia="zh-CN" w:bidi="hi-IN"/>
              </w:rPr>
              <w:t>18,0</w:t>
            </w:r>
          </w:p>
        </w:tc>
        <w:tc>
          <w:tcPr>
            <w:tcW w:w="979"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shd w:val="clear" w:color="auto" w:fill="FFFFFF"/>
                <w:lang w:eastAsia="zh-CN" w:bidi="hi-IN"/>
              </w:rPr>
              <w:t>18,2</w:t>
            </w:r>
          </w:p>
        </w:tc>
        <w:tc>
          <w:tcPr>
            <w:tcW w:w="983"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shd w:val="clear" w:color="auto" w:fill="FFFFFF"/>
                <w:lang w:eastAsia="zh-CN" w:bidi="hi-IN"/>
              </w:rPr>
              <w:t>17,7</w:t>
            </w:r>
          </w:p>
        </w:tc>
        <w:tc>
          <w:tcPr>
            <w:tcW w:w="984"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shd w:val="clear" w:color="auto" w:fill="FFFFFF"/>
                <w:lang w:eastAsia="zh-CN" w:bidi="hi-IN"/>
              </w:rPr>
              <w:t>18,1</w:t>
            </w:r>
          </w:p>
        </w:tc>
        <w:tc>
          <w:tcPr>
            <w:tcW w:w="968"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shd w:val="clear" w:color="auto" w:fill="FFFFFF"/>
                <w:lang w:eastAsia="zh-CN" w:bidi="hi-IN"/>
              </w:rPr>
              <w:t>18,3</w:t>
            </w:r>
          </w:p>
        </w:tc>
        <w:tc>
          <w:tcPr>
            <w:tcW w:w="867" w:type="dxa"/>
            <w:tcBorders>
              <w:top w:val="single" w:sz="2" w:space="0" w:color="000000"/>
              <w:left w:val="single" w:sz="2" w:space="0" w:color="000000"/>
              <w:bottom w:val="single" w:sz="2" w:space="0" w:color="000000"/>
              <w:right w:val="single" w:sz="2"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shd w:val="clear" w:color="auto" w:fill="FFFFFF"/>
                <w:lang w:eastAsia="zh-CN" w:bidi="hi-IN"/>
              </w:rPr>
              <w:t>16,2</w:t>
            </w:r>
          </w:p>
        </w:tc>
      </w:tr>
    </w:tbl>
    <w:p w:rsidR="00D227E2" w:rsidRDefault="00D227E2">
      <w:pPr>
        <w:spacing w:after="0" w:line="240" w:lineRule="auto"/>
        <w:rPr>
          <w:rFonts w:ascii="Times New Roman" w:eastAsia="NSimSun" w:hAnsi="Times New Roman" w:cs="Times New Roman"/>
          <w:color w:val="C9211E"/>
          <w:kern w:val="2"/>
          <w:sz w:val="24"/>
          <w:szCs w:val="24"/>
          <w:shd w:val="clear" w:color="auto" w:fill="FFFFFF"/>
          <w:lang w:eastAsia="zh-CN" w:bidi="hi-IN"/>
        </w:rPr>
      </w:pPr>
    </w:p>
    <w:p w:rsidR="00D227E2" w:rsidRDefault="00934FC4">
      <w:pPr>
        <w:spacing w:after="0" w:line="240" w:lineRule="auto"/>
        <w:ind w:firstLine="567"/>
        <w:jc w:val="both"/>
        <w:rPr>
          <w:rFonts w:ascii="Times New Roman" w:hAnsi="Times New Roman" w:cs="Times New Roman"/>
        </w:rPr>
      </w:pPr>
      <w:r>
        <w:rPr>
          <w:rFonts w:ascii="Times New Roman" w:eastAsia="NSimSun" w:hAnsi="Times New Roman" w:cs="Times New Roman"/>
          <w:b/>
          <w:bCs/>
          <w:color w:val="000000"/>
          <w:kern w:val="2"/>
          <w:sz w:val="24"/>
          <w:szCs w:val="24"/>
          <w:shd w:val="clear" w:color="auto" w:fill="FFFFFF"/>
          <w:lang w:eastAsia="zh-CN" w:bidi="hi-IN"/>
        </w:rPr>
        <w:t>3.2. Основні споживачі енергоресурсів</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 xml:space="preserve">Основними споживачами тепла у м. Луцьку є житлові будинки, громадські будівлі, будівлі третинного сектору та промисловість. Витрати тепла, палива для його генерування та викиди </w:t>
      </w:r>
      <w:r>
        <w:rPr>
          <w:rFonts w:ascii="Times New Roman" w:hAnsi="Times New Roman" w:cs="Times New Roman"/>
          <w:color w:val="000000"/>
          <w:sz w:val="24"/>
          <w:szCs w:val="24"/>
          <w:shd w:val="clear" w:color="auto" w:fill="FFFFFF"/>
          <w:lang w:eastAsia="ru-RU"/>
        </w:rPr>
        <w:t>СО</w:t>
      </w:r>
      <w:r>
        <w:rPr>
          <w:rFonts w:ascii="Times New Roman" w:hAnsi="Times New Roman" w:cs="Times New Roman"/>
          <w:color w:val="000000"/>
          <w:sz w:val="24"/>
          <w:szCs w:val="24"/>
          <w:shd w:val="clear" w:color="auto" w:fill="FFFFFF"/>
          <w:vertAlign w:val="subscript"/>
          <w:lang w:eastAsia="ru-RU"/>
        </w:rPr>
        <w:t>2</w:t>
      </w:r>
      <w:r>
        <w:rPr>
          <w:rFonts w:ascii="Times New Roman" w:eastAsia="NSimSun" w:hAnsi="Times New Roman" w:cs="Times New Roman"/>
          <w:color w:val="000000"/>
          <w:kern w:val="2"/>
          <w:sz w:val="24"/>
          <w:szCs w:val="24"/>
          <w:shd w:val="clear" w:color="auto" w:fill="FFFFFF"/>
          <w:lang w:eastAsia="zh-CN" w:bidi="hi-IN"/>
        </w:rPr>
        <w:t xml:space="preserve"> у цьому секторі міського господарства суттєво залежать від показників енергоефективності будинків і ступеня їхнього теплозахисту.</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Для ПДСЕРК особливо важливими є будівлі, які належать до міської комуналь</w:t>
      </w:r>
      <w:r>
        <w:rPr>
          <w:rFonts w:ascii="Times New Roman" w:eastAsia="NSimSun" w:hAnsi="Times New Roman" w:cs="Times New Roman"/>
          <w:color w:val="000000"/>
          <w:kern w:val="2"/>
          <w:sz w:val="24"/>
          <w:szCs w:val="24"/>
          <w:lang w:eastAsia="zh-CN" w:bidi="hi-IN"/>
        </w:rPr>
        <w:t>ної власності та будівлі житлового фонду. Основними енергоносіями, які використовуються в даних об’єктах, є теплова енергія, природний газ та електроенергія.</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Теплова енергія на потреби опалення та гаряче водопостачання забезпечується теплогенеруючим комунальним підприємством «Луцьктепло». Природний газ використовується для приготування їжі, опалення та гарячого водопостачання в децентралізованому секторі будинків.</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Інвентаризація житлових будинків і громадських будівель виконувалась на основі даних департаменту житлово-комунального господарства Луцької міської ради.</w:t>
      </w:r>
    </w:p>
    <w:p w:rsidR="00D227E2" w:rsidRDefault="00D227E2">
      <w:pPr>
        <w:spacing w:after="0" w:line="240" w:lineRule="auto"/>
        <w:jc w:val="both"/>
        <w:rPr>
          <w:rFonts w:ascii="Times New Roman" w:eastAsia="NSimSun" w:hAnsi="Times New Roman" w:cs="Times New Roman"/>
          <w:kern w:val="2"/>
          <w:sz w:val="24"/>
          <w:szCs w:val="24"/>
          <w:lang w:eastAsia="zh-CN" w:bidi="hi-IN"/>
        </w:rPr>
      </w:pPr>
    </w:p>
    <w:p w:rsidR="00D227E2" w:rsidRDefault="00934FC4">
      <w:pPr>
        <w:spacing w:after="0" w:line="240" w:lineRule="auto"/>
        <w:ind w:firstLine="567"/>
        <w:jc w:val="both"/>
        <w:rPr>
          <w:rFonts w:ascii="Times New Roman" w:hAnsi="Times New Roman" w:cs="Times New Roman"/>
        </w:rPr>
      </w:pPr>
      <w:r>
        <w:rPr>
          <w:rFonts w:ascii="Times New Roman" w:eastAsia="NSimSun" w:hAnsi="Times New Roman" w:cs="Times New Roman"/>
          <w:b/>
          <w:bCs/>
          <w:color w:val="000000"/>
          <w:kern w:val="2"/>
          <w:sz w:val="24"/>
          <w:szCs w:val="24"/>
          <w:lang w:eastAsia="zh-CN" w:bidi="hi-IN"/>
        </w:rPr>
        <w:t>3.2.1. Муніципальні установи та підприємства</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kern w:val="2"/>
          <w:sz w:val="24"/>
          <w:szCs w:val="24"/>
          <w:lang w:eastAsia="zh-CN" w:bidi="hi-IN"/>
        </w:rPr>
        <w:t>Після проведення в Україні адміністративно-територіальної реформи та створення Луцької МТГ загальна кількість муніципальних будівель, які фінансуються з міського бюджету, за наявними даними станом на 01.01.2023 склала 213 одиниць, в т.ч. 182 – будівлі, що належать громаді і фінансуються з бюджету та 31 – будівля, що належать громаді та не фінансуються з бюджету.</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kern w:val="2"/>
          <w:sz w:val="24"/>
          <w:szCs w:val="24"/>
          <w:lang w:eastAsia="zh-CN" w:bidi="hi-IN"/>
        </w:rPr>
        <w:lastRenderedPageBreak/>
        <w:t xml:space="preserve">В основному, муніципальні будівлі відносяться до об’єктів, що споживають велику кількість енергоресурсів, є енергозатратними особливо в частині опалення та мають високий рівень витрат на експлуатацію. </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kern w:val="2"/>
          <w:sz w:val="24"/>
          <w:szCs w:val="24"/>
          <w:lang w:eastAsia="zh-CN" w:bidi="hi-IN"/>
        </w:rPr>
        <w:t>Обсяги споживання енергетичних ресурсів муніципальними установами та підприємствами, що фінансуються з бюджету Луцької МТГ, приведено у таблиці 39.</w:t>
      </w:r>
    </w:p>
    <w:p w:rsidR="00D227E2" w:rsidRDefault="00934FC4">
      <w:pPr>
        <w:spacing w:after="0"/>
        <w:ind w:firstLine="510"/>
        <w:jc w:val="center"/>
        <w:rPr>
          <w:rFonts w:ascii="Times New Roman" w:hAnsi="Times New Roman" w:cs="Times New Roman"/>
        </w:rPr>
      </w:pPr>
      <w:r>
        <w:rPr>
          <w:rFonts w:ascii="Times New Roman" w:eastAsia="NSimSun" w:hAnsi="Times New Roman" w:cs="Times New Roman"/>
          <w:kern w:val="2"/>
          <w:sz w:val="24"/>
          <w:szCs w:val="24"/>
          <w:lang w:eastAsia="zh-CN" w:bidi="hi-IN"/>
        </w:rPr>
        <w:t>Таблиця 39. Обсяги споживання енергоресурсів муніципальними установами та підприємствами, що фінансуються з бюджету Луцької МТГ</w:t>
      </w:r>
    </w:p>
    <w:tbl>
      <w:tblPr>
        <w:tblW w:w="9595" w:type="dxa"/>
        <w:tblInd w:w="54" w:type="dxa"/>
        <w:tblLayout w:type="fixed"/>
        <w:tblCellMar>
          <w:left w:w="10" w:type="dxa"/>
          <w:right w:w="5" w:type="dxa"/>
        </w:tblCellMar>
        <w:tblLook w:val="0000" w:firstRow="0" w:lastRow="0" w:firstColumn="0" w:lastColumn="0" w:noHBand="0" w:noVBand="0"/>
      </w:tblPr>
      <w:tblGrid>
        <w:gridCol w:w="640"/>
        <w:gridCol w:w="1493"/>
        <w:gridCol w:w="1497"/>
        <w:gridCol w:w="1488"/>
        <w:gridCol w:w="1497"/>
        <w:gridCol w:w="1488"/>
        <w:gridCol w:w="1492"/>
      </w:tblGrid>
      <w:tr w:rsidR="00D227E2">
        <w:tc>
          <w:tcPr>
            <w:tcW w:w="639" w:type="dxa"/>
            <w:vMerge w:val="restart"/>
            <w:tcBorders>
              <w:top w:val="single" w:sz="8" w:space="0" w:color="000000"/>
              <w:left w:val="single" w:sz="8" w:space="0" w:color="000000"/>
              <w:bottom w:val="single" w:sz="8"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Рік</w:t>
            </w:r>
          </w:p>
        </w:tc>
        <w:tc>
          <w:tcPr>
            <w:tcW w:w="1493"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Т/е</w:t>
            </w:r>
          </w:p>
        </w:tc>
        <w:tc>
          <w:tcPr>
            <w:tcW w:w="1497" w:type="dxa"/>
            <w:tcBorders>
              <w:top w:val="single" w:sz="8" w:space="0" w:color="000000"/>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Е/е</w:t>
            </w:r>
          </w:p>
        </w:tc>
        <w:tc>
          <w:tcPr>
            <w:tcW w:w="1488" w:type="dxa"/>
            <w:tcBorders>
              <w:top w:val="single" w:sz="8" w:space="0" w:color="000000"/>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Газ</w:t>
            </w:r>
          </w:p>
        </w:tc>
        <w:tc>
          <w:tcPr>
            <w:tcW w:w="1497" w:type="dxa"/>
            <w:tcBorders>
              <w:top w:val="single" w:sz="8" w:space="0" w:color="000000"/>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Вугілля</w:t>
            </w:r>
          </w:p>
        </w:tc>
        <w:tc>
          <w:tcPr>
            <w:tcW w:w="1488" w:type="dxa"/>
            <w:tcBorders>
              <w:top w:val="single" w:sz="8" w:space="0" w:color="000000"/>
              <w:left w:val="single" w:sz="4" w:space="0" w:color="000000"/>
              <w:bottom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Дрова</w:t>
            </w:r>
          </w:p>
        </w:tc>
        <w:tc>
          <w:tcPr>
            <w:tcW w:w="1492" w:type="dxa"/>
            <w:tcBorders>
              <w:top w:val="single" w:sz="8" w:space="0" w:color="000000"/>
              <w:left w:val="single" w:sz="4" w:space="0" w:color="000000"/>
              <w:bottom w:val="single" w:sz="4" w:space="0" w:color="000000"/>
              <w:right w:val="single" w:sz="8"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Торф</w:t>
            </w:r>
          </w:p>
        </w:tc>
      </w:tr>
      <w:tr w:rsidR="00D227E2">
        <w:tc>
          <w:tcPr>
            <w:tcW w:w="639" w:type="dxa"/>
            <w:vMerge/>
            <w:tcBorders>
              <w:left w:val="single" w:sz="8" w:space="0" w:color="000000"/>
              <w:bottom w:val="single" w:sz="8" w:space="0" w:color="000000"/>
              <w:right w:val="single" w:sz="4" w:space="0" w:color="000000"/>
            </w:tcBorders>
          </w:tcPr>
          <w:p w:rsidR="00D227E2" w:rsidRDefault="00D227E2">
            <w:pPr>
              <w:widowControl w:val="0"/>
              <w:spacing w:after="0" w:line="240" w:lineRule="auto"/>
              <w:rPr>
                <w:rFonts w:ascii="Times New Roman" w:eastAsia="NSimSun" w:hAnsi="Times New Roman" w:cs="Times New Roman"/>
                <w:kern w:val="2"/>
                <w:lang w:eastAsia="zh-CN" w:bidi="hi-IN"/>
              </w:rPr>
            </w:pPr>
          </w:p>
        </w:tc>
        <w:tc>
          <w:tcPr>
            <w:tcW w:w="1493"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тис. Гкал</w:t>
            </w:r>
          </w:p>
        </w:tc>
        <w:tc>
          <w:tcPr>
            <w:tcW w:w="1497" w:type="dxa"/>
            <w:tcBorders>
              <w:top w:val="single" w:sz="4" w:space="0" w:color="000000"/>
              <w:left w:val="single" w:sz="4" w:space="0" w:color="000000"/>
              <w:bottom w:val="single" w:sz="8"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тис. кВт.год</w:t>
            </w:r>
          </w:p>
        </w:tc>
        <w:tc>
          <w:tcPr>
            <w:tcW w:w="1488" w:type="dxa"/>
            <w:tcBorders>
              <w:top w:val="single" w:sz="4" w:space="0" w:color="000000"/>
              <w:left w:val="single" w:sz="4" w:space="0" w:color="000000"/>
              <w:bottom w:val="single" w:sz="8"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тис. м</w:t>
            </w:r>
            <w:r>
              <w:rPr>
                <w:rFonts w:ascii="Times New Roman" w:eastAsia="Microsoft Sans Serif" w:hAnsi="Times New Roman" w:cs="Times New Roman"/>
                <w:kern w:val="2"/>
                <w:vertAlign w:val="superscript"/>
              </w:rPr>
              <w:t>3</w:t>
            </w:r>
          </w:p>
        </w:tc>
        <w:tc>
          <w:tcPr>
            <w:tcW w:w="1497" w:type="dxa"/>
            <w:tcBorders>
              <w:top w:val="single" w:sz="4" w:space="0" w:color="000000"/>
              <w:left w:val="single" w:sz="4" w:space="0" w:color="000000"/>
              <w:bottom w:val="single" w:sz="8"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т</w:t>
            </w:r>
          </w:p>
        </w:tc>
        <w:tc>
          <w:tcPr>
            <w:tcW w:w="1488" w:type="dxa"/>
            <w:tcBorders>
              <w:top w:val="single" w:sz="4" w:space="0" w:color="000000"/>
              <w:left w:val="single" w:sz="4" w:space="0" w:color="000000"/>
              <w:bottom w:val="single" w:sz="8"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т</w:t>
            </w:r>
          </w:p>
        </w:tc>
        <w:tc>
          <w:tcPr>
            <w:tcW w:w="1492" w:type="dxa"/>
            <w:tcBorders>
              <w:top w:val="single" w:sz="4" w:space="0" w:color="000000"/>
              <w:left w:val="single" w:sz="4" w:space="0" w:color="000000"/>
              <w:bottom w:val="single" w:sz="8"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т</w:t>
            </w:r>
          </w:p>
        </w:tc>
      </w:tr>
      <w:tr w:rsidR="00D227E2">
        <w:tc>
          <w:tcPr>
            <w:tcW w:w="9594" w:type="dxa"/>
            <w:gridSpan w:val="7"/>
            <w:tcBorders>
              <w:left w:val="single" w:sz="8" w:space="0" w:color="000000"/>
              <w:bottom w:val="single" w:sz="8"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м. Луцьк</w:t>
            </w:r>
          </w:p>
        </w:tc>
      </w:tr>
      <w:tr w:rsidR="00D227E2">
        <w:tc>
          <w:tcPr>
            <w:tcW w:w="639" w:type="dxa"/>
            <w:tcBorders>
              <w:top w:val="single" w:sz="8" w:space="0" w:color="000000"/>
              <w:left w:val="single" w:sz="8"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2007</w:t>
            </w:r>
          </w:p>
        </w:tc>
        <w:tc>
          <w:tcPr>
            <w:tcW w:w="1493"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80,87</w:t>
            </w:r>
          </w:p>
        </w:tc>
        <w:tc>
          <w:tcPr>
            <w:tcW w:w="1497" w:type="dxa"/>
            <w:tcBorders>
              <w:top w:val="single" w:sz="8" w:space="0" w:color="000000"/>
              <w:left w:val="single" w:sz="4" w:space="0" w:color="000000"/>
              <w:bottom w:val="single" w:sz="4" w:space="0" w:color="000000"/>
              <w:right w:val="single" w:sz="8"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25492</w:t>
            </w:r>
          </w:p>
        </w:tc>
        <w:tc>
          <w:tcPr>
            <w:tcW w:w="1488" w:type="dxa"/>
            <w:tcBorders>
              <w:top w:val="single" w:sz="8" w:space="0" w:color="000000"/>
              <w:left w:val="single" w:sz="4" w:space="0" w:color="000000"/>
              <w:bottom w:val="single" w:sz="4" w:space="0" w:color="000000"/>
              <w:right w:val="single" w:sz="8"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1757</w:t>
            </w:r>
          </w:p>
        </w:tc>
        <w:tc>
          <w:tcPr>
            <w:tcW w:w="1497" w:type="dxa"/>
            <w:tcBorders>
              <w:top w:val="single" w:sz="8" w:space="0" w:color="000000"/>
              <w:left w:val="single" w:sz="8"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88" w:type="dxa"/>
            <w:tcBorders>
              <w:top w:val="single" w:sz="8" w:space="0" w:color="000000"/>
              <w:left w:val="single" w:sz="4" w:space="0" w:color="000000"/>
              <w:bottom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92" w:type="dxa"/>
            <w:tcBorders>
              <w:top w:val="single" w:sz="8" w:space="0" w:color="000000"/>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r>
      <w:tr w:rsidR="00D227E2">
        <w:tc>
          <w:tcPr>
            <w:tcW w:w="639" w:type="dxa"/>
            <w:tcBorders>
              <w:top w:val="single" w:sz="4" w:space="0" w:color="000000"/>
              <w:left w:val="single" w:sz="8"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2008</w:t>
            </w:r>
          </w:p>
        </w:tc>
        <w:tc>
          <w:tcPr>
            <w:tcW w:w="1493"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67,45</w:t>
            </w:r>
          </w:p>
        </w:tc>
        <w:tc>
          <w:tcPr>
            <w:tcW w:w="1497" w:type="dxa"/>
            <w:tcBorders>
              <w:top w:val="single" w:sz="4" w:space="0" w:color="000000"/>
              <w:left w:val="single" w:sz="4" w:space="0" w:color="000000"/>
              <w:bottom w:val="single" w:sz="4" w:space="0" w:color="000000"/>
              <w:right w:val="single" w:sz="8"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25424</w:t>
            </w:r>
          </w:p>
        </w:tc>
        <w:tc>
          <w:tcPr>
            <w:tcW w:w="1488" w:type="dxa"/>
            <w:tcBorders>
              <w:top w:val="single" w:sz="4" w:space="0" w:color="000000"/>
              <w:left w:val="single" w:sz="4" w:space="0" w:color="000000"/>
              <w:bottom w:val="single" w:sz="4" w:space="0" w:color="000000"/>
              <w:right w:val="single" w:sz="8"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1723</w:t>
            </w:r>
          </w:p>
        </w:tc>
        <w:tc>
          <w:tcPr>
            <w:tcW w:w="1497" w:type="dxa"/>
            <w:tcBorders>
              <w:top w:val="single" w:sz="4" w:space="0" w:color="000000"/>
              <w:left w:val="single" w:sz="8"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88" w:type="dxa"/>
            <w:tcBorders>
              <w:top w:val="single" w:sz="4" w:space="0" w:color="000000"/>
              <w:left w:val="single" w:sz="4" w:space="0" w:color="000000"/>
              <w:bottom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92"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r>
      <w:tr w:rsidR="00D227E2">
        <w:tc>
          <w:tcPr>
            <w:tcW w:w="639"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2009</w:t>
            </w:r>
          </w:p>
        </w:tc>
        <w:tc>
          <w:tcPr>
            <w:tcW w:w="1493"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66,42</w:t>
            </w:r>
          </w:p>
        </w:tc>
        <w:tc>
          <w:tcPr>
            <w:tcW w:w="1497"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24374</w:t>
            </w:r>
          </w:p>
        </w:tc>
        <w:tc>
          <w:tcPr>
            <w:tcW w:w="1488"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1587</w:t>
            </w:r>
          </w:p>
        </w:tc>
        <w:tc>
          <w:tcPr>
            <w:tcW w:w="1497"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88" w:type="dxa"/>
            <w:tcBorders>
              <w:top w:val="single" w:sz="4" w:space="0" w:color="000000"/>
              <w:left w:val="single" w:sz="4" w:space="0" w:color="000000"/>
              <w:bottom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92"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r>
      <w:tr w:rsidR="00D227E2">
        <w:tc>
          <w:tcPr>
            <w:tcW w:w="639" w:type="dxa"/>
            <w:tcBorders>
              <w:top w:val="single" w:sz="4" w:space="0" w:color="000000"/>
              <w:left w:val="single" w:sz="8"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2010</w:t>
            </w:r>
          </w:p>
        </w:tc>
        <w:tc>
          <w:tcPr>
            <w:tcW w:w="1493"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67,84</w:t>
            </w:r>
          </w:p>
        </w:tc>
        <w:tc>
          <w:tcPr>
            <w:tcW w:w="1497" w:type="dxa"/>
            <w:tcBorders>
              <w:top w:val="single" w:sz="4" w:space="0" w:color="000000"/>
              <w:left w:val="single" w:sz="4" w:space="0" w:color="000000"/>
              <w:bottom w:val="single" w:sz="4" w:space="0" w:color="000000"/>
              <w:right w:val="single" w:sz="8"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25488</w:t>
            </w:r>
          </w:p>
        </w:tc>
        <w:tc>
          <w:tcPr>
            <w:tcW w:w="1488" w:type="dxa"/>
            <w:tcBorders>
              <w:top w:val="single" w:sz="4" w:space="0" w:color="000000"/>
              <w:left w:val="single" w:sz="4" w:space="0" w:color="000000"/>
              <w:bottom w:val="single" w:sz="4" w:space="0" w:color="000000"/>
              <w:right w:val="single" w:sz="8"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1730</w:t>
            </w:r>
          </w:p>
        </w:tc>
        <w:tc>
          <w:tcPr>
            <w:tcW w:w="1497" w:type="dxa"/>
            <w:tcBorders>
              <w:top w:val="single" w:sz="4" w:space="0" w:color="000000"/>
              <w:left w:val="single" w:sz="8"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88" w:type="dxa"/>
            <w:tcBorders>
              <w:top w:val="single" w:sz="4" w:space="0" w:color="000000"/>
              <w:left w:val="single" w:sz="4" w:space="0" w:color="000000"/>
              <w:bottom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92"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r>
      <w:tr w:rsidR="00D227E2">
        <w:tc>
          <w:tcPr>
            <w:tcW w:w="639" w:type="dxa"/>
            <w:tcBorders>
              <w:top w:val="single" w:sz="4" w:space="0" w:color="000000"/>
              <w:left w:val="single" w:sz="8"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2011</w:t>
            </w:r>
          </w:p>
        </w:tc>
        <w:tc>
          <w:tcPr>
            <w:tcW w:w="1493"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68,86</w:t>
            </w:r>
          </w:p>
        </w:tc>
        <w:tc>
          <w:tcPr>
            <w:tcW w:w="1497" w:type="dxa"/>
            <w:tcBorders>
              <w:top w:val="single" w:sz="4" w:space="0" w:color="000000"/>
              <w:left w:val="single" w:sz="4" w:space="0" w:color="000000"/>
              <w:bottom w:val="single" w:sz="4" w:space="0" w:color="000000"/>
              <w:right w:val="single" w:sz="8"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25424</w:t>
            </w:r>
          </w:p>
        </w:tc>
        <w:tc>
          <w:tcPr>
            <w:tcW w:w="1488" w:type="dxa"/>
            <w:tcBorders>
              <w:top w:val="single" w:sz="4" w:space="0" w:color="000000"/>
              <w:left w:val="single" w:sz="4" w:space="0" w:color="000000"/>
              <w:bottom w:val="single" w:sz="4" w:space="0" w:color="000000"/>
              <w:right w:val="single" w:sz="8"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1467</w:t>
            </w:r>
          </w:p>
        </w:tc>
        <w:tc>
          <w:tcPr>
            <w:tcW w:w="1497" w:type="dxa"/>
            <w:tcBorders>
              <w:top w:val="single" w:sz="4" w:space="0" w:color="000000"/>
              <w:left w:val="single" w:sz="8"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88" w:type="dxa"/>
            <w:tcBorders>
              <w:top w:val="single" w:sz="4" w:space="0" w:color="000000"/>
              <w:left w:val="single" w:sz="4" w:space="0" w:color="000000"/>
              <w:bottom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92"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r>
      <w:tr w:rsidR="00D227E2">
        <w:tc>
          <w:tcPr>
            <w:tcW w:w="639" w:type="dxa"/>
            <w:tcBorders>
              <w:top w:val="single" w:sz="4" w:space="0" w:color="000000"/>
              <w:left w:val="single" w:sz="8"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2012</w:t>
            </w:r>
          </w:p>
        </w:tc>
        <w:tc>
          <w:tcPr>
            <w:tcW w:w="1493"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65,06</w:t>
            </w:r>
          </w:p>
        </w:tc>
        <w:tc>
          <w:tcPr>
            <w:tcW w:w="1497" w:type="dxa"/>
            <w:tcBorders>
              <w:top w:val="single" w:sz="4" w:space="0" w:color="000000"/>
              <w:left w:val="single" w:sz="4" w:space="0" w:color="000000"/>
              <w:bottom w:val="single" w:sz="4" w:space="0" w:color="000000"/>
              <w:right w:val="single" w:sz="8"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24374</w:t>
            </w:r>
          </w:p>
        </w:tc>
        <w:tc>
          <w:tcPr>
            <w:tcW w:w="1488" w:type="dxa"/>
            <w:tcBorders>
              <w:top w:val="single" w:sz="4" w:space="0" w:color="000000"/>
              <w:left w:val="single" w:sz="4" w:space="0" w:color="000000"/>
              <w:bottom w:val="single" w:sz="4" w:space="0" w:color="000000"/>
              <w:right w:val="single" w:sz="8"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1562</w:t>
            </w:r>
          </w:p>
        </w:tc>
        <w:tc>
          <w:tcPr>
            <w:tcW w:w="1497" w:type="dxa"/>
            <w:tcBorders>
              <w:top w:val="single" w:sz="4" w:space="0" w:color="000000"/>
              <w:left w:val="single" w:sz="8"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88" w:type="dxa"/>
            <w:tcBorders>
              <w:top w:val="single" w:sz="4" w:space="0" w:color="000000"/>
              <w:left w:val="single" w:sz="4" w:space="0" w:color="000000"/>
              <w:bottom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92"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r>
      <w:tr w:rsidR="00D227E2">
        <w:tc>
          <w:tcPr>
            <w:tcW w:w="639"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2013</w:t>
            </w:r>
          </w:p>
        </w:tc>
        <w:tc>
          <w:tcPr>
            <w:tcW w:w="1493"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66,06</w:t>
            </w:r>
          </w:p>
        </w:tc>
        <w:tc>
          <w:tcPr>
            <w:tcW w:w="1497"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25488</w:t>
            </w:r>
          </w:p>
        </w:tc>
        <w:tc>
          <w:tcPr>
            <w:tcW w:w="1488"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1703</w:t>
            </w:r>
          </w:p>
        </w:tc>
        <w:tc>
          <w:tcPr>
            <w:tcW w:w="1497"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88" w:type="dxa"/>
            <w:tcBorders>
              <w:top w:val="single" w:sz="4" w:space="0" w:color="000000"/>
              <w:left w:val="single" w:sz="4" w:space="0" w:color="000000"/>
              <w:bottom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92"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r>
      <w:tr w:rsidR="00D227E2">
        <w:tc>
          <w:tcPr>
            <w:tcW w:w="639"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2014</w:t>
            </w:r>
          </w:p>
        </w:tc>
        <w:tc>
          <w:tcPr>
            <w:tcW w:w="1493"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40,74</w:t>
            </w:r>
          </w:p>
        </w:tc>
        <w:tc>
          <w:tcPr>
            <w:tcW w:w="1497"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25424</w:t>
            </w:r>
          </w:p>
        </w:tc>
        <w:tc>
          <w:tcPr>
            <w:tcW w:w="1488"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1411</w:t>
            </w:r>
          </w:p>
        </w:tc>
        <w:tc>
          <w:tcPr>
            <w:tcW w:w="1497"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88" w:type="dxa"/>
            <w:tcBorders>
              <w:top w:val="single" w:sz="4" w:space="0" w:color="000000"/>
              <w:left w:val="single" w:sz="4" w:space="0" w:color="000000"/>
              <w:bottom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92"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r>
      <w:tr w:rsidR="00D227E2">
        <w:tc>
          <w:tcPr>
            <w:tcW w:w="639"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2015</w:t>
            </w:r>
          </w:p>
        </w:tc>
        <w:tc>
          <w:tcPr>
            <w:tcW w:w="1493"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50,19</w:t>
            </w:r>
          </w:p>
        </w:tc>
        <w:tc>
          <w:tcPr>
            <w:tcW w:w="1497"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88"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97"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88" w:type="dxa"/>
            <w:tcBorders>
              <w:left w:val="single" w:sz="4" w:space="0" w:color="000000"/>
              <w:bottom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92"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r>
      <w:tr w:rsidR="00D227E2">
        <w:tc>
          <w:tcPr>
            <w:tcW w:w="639"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2016</w:t>
            </w:r>
          </w:p>
        </w:tc>
        <w:tc>
          <w:tcPr>
            <w:tcW w:w="1493"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54,74</w:t>
            </w:r>
          </w:p>
        </w:tc>
        <w:tc>
          <w:tcPr>
            <w:tcW w:w="1497"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88"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97"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88" w:type="dxa"/>
            <w:tcBorders>
              <w:left w:val="single" w:sz="4" w:space="0" w:color="000000"/>
              <w:bottom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92"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r>
      <w:tr w:rsidR="00D227E2">
        <w:tc>
          <w:tcPr>
            <w:tcW w:w="639"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2017</w:t>
            </w:r>
          </w:p>
        </w:tc>
        <w:tc>
          <w:tcPr>
            <w:tcW w:w="1493"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54,94</w:t>
            </w:r>
          </w:p>
        </w:tc>
        <w:tc>
          <w:tcPr>
            <w:tcW w:w="1497"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88"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97"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88" w:type="dxa"/>
            <w:tcBorders>
              <w:left w:val="single" w:sz="4" w:space="0" w:color="000000"/>
              <w:bottom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92"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r>
      <w:tr w:rsidR="00D227E2">
        <w:tc>
          <w:tcPr>
            <w:tcW w:w="639"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2018</w:t>
            </w:r>
          </w:p>
        </w:tc>
        <w:tc>
          <w:tcPr>
            <w:tcW w:w="1493"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53,51</w:t>
            </w:r>
          </w:p>
        </w:tc>
        <w:tc>
          <w:tcPr>
            <w:tcW w:w="1497"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88"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97"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88" w:type="dxa"/>
            <w:tcBorders>
              <w:left w:val="single" w:sz="4" w:space="0" w:color="000000"/>
              <w:bottom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92"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r>
      <w:tr w:rsidR="00D227E2">
        <w:tc>
          <w:tcPr>
            <w:tcW w:w="639"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2019</w:t>
            </w:r>
          </w:p>
        </w:tc>
        <w:tc>
          <w:tcPr>
            <w:tcW w:w="1493"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46,88</w:t>
            </w:r>
          </w:p>
        </w:tc>
        <w:tc>
          <w:tcPr>
            <w:tcW w:w="1497"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88"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97"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88" w:type="dxa"/>
            <w:tcBorders>
              <w:left w:val="single" w:sz="4" w:space="0" w:color="000000"/>
              <w:bottom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92"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r>
      <w:tr w:rsidR="00D227E2">
        <w:tc>
          <w:tcPr>
            <w:tcW w:w="9594" w:type="dxa"/>
            <w:gridSpan w:val="7"/>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Луцька МТГ</w:t>
            </w:r>
          </w:p>
        </w:tc>
      </w:tr>
      <w:tr w:rsidR="00D227E2">
        <w:tc>
          <w:tcPr>
            <w:tcW w:w="639"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2020</w:t>
            </w:r>
          </w:p>
        </w:tc>
        <w:tc>
          <w:tcPr>
            <w:tcW w:w="1493"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49,17</w:t>
            </w:r>
          </w:p>
        </w:tc>
        <w:tc>
          <w:tcPr>
            <w:tcW w:w="1497"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25006</w:t>
            </w:r>
          </w:p>
        </w:tc>
        <w:tc>
          <w:tcPr>
            <w:tcW w:w="1488"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2880,6</w:t>
            </w:r>
          </w:p>
        </w:tc>
        <w:tc>
          <w:tcPr>
            <w:tcW w:w="1497"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88" w:type="dxa"/>
            <w:tcBorders>
              <w:left w:val="single" w:sz="4" w:space="0" w:color="000000"/>
              <w:bottom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92"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r>
      <w:tr w:rsidR="00D227E2">
        <w:tc>
          <w:tcPr>
            <w:tcW w:w="639"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2021</w:t>
            </w:r>
          </w:p>
        </w:tc>
        <w:tc>
          <w:tcPr>
            <w:tcW w:w="1493"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42,58</w:t>
            </w:r>
          </w:p>
        </w:tc>
        <w:tc>
          <w:tcPr>
            <w:tcW w:w="1497"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30955</w:t>
            </w:r>
          </w:p>
        </w:tc>
        <w:tc>
          <w:tcPr>
            <w:tcW w:w="1488"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3102,1</w:t>
            </w:r>
          </w:p>
        </w:tc>
        <w:tc>
          <w:tcPr>
            <w:tcW w:w="1497"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2,0</w:t>
            </w:r>
          </w:p>
        </w:tc>
        <w:tc>
          <w:tcPr>
            <w:tcW w:w="1488" w:type="dxa"/>
            <w:tcBorders>
              <w:left w:val="single" w:sz="4" w:space="0" w:color="000000"/>
              <w:bottom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286,0</w:t>
            </w:r>
          </w:p>
        </w:tc>
        <w:tc>
          <w:tcPr>
            <w:tcW w:w="1492"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419</w:t>
            </w:r>
          </w:p>
        </w:tc>
      </w:tr>
      <w:tr w:rsidR="00D227E2">
        <w:tc>
          <w:tcPr>
            <w:tcW w:w="639"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2022</w:t>
            </w:r>
          </w:p>
        </w:tc>
        <w:tc>
          <w:tcPr>
            <w:tcW w:w="1493"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41,65</w:t>
            </w:r>
          </w:p>
        </w:tc>
        <w:tc>
          <w:tcPr>
            <w:tcW w:w="1497"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29762</w:t>
            </w:r>
          </w:p>
        </w:tc>
        <w:tc>
          <w:tcPr>
            <w:tcW w:w="1488"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2549,4</w:t>
            </w:r>
          </w:p>
        </w:tc>
        <w:tc>
          <w:tcPr>
            <w:tcW w:w="1497"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4,6</w:t>
            </w:r>
          </w:p>
        </w:tc>
        <w:tc>
          <w:tcPr>
            <w:tcW w:w="1488" w:type="dxa"/>
            <w:tcBorders>
              <w:left w:val="single" w:sz="4" w:space="0" w:color="000000"/>
              <w:bottom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383,7</w:t>
            </w:r>
          </w:p>
        </w:tc>
        <w:tc>
          <w:tcPr>
            <w:tcW w:w="1492" w:type="dxa"/>
            <w:tcBorders>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181,5</w:t>
            </w:r>
          </w:p>
        </w:tc>
      </w:tr>
    </w:tbl>
    <w:p w:rsidR="00D227E2" w:rsidRDefault="00934FC4">
      <w:pPr>
        <w:spacing w:after="0"/>
        <w:ind w:firstLine="510"/>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Будівлі муніципальної сфери мають опалення від централізованої системи теплопостачання, а також за рахунок власних котелень, що використовують в якості палива природний газ, деревину та частково вугілля.</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kern w:val="2"/>
          <w:sz w:val="24"/>
          <w:szCs w:val="24"/>
          <w:lang w:eastAsia="zh-CN" w:bidi="hi-IN"/>
        </w:rPr>
        <w:t>Обсяги споживання тепла від централізованої системи опалення в муніципальних будівлях представлено на рисунку 27.</w:t>
      </w:r>
    </w:p>
    <w:p w:rsidR="00D227E2" w:rsidRDefault="00934FC4">
      <w:pPr>
        <w:spacing w:after="0"/>
        <w:ind w:firstLine="510"/>
        <w:jc w:val="both"/>
        <w:rPr>
          <w:rFonts w:ascii="Times New Roman" w:eastAsia="NSimSun" w:hAnsi="Times New Roman" w:cs="Times New Roman"/>
          <w:kern w:val="2"/>
          <w:sz w:val="24"/>
          <w:szCs w:val="24"/>
          <w:lang w:eastAsia="zh-CN" w:bidi="hi-IN"/>
        </w:rPr>
      </w:pPr>
      <w:r>
        <w:rPr>
          <w:rFonts w:ascii="Times New Roman" w:eastAsia="NSimSun" w:hAnsi="Times New Roman" w:cs="Times New Roman"/>
          <w:noProof/>
          <w:kern w:val="2"/>
          <w:sz w:val="24"/>
          <w:szCs w:val="24"/>
          <w:lang w:eastAsia="uk-UA"/>
        </w:rPr>
        <w:drawing>
          <wp:anchor distT="0" distB="0" distL="0" distR="0" simplePos="0" relativeHeight="66" behindDoc="0" locked="0" layoutInCell="0" allowOverlap="1" wp14:anchorId="56D7EE70" wp14:editId="34E31F1F">
            <wp:simplePos x="0" y="0"/>
            <wp:positionH relativeFrom="column">
              <wp:posOffset>1490345</wp:posOffset>
            </wp:positionH>
            <wp:positionV relativeFrom="paragraph">
              <wp:posOffset>113665</wp:posOffset>
            </wp:positionV>
            <wp:extent cx="3655695" cy="2055495"/>
            <wp:effectExtent l="0" t="0" r="0" b="0"/>
            <wp:wrapSquare wrapText="largest"/>
            <wp:docPr id="41" name="Об'єкт14" descr="діаграма"/>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anchor>
        </w:drawing>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kern w:val="2"/>
          <w:sz w:val="24"/>
          <w:szCs w:val="24"/>
          <w:lang w:eastAsia="zh-CN" w:bidi="hi-IN"/>
        </w:rPr>
        <w:t> </w:t>
      </w:r>
    </w:p>
    <w:p w:rsidR="00D227E2" w:rsidRDefault="00D227E2">
      <w:pPr>
        <w:spacing w:after="0"/>
        <w:ind w:firstLine="510"/>
        <w:jc w:val="both"/>
        <w:rPr>
          <w:rFonts w:ascii="Times New Roman" w:eastAsia="NSimSun" w:hAnsi="Times New Roman" w:cs="Times New Roman"/>
          <w:kern w:val="2"/>
          <w:sz w:val="24"/>
          <w:szCs w:val="24"/>
          <w:lang w:eastAsia="zh-CN" w:bidi="hi-IN"/>
        </w:rPr>
      </w:pPr>
    </w:p>
    <w:p w:rsidR="00D227E2" w:rsidRDefault="00D227E2">
      <w:pPr>
        <w:spacing w:after="0"/>
        <w:ind w:firstLine="510"/>
        <w:jc w:val="both"/>
        <w:rPr>
          <w:rFonts w:ascii="Times New Roman" w:eastAsia="NSimSun" w:hAnsi="Times New Roman" w:cs="Times New Roman"/>
          <w:kern w:val="2"/>
          <w:sz w:val="24"/>
          <w:szCs w:val="24"/>
          <w:lang w:eastAsia="zh-CN" w:bidi="hi-IN"/>
        </w:rPr>
      </w:pPr>
    </w:p>
    <w:p w:rsidR="00D227E2" w:rsidRDefault="00D227E2">
      <w:pPr>
        <w:spacing w:after="0"/>
        <w:ind w:firstLine="510"/>
        <w:jc w:val="both"/>
        <w:rPr>
          <w:rFonts w:ascii="Times New Roman" w:eastAsia="NSimSun" w:hAnsi="Times New Roman" w:cs="Times New Roman"/>
          <w:kern w:val="2"/>
          <w:sz w:val="24"/>
          <w:szCs w:val="24"/>
          <w:lang w:eastAsia="zh-CN" w:bidi="hi-IN"/>
        </w:rPr>
      </w:pPr>
    </w:p>
    <w:p w:rsidR="00D227E2" w:rsidRDefault="00D227E2">
      <w:pPr>
        <w:spacing w:after="0"/>
        <w:ind w:firstLine="510"/>
        <w:jc w:val="both"/>
        <w:rPr>
          <w:rFonts w:ascii="Times New Roman" w:eastAsia="NSimSun" w:hAnsi="Times New Roman" w:cs="Times New Roman"/>
          <w:kern w:val="2"/>
          <w:sz w:val="24"/>
          <w:szCs w:val="24"/>
          <w:lang w:eastAsia="zh-CN" w:bidi="hi-IN"/>
        </w:rPr>
      </w:pPr>
    </w:p>
    <w:p w:rsidR="00D227E2" w:rsidRDefault="00D227E2">
      <w:pPr>
        <w:spacing w:after="0"/>
        <w:ind w:firstLine="510"/>
        <w:jc w:val="both"/>
        <w:rPr>
          <w:rFonts w:ascii="Times New Roman" w:eastAsia="NSimSun" w:hAnsi="Times New Roman" w:cs="Times New Roman"/>
          <w:kern w:val="2"/>
          <w:sz w:val="24"/>
          <w:szCs w:val="24"/>
          <w:lang w:eastAsia="zh-CN" w:bidi="hi-IN"/>
        </w:rPr>
      </w:pPr>
    </w:p>
    <w:p w:rsidR="00D227E2" w:rsidRDefault="00D227E2">
      <w:pPr>
        <w:spacing w:after="0"/>
        <w:ind w:firstLine="510"/>
        <w:jc w:val="both"/>
        <w:rPr>
          <w:rFonts w:ascii="Times New Roman" w:eastAsia="NSimSun" w:hAnsi="Times New Roman" w:cs="Times New Roman"/>
          <w:kern w:val="2"/>
          <w:sz w:val="24"/>
          <w:szCs w:val="24"/>
          <w:lang w:eastAsia="zh-CN" w:bidi="hi-IN"/>
        </w:rPr>
      </w:pPr>
    </w:p>
    <w:p w:rsidR="00D227E2" w:rsidRDefault="00D227E2">
      <w:pPr>
        <w:spacing w:after="0"/>
        <w:ind w:firstLine="510"/>
        <w:jc w:val="both"/>
        <w:rPr>
          <w:rFonts w:ascii="Times New Roman" w:eastAsia="NSimSun" w:hAnsi="Times New Roman" w:cs="Times New Roman"/>
          <w:kern w:val="2"/>
          <w:sz w:val="24"/>
          <w:szCs w:val="24"/>
          <w:lang w:eastAsia="zh-CN" w:bidi="hi-IN"/>
        </w:rPr>
      </w:pPr>
    </w:p>
    <w:p w:rsidR="00D227E2" w:rsidRDefault="00D227E2">
      <w:pPr>
        <w:spacing w:after="0"/>
        <w:ind w:firstLine="510"/>
        <w:jc w:val="both"/>
        <w:rPr>
          <w:rFonts w:ascii="Times New Roman" w:eastAsia="NSimSun" w:hAnsi="Times New Roman" w:cs="Times New Roman"/>
          <w:kern w:val="2"/>
          <w:sz w:val="24"/>
          <w:szCs w:val="24"/>
          <w:lang w:eastAsia="zh-CN" w:bidi="hi-IN"/>
        </w:rPr>
      </w:pPr>
    </w:p>
    <w:p w:rsidR="00D227E2" w:rsidRDefault="00D227E2">
      <w:pPr>
        <w:spacing w:after="0"/>
        <w:ind w:firstLine="510"/>
        <w:jc w:val="both"/>
        <w:rPr>
          <w:rFonts w:ascii="Times New Roman" w:eastAsia="NSimSun" w:hAnsi="Times New Roman" w:cs="Times New Roman"/>
          <w:kern w:val="2"/>
          <w:sz w:val="24"/>
          <w:szCs w:val="24"/>
          <w:lang w:eastAsia="zh-CN" w:bidi="hi-IN"/>
        </w:rPr>
      </w:pPr>
    </w:p>
    <w:p w:rsidR="00D227E2" w:rsidRDefault="00934FC4">
      <w:pPr>
        <w:spacing w:after="0"/>
        <w:ind w:firstLine="510"/>
        <w:jc w:val="center"/>
        <w:rPr>
          <w:rFonts w:ascii="Times New Roman" w:hAnsi="Times New Roman" w:cs="Times New Roman"/>
        </w:rPr>
      </w:pPr>
      <w:r>
        <w:rPr>
          <w:rFonts w:ascii="Times New Roman" w:eastAsia="NSimSun" w:hAnsi="Times New Roman" w:cs="Times New Roman"/>
          <w:kern w:val="2"/>
          <w:sz w:val="24"/>
          <w:szCs w:val="24"/>
          <w:lang w:eastAsia="zh-CN" w:bidi="hi-IN"/>
        </w:rPr>
        <w:t>Рисунок 27. Обсяги споживання тепла в муніципальних будівлях</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 xml:space="preserve">На рисунку 27 бачимо, що обсяги споживання тепла мають нерівномірний характер. Наприклад, загальний обсяг споживання тепла у 2022 році є практично у два рази меншим ніж у 2007 році. Такі зміни пояснюються як зменшенням періоду опалення по кількості днів та збільшенням середніх зовнішніх температур, так і ефектом від здійснених </w:t>
      </w:r>
      <w:r>
        <w:rPr>
          <w:rFonts w:ascii="Times New Roman" w:eastAsia="NSimSun" w:hAnsi="Times New Roman" w:cs="Times New Roman"/>
          <w:color w:val="000000"/>
          <w:kern w:val="2"/>
          <w:sz w:val="24"/>
          <w:szCs w:val="24"/>
          <w:shd w:val="clear" w:color="auto" w:fill="FFFFFF"/>
          <w:lang w:eastAsia="zh-CN" w:bidi="hi-IN"/>
        </w:rPr>
        <w:lastRenderedPageBreak/>
        <w:t>енергоефективних заходів в муніципальних будівлях. Оцінка зменшення теплоспоживання за рахунок енергоефективних заходів представлена в таблиці 45 «Перелік заходів з адаптації до змін клімату для Луцької МТГ до 2050 року» в підрозділі 7.2.</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kern w:val="2"/>
          <w:sz w:val="24"/>
          <w:szCs w:val="24"/>
          <w:lang w:eastAsia="zh-CN" w:bidi="hi-IN"/>
        </w:rPr>
        <w:t>Обсяги споживання електроенергії в муніципальних будівлях представлено на рисунку 28.</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noProof/>
          <w:kern w:val="2"/>
          <w:sz w:val="24"/>
          <w:szCs w:val="24"/>
          <w:lang w:eastAsia="uk-UA"/>
        </w:rPr>
        <w:drawing>
          <wp:anchor distT="0" distB="0" distL="0" distR="0" simplePos="0" relativeHeight="64" behindDoc="0" locked="0" layoutInCell="0" allowOverlap="1" wp14:anchorId="082DB956" wp14:editId="5D2BE03F">
            <wp:simplePos x="0" y="0"/>
            <wp:positionH relativeFrom="column">
              <wp:posOffset>1356995</wp:posOffset>
            </wp:positionH>
            <wp:positionV relativeFrom="paragraph">
              <wp:posOffset>2540</wp:posOffset>
            </wp:positionV>
            <wp:extent cx="3971290" cy="1962150"/>
            <wp:effectExtent l="0" t="0" r="0" b="0"/>
            <wp:wrapSquare wrapText="largest"/>
            <wp:docPr id="42" name="Об'єкт19" descr="діаграма"/>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anchor>
        </w:drawing>
      </w:r>
      <w:r>
        <w:rPr>
          <w:rFonts w:ascii="Times New Roman" w:eastAsia="NSimSun" w:hAnsi="Times New Roman" w:cs="Times New Roman"/>
          <w:kern w:val="2"/>
          <w:sz w:val="24"/>
          <w:szCs w:val="24"/>
          <w:lang w:eastAsia="zh-CN" w:bidi="hi-IN"/>
        </w:rPr>
        <w:t> </w:t>
      </w:r>
    </w:p>
    <w:p w:rsidR="00D227E2" w:rsidRDefault="00D227E2">
      <w:pPr>
        <w:spacing w:after="0"/>
        <w:ind w:firstLine="510"/>
        <w:jc w:val="both"/>
        <w:rPr>
          <w:rFonts w:ascii="Times New Roman" w:eastAsia="NSimSun" w:hAnsi="Times New Roman" w:cs="Times New Roman"/>
          <w:kern w:val="2"/>
          <w:sz w:val="24"/>
          <w:szCs w:val="24"/>
          <w:lang w:eastAsia="zh-CN" w:bidi="hi-IN"/>
        </w:rPr>
      </w:pPr>
    </w:p>
    <w:p w:rsidR="00D227E2" w:rsidRDefault="00D227E2">
      <w:pPr>
        <w:spacing w:after="0"/>
        <w:ind w:firstLine="510"/>
        <w:jc w:val="both"/>
        <w:rPr>
          <w:rFonts w:ascii="Times New Roman" w:eastAsia="NSimSun" w:hAnsi="Times New Roman" w:cs="Times New Roman"/>
          <w:kern w:val="2"/>
          <w:sz w:val="24"/>
          <w:szCs w:val="24"/>
          <w:lang w:eastAsia="zh-CN" w:bidi="hi-IN"/>
        </w:rPr>
      </w:pPr>
    </w:p>
    <w:p w:rsidR="00D227E2" w:rsidRDefault="00D227E2">
      <w:pPr>
        <w:spacing w:after="0"/>
        <w:ind w:firstLine="510"/>
        <w:jc w:val="both"/>
        <w:rPr>
          <w:rFonts w:ascii="Times New Roman" w:eastAsia="NSimSun" w:hAnsi="Times New Roman" w:cs="Times New Roman"/>
          <w:kern w:val="2"/>
          <w:sz w:val="24"/>
          <w:szCs w:val="24"/>
          <w:lang w:eastAsia="zh-CN" w:bidi="hi-IN"/>
        </w:rPr>
      </w:pPr>
    </w:p>
    <w:p w:rsidR="00D227E2" w:rsidRDefault="00D227E2">
      <w:pPr>
        <w:spacing w:after="0"/>
        <w:ind w:firstLine="510"/>
        <w:jc w:val="both"/>
        <w:rPr>
          <w:rFonts w:ascii="Times New Roman" w:eastAsia="NSimSun" w:hAnsi="Times New Roman" w:cs="Times New Roman"/>
          <w:kern w:val="2"/>
          <w:sz w:val="24"/>
          <w:szCs w:val="24"/>
          <w:lang w:eastAsia="zh-CN" w:bidi="hi-IN"/>
        </w:rPr>
      </w:pPr>
    </w:p>
    <w:p w:rsidR="00D227E2" w:rsidRDefault="00D227E2">
      <w:pPr>
        <w:spacing w:after="0"/>
        <w:ind w:firstLine="510"/>
        <w:jc w:val="both"/>
        <w:rPr>
          <w:rFonts w:ascii="Times New Roman" w:eastAsia="NSimSun" w:hAnsi="Times New Roman" w:cs="Times New Roman"/>
          <w:kern w:val="2"/>
          <w:sz w:val="24"/>
          <w:szCs w:val="24"/>
          <w:lang w:eastAsia="zh-CN" w:bidi="hi-IN"/>
        </w:rPr>
      </w:pPr>
    </w:p>
    <w:p w:rsidR="00D227E2" w:rsidRDefault="00D227E2">
      <w:pPr>
        <w:spacing w:after="0"/>
        <w:ind w:firstLine="510"/>
        <w:jc w:val="both"/>
        <w:rPr>
          <w:rFonts w:ascii="Times New Roman" w:eastAsia="NSimSun" w:hAnsi="Times New Roman" w:cs="Times New Roman"/>
          <w:kern w:val="2"/>
          <w:sz w:val="24"/>
          <w:szCs w:val="24"/>
          <w:lang w:eastAsia="zh-CN" w:bidi="hi-IN"/>
        </w:rPr>
      </w:pPr>
    </w:p>
    <w:p w:rsidR="00D227E2" w:rsidRDefault="00D227E2">
      <w:pPr>
        <w:spacing w:after="0"/>
        <w:ind w:firstLine="510"/>
        <w:jc w:val="both"/>
        <w:rPr>
          <w:rFonts w:ascii="Times New Roman" w:eastAsia="NSimSun" w:hAnsi="Times New Roman" w:cs="Times New Roman"/>
          <w:kern w:val="2"/>
          <w:sz w:val="24"/>
          <w:szCs w:val="24"/>
          <w:lang w:eastAsia="zh-CN" w:bidi="hi-IN"/>
        </w:rPr>
      </w:pPr>
    </w:p>
    <w:p w:rsidR="00D227E2" w:rsidRDefault="00D227E2">
      <w:pPr>
        <w:spacing w:after="0"/>
        <w:ind w:firstLine="510"/>
        <w:jc w:val="both"/>
        <w:rPr>
          <w:rFonts w:ascii="Times New Roman" w:eastAsia="NSimSun" w:hAnsi="Times New Roman" w:cs="Times New Roman"/>
          <w:kern w:val="2"/>
          <w:sz w:val="24"/>
          <w:szCs w:val="24"/>
          <w:lang w:eastAsia="zh-CN" w:bidi="hi-IN"/>
        </w:rPr>
      </w:pPr>
    </w:p>
    <w:p w:rsidR="00D227E2" w:rsidRDefault="00D227E2">
      <w:pPr>
        <w:spacing w:after="0"/>
        <w:ind w:firstLine="510"/>
        <w:jc w:val="both"/>
        <w:rPr>
          <w:rFonts w:ascii="Times New Roman" w:eastAsia="NSimSun" w:hAnsi="Times New Roman" w:cs="Times New Roman"/>
          <w:kern w:val="2"/>
          <w:sz w:val="24"/>
          <w:szCs w:val="24"/>
          <w:lang w:eastAsia="zh-CN" w:bidi="hi-IN"/>
        </w:rPr>
      </w:pPr>
    </w:p>
    <w:p w:rsidR="00D227E2" w:rsidRDefault="00934FC4">
      <w:pPr>
        <w:spacing w:after="0"/>
        <w:ind w:firstLine="510"/>
        <w:jc w:val="center"/>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Рисунок 28. Обсяги споживання електроенергії в муніципальних будівлях.</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Споживання електроенергії за 2021-2022 роки виросло у зв’язку з перебоями опалення  муніципальних будівель під час пандемії та повномасштабного російського вторгнення. З цих причин муніципальні будівлі додатково опалювалися за рахунок споживання електроенергії.</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kern w:val="2"/>
          <w:sz w:val="24"/>
          <w:szCs w:val="24"/>
          <w:lang w:eastAsia="zh-CN" w:bidi="hi-IN"/>
        </w:rPr>
        <w:t>Обсяги споживання енергоресурсів бюджетними установами, за період 2007, 2020 та 2022 роки надані у таблиці 40.</w:t>
      </w:r>
    </w:p>
    <w:p w:rsidR="00D227E2" w:rsidRDefault="00934FC4">
      <w:pPr>
        <w:spacing w:after="0"/>
        <w:ind w:firstLine="510"/>
        <w:jc w:val="center"/>
        <w:rPr>
          <w:rFonts w:ascii="Times New Roman" w:hAnsi="Times New Roman" w:cs="Times New Roman"/>
        </w:rPr>
      </w:pPr>
      <w:r>
        <w:rPr>
          <w:rFonts w:ascii="Times New Roman" w:eastAsia="NSimSun" w:hAnsi="Times New Roman" w:cs="Times New Roman"/>
          <w:kern w:val="2"/>
          <w:sz w:val="24"/>
          <w:szCs w:val="24"/>
          <w:lang w:eastAsia="zh-CN" w:bidi="hi-IN"/>
        </w:rPr>
        <w:t xml:space="preserve">Таблиця 40. Споживання енергоресурсів бюджетними установами </w:t>
      </w:r>
    </w:p>
    <w:tbl>
      <w:tblPr>
        <w:tblW w:w="9643" w:type="dxa"/>
        <w:tblInd w:w="9" w:type="dxa"/>
        <w:tblLayout w:type="fixed"/>
        <w:tblCellMar>
          <w:left w:w="5" w:type="dxa"/>
          <w:right w:w="5" w:type="dxa"/>
        </w:tblCellMar>
        <w:tblLook w:val="0000" w:firstRow="0" w:lastRow="0" w:firstColumn="0" w:lastColumn="0" w:noHBand="0" w:noVBand="0"/>
      </w:tblPr>
      <w:tblGrid>
        <w:gridCol w:w="2309"/>
        <w:gridCol w:w="1662"/>
        <w:gridCol w:w="1297"/>
        <w:gridCol w:w="1323"/>
        <w:gridCol w:w="1297"/>
        <w:gridCol w:w="1755"/>
      </w:tblGrid>
      <w:tr w:rsidR="00D227E2">
        <w:tc>
          <w:tcPr>
            <w:tcW w:w="2308" w:type="dxa"/>
            <w:vMerge w:val="restart"/>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jc w:val="center"/>
              <w:rPr>
                <w:rFonts w:ascii="Times New Roman" w:eastAsia="Microsoft Sans Serif" w:hAnsi="Times New Roman" w:cs="Times New Roman"/>
                <w:kern w:val="2"/>
              </w:rPr>
            </w:pPr>
          </w:p>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Типи енергоресурсів</w:t>
            </w:r>
          </w:p>
        </w:tc>
        <w:tc>
          <w:tcPr>
            <w:tcW w:w="1662" w:type="dxa"/>
            <w:vMerge w:val="restart"/>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jc w:val="center"/>
              <w:rPr>
                <w:rFonts w:ascii="Times New Roman" w:eastAsia="Microsoft Sans Serif" w:hAnsi="Times New Roman" w:cs="Times New Roman"/>
                <w:kern w:val="2"/>
              </w:rPr>
            </w:pPr>
          </w:p>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Одиниці</w:t>
            </w:r>
          </w:p>
        </w:tc>
        <w:tc>
          <w:tcPr>
            <w:tcW w:w="3917" w:type="dxa"/>
            <w:gridSpan w:val="3"/>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Споживання по</w:t>
            </w:r>
          </w:p>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роках</w:t>
            </w:r>
          </w:p>
        </w:tc>
        <w:tc>
          <w:tcPr>
            <w:tcW w:w="1755" w:type="dxa"/>
            <w:vMerge w:val="restart"/>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 xml:space="preserve"> % зміни споживання</w:t>
            </w:r>
          </w:p>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(2022/2007)</w:t>
            </w:r>
          </w:p>
        </w:tc>
      </w:tr>
      <w:tr w:rsidR="00D227E2">
        <w:tc>
          <w:tcPr>
            <w:tcW w:w="2308" w:type="dxa"/>
            <w:vMerge/>
            <w:tcBorders>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eastAsia="NSimSun" w:hAnsi="Times New Roman" w:cs="Times New Roman"/>
                <w:kern w:val="2"/>
                <w:lang w:eastAsia="zh-CN" w:bidi="hi-IN"/>
              </w:rPr>
            </w:pPr>
          </w:p>
        </w:tc>
        <w:tc>
          <w:tcPr>
            <w:tcW w:w="1662" w:type="dxa"/>
            <w:vMerge/>
            <w:tcBorders>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eastAsia="NSimSun" w:hAnsi="Times New Roman" w:cs="Times New Roman"/>
                <w:kern w:val="2"/>
                <w:lang w:eastAsia="zh-CN" w:bidi="hi-IN"/>
              </w:rPr>
            </w:pPr>
          </w:p>
        </w:tc>
        <w:tc>
          <w:tcPr>
            <w:tcW w:w="1297" w:type="dxa"/>
            <w:tcBorders>
              <w:top w:val="single" w:sz="4" w:space="0" w:color="000000"/>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2007</w:t>
            </w:r>
          </w:p>
        </w:tc>
        <w:tc>
          <w:tcPr>
            <w:tcW w:w="132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2020</w:t>
            </w:r>
          </w:p>
        </w:tc>
        <w:tc>
          <w:tcPr>
            <w:tcW w:w="129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2022</w:t>
            </w:r>
          </w:p>
        </w:tc>
        <w:tc>
          <w:tcPr>
            <w:tcW w:w="1755" w:type="dxa"/>
            <w:vMerge/>
            <w:tcBorders>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eastAsia="NSimSun" w:hAnsi="Times New Roman" w:cs="Times New Roman"/>
                <w:kern w:val="2"/>
                <w:lang w:eastAsia="zh-CN" w:bidi="hi-IN"/>
              </w:rPr>
            </w:pPr>
          </w:p>
        </w:tc>
      </w:tr>
      <w:tr w:rsidR="00D227E2">
        <w:tc>
          <w:tcPr>
            <w:tcW w:w="230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Теплова енергія (Централізоване</w:t>
            </w:r>
          </w:p>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опалення)</w:t>
            </w:r>
          </w:p>
        </w:tc>
        <w:tc>
          <w:tcPr>
            <w:tcW w:w="166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тис. Гкал</w:t>
            </w:r>
          </w:p>
        </w:tc>
        <w:tc>
          <w:tcPr>
            <w:tcW w:w="1297" w:type="dxa"/>
            <w:tcBorders>
              <w:top w:val="single" w:sz="4" w:space="0" w:color="000000"/>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85,1</w:t>
            </w:r>
          </w:p>
        </w:tc>
        <w:tc>
          <w:tcPr>
            <w:tcW w:w="132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49,17</w:t>
            </w:r>
          </w:p>
        </w:tc>
        <w:tc>
          <w:tcPr>
            <w:tcW w:w="129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41,65</w:t>
            </w:r>
          </w:p>
        </w:tc>
        <w:tc>
          <w:tcPr>
            <w:tcW w:w="175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-51,1</w:t>
            </w:r>
          </w:p>
        </w:tc>
      </w:tr>
      <w:tr w:rsidR="00D227E2">
        <w:tc>
          <w:tcPr>
            <w:tcW w:w="230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shd w:val="clear" w:color="auto" w:fill="FFFFFF"/>
              </w:rPr>
              <w:t>Електроенергія</w:t>
            </w:r>
          </w:p>
        </w:tc>
        <w:tc>
          <w:tcPr>
            <w:tcW w:w="166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hd w:val="clear" w:color="auto" w:fill="FFFFFF"/>
              </w:rPr>
              <w:t>тис. МВт.год.</w:t>
            </w:r>
          </w:p>
        </w:tc>
        <w:tc>
          <w:tcPr>
            <w:tcW w:w="1297" w:type="dxa"/>
            <w:tcBorders>
              <w:top w:val="single" w:sz="4" w:space="0" w:color="000000"/>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hd w:val="clear" w:color="auto" w:fill="FFFFFF"/>
              </w:rPr>
              <w:t>24,340</w:t>
            </w:r>
          </w:p>
        </w:tc>
        <w:tc>
          <w:tcPr>
            <w:tcW w:w="132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25,006</w:t>
            </w:r>
          </w:p>
        </w:tc>
        <w:tc>
          <w:tcPr>
            <w:tcW w:w="129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hd w:val="clear" w:color="auto" w:fill="FFFFFF"/>
              </w:rPr>
              <w:t>29,762</w:t>
            </w:r>
          </w:p>
        </w:tc>
        <w:tc>
          <w:tcPr>
            <w:tcW w:w="175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hd w:val="clear" w:color="auto" w:fill="FFFFFF"/>
              </w:rPr>
              <w:t>+22,3</w:t>
            </w:r>
          </w:p>
        </w:tc>
      </w:tr>
      <w:tr w:rsidR="00D227E2">
        <w:tc>
          <w:tcPr>
            <w:tcW w:w="230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Природний газ</w:t>
            </w:r>
          </w:p>
        </w:tc>
        <w:tc>
          <w:tcPr>
            <w:tcW w:w="166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млн м</w:t>
            </w:r>
            <w:r>
              <w:rPr>
                <w:rFonts w:ascii="Times New Roman" w:eastAsia="Microsoft Sans Serif" w:hAnsi="Times New Roman" w:cs="Times New Roman"/>
                <w:kern w:val="2"/>
                <w:vertAlign w:val="superscript"/>
              </w:rPr>
              <w:t>3</w:t>
            </w:r>
          </w:p>
        </w:tc>
        <w:tc>
          <w:tcPr>
            <w:tcW w:w="1297" w:type="dxa"/>
            <w:tcBorders>
              <w:top w:val="single" w:sz="4" w:space="0" w:color="000000"/>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4,128</w:t>
            </w:r>
          </w:p>
        </w:tc>
        <w:tc>
          <w:tcPr>
            <w:tcW w:w="132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2,880</w:t>
            </w:r>
          </w:p>
        </w:tc>
        <w:tc>
          <w:tcPr>
            <w:tcW w:w="129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3,102</w:t>
            </w:r>
          </w:p>
        </w:tc>
        <w:tc>
          <w:tcPr>
            <w:tcW w:w="175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-24,9</w:t>
            </w:r>
          </w:p>
        </w:tc>
      </w:tr>
    </w:tbl>
    <w:p w:rsidR="00D227E2" w:rsidRDefault="00934FC4">
      <w:pPr>
        <w:spacing w:after="0"/>
        <w:ind w:firstLine="510"/>
        <w:jc w:val="both"/>
        <w:rPr>
          <w:rFonts w:ascii="Times New Roman" w:hAnsi="Times New Roman" w:cs="Times New Roman"/>
        </w:rPr>
      </w:pPr>
      <w:r>
        <w:rPr>
          <w:rFonts w:ascii="Times New Roman" w:eastAsia="NSimSun" w:hAnsi="Times New Roman" w:cs="Times New Roman"/>
          <w:kern w:val="2"/>
          <w:sz w:val="24"/>
          <w:szCs w:val="24"/>
          <w:lang w:eastAsia="zh-CN" w:bidi="hi-IN"/>
        </w:rPr>
        <w:t>На рисунку 29 представлено співвідношення споживання енергоресурсів у 2007, 2020 та 2022 роках по бюджетним установам.</w:t>
      </w:r>
    </w:p>
    <w:p w:rsidR="00D227E2" w:rsidRDefault="00934FC4">
      <w:pPr>
        <w:spacing w:after="0"/>
        <w:jc w:val="center"/>
        <w:rPr>
          <w:rFonts w:ascii="Times New Roman" w:eastAsia="NSimSun" w:hAnsi="Times New Roman" w:cs="Times New Roman"/>
          <w:color w:val="000000"/>
          <w:kern w:val="2"/>
          <w:sz w:val="24"/>
          <w:szCs w:val="24"/>
          <w:shd w:val="clear" w:color="auto" w:fill="FFFFFF"/>
          <w:lang w:eastAsia="zh-CN" w:bidi="hi-IN"/>
        </w:rPr>
      </w:pPr>
      <w:r>
        <w:rPr>
          <w:rFonts w:ascii="Times New Roman" w:eastAsia="NSimSun" w:hAnsi="Times New Roman" w:cs="Times New Roman"/>
          <w:noProof/>
          <w:color w:val="000000"/>
          <w:kern w:val="2"/>
          <w:sz w:val="24"/>
          <w:szCs w:val="24"/>
          <w:shd w:val="clear" w:color="auto" w:fill="FFFFFF"/>
          <w:lang w:eastAsia="uk-UA"/>
        </w:rPr>
        <w:drawing>
          <wp:anchor distT="0" distB="0" distL="0" distR="0" simplePos="0" relativeHeight="62" behindDoc="0" locked="0" layoutInCell="0" allowOverlap="1" wp14:anchorId="7746C014" wp14:editId="7043AE62">
            <wp:simplePos x="0" y="0"/>
            <wp:positionH relativeFrom="column">
              <wp:posOffset>1181100</wp:posOffset>
            </wp:positionH>
            <wp:positionV relativeFrom="paragraph">
              <wp:posOffset>21590</wp:posOffset>
            </wp:positionV>
            <wp:extent cx="3427095" cy="1910715"/>
            <wp:effectExtent l="0" t="0" r="0" b="0"/>
            <wp:wrapSquare wrapText="largest"/>
            <wp:docPr id="43" name="Об'єкт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anchor>
        </w:drawing>
      </w:r>
    </w:p>
    <w:p w:rsidR="00D227E2" w:rsidRDefault="00D227E2">
      <w:pPr>
        <w:spacing w:after="0"/>
        <w:jc w:val="center"/>
        <w:rPr>
          <w:rFonts w:ascii="Times New Roman" w:eastAsia="NSimSun" w:hAnsi="Times New Roman" w:cs="Times New Roman"/>
          <w:color w:val="000000"/>
          <w:kern w:val="2"/>
          <w:sz w:val="24"/>
          <w:szCs w:val="24"/>
          <w:shd w:val="clear" w:color="auto" w:fill="FFFFFF"/>
          <w:lang w:eastAsia="zh-CN" w:bidi="hi-IN"/>
        </w:rPr>
      </w:pPr>
    </w:p>
    <w:p w:rsidR="00D227E2" w:rsidRDefault="00D227E2">
      <w:pPr>
        <w:spacing w:after="0"/>
        <w:jc w:val="center"/>
        <w:rPr>
          <w:rFonts w:ascii="Times New Roman" w:eastAsia="NSimSun" w:hAnsi="Times New Roman" w:cs="Times New Roman"/>
          <w:color w:val="000000"/>
          <w:kern w:val="2"/>
          <w:sz w:val="24"/>
          <w:szCs w:val="24"/>
          <w:shd w:val="clear" w:color="auto" w:fill="FFFFFF"/>
          <w:lang w:eastAsia="zh-CN" w:bidi="hi-IN"/>
        </w:rPr>
      </w:pPr>
    </w:p>
    <w:p w:rsidR="00D227E2" w:rsidRDefault="00D227E2">
      <w:pPr>
        <w:spacing w:after="0"/>
        <w:jc w:val="center"/>
        <w:rPr>
          <w:rFonts w:ascii="Times New Roman" w:eastAsia="NSimSun" w:hAnsi="Times New Roman" w:cs="Times New Roman"/>
          <w:color w:val="000000"/>
          <w:kern w:val="2"/>
          <w:sz w:val="24"/>
          <w:szCs w:val="24"/>
          <w:shd w:val="clear" w:color="auto" w:fill="FFFFFF"/>
          <w:lang w:eastAsia="zh-CN" w:bidi="hi-IN"/>
        </w:rPr>
      </w:pPr>
    </w:p>
    <w:p w:rsidR="00D227E2" w:rsidRDefault="00D227E2">
      <w:pPr>
        <w:spacing w:after="0"/>
        <w:jc w:val="center"/>
        <w:rPr>
          <w:rFonts w:ascii="Times New Roman" w:eastAsia="NSimSun" w:hAnsi="Times New Roman" w:cs="Times New Roman"/>
          <w:color w:val="000000"/>
          <w:kern w:val="2"/>
          <w:sz w:val="24"/>
          <w:szCs w:val="24"/>
          <w:shd w:val="clear" w:color="auto" w:fill="FFFFFF"/>
          <w:lang w:eastAsia="zh-CN" w:bidi="hi-IN"/>
        </w:rPr>
      </w:pPr>
    </w:p>
    <w:p w:rsidR="00D227E2" w:rsidRDefault="00D227E2">
      <w:pPr>
        <w:spacing w:after="0"/>
        <w:jc w:val="center"/>
        <w:rPr>
          <w:rFonts w:ascii="Times New Roman" w:eastAsia="NSimSun" w:hAnsi="Times New Roman" w:cs="Times New Roman"/>
          <w:color w:val="000000"/>
          <w:kern w:val="2"/>
          <w:sz w:val="24"/>
          <w:szCs w:val="24"/>
          <w:shd w:val="clear" w:color="auto" w:fill="FFFFFF"/>
          <w:lang w:eastAsia="zh-CN" w:bidi="hi-IN"/>
        </w:rPr>
      </w:pPr>
    </w:p>
    <w:p w:rsidR="00D227E2" w:rsidRDefault="00D227E2">
      <w:pPr>
        <w:spacing w:after="0"/>
        <w:jc w:val="center"/>
        <w:rPr>
          <w:rFonts w:ascii="Times New Roman" w:eastAsia="NSimSun" w:hAnsi="Times New Roman" w:cs="Times New Roman"/>
          <w:color w:val="000000"/>
          <w:kern w:val="2"/>
          <w:sz w:val="24"/>
          <w:szCs w:val="24"/>
          <w:shd w:val="clear" w:color="auto" w:fill="FFFFFF"/>
          <w:lang w:eastAsia="zh-CN" w:bidi="hi-IN"/>
        </w:rPr>
      </w:pPr>
    </w:p>
    <w:p w:rsidR="00D227E2" w:rsidRDefault="00D227E2">
      <w:pPr>
        <w:spacing w:after="0"/>
        <w:jc w:val="center"/>
        <w:rPr>
          <w:rFonts w:ascii="Times New Roman" w:eastAsia="NSimSun" w:hAnsi="Times New Roman" w:cs="Times New Roman"/>
          <w:color w:val="000000"/>
          <w:kern w:val="2"/>
          <w:sz w:val="24"/>
          <w:szCs w:val="24"/>
          <w:shd w:val="clear" w:color="auto" w:fill="FFFFFF"/>
          <w:lang w:eastAsia="zh-CN" w:bidi="hi-IN"/>
        </w:rPr>
      </w:pPr>
    </w:p>
    <w:p w:rsidR="00D227E2" w:rsidRDefault="00D227E2">
      <w:pPr>
        <w:spacing w:after="0"/>
        <w:jc w:val="center"/>
        <w:rPr>
          <w:rFonts w:ascii="Times New Roman" w:eastAsia="NSimSun" w:hAnsi="Times New Roman" w:cs="Times New Roman"/>
          <w:color w:val="000000"/>
          <w:kern w:val="2"/>
          <w:sz w:val="24"/>
          <w:szCs w:val="24"/>
          <w:shd w:val="clear" w:color="auto" w:fill="FFFFFF"/>
          <w:lang w:eastAsia="zh-CN" w:bidi="hi-IN"/>
        </w:rPr>
      </w:pPr>
    </w:p>
    <w:p w:rsidR="00D227E2" w:rsidRDefault="00D227E2">
      <w:pPr>
        <w:spacing w:after="0"/>
        <w:jc w:val="center"/>
        <w:rPr>
          <w:rFonts w:ascii="Times New Roman" w:eastAsia="NSimSun" w:hAnsi="Times New Roman" w:cs="Times New Roman"/>
          <w:color w:val="000000"/>
          <w:kern w:val="2"/>
          <w:sz w:val="24"/>
          <w:szCs w:val="24"/>
          <w:shd w:val="clear" w:color="auto" w:fill="FFFFFF"/>
          <w:lang w:eastAsia="zh-CN" w:bidi="hi-IN"/>
        </w:rPr>
      </w:pPr>
    </w:p>
    <w:p w:rsidR="00D227E2" w:rsidRDefault="00934FC4">
      <w:pPr>
        <w:spacing w:after="0"/>
        <w:jc w:val="center"/>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Рисунок 29. Споживання енергоресурсів у 2007, 2020 та 2022 роках по муніципальним</w:t>
      </w:r>
      <w:r>
        <w:rPr>
          <w:rFonts w:ascii="Times New Roman" w:eastAsia="NSimSun" w:hAnsi="Times New Roman" w:cs="Times New Roman"/>
          <w:kern w:val="2"/>
          <w:sz w:val="24"/>
          <w:szCs w:val="24"/>
          <w:lang w:eastAsia="zh-CN" w:bidi="hi-IN"/>
        </w:rPr>
        <w:t xml:space="preserve"> установам та підприємствам, що фінансуються з бюджету громади</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lastRenderedPageBreak/>
        <w:t>Частка споживання тепла та природного газу у загальному розподілі енергоспоживання зменшилися в результаті проведення енергоефективних заходів у муніципальних будівлях, поступового скорочення опалювальних періодів та підвищення зовнішньої температури.</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 xml:space="preserve">Разом з тим, відбувся незначний ріст споживання електроенергії. </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Споживання енергоресурсів для опалення залишаються найбільшими в розрізі загального обсягу енергоспоживання. І тому під час планування в першу чергу слід приділяти увагу енергоефективним заходам, що направлені на покращення енергоефективності будівель муніципальних установ і підприємств, в т.ч. із впровадженням заходів із використанням ВДЕ.</w:t>
      </w:r>
    </w:p>
    <w:p w:rsidR="00D227E2" w:rsidRDefault="00D227E2">
      <w:pPr>
        <w:spacing w:after="0"/>
        <w:ind w:firstLine="510"/>
        <w:jc w:val="both"/>
        <w:rPr>
          <w:rFonts w:ascii="Times New Roman" w:eastAsia="NSimSun" w:hAnsi="Times New Roman" w:cs="Times New Roman"/>
          <w:kern w:val="2"/>
          <w:sz w:val="24"/>
          <w:szCs w:val="24"/>
          <w:lang w:eastAsia="zh-CN" w:bidi="hi-IN"/>
        </w:rPr>
      </w:pPr>
    </w:p>
    <w:p w:rsidR="00D227E2" w:rsidRDefault="00934FC4">
      <w:pPr>
        <w:spacing w:after="0" w:line="240" w:lineRule="auto"/>
        <w:ind w:firstLine="567"/>
        <w:jc w:val="both"/>
        <w:rPr>
          <w:rFonts w:ascii="Times New Roman" w:hAnsi="Times New Roman" w:cs="Times New Roman"/>
        </w:rPr>
      </w:pPr>
      <w:r>
        <w:rPr>
          <w:rFonts w:ascii="Times New Roman" w:eastAsia="NSimSun" w:hAnsi="Times New Roman" w:cs="Times New Roman"/>
          <w:b/>
          <w:bCs/>
          <w:color w:val="000000"/>
          <w:kern w:val="2"/>
          <w:sz w:val="24"/>
          <w:szCs w:val="24"/>
          <w:shd w:val="clear" w:color="auto" w:fill="FFFFFF"/>
          <w:lang w:eastAsia="zh-CN" w:bidi="hi-IN"/>
        </w:rPr>
        <w:t>3.2.2. Житловий сектор</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Згідно з даними департаменту житлово-комунального господарства Луцької міської ради та головного управління статистики у Волинській області житловий фонд м. Луцьк, станом на 2020 рік складався з</w:t>
      </w:r>
      <w:r>
        <w:rPr>
          <w:rFonts w:ascii="Times New Roman" w:eastAsia="NSimSun" w:hAnsi="Times New Roman" w:cs="Times New Roman"/>
          <w:kern w:val="2"/>
          <w:sz w:val="24"/>
          <w:szCs w:val="24"/>
          <w:shd w:val="clear" w:color="auto" w:fill="FFFFFF"/>
          <w:lang w:eastAsia="zh-CN" w:bidi="hi-IN"/>
        </w:rPr>
        <w:t xml:space="preserve"> 10 713 </w:t>
      </w:r>
      <w:r>
        <w:rPr>
          <w:rFonts w:ascii="Times New Roman" w:eastAsia="NSimSun" w:hAnsi="Times New Roman" w:cs="Times New Roman"/>
          <w:kern w:val="2"/>
          <w:sz w:val="24"/>
          <w:szCs w:val="24"/>
          <w:lang w:eastAsia="zh-CN" w:bidi="hi-IN"/>
        </w:rPr>
        <w:t xml:space="preserve"> будинків загальною площею 4 313,4 тис. м</w:t>
      </w:r>
      <w:r>
        <w:rPr>
          <w:rFonts w:ascii="Times New Roman" w:eastAsia="NSimSun" w:hAnsi="Times New Roman" w:cs="Times New Roman"/>
          <w:kern w:val="2"/>
          <w:sz w:val="24"/>
          <w:szCs w:val="24"/>
          <w:vertAlign w:val="superscript"/>
          <w:lang w:eastAsia="zh-CN" w:bidi="hi-IN"/>
        </w:rPr>
        <w:t>2</w:t>
      </w:r>
      <w:r>
        <w:rPr>
          <w:rFonts w:ascii="Times New Roman" w:eastAsia="NSimSun" w:hAnsi="Times New Roman" w:cs="Times New Roman"/>
          <w:kern w:val="2"/>
          <w:sz w:val="24"/>
          <w:szCs w:val="24"/>
          <w:lang w:eastAsia="zh-CN" w:bidi="hi-IN"/>
        </w:rPr>
        <w:t xml:space="preserve">, в т.ч. 1314 багатоквартирні будинки та 9399 (розрахункові дані) індивідуальні забудови. </w:t>
      </w:r>
      <w:r>
        <w:rPr>
          <w:rFonts w:ascii="Times New Roman" w:eastAsia="NSimSun" w:hAnsi="Times New Roman" w:cs="Times New Roman"/>
          <w:i/>
          <w:iCs/>
          <w:kern w:val="2"/>
          <w:sz w:val="24"/>
          <w:szCs w:val="24"/>
          <w:lang w:eastAsia="zh-CN" w:bidi="hi-IN"/>
        </w:rPr>
        <w:t xml:space="preserve">(згідно з Наказом Державної служби статистики від 08.08.2022 № 222 форма державного статистичного спостереження № 1-житлофонд (річна) «Житловий фонд» скасована).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У таблицях 41-44 наведено інформацію стосовно кількості будинків за формами управління в м. Луцьку (без індивідуальних забудов) та старостинських округах Луцької МТГ (інформація департаменту житлово-комунального господарства Луцької міської ради та старостинських округів Луцької МТГ).</w:t>
      </w:r>
    </w:p>
    <w:p w:rsidR="00D227E2" w:rsidRDefault="00934FC4">
      <w:pPr>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Таблиця 41. Кількість будинків за формами управління в м. Луцьку та старостинських округах (СО) Луцької МТГ станом на 01.01.2023</w:t>
      </w:r>
    </w:p>
    <w:tbl>
      <w:tblPr>
        <w:tblW w:w="9585" w:type="dxa"/>
        <w:tblInd w:w="101" w:type="dxa"/>
        <w:tblLayout w:type="fixed"/>
        <w:tblCellMar>
          <w:left w:w="5" w:type="dxa"/>
          <w:right w:w="5" w:type="dxa"/>
        </w:tblCellMar>
        <w:tblLook w:val="0000" w:firstRow="0" w:lastRow="0" w:firstColumn="0" w:lastColumn="0" w:noHBand="0" w:noVBand="0"/>
      </w:tblPr>
      <w:tblGrid>
        <w:gridCol w:w="347"/>
        <w:gridCol w:w="3793"/>
        <w:gridCol w:w="1245"/>
        <w:gridCol w:w="1245"/>
        <w:gridCol w:w="1477"/>
        <w:gridCol w:w="1478"/>
      </w:tblGrid>
      <w:tr w:rsidR="00D227E2">
        <w:trPr>
          <w:trHeight w:val="450"/>
        </w:trPr>
        <w:tc>
          <w:tcPr>
            <w:tcW w:w="346" w:type="dxa"/>
            <w:vMerge w:val="restart"/>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jc w:val="center"/>
              <w:rPr>
                <w:rFonts w:ascii="Times New Roman" w:eastAsia="Microsoft Sans Serif" w:hAnsi="Times New Roman" w:cs="Times New Roman"/>
                <w:kern w:val="2"/>
                <w:sz w:val="21"/>
                <w:szCs w:val="21"/>
              </w:rPr>
            </w:pPr>
          </w:p>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w:t>
            </w:r>
          </w:p>
        </w:tc>
        <w:tc>
          <w:tcPr>
            <w:tcW w:w="3793" w:type="dxa"/>
            <w:vMerge w:val="restart"/>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Форми управління житловим фондом</w:t>
            </w:r>
          </w:p>
        </w:tc>
        <w:tc>
          <w:tcPr>
            <w:tcW w:w="2490" w:type="dxa"/>
            <w:gridSpan w:val="2"/>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Кількість будинків шт.</w:t>
            </w:r>
          </w:p>
        </w:tc>
        <w:tc>
          <w:tcPr>
            <w:tcW w:w="2955" w:type="dxa"/>
            <w:gridSpan w:val="2"/>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Загальна площа</w:t>
            </w:r>
          </w:p>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тис. м</w:t>
            </w:r>
            <w:r>
              <w:rPr>
                <w:rFonts w:ascii="Times New Roman" w:eastAsia="Microsoft Sans Serif" w:hAnsi="Times New Roman" w:cs="Times New Roman"/>
                <w:kern w:val="2"/>
                <w:sz w:val="21"/>
                <w:szCs w:val="21"/>
                <w:vertAlign w:val="superscript"/>
              </w:rPr>
              <w:t>2</w:t>
            </w:r>
          </w:p>
        </w:tc>
      </w:tr>
      <w:tr w:rsidR="00D227E2">
        <w:trPr>
          <w:trHeight w:val="299"/>
        </w:trPr>
        <w:tc>
          <w:tcPr>
            <w:tcW w:w="346" w:type="dxa"/>
            <w:vMerge/>
            <w:tcBorders>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eastAsia="NSimSun" w:hAnsi="Times New Roman" w:cs="Times New Roman"/>
                <w:kern w:val="2"/>
                <w:sz w:val="21"/>
                <w:szCs w:val="21"/>
                <w:lang w:eastAsia="zh-CN" w:bidi="hi-IN"/>
              </w:rPr>
            </w:pPr>
          </w:p>
        </w:tc>
        <w:tc>
          <w:tcPr>
            <w:tcW w:w="3793" w:type="dxa"/>
            <w:vMerge/>
            <w:tcBorders>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eastAsia="NSimSun" w:hAnsi="Times New Roman" w:cs="Times New Roman"/>
                <w:kern w:val="2"/>
                <w:sz w:val="21"/>
                <w:szCs w:val="21"/>
                <w:lang w:eastAsia="zh-CN" w:bidi="hi-IN"/>
              </w:rPr>
            </w:pPr>
          </w:p>
        </w:tc>
        <w:tc>
          <w:tcPr>
            <w:tcW w:w="124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Луцьк</w:t>
            </w:r>
          </w:p>
        </w:tc>
        <w:tc>
          <w:tcPr>
            <w:tcW w:w="124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СО</w:t>
            </w:r>
          </w:p>
        </w:tc>
        <w:tc>
          <w:tcPr>
            <w:tcW w:w="147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Луцьк</w:t>
            </w:r>
          </w:p>
        </w:tc>
        <w:tc>
          <w:tcPr>
            <w:tcW w:w="147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СО</w:t>
            </w:r>
          </w:p>
        </w:tc>
      </w:tr>
      <w:tr w:rsidR="00D227E2">
        <w:trPr>
          <w:trHeight w:val="394"/>
        </w:trPr>
        <w:tc>
          <w:tcPr>
            <w:tcW w:w="3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1</w:t>
            </w:r>
          </w:p>
        </w:tc>
        <w:tc>
          <w:tcPr>
            <w:tcW w:w="379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sz w:val="21"/>
                <w:szCs w:val="21"/>
              </w:rPr>
              <w:t>Будинки, що визначились з управителем будинку</w:t>
            </w:r>
          </w:p>
        </w:tc>
        <w:tc>
          <w:tcPr>
            <w:tcW w:w="124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3</w:t>
            </w:r>
          </w:p>
        </w:tc>
        <w:tc>
          <w:tcPr>
            <w:tcW w:w="124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w:t>
            </w:r>
          </w:p>
        </w:tc>
        <w:tc>
          <w:tcPr>
            <w:tcW w:w="147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14,533</w:t>
            </w:r>
          </w:p>
        </w:tc>
        <w:tc>
          <w:tcPr>
            <w:tcW w:w="147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w:t>
            </w:r>
          </w:p>
        </w:tc>
      </w:tr>
      <w:tr w:rsidR="00D227E2">
        <w:trPr>
          <w:trHeight w:val="313"/>
        </w:trPr>
        <w:tc>
          <w:tcPr>
            <w:tcW w:w="3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2</w:t>
            </w:r>
          </w:p>
        </w:tc>
        <w:tc>
          <w:tcPr>
            <w:tcW w:w="379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NSimSun" w:hAnsi="Times New Roman" w:cs="Times New Roman"/>
                <w:kern w:val="2"/>
                <w:sz w:val="21"/>
                <w:szCs w:val="21"/>
                <w:lang w:eastAsia="zh-CN" w:bidi="hi-IN"/>
              </w:rPr>
              <w:t>Будинки, по яких призначено  управителів багатоквартирних будинків  за результатами конкурсу</w:t>
            </w:r>
          </w:p>
        </w:tc>
        <w:tc>
          <w:tcPr>
            <w:tcW w:w="124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576</w:t>
            </w:r>
          </w:p>
        </w:tc>
        <w:tc>
          <w:tcPr>
            <w:tcW w:w="124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w:t>
            </w:r>
          </w:p>
        </w:tc>
        <w:tc>
          <w:tcPr>
            <w:tcW w:w="147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889,827</w:t>
            </w:r>
          </w:p>
        </w:tc>
        <w:tc>
          <w:tcPr>
            <w:tcW w:w="147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w:t>
            </w:r>
          </w:p>
        </w:tc>
      </w:tr>
      <w:tr w:rsidR="00D227E2">
        <w:trPr>
          <w:trHeight w:val="244"/>
        </w:trPr>
        <w:tc>
          <w:tcPr>
            <w:tcW w:w="3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3</w:t>
            </w:r>
          </w:p>
        </w:tc>
        <w:tc>
          <w:tcPr>
            <w:tcW w:w="379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sz w:val="21"/>
                <w:szCs w:val="21"/>
              </w:rPr>
              <w:t>ОСББ</w:t>
            </w:r>
          </w:p>
        </w:tc>
        <w:tc>
          <w:tcPr>
            <w:tcW w:w="124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648</w:t>
            </w:r>
          </w:p>
        </w:tc>
        <w:tc>
          <w:tcPr>
            <w:tcW w:w="124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18</w:t>
            </w:r>
          </w:p>
        </w:tc>
        <w:tc>
          <w:tcPr>
            <w:tcW w:w="147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2942,57</w:t>
            </w:r>
          </w:p>
        </w:tc>
        <w:tc>
          <w:tcPr>
            <w:tcW w:w="147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18,212</w:t>
            </w:r>
          </w:p>
        </w:tc>
      </w:tr>
      <w:tr w:rsidR="00D227E2">
        <w:trPr>
          <w:trHeight w:val="313"/>
        </w:trPr>
        <w:tc>
          <w:tcPr>
            <w:tcW w:w="3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4</w:t>
            </w:r>
          </w:p>
        </w:tc>
        <w:tc>
          <w:tcPr>
            <w:tcW w:w="379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sz w:val="21"/>
                <w:szCs w:val="21"/>
              </w:rPr>
              <w:t>Інша форма управління</w:t>
            </w:r>
          </w:p>
        </w:tc>
        <w:tc>
          <w:tcPr>
            <w:tcW w:w="124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11</w:t>
            </w:r>
          </w:p>
        </w:tc>
        <w:tc>
          <w:tcPr>
            <w:tcW w:w="124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48</w:t>
            </w:r>
          </w:p>
        </w:tc>
        <w:tc>
          <w:tcPr>
            <w:tcW w:w="147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3,717</w:t>
            </w:r>
          </w:p>
        </w:tc>
        <w:tc>
          <w:tcPr>
            <w:tcW w:w="147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w:t>
            </w:r>
          </w:p>
        </w:tc>
      </w:tr>
      <w:tr w:rsidR="00D227E2">
        <w:trPr>
          <w:trHeight w:val="249"/>
        </w:trPr>
        <w:tc>
          <w:tcPr>
            <w:tcW w:w="3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5</w:t>
            </w:r>
          </w:p>
        </w:tc>
        <w:tc>
          <w:tcPr>
            <w:tcW w:w="379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sz w:val="21"/>
                <w:szCs w:val="21"/>
              </w:rPr>
              <w:t>Індивідуальні забудови</w:t>
            </w:r>
          </w:p>
        </w:tc>
        <w:tc>
          <w:tcPr>
            <w:tcW w:w="124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w:t>
            </w:r>
          </w:p>
        </w:tc>
        <w:tc>
          <w:tcPr>
            <w:tcW w:w="124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7253</w:t>
            </w:r>
          </w:p>
        </w:tc>
        <w:tc>
          <w:tcPr>
            <w:tcW w:w="147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w:t>
            </w:r>
          </w:p>
        </w:tc>
        <w:tc>
          <w:tcPr>
            <w:tcW w:w="147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204,515</w:t>
            </w:r>
          </w:p>
        </w:tc>
      </w:tr>
      <w:tr w:rsidR="00D227E2">
        <w:trPr>
          <w:trHeight w:val="158"/>
        </w:trPr>
        <w:tc>
          <w:tcPr>
            <w:tcW w:w="3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6</w:t>
            </w:r>
          </w:p>
        </w:tc>
        <w:tc>
          <w:tcPr>
            <w:tcW w:w="379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sz w:val="21"/>
                <w:szCs w:val="21"/>
              </w:rPr>
              <w:t>Всього</w:t>
            </w:r>
          </w:p>
        </w:tc>
        <w:tc>
          <w:tcPr>
            <w:tcW w:w="124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1238</w:t>
            </w:r>
          </w:p>
        </w:tc>
        <w:tc>
          <w:tcPr>
            <w:tcW w:w="124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7319</w:t>
            </w:r>
          </w:p>
        </w:tc>
        <w:tc>
          <w:tcPr>
            <w:tcW w:w="147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3850,65</w:t>
            </w:r>
          </w:p>
        </w:tc>
        <w:tc>
          <w:tcPr>
            <w:tcW w:w="147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222,73</w:t>
            </w:r>
          </w:p>
        </w:tc>
      </w:tr>
      <w:tr w:rsidR="00D227E2">
        <w:trPr>
          <w:trHeight w:val="129"/>
        </w:trPr>
        <w:tc>
          <w:tcPr>
            <w:tcW w:w="3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7</w:t>
            </w:r>
          </w:p>
        </w:tc>
        <w:tc>
          <w:tcPr>
            <w:tcW w:w="379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sz w:val="21"/>
                <w:szCs w:val="21"/>
              </w:rPr>
              <w:t>Загалом по громаді</w:t>
            </w:r>
          </w:p>
        </w:tc>
        <w:tc>
          <w:tcPr>
            <w:tcW w:w="2490" w:type="dxa"/>
            <w:gridSpan w:val="2"/>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8557</w:t>
            </w:r>
          </w:p>
        </w:tc>
        <w:tc>
          <w:tcPr>
            <w:tcW w:w="2955" w:type="dxa"/>
            <w:gridSpan w:val="2"/>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z w:val="21"/>
                <w:szCs w:val="21"/>
              </w:rPr>
              <w:t>4073,38</w:t>
            </w:r>
          </w:p>
        </w:tc>
      </w:tr>
    </w:tbl>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Структуру житлового фонду Луцької МТГ наведено у таблиці 42.</w:t>
      </w:r>
    </w:p>
    <w:p w:rsidR="00D227E2" w:rsidRDefault="00934FC4">
      <w:pPr>
        <w:spacing w:after="0"/>
        <w:jc w:val="center"/>
        <w:rPr>
          <w:rFonts w:ascii="Times New Roman" w:hAnsi="Times New Roman" w:cs="Times New Roman"/>
        </w:rPr>
      </w:pPr>
      <w:r>
        <w:rPr>
          <w:rFonts w:ascii="Times New Roman" w:eastAsia="NSimSun" w:hAnsi="Times New Roman" w:cs="Times New Roman"/>
          <w:color w:val="000000"/>
          <w:kern w:val="2"/>
          <w:sz w:val="24"/>
          <w:szCs w:val="24"/>
          <w:lang w:eastAsia="zh-CN" w:bidi="hi-IN"/>
        </w:rPr>
        <w:t xml:space="preserve">Таблиця 42. Структура житлового фонду Луцької МТГ </w:t>
      </w:r>
    </w:p>
    <w:tbl>
      <w:tblPr>
        <w:tblW w:w="9525" w:type="dxa"/>
        <w:tblInd w:w="159" w:type="dxa"/>
        <w:tblLayout w:type="fixed"/>
        <w:tblCellMar>
          <w:left w:w="10" w:type="dxa"/>
          <w:right w:w="10" w:type="dxa"/>
        </w:tblCellMar>
        <w:tblLook w:val="0000" w:firstRow="0" w:lastRow="0" w:firstColumn="0" w:lastColumn="0" w:noHBand="0" w:noVBand="0"/>
      </w:tblPr>
      <w:tblGrid>
        <w:gridCol w:w="360"/>
        <w:gridCol w:w="5155"/>
        <w:gridCol w:w="2255"/>
        <w:gridCol w:w="1755"/>
      </w:tblGrid>
      <w:tr w:rsidR="00D227E2">
        <w:trPr>
          <w:trHeight w:val="551"/>
        </w:trPr>
        <w:tc>
          <w:tcPr>
            <w:tcW w:w="360" w:type="dxa"/>
            <w:vMerge w:val="restart"/>
            <w:tcBorders>
              <w:top w:val="single" w:sz="8" w:space="0" w:color="000000"/>
              <w:left w:val="single" w:sz="8" w:space="0" w:color="000000"/>
              <w:bottom w:val="single" w:sz="8" w:space="0" w:color="000000"/>
              <w:right w:val="single" w:sz="8" w:space="0" w:color="000000"/>
            </w:tcBorders>
          </w:tcPr>
          <w:p w:rsidR="00D227E2" w:rsidRDefault="00D227E2">
            <w:pPr>
              <w:widowControl w:val="0"/>
              <w:spacing w:after="0" w:line="240" w:lineRule="auto"/>
              <w:jc w:val="center"/>
              <w:rPr>
                <w:rFonts w:ascii="Times New Roman" w:eastAsia="Microsoft Sans Serif" w:hAnsi="Times New Roman" w:cs="Times New Roman"/>
                <w:color w:val="000000"/>
                <w:kern w:val="2"/>
                <w:sz w:val="21"/>
                <w:szCs w:val="21"/>
              </w:rPr>
            </w:pPr>
          </w:p>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1"/>
                <w:szCs w:val="21"/>
              </w:rPr>
              <w:t>№</w:t>
            </w:r>
          </w:p>
        </w:tc>
        <w:tc>
          <w:tcPr>
            <w:tcW w:w="5154" w:type="dxa"/>
            <w:vMerge w:val="restart"/>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1"/>
                <w:szCs w:val="21"/>
              </w:rPr>
              <w:t>Форми управління житловим фондом</w:t>
            </w:r>
          </w:p>
        </w:tc>
        <w:tc>
          <w:tcPr>
            <w:tcW w:w="2255"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1"/>
                <w:szCs w:val="21"/>
              </w:rPr>
              <w:t>Кількість будинків шт.</w:t>
            </w:r>
          </w:p>
        </w:tc>
        <w:tc>
          <w:tcPr>
            <w:tcW w:w="1755"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1"/>
                <w:szCs w:val="21"/>
              </w:rPr>
              <w:t>Загальна площа</w:t>
            </w:r>
          </w:p>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1"/>
                <w:szCs w:val="21"/>
              </w:rPr>
              <w:t>тис.м</w:t>
            </w:r>
            <w:r>
              <w:rPr>
                <w:rFonts w:ascii="Times New Roman" w:eastAsia="Microsoft Sans Serif" w:hAnsi="Times New Roman" w:cs="Times New Roman"/>
                <w:color w:val="000000"/>
                <w:kern w:val="2"/>
                <w:sz w:val="21"/>
                <w:szCs w:val="21"/>
                <w:vertAlign w:val="superscript"/>
              </w:rPr>
              <w:t>2</w:t>
            </w:r>
          </w:p>
        </w:tc>
      </w:tr>
      <w:tr w:rsidR="00D227E2">
        <w:trPr>
          <w:trHeight w:val="274"/>
        </w:trPr>
        <w:tc>
          <w:tcPr>
            <w:tcW w:w="360" w:type="dxa"/>
            <w:vMerge/>
            <w:tcBorders>
              <w:left w:val="single" w:sz="8" w:space="0" w:color="000000"/>
              <w:bottom w:val="single" w:sz="8" w:space="0" w:color="000000"/>
              <w:right w:val="single" w:sz="8" w:space="0" w:color="000000"/>
            </w:tcBorders>
          </w:tcPr>
          <w:p w:rsidR="00D227E2" w:rsidRDefault="00D227E2">
            <w:pPr>
              <w:widowControl w:val="0"/>
              <w:spacing w:after="0" w:line="240" w:lineRule="auto"/>
              <w:rPr>
                <w:rFonts w:ascii="Times New Roman" w:eastAsia="NSimSun" w:hAnsi="Times New Roman" w:cs="Times New Roman"/>
                <w:color w:val="000000"/>
                <w:kern w:val="2"/>
                <w:sz w:val="21"/>
                <w:szCs w:val="21"/>
                <w:lang w:eastAsia="zh-CN" w:bidi="hi-IN"/>
              </w:rPr>
            </w:pPr>
          </w:p>
        </w:tc>
        <w:tc>
          <w:tcPr>
            <w:tcW w:w="5154" w:type="dxa"/>
            <w:vMerge/>
            <w:tcBorders>
              <w:left w:val="single" w:sz="8" w:space="0" w:color="000000"/>
              <w:bottom w:val="single" w:sz="8" w:space="0" w:color="000000"/>
              <w:right w:val="single" w:sz="8" w:space="0" w:color="000000"/>
            </w:tcBorders>
          </w:tcPr>
          <w:p w:rsidR="00D227E2" w:rsidRDefault="00D227E2">
            <w:pPr>
              <w:widowControl w:val="0"/>
              <w:spacing w:after="0" w:line="240" w:lineRule="auto"/>
              <w:rPr>
                <w:rFonts w:ascii="Times New Roman" w:eastAsia="NSimSun" w:hAnsi="Times New Roman" w:cs="Times New Roman"/>
                <w:color w:val="000000"/>
                <w:kern w:val="2"/>
                <w:sz w:val="21"/>
                <w:szCs w:val="21"/>
                <w:lang w:eastAsia="zh-CN" w:bidi="hi-IN"/>
              </w:rPr>
            </w:pPr>
          </w:p>
        </w:tc>
        <w:tc>
          <w:tcPr>
            <w:tcW w:w="2255"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1"/>
                <w:szCs w:val="21"/>
              </w:rPr>
              <w:t>2022</w:t>
            </w:r>
          </w:p>
        </w:tc>
        <w:tc>
          <w:tcPr>
            <w:tcW w:w="1755"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1"/>
                <w:szCs w:val="21"/>
              </w:rPr>
              <w:t>2022</w:t>
            </w:r>
          </w:p>
        </w:tc>
      </w:tr>
      <w:tr w:rsidR="00D227E2">
        <w:trPr>
          <w:trHeight w:val="287"/>
        </w:trPr>
        <w:tc>
          <w:tcPr>
            <w:tcW w:w="360"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1"/>
                <w:szCs w:val="21"/>
              </w:rPr>
              <w:t>1</w:t>
            </w:r>
          </w:p>
        </w:tc>
        <w:tc>
          <w:tcPr>
            <w:tcW w:w="5154"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color w:val="000000"/>
                <w:kern w:val="2"/>
                <w:sz w:val="21"/>
                <w:szCs w:val="21"/>
              </w:rPr>
              <w:t>Будинки, що визначились з управителем будинку</w:t>
            </w:r>
          </w:p>
        </w:tc>
        <w:tc>
          <w:tcPr>
            <w:tcW w:w="2255"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1"/>
                <w:szCs w:val="21"/>
              </w:rPr>
              <w:t>3</w:t>
            </w:r>
          </w:p>
        </w:tc>
        <w:tc>
          <w:tcPr>
            <w:tcW w:w="1755"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1"/>
                <w:szCs w:val="21"/>
              </w:rPr>
              <w:t>14,533</w:t>
            </w:r>
          </w:p>
        </w:tc>
      </w:tr>
      <w:tr w:rsidR="00D227E2">
        <w:trPr>
          <w:trHeight w:val="275"/>
        </w:trPr>
        <w:tc>
          <w:tcPr>
            <w:tcW w:w="360"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1"/>
                <w:szCs w:val="21"/>
              </w:rPr>
              <w:t>2</w:t>
            </w:r>
          </w:p>
        </w:tc>
        <w:tc>
          <w:tcPr>
            <w:tcW w:w="5154"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rPr>
                <w:rFonts w:ascii="Times New Roman" w:hAnsi="Times New Roman" w:cs="Times New Roman"/>
              </w:rPr>
            </w:pPr>
            <w:r>
              <w:rPr>
                <w:rFonts w:ascii="Times New Roman" w:eastAsia="NSimSun" w:hAnsi="Times New Roman" w:cs="Times New Roman"/>
                <w:color w:val="000000"/>
                <w:kern w:val="2"/>
                <w:sz w:val="21"/>
                <w:szCs w:val="21"/>
                <w:lang w:eastAsia="zh-CN" w:bidi="hi-IN"/>
              </w:rPr>
              <w:t>Будинки, по яких призначено  управителів багатоквартирних будинків  за результатами конкурсу</w:t>
            </w:r>
          </w:p>
        </w:tc>
        <w:tc>
          <w:tcPr>
            <w:tcW w:w="2255" w:type="dxa"/>
            <w:tcBorders>
              <w:top w:val="single" w:sz="8" w:space="0" w:color="000000"/>
              <w:left w:val="single" w:sz="8" w:space="0" w:color="000000"/>
              <w:bottom w:val="single" w:sz="8" w:space="0" w:color="000000"/>
              <w:right w:val="single" w:sz="8" w:space="0" w:color="000000"/>
            </w:tcBorders>
          </w:tcPr>
          <w:p w:rsidR="00D227E2" w:rsidRDefault="00D227E2">
            <w:pPr>
              <w:widowControl w:val="0"/>
              <w:spacing w:after="0" w:line="240" w:lineRule="auto"/>
              <w:jc w:val="center"/>
              <w:rPr>
                <w:rFonts w:ascii="Times New Roman" w:hAnsi="Times New Roman" w:cs="Times New Roman"/>
                <w:color w:val="000000"/>
                <w:sz w:val="21"/>
                <w:szCs w:val="21"/>
              </w:rPr>
            </w:pPr>
          </w:p>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1"/>
                <w:szCs w:val="21"/>
              </w:rPr>
              <w:t>576</w:t>
            </w:r>
          </w:p>
        </w:tc>
        <w:tc>
          <w:tcPr>
            <w:tcW w:w="1755" w:type="dxa"/>
            <w:tcBorders>
              <w:top w:val="single" w:sz="8" w:space="0" w:color="000000"/>
              <w:left w:val="single" w:sz="8" w:space="0" w:color="000000"/>
              <w:bottom w:val="single" w:sz="8" w:space="0" w:color="000000"/>
              <w:right w:val="single" w:sz="8" w:space="0" w:color="000000"/>
            </w:tcBorders>
          </w:tcPr>
          <w:p w:rsidR="00D227E2" w:rsidRDefault="00D227E2">
            <w:pPr>
              <w:widowControl w:val="0"/>
              <w:spacing w:after="0" w:line="240" w:lineRule="auto"/>
              <w:jc w:val="center"/>
              <w:rPr>
                <w:rFonts w:ascii="Times New Roman" w:hAnsi="Times New Roman" w:cs="Times New Roman"/>
                <w:color w:val="000000"/>
                <w:sz w:val="21"/>
                <w:szCs w:val="21"/>
              </w:rPr>
            </w:pPr>
          </w:p>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1"/>
                <w:szCs w:val="21"/>
              </w:rPr>
              <w:t>889,827</w:t>
            </w:r>
          </w:p>
        </w:tc>
      </w:tr>
      <w:tr w:rsidR="00D227E2">
        <w:trPr>
          <w:trHeight w:val="275"/>
        </w:trPr>
        <w:tc>
          <w:tcPr>
            <w:tcW w:w="360"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1"/>
                <w:szCs w:val="21"/>
              </w:rPr>
              <w:t>3</w:t>
            </w:r>
          </w:p>
        </w:tc>
        <w:tc>
          <w:tcPr>
            <w:tcW w:w="5154"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color w:val="000000"/>
                <w:kern w:val="2"/>
                <w:sz w:val="21"/>
                <w:szCs w:val="21"/>
              </w:rPr>
              <w:t>ОСББ</w:t>
            </w:r>
          </w:p>
        </w:tc>
        <w:tc>
          <w:tcPr>
            <w:tcW w:w="2255"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1"/>
                <w:szCs w:val="21"/>
              </w:rPr>
              <w:t>666</w:t>
            </w:r>
          </w:p>
        </w:tc>
        <w:tc>
          <w:tcPr>
            <w:tcW w:w="1755"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1"/>
                <w:szCs w:val="21"/>
              </w:rPr>
              <w:t>2960,78</w:t>
            </w:r>
          </w:p>
        </w:tc>
      </w:tr>
      <w:tr w:rsidR="00D227E2">
        <w:trPr>
          <w:trHeight w:val="293"/>
        </w:trPr>
        <w:tc>
          <w:tcPr>
            <w:tcW w:w="360" w:type="dxa"/>
            <w:tcBorders>
              <w:top w:val="single" w:sz="8" w:space="0" w:color="000000"/>
              <w:left w:val="single" w:sz="8" w:space="0" w:color="000000"/>
              <w:bottom w:val="single" w:sz="4"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1"/>
                <w:szCs w:val="21"/>
              </w:rPr>
              <w:t>4</w:t>
            </w:r>
          </w:p>
        </w:tc>
        <w:tc>
          <w:tcPr>
            <w:tcW w:w="5154" w:type="dxa"/>
            <w:tcBorders>
              <w:top w:val="single" w:sz="8" w:space="0" w:color="000000"/>
              <w:left w:val="single" w:sz="8" w:space="0" w:color="000000"/>
              <w:bottom w:val="single" w:sz="4" w:space="0" w:color="000000"/>
              <w:right w:val="single" w:sz="8"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color w:val="000000"/>
                <w:kern w:val="2"/>
                <w:sz w:val="21"/>
                <w:szCs w:val="21"/>
              </w:rPr>
              <w:t>Інша форма управління</w:t>
            </w:r>
          </w:p>
        </w:tc>
        <w:tc>
          <w:tcPr>
            <w:tcW w:w="2255" w:type="dxa"/>
            <w:tcBorders>
              <w:top w:val="single" w:sz="8" w:space="0" w:color="000000"/>
              <w:left w:val="single" w:sz="8" w:space="0" w:color="000000"/>
              <w:bottom w:val="single" w:sz="4"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1"/>
                <w:szCs w:val="21"/>
              </w:rPr>
              <w:t>59</w:t>
            </w:r>
          </w:p>
        </w:tc>
        <w:tc>
          <w:tcPr>
            <w:tcW w:w="1755" w:type="dxa"/>
            <w:tcBorders>
              <w:top w:val="single" w:sz="8" w:space="0" w:color="000000"/>
              <w:left w:val="single" w:sz="8" w:space="0" w:color="000000"/>
              <w:bottom w:val="single" w:sz="4"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1"/>
                <w:szCs w:val="21"/>
              </w:rPr>
              <w:t>3,717</w:t>
            </w:r>
          </w:p>
        </w:tc>
      </w:tr>
      <w:tr w:rsidR="00D227E2">
        <w:trPr>
          <w:trHeight w:val="275"/>
        </w:trPr>
        <w:tc>
          <w:tcPr>
            <w:tcW w:w="3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1"/>
                <w:szCs w:val="21"/>
              </w:rPr>
              <w:t>5</w:t>
            </w:r>
          </w:p>
        </w:tc>
        <w:tc>
          <w:tcPr>
            <w:tcW w:w="5154"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color w:val="000000"/>
                <w:kern w:val="2"/>
                <w:sz w:val="21"/>
                <w:szCs w:val="21"/>
              </w:rPr>
              <w:t>Індивідуальні забудови</w:t>
            </w:r>
          </w:p>
        </w:tc>
        <w:tc>
          <w:tcPr>
            <w:tcW w:w="225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1"/>
                <w:szCs w:val="21"/>
              </w:rPr>
              <w:t>7253</w:t>
            </w:r>
          </w:p>
        </w:tc>
        <w:tc>
          <w:tcPr>
            <w:tcW w:w="175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1"/>
                <w:szCs w:val="21"/>
              </w:rPr>
              <w:t>204,515</w:t>
            </w:r>
          </w:p>
        </w:tc>
      </w:tr>
      <w:tr w:rsidR="00D227E2">
        <w:trPr>
          <w:trHeight w:val="277"/>
        </w:trPr>
        <w:tc>
          <w:tcPr>
            <w:tcW w:w="360"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1"/>
                <w:szCs w:val="21"/>
              </w:rPr>
              <w:t>6</w:t>
            </w:r>
          </w:p>
        </w:tc>
        <w:tc>
          <w:tcPr>
            <w:tcW w:w="5154"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color w:val="000000"/>
                <w:kern w:val="2"/>
                <w:sz w:val="21"/>
                <w:szCs w:val="21"/>
              </w:rPr>
              <w:t>Всього</w:t>
            </w:r>
          </w:p>
        </w:tc>
        <w:tc>
          <w:tcPr>
            <w:tcW w:w="2255"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1"/>
                <w:szCs w:val="21"/>
              </w:rPr>
              <w:t>8557</w:t>
            </w:r>
          </w:p>
        </w:tc>
        <w:tc>
          <w:tcPr>
            <w:tcW w:w="1755"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z w:val="21"/>
                <w:szCs w:val="21"/>
              </w:rPr>
              <w:t>4073,37</w:t>
            </w:r>
          </w:p>
        </w:tc>
      </w:tr>
    </w:tbl>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lastRenderedPageBreak/>
        <w:t xml:space="preserve">З 2007 по 2023 роки за результатами організації ОСББ (об’єднання співвласників багатоквартирних будинків) та впровадження з 01.07.2015 державної реформи управління багатоповерховими будинками відбулися зміни у формах управління та юридичних статусах для великої частини багатоквартирних будинків м. Луцька. Таким чином станом на 01.01.2023 кількість ОСББ складала 648 багатоквартирних будинків, або 52 % від всіх багатоквартирних будинків м. Луцька. Будинки з ОСББ за розміром загальної площі становлять 76,4 % житлового фонду міста.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Слід зазначити, що створення ОСББ є дуже важливим кроком у ефективному здійсненні управління будинком та надає переваги у поданні документів до Фонду енергоефективності для проведення комплексної термомодернізації будинків з отриманням значного гранту на відшкодування вкладених коштів. </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kern w:val="2"/>
          <w:sz w:val="24"/>
          <w:szCs w:val="24"/>
          <w:lang w:eastAsia="zh-CN" w:bidi="hi-IN"/>
        </w:rPr>
        <w:t>Протягом останніх років активно здійснюється забудова міста та навколишніх громад. За інформацією наданою департаментом житлово-комунального господарства Луцької міської ради впродовж останніх понад 30 років в межах м. Луцька збудовано 45 багатоквартирних будинків, у навколишніх громадах (СО Луцької МТГ) 44 багатоквартирні будинки.</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Розподіл будівель за роками будівництва наведено у таблицях 43 та 44.</w:t>
      </w:r>
    </w:p>
    <w:p w:rsidR="00D227E2" w:rsidRDefault="00934FC4">
      <w:pPr>
        <w:spacing w:after="0"/>
        <w:ind w:firstLine="567"/>
        <w:jc w:val="center"/>
        <w:rPr>
          <w:rFonts w:ascii="Times New Roman" w:hAnsi="Times New Roman" w:cs="Times New Roman"/>
        </w:rPr>
      </w:pPr>
      <w:r>
        <w:rPr>
          <w:rFonts w:ascii="Times New Roman" w:eastAsia="NSimSun" w:hAnsi="Times New Roman" w:cs="Times New Roman"/>
          <w:kern w:val="2"/>
          <w:sz w:val="24"/>
          <w:szCs w:val="24"/>
          <w:lang w:eastAsia="zh-CN" w:bidi="hi-IN"/>
        </w:rPr>
        <w:t xml:space="preserve">Таблиця 43. Інформація відносно років будівництва багатоквартирних будинків у </w:t>
      </w:r>
    </w:p>
    <w:p w:rsidR="00D227E2" w:rsidRDefault="00934FC4">
      <w:pPr>
        <w:spacing w:after="0"/>
        <w:ind w:firstLine="567"/>
        <w:jc w:val="center"/>
        <w:rPr>
          <w:rFonts w:ascii="Times New Roman" w:hAnsi="Times New Roman" w:cs="Times New Roman"/>
        </w:rPr>
      </w:pPr>
      <w:r>
        <w:rPr>
          <w:rFonts w:ascii="Times New Roman" w:eastAsia="NSimSun" w:hAnsi="Times New Roman" w:cs="Times New Roman"/>
          <w:kern w:val="2"/>
          <w:sz w:val="24"/>
          <w:szCs w:val="24"/>
          <w:lang w:eastAsia="zh-CN" w:bidi="hi-IN"/>
        </w:rPr>
        <w:t xml:space="preserve">м. Луцьку </w:t>
      </w:r>
    </w:p>
    <w:tbl>
      <w:tblPr>
        <w:tblW w:w="9687" w:type="dxa"/>
        <w:tblInd w:w="134" w:type="dxa"/>
        <w:tblLayout w:type="fixed"/>
        <w:tblLook w:val="0000" w:firstRow="0" w:lastRow="0" w:firstColumn="0" w:lastColumn="0" w:noHBand="0" w:noVBand="0"/>
      </w:tblPr>
      <w:tblGrid>
        <w:gridCol w:w="619"/>
        <w:gridCol w:w="1662"/>
        <w:gridCol w:w="1310"/>
        <w:gridCol w:w="1184"/>
        <w:gridCol w:w="1203"/>
        <w:gridCol w:w="1228"/>
        <w:gridCol w:w="1196"/>
        <w:gridCol w:w="1285"/>
      </w:tblGrid>
      <w:tr w:rsidR="00D227E2">
        <w:trPr>
          <w:trHeight w:val="20"/>
        </w:trPr>
        <w:tc>
          <w:tcPr>
            <w:tcW w:w="618" w:type="dxa"/>
            <w:vMerge w:val="restart"/>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w:t>
            </w:r>
          </w:p>
        </w:tc>
        <w:tc>
          <w:tcPr>
            <w:tcW w:w="1661" w:type="dxa"/>
            <w:vMerge w:val="restart"/>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Поверховість</w:t>
            </w:r>
          </w:p>
        </w:tc>
        <w:tc>
          <w:tcPr>
            <w:tcW w:w="7406" w:type="dxa"/>
            <w:gridSpan w:val="6"/>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Періоди будівництва</w:t>
            </w:r>
          </w:p>
        </w:tc>
      </w:tr>
      <w:tr w:rsidR="00D227E2">
        <w:trPr>
          <w:trHeight w:val="20"/>
        </w:trPr>
        <w:tc>
          <w:tcPr>
            <w:tcW w:w="618"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widowControl w:val="0"/>
              <w:spacing w:after="0" w:line="240" w:lineRule="auto"/>
              <w:rPr>
                <w:rFonts w:ascii="Times New Roman" w:eastAsia="NSimSun" w:hAnsi="Times New Roman" w:cs="Times New Roman"/>
                <w:kern w:val="2"/>
                <w:lang w:eastAsia="zh-CN" w:bidi="hi-IN"/>
              </w:rPr>
            </w:pPr>
          </w:p>
        </w:tc>
        <w:tc>
          <w:tcPr>
            <w:tcW w:w="1661"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widowControl w:val="0"/>
              <w:spacing w:after="0" w:line="240" w:lineRule="auto"/>
              <w:rPr>
                <w:rFonts w:ascii="Times New Roman" w:eastAsia="NSimSun" w:hAnsi="Times New Roman" w:cs="Times New Roman"/>
                <w:kern w:val="2"/>
                <w:lang w:eastAsia="zh-CN" w:bidi="hi-IN"/>
              </w:rPr>
            </w:pPr>
          </w:p>
        </w:tc>
        <w:tc>
          <w:tcPr>
            <w:tcW w:w="1310"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 xml:space="preserve"> 1800-1960</w:t>
            </w:r>
          </w:p>
        </w:tc>
        <w:tc>
          <w:tcPr>
            <w:tcW w:w="1184"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1961-1980</w:t>
            </w:r>
          </w:p>
        </w:tc>
        <w:tc>
          <w:tcPr>
            <w:tcW w:w="120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1981-1990</w:t>
            </w:r>
          </w:p>
        </w:tc>
        <w:tc>
          <w:tcPr>
            <w:tcW w:w="122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1991-2000</w:t>
            </w:r>
          </w:p>
        </w:tc>
        <w:tc>
          <w:tcPr>
            <w:tcW w:w="1196"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2001-2015</w:t>
            </w:r>
          </w:p>
        </w:tc>
        <w:tc>
          <w:tcPr>
            <w:tcW w:w="128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2016-2022*</w:t>
            </w:r>
          </w:p>
        </w:tc>
      </w:tr>
      <w:tr w:rsidR="00D227E2">
        <w:trPr>
          <w:trHeight w:val="20"/>
        </w:trPr>
        <w:tc>
          <w:tcPr>
            <w:tcW w:w="61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1</w:t>
            </w:r>
          </w:p>
        </w:tc>
        <w:tc>
          <w:tcPr>
            <w:tcW w:w="1661"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rPr>
                <w:rFonts w:ascii="Times New Roman" w:hAnsi="Times New Roman" w:cs="Times New Roman"/>
              </w:rPr>
            </w:pPr>
            <w:r>
              <w:rPr>
                <w:rFonts w:ascii="Times New Roman" w:eastAsia="Times New Roman" w:hAnsi="Times New Roman" w:cs="Times New Roman"/>
                <w:color w:val="000000"/>
                <w:kern w:val="2"/>
                <w:lang w:eastAsia="ru-RU" w:bidi="hi-IN"/>
              </w:rPr>
              <w:t>1 поверх</w:t>
            </w:r>
          </w:p>
        </w:tc>
        <w:tc>
          <w:tcPr>
            <w:tcW w:w="1310"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44</w:t>
            </w:r>
          </w:p>
        </w:tc>
        <w:tc>
          <w:tcPr>
            <w:tcW w:w="1184"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w:t>
            </w:r>
          </w:p>
        </w:tc>
        <w:tc>
          <w:tcPr>
            <w:tcW w:w="120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w:t>
            </w:r>
          </w:p>
        </w:tc>
        <w:tc>
          <w:tcPr>
            <w:tcW w:w="122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w:t>
            </w:r>
          </w:p>
        </w:tc>
        <w:tc>
          <w:tcPr>
            <w:tcW w:w="1196"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w:t>
            </w:r>
          </w:p>
        </w:tc>
        <w:tc>
          <w:tcPr>
            <w:tcW w:w="128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w:t>
            </w:r>
          </w:p>
        </w:tc>
      </w:tr>
      <w:tr w:rsidR="00D227E2">
        <w:trPr>
          <w:trHeight w:val="20"/>
        </w:trPr>
        <w:tc>
          <w:tcPr>
            <w:tcW w:w="61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2</w:t>
            </w:r>
          </w:p>
        </w:tc>
        <w:tc>
          <w:tcPr>
            <w:tcW w:w="1661"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rPr>
                <w:rFonts w:ascii="Times New Roman" w:hAnsi="Times New Roman" w:cs="Times New Roman"/>
              </w:rPr>
            </w:pPr>
            <w:r>
              <w:rPr>
                <w:rFonts w:ascii="Times New Roman" w:eastAsia="Times New Roman" w:hAnsi="Times New Roman" w:cs="Times New Roman"/>
                <w:color w:val="000000"/>
                <w:kern w:val="2"/>
                <w:lang w:eastAsia="ru-RU" w:bidi="hi-IN"/>
              </w:rPr>
              <w:t>2-3 поверхи</w:t>
            </w:r>
          </w:p>
        </w:tc>
        <w:tc>
          <w:tcPr>
            <w:tcW w:w="1310"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211</w:t>
            </w:r>
          </w:p>
        </w:tc>
        <w:tc>
          <w:tcPr>
            <w:tcW w:w="1184"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64</w:t>
            </w:r>
          </w:p>
        </w:tc>
        <w:tc>
          <w:tcPr>
            <w:tcW w:w="120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5</w:t>
            </w:r>
          </w:p>
        </w:tc>
        <w:tc>
          <w:tcPr>
            <w:tcW w:w="122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8</w:t>
            </w:r>
          </w:p>
        </w:tc>
        <w:tc>
          <w:tcPr>
            <w:tcW w:w="1196"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2</w:t>
            </w:r>
          </w:p>
        </w:tc>
        <w:tc>
          <w:tcPr>
            <w:tcW w:w="128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w:t>
            </w:r>
          </w:p>
        </w:tc>
      </w:tr>
      <w:tr w:rsidR="00D227E2">
        <w:trPr>
          <w:trHeight w:val="20"/>
        </w:trPr>
        <w:tc>
          <w:tcPr>
            <w:tcW w:w="61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3</w:t>
            </w:r>
          </w:p>
        </w:tc>
        <w:tc>
          <w:tcPr>
            <w:tcW w:w="1661"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rPr>
                <w:rFonts w:ascii="Times New Roman" w:hAnsi="Times New Roman" w:cs="Times New Roman"/>
              </w:rPr>
            </w:pPr>
            <w:r>
              <w:rPr>
                <w:rFonts w:ascii="Times New Roman" w:eastAsia="Times New Roman" w:hAnsi="Times New Roman" w:cs="Times New Roman"/>
                <w:color w:val="000000"/>
                <w:kern w:val="2"/>
                <w:lang w:eastAsia="ru-RU" w:bidi="hi-IN"/>
              </w:rPr>
              <w:t>4 поверхів</w:t>
            </w:r>
          </w:p>
        </w:tc>
        <w:tc>
          <w:tcPr>
            <w:tcW w:w="1310"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15</w:t>
            </w:r>
          </w:p>
        </w:tc>
        <w:tc>
          <w:tcPr>
            <w:tcW w:w="1184"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22</w:t>
            </w:r>
          </w:p>
        </w:tc>
        <w:tc>
          <w:tcPr>
            <w:tcW w:w="120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0</w:t>
            </w:r>
          </w:p>
        </w:tc>
        <w:tc>
          <w:tcPr>
            <w:tcW w:w="122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0</w:t>
            </w:r>
          </w:p>
        </w:tc>
        <w:tc>
          <w:tcPr>
            <w:tcW w:w="1196"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0</w:t>
            </w:r>
          </w:p>
        </w:tc>
        <w:tc>
          <w:tcPr>
            <w:tcW w:w="128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w:t>
            </w:r>
          </w:p>
        </w:tc>
      </w:tr>
      <w:tr w:rsidR="00D227E2">
        <w:trPr>
          <w:trHeight w:val="20"/>
        </w:trPr>
        <w:tc>
          <w:tcPr>
            <w:tcW w:w="61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4</w:t>
            </w:r>
          </w:p>
        </w:tc>
        <w:tc>
          <w:tcPr>
            <w:tcW w:w="1661"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rPr>
                <w:rFonts w:ascii="Times New Roman" w:hAnsi="Times New Roman" w:cs="Times New Roman"/>
              </w:rPr>
            </w:pPr>
            <w:r>
              <w:rPr>
                <w:rFonts w:ascii="Times New Roman" w:eastAsia="Times New Roman" w:hAnsi="Times New Roman" w:cs="Times New Roman"/>
                <w:color w:val="000000"/>
                <w:kern w:val="2"/>
                <w:lang w:eastAsia="ru-RU" w:bidi="hi-IN"/>
              </w:rPr>
              <w:t>5 поверхів</w:t>
            </w:r>
          </w:p>
        </w:tc>
        <w:tc>
          <w:tcPr>
            <w:tcW w:w="1310"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4</w:t>
            </w:r>
          </w:p>
        </w:tc>
        <w:tc>
          <w:tcPr>
            <w:tcW w:w="1184"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103</w:t>
            </w:r>
          </w:p>
        </w:tc>
        <w:tc>
          <w:tcPr>
            <w:tcW w:w="120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31</w:t>
            </w:r>
          </w:p>
        </w:tc>
        <w:tc>
          <w:tcPr>
            <w:tcW w:w="122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10</w:t>
            </w:r>
          </w:p>
        </w:tc>
        <w:tc>
          <w:tcPr>
            <w:tcW w:w="1196"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5</w:t>
            </w:r>
          </w:p>
        </w:tc>
        <w:tc>
          <w:tcPr>
            <w:tcW w:w="128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w:t>
            </w:r>
          </w:p>
        </w:tc>
      </w:tr>
      <w:tr w:rsidR="00D227E2">
        <w:trPr>
          <w:trHeight w:val="413"/>
        </w:trPr>
        <w:tc>
          <w:tcPr>
            <w:tcW w:w="61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5</w:t>
            </w:r>
          </w:p>
        </w:tc>
        <w:tc>
          <w:tcPr>
            <w:tcW w:w="1661"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rPr>
                <w:rFonts w:ascii="Times New Roman" w:hAnsi="Times New Roman" w:cs="Times New Roman"/>
              </w:rPr>
            </w:pPr>
            <w:r>
              <w:rPr>
                <w:rFonts w:ascii="Times New Roman" w:eastAsia="Times New Roman" w:hAnsi="Times New Roman" w:cs="Times New Roman"/>
                <w:color w:val="000000"/>
                <w:kern w:val="2"/>
                <w:lang w:eastAsia="ru-RU" w:bidi="hi-IN"/>
              </w:rPr>
              <w:t>6 поверхів та вище</w:t>
            </w:r>
          </w:p>
        </w:tc>
        <w:tc>
          <w:tcPr>
            <w:tcW w:w="1310"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w:t>
            </w:r>
          </w:p>
        </w:tc>
        <w:tc>
          <w:tcPr>
            <w:tcW w:w="1184"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5</w:t>
            </w:r>
          </w:p>
        </w:tc>
        <w:tc>
          <w:tcPr>
            <w:tcW w:w="120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29</w:t>
            </w:r>
          </w:p>
        </w:tc>
        <w:tc>
          <w:tcPr>
            <w:tcW w:w="122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18</w:t>
            </w:r>
          </w:p>
        </w:tc>
        <w:tc>
          <w:tcPr>
            <w:tcW w:w="1196"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2</w:t>
            </w:r>
          </w:p>
        </w:tc>
        <w:tc>
          <w:tcPr>
            <w:tcW w:w="128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w:t>
            </w:r>
          </w:p>
        </w:tc>
      </w:tr>
      <w:tr w:rsidR="00D227E2">
        <w:trPr>
          <w:trHeight w:val="20"/>
        </w:trPr>
        <w:tc>
          <w:tcPr>
            <w:tcW w:w="2279" w:type="dxa"/>
            <w:gridSpan w:val="2"/>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Загальна кількість</w:t>
            </w:r>
          </w:p>
        </w:tc>
        <w:tc>
          <w:tcPr>
            <w:tcW w:w="1310"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274</w:t>
            </w:r>
          </w:p>
        </w:tc>
        <w:tc>
          <w:tcPr>
            <w:tcW w:w="1184"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194</w:t>
            </w:r>
          </w:p>
        </w:tc>
        <w:tc>
          <w:tcPr>
            <w:tcW w:w="1203"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65</w:t>
            </w:r>
          </w:p>
        </w:tc>
        <w:tc>
          <w:tcPr>
            <w:tcW w:w="122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36</w:t>
            </w:r>
          </w:p>
        </w:tc>
        <w:tc>
          <w:tcPr>
            <w:tcW w:w="1196"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9</w:t>
            </w:r>
          </w:p>
        </w:tc>
        <w:tc>
          <w:tcPr>
            <w:tcW w:w="128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w:t>
            </w:r>
          </w:p>
        </w:tc>
      </w:tr>
    </w:tbl>
    <w:p w:rsidR="00D227E2" w:rsidRDefault="00934FC4">
      <w:pPr>
        <w:spacing w:after="0" w:line="240" w:lineRule="auto"/>
        <w:rPr>
          <w:rFonts w:ascii="Times New Roman" w:hAnsi="Times New Roman" w:cs="Times New Roman"/>
        </w:rPr>
      </w:pPr>
      <w:r>
        <w:rPr>
          <w:rFonts w:ascii="Times New Roman" w:eastAsia="NSimSun" w:hAnsi="Times New Roman" w:cs="Times New Roman"/>
          <w:kern w:val="2"/>
          <w:sz w:val="24"/>
          <w:szCs w:val="24"/>
          <w:lang w:eastAsia="zh-CN" w:bidi="hi-IN"/>
        </w:rPr>
        <w:t>*- інформація відсутня</w:t>
      </w:r>
    </w:p>
    <w:p w:rsidR="00D227E2" w:rsidRDefault="00934FC4">
      <w:pPr>
        <w:spacing w:after="0" w:line="240" w:lineRule="auto"/>
        <w:jc w:val="center"/>
        <w:rPr>
          <w:rFonts w:ascii="Times New Roman" w:hAnsi="Times New Roman" w:cs="Times New Roman"/>
        </w:rPr>
      </w:pPr>
      <w:r>
        <w:rPr>
          <w:rFonts w:ascii="Times New Roman" w:eastAsia="Microsoft Sans Serif" w:hAnsi="Times New Roman" w:cs="Times New Roman"/>
          <w:kern w:val="2"/>
          <w:sz w:val="24"/>
          <w:szCs w:val="24"/>
        </w:rPr>
        <w:t xml:space="preserve">Таблиця 44. Інформація відносно років будівництва багатоквартирних будинків у старостинських округах Луцької МТГ </w:t>
      </w:r>
    </w:p>
    <w:tbl>
      <w:tblPr>
        <w:tblW w:w="9645" w:type="dxa"/>
        <w:tblInd w:w="161" w:type="dxa"/>
        <w:tblLayout w:type="fixed"/>
        <w:tblLook w:val="0000" w:firstRow="0" w:lastRow="0" w:firstColumn="0" w:lastColumn="0" w:noHBand="0" w:noVBand="0"/>
      </w:tblPr>
      <w:tblGrid>
        <w:gridCol w:w="435"/>
        <w:gridCol w:w="1885"/>
        <w:gridCol w:w="1228"/>
        <w:gridCol w:w="1229"/>
        <w:gridCol w:w="1247"/>
        <w:gridCol w:w="1254"/>
        <w:gridCol w:w="1185"/>
        <w:gridCol w:w="1182"/>
      </w:tblGrid>
      <w:tr w:rsidR="00D227E2">
        <w:trPr>
          <w:trHeight w:val="20"/>
        </w:trPr>
        <w:tc>
          <w:tcPr>
            <w:tcW w:w="434" w:type="dxa"/>
            <w:vMerge w:val="restart"/>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w:t>
            </w:r>
          </w:p>
        </w:tc>
        <w:tc>
          <w:tcPr>
            <w:tcW w:w="1884" w:type="dxa"/>
            <w:vMerge w:val="restart"/>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Поверховість</w:t>
            </w:r>
          </w:p>
        </w:tc>
        <w:tc>
          <w:tcPr>
            <w:tcW w:w="7325" w:type="dxa"/>
            <w:gridSpan w:val="6"/>
            <w:tcBorders>
              <w:top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Періоди будівництва</w:t>
            </w:r>
          </w:p>
        </w:tc>
      </w:tr>
      <w:tr w:rsidR="00D227E2">
        <w:trPr>
          <w:trHeight w:val="20"/>
        </w:trPr>
        <w:tc>
          <w:tcPr>
            <w:tcW w:w="434"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widowControl w:val="0"/>
              <w:spacing w:after="0" w:line="240" w:lineRule="auto"/>
              <w:rPr>
                <w:rFonts w:ascii="Times New Roman" w:eastAsia="NSimSun" w:hAnsi="Times New Roman" w:cs="Times New Roman"/>
                <w:kern w:val="2"/>
                <w:lang w:eastAsia="zh-CN" w:bidi="hi-IN"/>
              </w:rPr>
            </w:pPr>
          </w:p>
        </w:tc>
        <w:tc>
          <w:tcPr>
            <w:tcW w:w="1884"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widowControl w:val="0"/>
              <w:spacing w:after="0" w:line="240" w:lineRule="auto"/>
              <w:rPr>
                <w:rFonts w:ascii="Times New Roman" w:eastAsia="NSimSun" w:hAnsi="Times New Roman" w:cs="Times New Roman"/>
                <w:kern w:val="2"/>
                <w:lang w:eastAsia="zh-CN" w:bidi="hi-IN"/>
              </w:rPr>
            </w:pPr>
          </w:p>
        </w:tc>
        <w:tc>
          <w:tcPr>
            <w:tcW w:w="122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1900-1960</w:t>
            </w:r>
          </w:p>
        </w:tc>
        <w:tc>
          <w:tcPr>
            <w:tcW w:w="1229"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1961-1980</w:t>
            </w:r>
          </w:p>
        </w:tc>
        <w:tc>
          <w:tcPr>
            <w:tcW w:w="124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1981-1990</w:t>
            </w:r>
          </w:p>
        </w:tc>
        <w:tc>
          <w:tcPr>
            <w:tcW w:w="1254"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1991-2000</w:t>
            </w:r>
          </w:p>
        </w:tc>
        <w:tc>
          <w:tcPr>
            <w:tcW w:w="118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2001-2015</w:t>
            </w:r>
          </w:p>
        </w:tc>
        <w:tc>
          <w:tcPr>
            <w:tcW w:w="1182"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2016-2022</w:t>
            </w:r>
          </w:p>
        </w:tc>
      </w:tr>
      <w:tr w:rsidR="00D227E2">
        <w:trPr>
          <w:trHeight w:val="20"/>
        </w:trPr>
        <w:tc>
          <w:tcPr>
            <w:tcW w:w="434"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1</w:t>
            </w:r>
          </w:p>
        </w:tc>
        <w:tc>
          <w:tcPr>
            <w:tcW w:w="1884"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rPr>
                <w:rFonts w:ascii="Times New Roman" w:hAnsi="Times New Roman" w:cs="Times New Roman"/>
              </w:rPr>
            </w:pPr>
            <w:r>
              <w:rPr>
                <w:rFonts w:ascii="Times New Roman" w:eastAsia="Times New Roman" w:hAnsi="Times New Roman" w:cs="Times New Roman"/>
                <w:color w:val="000000"/>
                <w:kern w:val="2"/>
                <w:lang w:eastAsia="ru-RU" w:bidi="hi-IN"/>
              </w:rPr>
              <w:t>1 поверх</w:t>
            </w:r>
          </w:p>
        </w:tc>
        <w:tc>
          <w:tcPr>
            <w:tcW w:w="1228"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7</w:t>
            </w:r>
          </w:p>
        </w:tc>
        <w:tc>
          <w:tcPr>
            <w:tcW w:w="1229"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32</w:t>
            </w:r>
          </w:p>
        </w:tc>
        <w:tc>
          <w:tcPr>
            <w:tcW w:w="1247"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2</w:t>
            </w:r>
          </w:p>
        </w:tc>
        <w:tc>
          <w:tcPr>
            <w:tcW w:w="1254"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3</w:t>
            </w:r>
          </w:p>
        </w:tc>
        <w:tc>
          <w:tcPr>
            <w:tcW w:w="118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8</w:t>
            </w:r>
          </w:p>
        </w:tc>
        <w:tc>
          <w:tcPr>
            <w:tcW w:w="1182"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1</w:t>
            </w:r>
          </w:p>
        </w:tc>
      </w:tr>
      <w:tr w:rsidR="00D227E2">
        <w:trPr>
          <w:trHeight w:val="20"/>
        </w:trPr>
        <w:tc>
          <w:tcPr>
            <w:tcW w:w="434"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2</w:t>
            </w:r>
          </w:p>
        </w:tc>
        <w:tc>
          <w:tcPr>
            <w:tcW w:w="1884" w:type="dxa"/>
            <w:tcBorders>
              <w:top w:val="single" w:sz="4" w:space="0" w:color="000000"/>
              <w:bottom w:val="single" w:sz="4" w:space="0" w:color="000000"/>
              <w:right w:val="single" w:sz="4" w:space="0" w:color="000000"/>
            </w:tcBorders>
            <w:vAlign w:val="center"/>
          </w:tcPr>
          <w:p w:rsidR="00D227E2" w:rsidRDefault="00934FC4">
            <w:pPr>
              <w:widowControl w:val="0"/>
              <w:spacing w:after="0" w:line="240" w:lineRule="auto"/>
              <w:rPr>
                <w:rFonts w:ascii="Times New Roman" w:hAnsi="Times New Roman" w:cs="Times New Roman"/>
              </w:rPr>
            </w:pPr>
            <w:r>
              <w:rPr>
                <w:rFonts w:ascii="Times New Roman" w:eastAsia="Times New Roman" w:hAnsi="Times New Roman" w:cs="Times New Roman"/>
                <w:color w:val="000000"/>
                <w:kern w:val="2"/>
                <w:lang w:eastAsia="ru-RU" w:bidi="hi-IN"/>
              </w:rPr>
              <w:t>2-3 поверхи</w:t>
            </w:r>
          </w:p>
        </w:tc>
        <w:tc>
          <w:tcPr>
            <w:tcW w:w="1228" w:type="dxa"/>
            <w:tcBorders>
              <w:top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0</w:t>
            </w:r>
          </w:p>
        </w:tc>
        <w:tc>
          <w:tcPr>
            <w:tcW w:w="1229" w:type="dxa"/>
            <w:tcBorders>
              <w:top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23</w:t>
            </w:r>
          </w:p>
        </w:tc>
        <w:tc>
          <w:tcPr>
            <w:tcW w:w="1247" w:type="dxa"/>
            <w:tcBorders>
              <w:top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11</w:t>
            </w:r>
          </w:p>
        </w:tc>
        <w:tc>
          <w:tcPr>
            <w:tcW w:w="1254" w:type="dxa"/>
            <w:tcBorders>
              <w:top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3</w:t>
            </w:r>
          </w:p>
        </w:tc>
        <w:tc>
          <w:tcPr>
            <w:tcW w:w="1185" w:type="dxa"/>
            <w:tcBorders>
              <w:top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5</w:t>
            </w:r>
          </w:p>
        </w:tc>
        <w:tc>
          <w:tcPr>
            <w:tcW w:w="1182" w:type="dxa"/>
            <w:tcBorders>
              <w:top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1</w:t>
            </w:r>
          </w:p>
        </w:tc>
      </w:tr>
      <w:tr w:rsidR="00D227E2">
        <w:trPr>
          <w:trHeight w:val="20"/>
        </w:trPr>
        <w:tc>
          <w:tcPr>
            <w:tcW w:w="434" w:type="dxa"/>
            <w:tcBorders>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3</w:t>
            </w:r>
          </w:p>
        </w:tc>
        <w:tc>
          <w:tcPr>
            <w:tcW w:w="1884" w:type="dxa"/>
            <w:tcBorders>
              <w:bottom w:val="single" w:sz="4" w:space="0" w:color="000000"/>
              <w:right w:val="single" w:sz="4" w:space="0" w:color="000000"/>
            </w:tcBorders>
            <w:vAlign w:val="center"/>
          </w:tcPr>
          <w:p w:rsidR="00D227E2" w:rsidRDefault="00934FC4">
            <w:pPr>
              <w:widowControl w:val="0"/>
              <w:spacing w:after="0" w:line="240" w:lineRule="auto"/>
              <w:rPr>
                <w:rFonts w:ascii="Times New Roman" w:hAnsi="Times New Roman" w:cs="Times New Roman"/>
              </w:rPr>
            </w:pPr>
            <w:r>
              <w:rPr>
                <w:rFonts w:ascii="Times New Roman" w:eastAsia="Times New Roman" w:hAnsi="Times New Roman" w:cs="Times New Roman"/>
                <w:color w:val="000000"/>
                <w:kern w:val="2"/>
                <w:lang w:eastAsia="ru-RU" w:bidi="hi-IN"/>
              </w:rPr>
              <w:t>4-5 поверхів</w:t>
            </w:r>
          </w:p>
        </w:tc>
        <w:tc>
          <w:tcPr>
            <w:tcW w:w="1228" w:type="dxa"/>
            <w:tcBorders>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0</w:t>
            </w:r>
          </w:p>
        </w:tc>
        <w:tc>
          <w:tcPr>
            <w:tcW w:w="1229" w:type="dxa"/>
            <w:tcBorders>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1</w:t>
            </w:r>
          </w:p>
        </w:tc>
        <w:tc>
          <w:tcPr>
            <w:tcW w:w="1247" w:type="dxa"/>
            <w:tcBorders>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0</w:t>
            </w:r>
          </w:p>
        </w:tc>
        <w:tc>
          <w:tcPr>
            <w:tcW w:w="1254" w:type="dxa"/>
            <w:tcBorders>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2</w:t>
            </w:r>
          </w:p>
        </w:tc>
        <w:tc>
          <w:tcPr>
            <w:tcW w:w="1185" w:type="dxa"/>
            <w:tcBorders>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6</w:t>
            </w:r>
          </w:p>
        </w:tc>
        <w:tc>
          <w:tcPr>
            <w:tcW w:w="1182" w:type="dxa"/>
            <w:tcBorders>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12</w:t>
            </w:r>
          </w:p>
        </w:tc>
      </w:tr>
      <w:tr w:rsidR="00D227E2">
        <w:trPr>
          <w:trHeight w:val="20"/>
        </w:trPr>
        <w:tc>
          <w:tcPr>
            <w:tcW w:w="434" w:type="dxa"/>
            <w:tcBorders>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4</w:t>
            </w:r>
          </w:p>
        </w:tc>
        <w:tc>
          <w:tcPr>
            <w:tcW w:w="1884" w:type="dxa"/>
            <w:tcBorders>
              <w:bottom w:val="single" w:sz="4" w:space="0" w:color="000000"/>
              <w:right w:val="single" w:sz="4" w:space="0" w:color="000000"/>
            </w:tcBorders>
            <w:vAlign w:val="center"/>
          </w:tcPr>
          <w:p w:rsidR="00D227E2" w:rsidRDefault="00934FC4">
            <w:pPr>
              <w:widowControl w:val="0"/>
              <w:spacing w:after="0" w:line="240" w:lineRule="auto"/>
              <w:rPr>
                <w:rFonts w:ascii="Times New Roman" w:hAnsi="Times New Roman" w:cs="Times New Roman"/>
              </w:rPr>
            </w:pPr>
            <w:r>
              <w:rPr>
                <w:rFonts w:ascii="Times New Roman" w:eastAsia="Times New Roman" w:hAnsi="Times New Roman" w:cs="Times New Roman"/>
                <w:color w:val="000000"/>
                <w:kern w:val="2"/>
                <w:lang w:eastAsia="ru-RU" w:bidi="hi-IN"/>
              </w:rPr>
              <w:t>6 поверхів та вище</w:t>
            </w:r>
          </w:p>
        </w:tc>
        <w:tc>
          <w:tcPr>
            <w:tcW w:w="1228" w:type="dxa"/>
            <w:tcBorders>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0</w:t>
            </w:r>
          </w:p>
        </w:tc>
        <w:tc>
          <w:tcPr>
            <w:tcW w:w="1229" w:type="dxa"/>
            <w:tcBorders>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0</w:t>
            </w:r>
          </w:p>
        </w:tc>
        <w:tc>
          <w:tcPr>
            <w:tcW w:w="1247" w:type="dxa"/>
            <w:tcBorders>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0</w:t>
            </w:r>
          </w:p>
        </w:tc>
        <w:tc>
          <w:tcPr>
            <w:tcW w:w="1254" w:type="dxa"/>
            <w:tcBorders>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0</w:t>
            </w:r>
          </w:p>
        </w:tc>
        <w:tc>
          <w:tcPr>
            <w:tcW w:w="1185" w:type="dxa"/>
            <w:tcBorders>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0</w:t>
            </w:r>
          </w:p>
        </w:tc>
        <w:tc>
          <w:tcPr>
            <w:tcW w:w="1182" w:type="dxa"/>
            <w:tcBorders>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3</w:t>
            </w:r>
          </w:p>
        </w:tc>
      </w:tr>
      <w:tr w:rsidR="00D227E2">
        <w:trPr>
          <w:trHeight w:val="20"/>
        </w:trPr>
        <w:tc>
          <w:tcPr>
            <w:tcW w:w="2318" w:type="dxa"/>
            <w:gridSpan w:val="2"/>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Загальна кількість</w:t>
            </w:r>
          </w:p>
        </w:tc>
        <w:tc>
          <w:tcPr>
            <w:tcW w:w="1228" w:type="dxa"/>
            <w:tcBorders>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7</w:t>
            </w:r>
          </w:p>
        </w:tc>
        <w:tc>
          <w:tcPr>
            <w:tcW w:w="1229" w:type="dxa"/>
            <w:tcBorders>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56</w:t>
            </w:r>
          </w:p>
        </w:tc>
        <w:tc>
          <w:tcPr>
            <w:tcW w:w="1247" w:type="dxa"/>
            <w:tcBorders>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13</w:t>
            </w:r>
          </w:p>
        </w:tc>
        <w:tc>
          <w:tcPr>
            <w:tcW w:w="1254" w:type="dxa"/>
            <w:tcBorders>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8</w:t>
            </w:r>
          </w:p>
        </w:tc>
        <w:tc>
          <w:tcPr>
            <w:tcW w:w="1185" w:type="dxa"/>
            <w:tcBorders>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19</w:t>
            </w:r>
          </w:p>
        </w:tc>
        <w:tc>
          <w:tcPr>
            <w:tcW w:w="1182" w:type="dxa"/>
            <w:tcBorders>
              <w:bottom w:val="single" w:sz="4" w:space="0" w:color="000000"/>
              <w:right w:val="single" w:sz="4"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lang w:eastAsia="ru-RU" w:bidi="hi-IN"/>
              </w:rPr>
              <w:t>17</w:t>
            </w:r>
          </w:p>
        </w:tc>
      </w:tr>
    </w:tbl>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Більшість будинків у м. Луцьку побудовано у 1950-1980 роках 20 століття. Виходячи з вимог сучасних будівельних стандартів такі будинки відносяться до класів енергоефективності E,F,G, характеризуються значними втратами тепла через огороджувальні конструкції і потребують значної кількості тепла для опалення приміщень.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З іншого боку, у зв’язку зі зміною клімату і зростанням середніх температур, такі будинки влітку не дозволяють підтримувати комфортну температуру у приміщеннях і потребують додаткового охолодження.</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Будинки зазначеного періоду збудовані з використанням силікатної цегли, або бетонних панелей, що мають невисокі теплозахисні властивості. Такі будівлі побудовані за проєктами, </w:t>
      </w:r>
      <w:r>
        <w:rPr>
          <w:rFonts w:ascii="Times New Roman" w:eastAsia="NSimSun" w:hAnsi="Times New Roman" w:cs="Times New Roman"/>
          <w:kern w:val="2"/>
          <w:sz w:val="24"/>
          <w:szCs w:val="24"/>
          <w:lang w:eastAsia="zh-CN" w:bidi="hi-IN"/>
        </w:rPr>
        <w:lastRenderedPageBreak/>
        <w:t>що не передбачали утеплення зовнішніх огороджувальних конструкцій, на відміну від того, як будуються будинки зараз. Світлопрозорі огороджувальні конструкції (вікна) житлових будівель також не задовольняють сучасні вимоги з енергоефективності.</w:t>
      </w:r>
    </w:p>
    <w:p w:rsidR="00D227E2" w:rsidRDefault="00934FC4">
      <w:pPr>
        <w:spacing w:after="0"/>
        <w:ind w:firstLine="624"/>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Загальна кiлькiсть житлових будинкiв, яку обслуговує ДКП «Луцьктепло» – 758 од, засобами обліку теплової енергiї обладнані 701 од., що становитъ 92,5 % від yciєї кiлькостi та 98,6 % від загальної опалювальної площi. </w:t>
      </w:r>
      <w:r>
        <w:rPr>
          <w:rFonts w:ascii="Times New Roman" w:eastAsia="NSimSun" w:hAnsi="Times New Roman" w:cs="Times New Roman"/>
          <w:color w:val="000000"/>
          <w:kern w:val="2"/>
          <w:sz w:val="24"/>
          <w:szCs w:val="24"/>
          <w:lang w:eastAsia="zh-CN" w:bidi="hi-IN"/>
        </w:rPr>
        <w:t>Загальна опалювальна площа квартир з постачанням теплової енергiї становитъ – 2 621 970,7 м</w:t>
      </w:r>
      <w:r>
        <w:rPr>
          <w:rFonts w:ascii="Times New Roman" w:eastAsia="NSimSun" w:hAnsi="Times New Roman" w:cs="Times New Roman"/>
          <w:color w:val="000000"/>
          <w:kern w:val="2"/>
          <w:sz w:val="24"/>
          <w:szCs w:val="24"/>
          <w:vertAlign w:val="superscript"/>
          <w:lang w:eastAsia="zh-CN" w:bidi="hi-IN"/>
        </w:rPr>
        <w:t>2</w:t>
      </w:r>
      <w:r>
        <w:rPr>
          <w:rFonts w:ascii="Times New Roman" w:eastAsia="NSimSun" w:hAnsi="Times New Roman" w:cs="Times New Roman"/>
          <w:color w:val="000000"/>
          <w:kern w:val="2"/>
          <w:sz w:val="24"/>
          <w:szCs w:val="24"/>
          <w:lang w:eastAsia="zh-CN" w:bidi="hi-IN"/>
        </w:rPr>
        <w:t>.</w:t>
      </w:r>
    </w:p>
    <w:p w:rsidR="00D227E2" w:rsidRDefault="00934FC4">
      <w:pPr>
        <w:spacing w:after="0"/>
        <w:ind w:firstLine="624"/>
        <w:jc w:val="both"/>
        <w:rPr>
          <w:rFonts w:ascii="Times New Roman" w:hAnsi="Times New Roman" w:cs="Times New Roman"/>
        </w:rPr>
      </w:pPr>
      <w:r>
        <w:rPr>
          <w:rFonts w:ascii="Times New Roman" w:eastAsia="NSimSun" w:hAnsi="Times New Roman" w:cs="Times New Roman"/>
          <w:kern w:val="2"/>
          <w:sz w:val="24"/>
          <w:szCs w:val="24"/>
          <w:lang w:eastAsia="zh-CN" w:bidi="hi-IN"/>
        </w:rPr>
        <w:t>Загальна кiлькiсть житлових будинкiв, яку обслуговує КП «Луцькводоканал» – 16997 од, засобами обліку споживання води обладнані – 14065 од., що становитъ – 82,7 %  від усієї кількості.</w:t>
      </w:r>
    </w:p>
    <w:p w:rsidR="00D227E2" w:rsidRDefault="00934FC4">
      <w:pPr>
        <w:spacing w:after="0"/>
        <w:ind w:firstLine="567"/>
        <w:jc w:val="both"/>
        <w:rPr>
          <w:rFonts w:ascii="Times New Roman" w:hAnsi="Times New Roman" w:cs="Times New Roman"/>
          <w:sz w:val="24"/>
          <w:szCs w:val="24"/>
        </w:rPr>
      </w:pPr>
      <w:r>
        <w:rPr>
          <w:rFonts w:ascii="Times New Roman" w:hAnsi="Times New Roman" w:cs="Times New Roman"/>
          <w:sz w:val="24"/>
          <w:szCs w:val="24"/>
        </w:rPr>
        <w:t>Забезпеченість житлових будинків інженерними мережами та наявності вузлів комерційного обліку наведено у таблиці 45.</w:t>
      </w:r>
    </w:p>
    <w:p w:rsidR="00D227E2" w:rsidRDefault="00934FC4">
      <w:pPr>
        <w:spacing w:after="0" w:line="240" w:lineRule="auto"/>
        <w:jc w:val="center"/>
        <w:rPr>
          <w:rFonts w:ascii="Times New Roman" w:hAnsi="Times New Roman" w:cs="Times New Roman"/>
        </w:rPr>
      </w:pPr>
      <w:r>
        <w:rPr>
          <w:rFonts w:ascii="Times New Roman" w:eastAsia="Microsoft Sans Serif" w:hAnsi="Times New Roman" w:cs="Times New Roman"/>
          <w:kern w:val="2"/>
          <w:sz w:val="24"/>
          <w:szCs w:val="24"/>
        </w:rPr>
        <w:t>Таблиця 45. Інформація про підключення будинків до інженерних мереж та наявності вузлів комерційного обліку</w:t>
      </w:r>
    </w:p>
    <w:tbl>
      <w:tblPr>
        <w:tblW w:w="9524" w:type="dxa"/>
        <w:tblInd w:w="340" w:type="dxa"/>
        <w:tblLayout w:type="fixed"/>
        <w:tblLook w:val="0000" w:firstRow="0" w:lastRow="0" w:firstColumn="0" w:lastColumn="0" w:noHBand="0" w:noVBand="0"/>
      </w:tblPr>
      <w:tblGrid>
        <w:gridCol w:w="7102"/>
        <w:gridCol w:w="1215"/>
        <w:gridCol w:w="1207"/>
      </w:tblGrid>
      <w:tr w:rsidR="00D227E2">
        <w:tc>
          <w:tcPr>
            <w:tcW w:w="7102" w:type="dxa"/>
            <w:tcBorders>
              <w:top w:val="single" w:sz="8" w:space="0" w:color="000000"/>
              <w:left w:val="single" w:sz="8" w:space="0" w:color="000000"/>
              <w:bottom w:val="single" w:sz="8" w:space="0" w:color="000000"/>
              <w:right w:val="single" w:sz="8"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Параметр</w:t>
            </w:r>
          </w:p>
        </w:tc>
        <w:tc>
          <w:tcPr>
            <w:tcW w:w="1215" w:type="dxa"/>
            <w:tcBorders>
              <w:top w:val="single" w:sz="8" w:space="0" w:color="000000"/>
              <w:bottom w:val="single" w:sz="8" w:space="0" w:color="000000"/>
              <w:right w:val="single" w:sz="8"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Всього</w:t>
            </w:r>
          </w:p>
        </w:tc>
        <w:tc>
          <w:tcPr>
            <w:tcW w:w="1207" w:type="dxa"/>
            <w:tcBorders>
              <w:top w:val="single" w:sz="8" w:space="0" w:color="000000"/>
              <w:bottom w:val="single" w:sz="8" w:space="0" w:color="000000"/>
              <w:right w:val="single" w:sz="8"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 xml:space="preserve"> %</w:t>
            </w:r>
          </w:p>
        </w:tc>
      </w:tr>
      <w:tr w:rsidR="00D227E2">
        <w:tc>
          <w:tcPr>
            <w:tcW w:w="7102" w:type="dxa"/>
            <w:tcBorders>
              <w:left w:val="single" w:sz="8" w:space="0" w:color="000000"/>
              <w:bottom w:val="single" w:sz="8" w:space="0" w:color="000000"/>
              <w:right w:val="single" w:sz="8" w:space="0" w:color="000000"/>
            </w:tcBorders>
            <w:vAlign w:val="center"/>
          </w:tcPr>
          <w:p w:rsidR="00D227E2" w:rsidRDefault="00934FC4">
            <w:pPr>
              <w:widowControl w:val="0"/>
              <w:spacing w:after="0" w:line="240" w:lineRule="auto"/>
              <w:jc w:val="both"/>
              <w:rPr>
                <w:rFonts w:ascii="Times New Roman" w:hAnsi="Times New Roman" w:cs="Times New Roman"/>
              </w:rPr>
            </w:pPr>
            <w:r>
              <w:rPr>
                <w:rFonts w:ascii="Times New Roman" w:eastAsia="Times New Roman" w:hAnsi="Times New Roman" w:cs="Times New Roman"/>
                <w:color w:val="000000"/>
                <w:kern w:val="2"/>
                <w:lang w:eastAsia="ru-RU" w:bidi="hi-IN"/>
              </w:rPr>
              <w:t>К-ть будинків з централізованим опаленням, шт.</w:t>
            </w:r>
          </w:p>
        </w:tc>
        <w:tc>
          <w:tcPr>
            <w:tcW w:w="1215" w:type="dxa"/>
            <w:tcBorders>
              <w:bottom w:val="single" w:sz="8" w:space="0" w:color="000000"/>
              <w:right w:val="single" w:sz="8"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758</w:t>
            </w:r>
          </w:p>
        </w:tc>
        <w:tc>
          <w:tcPr>
            <w:tcW w:w="1207" w:type="dxa"/>
            <w:tcBorders>
              <w:bottom w:val="single" w:sz="8" w:space="0" w:color="000000"/>
              <w:right w:val="single" w:sz="8"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w:t>
            </w:r>
          </w:p>
        </w:tc>
      </w:tr>
      <w:tr w:rsidR="00D227E2">
        <w:tc>
          <w:tcPr>
            <w:tcW w:w="7102" w:type="dxa"/>
            <w:tcBorders>
              <w:left w:val="single" w:sz="8" w:space="0" w:color="000000"/>
              <w:bottom w:val="single" w:sz="8" w:space="0" w:color="000000"/>
              <w:right w:val="single" w:sz="8" w:space="0" w:color="000000"/>
            </w:tcBorders>
            <w:vAlign w:val="center"/>
          </w:tcPr>
          <w:p w:rsidR="00D227E2" w:rsidRDefault="00934FC4">
            <w:pPr>
              <w:widowControl w:val="0"/>
              <w:spacing w:after="0" w:line="240" w:lineRule="auto"/>
              <w:jc w:val="both"/>
              <w:rPr>
                <w:rFonts w:ascii="Times New Roman" w:hAnsi="Times New Roman" w:cs="Times New Roman"/>
              </w:rPr>
            </w:pPr>
            <w:r>
              <w:rPr>
                <w:rFonts w:ascii="Times New Roman" w:eastAsia="Times New Roman" w:hAnsi="Times New Roman" w:cs="Times New Roman"/>
                <w:color w:val="000000"/>
                <w:kern w:val="2"/>
                <w:lang w:eastAsia="ru-RU" w:bidi="hi-IN"/>
              </w:rPr>
              <w:t>в тому числі, обладнані будинковими приладами обліку тепла, шт.</w:t>
            </w:r>
          </w:p>
        </w:tc>
        <w:tc>
          <w:tcPr>
            <w:tcW w:w="1215" w:type="dxa"/>
            <w:tcBorders>
              <w:bottom w:val="single" w:sz="8" w:space="0" w:color="000000"/>
              <w:right w:val="single" w:sz="8"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701</w:t>
            </w:r>
          </w:p>
        </w:tc>
        <w:tc>
          <w:tcPr>
            <w:tcW w:w="1207" w:type="dxa"/>
            <w:tcBorders>
              <w:bottom w:val="single" w:sz="8" w:space="0" w:color="000000"/>
              <w:right w:val="single" w:sz="8"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92,5</w:t>
            </w:r>
          </w:p>
        </w:tc>
      </w:tr>
      <w:tr w:rsidR="00D227E2">
        <w:tc>
          <w:tcPr>
            <w:tcW w:w="7102" w:type="dxa"/>
            <w:tcBorders>
              <w:left w:val="single" w:sz="8" w:space="0" w:color="000000"/>
              <w:bottom w:val="single" w:sz="8" w:space="0" w:color="000000"/>
              <w:right w:val="single" w:sz="8" w:space="0" w:color="000000"/>
            </w:tcBorders>
            <w:vAlign w:val="center"/>
          </w:tcPr>
          <w:p w:rsidR="00D227E2" w:rsidRDefault="00934FC4">
            <w:pPr>
              <w:widowControl w:val="0"/>
              <w:spacing w:after="0" w:line="240" w:lineRule="auto"/>
              <w:jc w:val="both"/>
              <w:rPr>
                <w:rFonts w:ascii="Times New Roman" w:hAnsi="Times New Roman" w:cs="Times New Roman"/>
              </w:rPr>
            </w:pPr>
            <w:r>
              <w:rPr>
                <w:rFonts w:ascii="Times New Roman" w:eastAsia="Times New Roman" w:hAnsi="Times New Roman" w:cs="Times New Roman"/>
                <w:color w:val="000000"/>
                <w:kern w:val="2"/>
                <w:lang w:eastAsia="ru-RU" w:bidi="hi-IN"/>
              </w:rPr>
              <w:t>К-ть будинків з централізованим водопостачанням, шт.</w:t>
            </w:r>
          </w:p>
        </w:tc>
        <w:tc>
          <w:tcPr>
            <w:tcW w:w="1215" w:type="dxa"/>
            <w:tcBorders>
              <w:bottom w:val="single" w:sz="8" w:space="0" w:color="000000"/>
              <w:right w:val="single" w:sz="8"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16997</w:t>
            </w:r>
          </w:p>
        </w:tc>
        <w:tc>
          <w:tcPr>
            <w:tcW w:w="1207" w:type="dxa"/>
            <w:tcBorders>
              <w:bottom w:val="single" w:sz="8" w:space="0" w:color="000000"/>
              <w:right w:val="single" w:sz="8"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w:t>
            </w:r>
          </w:p>
        </w:tc>
      </w:tr>
      <w:tr w:rsidR="00D227E2">
        <w:tc>
          <w:tcPr>
            <w:tcW w:w="7102" w:type="dxa"/>
            <w:tcBorders>
              <w:left w:val="single" w:sz="8" w:space="0" w:color="000000"/>
              <w:bottom w:val="single" w:sz="8" w:space="0" w:color="000000"/>
              <w:right w:val="single" w:sz="8" w:space="0" w:color="000000"/>
            </w:tcBorders>
            <w:vAlign w:val="center"/>
          </w:tcPr>
          <w:p w:rsidR="00D227E2" w:rsidRDefault="00934FC4">
            <w:pPr>
              <w:widowControl w:val="0"/>
              <w:spacing w:after="0" w:line="240" w:lineRule="auto"/>
              <w:jc w:val="both"/>
              <w:rPr>
                <w:rFonts w:ascii="Times New Roman" w:hAnsi="Times New Roman" w:cs="Times New Roman"/>
              </w:rPr>
            </w:pPr>
            <w:r>
              <w:rPr>
                <w:rFonts w:ascii="Times New Roman" w:eastAsia="Times New Roman" w:hAnsi="Times New Roman" w:cs="Times New Roman"/>
                <w:color w:val="000000"/>
                <w:kern w:val="2"/>
                <w:lang w:eastAsia="ru-RU" w:bidi="hi-IN"/>
              </w:rPr>
              <w:t>в тому числі, обладнані будинковими приладами обліку води, шт.</w:t>
            </w:r>
          </w:p>
        </w:tc>
        <w:tc>
          <w:tcPr>
            <w:tcW w:w="1215" w:type="dxa"/>
            <w:tcBorders>
              <w:bottom w:val="single" w:sz="8" w:space="0" w:color="000000"/>
              <w:right w:val="single" w:sz="8"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14065</w:t>
            </w:r>
          </w:p>
        </w:tc>
        <w:tc>
          <w:tcPr>
            <w:tcW w:w="1207" w:type="dxa"/>
            <w:tcBorders>
              <w:bottom w:val="single" w:sz="8" w:space="0" w:color="000000"/>
              <w:right w:val="single" w:sz="8" w:space="0" w:color="000000"/>
            </w:tcBorders>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lang w:eastAsia="ru-RU" w:bidi="hi-IN"/>
              </w:rPr>
              <w:t>82,7</w:t>
            </w:r>
          </w:p>
        </w:tc>
      </w:tr>
    </w:tbl>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За даними таблиці 45 можна зробити висновок про недостатню кількість встановлених комерційних засобів обліку теплової енергії та води.</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kern w:val="2"/>
          <w:sz w:val="24"/>
          <w:szCs w:val="24"/>
          <w:lang w:eastAsia="zh-CN" w:bidi="hi-IN"/>
        </w:rPr>
        <w:t>В таблиці 46 та на рисунках 30-32 наведені дані споживання паливно-енергетичних ресурсів у житлових будинках у період 2007-2022 роки.</w:t>
      </w:r>
    </w:p>
    <w:p w:rsidR="00D227E2" w:rsidRDefault="00934FC4">
      <w:pPr>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Таблиця 46. Споживання паливно-енергетичних ресурсів житловим фондом Луцька</w:t>
      </w:r>
    </w:p>
    <w:tbl>
      <w:tblPr>
        <w:tblW w:w="9525" w:type="dxa"/>
        <w:tblInd w:w="148" w:type="dxa"/>
        <w:tblLayout w:type="fixed"/>
        <w:tblCellMar>
          <w:left w:w="7" w:type="dxa"/>
          <w:right w:w="10" w:type="dxa"/>
        </w:tblCellMar>
        <w:tblLook w:val="0000" w:firstRow="0" w:lastRow="0" w:firstColumn="0" w:lastColumn="0" w:noHBand="0" w:noVBand="0"/>
      </w:tblPr>
      <w:tblGrid>
        <w:gridCol w:w="1144"/>
        <w:gridCol w:w="2687"/>
        <w:gridCol w:w="2669"/>
        <w:gridCol w:w="3025"/>
      </w:tblGrid>
      <w:tr w:rsidR="00D227E2">
        <w:trPr>
          <w:trHeight w:val="544"/>
        </w:trPr>
        <w:tc>
          <w:tcPr>
            <w:tcW w:w="1143" w:type="dxa"/>
            <w:tcBorders>
              <w:top w:val="single" w:sz="2" w:space="0" w:color="000000"/>
              <w:left w:val="single" w:sz="2" w:space="0" w:color="000000"/>
              <w:bottom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Роки</w:t>
            </w:r>
          </w:p>
        </w:tc>
        <w:tc>
          <w:tcPr>
            <w:tcW w:w="2687" w:type="dxa"/>
            <w:tcBorders>
              <w:top w:val="single" w:sz="2" w:space="0" w:color="000000"/>
              <w:left w:val="single" w:sz="2" w:space="0" w:color="000000"/>
              <w:bottom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Теплова енергія</w:t>
            </w:r>
          </w:p>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тис. Гкал</w:t>
            </w:r>
          </w:p>
        </w:tc>
        <w:tc>
          <w:tcPr>
            <w:tcW w:w="2669" w:type="dxa"/>
            <w:tcBorders>
              <w:top w:val="single" w:sz="2" w:space="0" w:color="000000"/>
              <w:left w:val="single" w:sz="2" w:space="0" w:color="000000"/>
              <w:bottom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Газопостачання</w:t>
            </w:r>
          </w:p>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тис. м</w:t>
            </w:r>
            <w:r>
              <w:rPr>
                <w:rFonts w:ascii="Times New Roman" w:eastAsia="Microsoft Sans Serif" w:hAnsi="Times New Roman" w:cs="Times New Roman"/>
                <w:kern w:val="2"/>
                <w:vertAlign w:val="superscript"/>
              </w:rPr>
              <w:t>3</w:t>
            </w:r>
          </w:p>
        </w:tc>
        <w:tc>
          <w:tcPr>
            <w:tcW w:w="3025" w:type="dxa"/>
            <w:tcBorders>
              <w:top w:val="single" w:sz="2" w:space="0" w:color="000000"/>
              <w:left w:val="single" w:sz="2" w:space="0" w:color="000000"/>
              <w:bottom w:val="single" w:sz="2" w:space="0" w:color="000000"/>
              <w:right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Електропостачання</w:t>
            </w:r>
          </w:p>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тис. МВт.год</w:t>
            </w:r>
          </w:p>
        </w:tc>
      </w:tr>
      <w:tr w:rsidR="00D227E2">
        <w:trPr>
          <w:trHeight w:val="264"/>
        </w:trPr>
        <w:tc>
          <w:tcPr>
            <w:tcW w:w="1143" w:type="dxa"/>
            <w:tcBorders>
              <w:left w:val="single" w:sz="2" w:space="0" w:color="000000"/>
              <w:bottom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2007</w:t>
            </w:r>
          </w:p>
        </w:tc>
        <w:tc>
          <w:tcPr>
            <w:tcW w:w="2687" w:type="dxa"/>
            <w:tcBorders>
              <w:left w:val="single" w:sz="2" w:space="0" w:color="000000"/>
              <w:bottom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rPr>
              <w:t>485,38</w:t>
            </w:r>
          </w:p>
        </w:tc>
        <w:tc>
          <w:tcPr>
            <w:tcW w:w="2669" w:type="dxa"/>
            <w:tcBorders>
              <w:left w:val="single" w:sz="2" w:space="0" w:color="000000"/>
              <w:bottom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63465,1</w:t>
            </w:r>
          </w:p>
        </w:tc>
        <w:tc>
          <w:tcPr>
            <w:tcW w:w="3025" w:type="dxa"/>
            <w:tcBorders>
              <w:left w:val="single" w:sz="2" w:space="0" w:color="000000"/>
              <w:bottom w:val="single" w:sz="2" w:space="0" w:color="000000"/>
              <w:right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94,479</w:t>
            </w:r>
          </w:p>
        </w:tc>
      </w:tr>
      <w:tr w:rsidR="00D227E2">
        <w:trPr>
          <w:trHeight w:val="272"/>
        </w:trPr>
        <w:tc>
          <w:tcPr>
            <w:tcW w:w="1143" w:type="dxa"/>
            <w:tcBorders>
              <w:left w:val="single" w:sz="2" w:space="0" w:color="000000"/>
              <w:bottom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2008</w:t>
            </w:r>
          </w:p>
        </w:tc>
        <w:tc>
          <w:tcPr>
            <w:tcW w:w="2687" w:type="dxa"/>
            <w:tcBorders>
              <w:left w:val="single" w:sz="2" w:space="0" w:color="000000"/>
              <w:bottom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rPr>
              <w:t>309,4</w:t>
            </w:r>
          </w:p>
        </w:tc>
        <w:tc>
          <w:tcPr>
            <w:tcW w:w="2669" w:type="dxa"/>
            <w:tcBorders>
              <w:left w:val="single" w:sz="2" w:space="0" w:color="000000"/>
              <w:bottom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64747,6</w:t>
            </w:r>
          </w:p>
        </w:tc>
        <w:tc>
          <w:tcPr>
            <w:tcW w:w="3025" w:type="dxa"/>
            <w:tcBorders>
              <w:left w:val="single" w:sz="2" w:space="0" w:color="000000"/>
              <w:bottom w:val="single" w:sz="2" w:space="0" w:color="000000"/>
              <w:right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100,147</w:t>
            </w:r>
          </w:p>
        </w:tc>
      </w:tr>
      <w:tr w:rsidR="00D227E2">
        <w:trPr>
          <w:trHeight w:val="270"/>
        </w:trPr>
        <w:tc>
          <w:tcPr>
            <w:tcW w:w="1143" w:type="dxa"/>
            <w:tcBorders>
              <w:left w:val="single" w:sz="2" w:space="0" w:color="000000"/>
              <w:bottom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2009</w:t>
            </w:r>
          </w:p>
        </w:tc>
        <w:tc>
          <w:tcPr>
            <w:tcW w:w="2687" w:type="dxa"/>
            <w:tcBorders>
              <w:left w:val="single" w:sz="2" w:space="0" w:color="000000"/>
              <w:bottom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rPr>
              <w:t>283,8</w:t>
            </w:r>
          </w:p>
        </w:tc>
        <w:tc>
          <w:tcPr>
            <w:tcW w:w="2669" w:type="dxa"/>
            <w:tcBorders>
              <w:left w:val="single" w:sz="2" w:space="0" w:color="000000"/>
              <w:bottom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62023,5</w:t>
            </w:r>
          </w:p>
        </w:tc>
        <w:tc>
          <w:tcPr>
            <w:tcW w:w="3025" w:type="dxa"/>
            <w:tcBorders>
              <w:left w:val="single" w:sz="2" w:space="0" w:color="000000"/>
              <w:bottom w:val="single" w:sz="2" w:space="0" w:color="000000"/>
              <w:right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105,415</w:t>
            </w:r>
          </w:p>
        </w:tc>
      </w:tr>
      <w:tr w:rsidR="00D227E2">
        <w:trPr>
          <w:trHeight w:val="272"/>
        </w:trPr>
        <w:tc>
          <w:tcPr>
            <w:tcW w:w="1143" w:type="dxa"/>
            <w:tcBorders>
              <w:left w:val="single" w:sz="2" w:space="0" w:color="000000"/>
              <w:bottom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2010</w:t>
            </w:r>
          </w:p>
        </w:tc>
        <w:tc>
          <w:tcPr>
            <w:tcW w:w="2687" w:type="dxa"/>
            <w:tcBorders>
              <w:left w:val="single" w:sz="2" w:space="0" w:color="000000"/>
              <w:bottom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rPr>
              <w:t>265,9</w:t>
            </w:r>
          </w:p>
        </w:tc>
        <w:tc>
          <w:tcPr>
            <w:tcW w:w="2669" w:type="dxa"/>
            <w:tcBorders>
              <w:left w:val="single" w:sz="2" w:space="0" w:color="000000"/>
              <w:bottom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65498,1</w:t>
            </w:r>
          </w:p>
        </w:tc>
        <w:tc>
          <w:tcPr>
            <w:tcW w:w="3025" w:type="dxa"/>
            <w:tcBorders>
              <w:left w:val="single" w:sz="2" w:space="0" w:color="000000"/>
              <w:bottom w:val="single" w:sz="2" w:space="0" w:color="000000"/>
              <w:right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114,999</w:t>
            </w:r>
          </w:p>
        </w:tc>
      </w:tr>
      <w:tr w:rsidR="00D227E2">
        <w:trPr>
          <w:trHeight w:val="270"/>
        </w:trPr>
        <w:tc>
          <w:tcPr>
            <w:tcW w:w="1143" w:type="dxa"/>
            <w:tcBorders>
              <w:left w:val="single" w:sz="2" w:space="0" w:color="000000"/>
              <w:bottom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2011</w:t>
            </w:r>
          </w:p>
        </w:tc>
        <w:tc>
          <w:tcPr>
            <w:tcW w:w="2687" w:type="dxa"/>
            <w:tcBorders>
              <w:left w:val="single" w:sz="2" w:space="0" w:color="000000"/>
              <w:bottom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rPr>
              <w:t>348,9</w:t>
            </w:r>
          </w:p>
        </w:tc>
        <w:tc>
          <w:tcPr>
            <w:tcW w:w="2669" w:type="dxa"/>
            <w:tcBorders>
              <w:left w:val="single" w:sz="2" w:space="0" w:color="000000"/>
              <w:bottom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66636,0</w:t>
            </w:r>
          </w:p>
        </w:tc>
        <w:tc>
          <w:tcPr>
            <w:tcW w:w="3025" w:type="dxa"/>
            <w:tcBorders>
              <w:left w:val="single" w:sz="2" w:space="0" w:color="000000"/>
              <w:bottom w:val="single" w:sz="2" w:space="0" w:color="000000"/>
              <w:right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117,234</w:t>
            </w:r>
          </w:p>
        </w:tc>
      </w:tr>
      <w:tr w:rsidR="00D227E2">
        <w:trPr>
          <w:trHeight w:val="272"/>
        </w:trPr>
        <w:tc>
          <w:tcPr>
            <w:tcW w:w="1143" w:type="dxa"/>
            <w:tcBorders>
              <w:left w:val="single" w:sz="2" w:space="0" w:color="000000"/>
              <w:bottom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2012</w:t>
            </w:r>
          </w:p>
        </w:tc>
        <w:tc>
          <w:tcPr>
            <w:tcW w:w="2687" w:type="dxa"/>
            <w:tcBorders>
              <w:left w:val="single" w:sz="2" w:space="0" w:color="000000"/>
              <w:bottom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rPr>
              <w:t>290,5</w:t>
            </w:r>
          </w:p>
        </w:tc>
        <w:tc>
          <w:tcPr>
            <w:tcW w:w="2669" w:type="dxa"/>
            <w:tcBorders>
              <w:left w:val="single" w:sz="2" w:space="0" w:color="000000"/>
              <w:bottom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68247,7</w:t>
            </w:r>
          </w:p>
        </w:tc>
        <w:tc>
          <w:tcPr>
            <w:tcW w:w="3025" w:type="dxa"/>
            <w:tcBorders>
              <w:left w:val="single" w:sz="2" w:space="0" w:color="000000"/>
              <w:bottom w:val="single" w:sz="2" w:space="0" w:color="000000"/>
              <w:right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127,347</w:t>
            </w:r>
          </w:p>
        </w:tc>
      </w:tr>
      <w:tr w:rsidR="00D227E2">
        <w:trPr>
          <w:trHeight w:val="270"/>
        </w:trPr>
        <w:tc>
          <w:tcPr>
            <w:tcW w:w="1143" w:type="dxa"/>
            <w:tcBorders>
              <w:left w:val="single" w:sz="2" w:space="0" w:color="000000"/>
              <w:bottom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2013</w:t>
            </w:r>
          </w:p>
        </w:tc>
        <w:tc>
          <w:tcPr>
            <w:tcW w:w="2687" w:type="dxa"/>
            <w:tcBorders>
              <w:left w:val="single" w:sz="2" w:space="0" w:color="000000"/>
              <w:bottom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rPr>
              <w:t>255,7</w:t>
            </w:r>
          </w:p>
        </w:tc>
        <w:tc>
          <w:tcPr>
            <w:tcW w:w="2669" w:type="dxa"/>
            <w:tcBorders>
              <w:left w:val="single" w:sz="2" w:space="0" w:color="000000"/>
              <w:bottom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62381,1</w:t>
            </w:r>
          </w:p>
        </w:tc>
        <w:tc>
          <w:tcPr>
            <w:tcW w:w="3025" w:type="dxa"/>
            <w:tcBorders>
              <w:left w:val="single" w:sz="2" w:space="0" w:color="000000"/>
              <w:bottom w:val="single" w:sz="2" w:space="0" w:color="000000"/>
              <w:right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127,380</w:t>
            </w:r>
          </w:p>
        </w:tc>
      </w:tr>
      <w:tr w:rsidR="00D227E2">
        <w:trPr>
          <w:trHeight w:val="298"/>
        </w:trPr>
        <w:tc>
          <w:tcPr>
            <w:tcW w:w="1143" w:type="dxa"/>
            <w:tcBorders>
              <w:left w:val="single" w:sz="2" w:space="0" w:color="000000"/>
              <w:bottom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2014</w:t>
            </w:r>
          </w:p>
        </w:tc>
        <w:tc>
          <w:tcPr>
            <w:tcW w:w="2687" w:type="dxa"/>
            <w:tcBorders>
              <w:left w:val="single" w:sz="2" w:space="0" w:color="000000"/>
              <w:bottom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rPr>
              <w:t>416,96</w:t>
            </w:r>
          </w:p>
        </w:tc>
        <w:tc>
          <w:tcPr>
            <w:tcW w:w="2669" w:type="dxa"/>
            <w:tcBorders>
              <w:left w:val="single" w:sz="2" w:space="0" w:color="000000"/>
              <w:bottom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62702,0</w:t>
            </w:r>
          </w:p>
        </w:tc>
        <w:tc>
          <w:tcPr>
            <w:tcW w:w="3025" w:type="dxa"/>
            <w:tcBorders>
              <w:left w:val="single" w:sz="2" w:space="0" w:color="000000"/>
              <w:bottom w:val="single" w:sz="2" w:space="0" w:color="000000"/>
              <w:right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133,312</w:t>
            </w:r>
          </w:p>
        </w:tc>
      </w:tr>
      <w:tr w:rsidR="00D227E2">
        <w:trPr>
          <w:trHeight w:val="298"/>
        </w:trPr>
        <w:tc>
          <w:tcPr>
            <w:tcW w:w="1143" w:type="dxa"/>
            <w:tcBorders>
              <w:left w:val="single" w:sz="2" w:space="0" w:color="000000"/>
              <w:bottom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2020</w:t>
            </w:r>
          </w:p>
        </w:tc>
        <w:tc>
          <w:tcPr>
            <w:tcW w:w="2687" w:type="dxa"/>
            <w:tcBorders>
              <w:left w:val="single" w:sz="2" w:space="0" w:color="000000"/>
              <w:bottom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rPr>
              <w:t>309,75</w:t>
            </w:r>
          </w:p>
        </w:tc>
        <w:tc>
          <w:tcPr>
            <w:tcW w:w="2669" w:type="dxa"/>
            <w:tcBorders>
              <w:left w:val="single" w:sz="2" w:space="0" w:color="000000"/>
              <w:bottom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67640,0</w:t>
            </w:r>
          </w:p>
        </w:tc>
        <w:tc>
          <w:tcPr>
            <w:tcW w:w="3025" w:type="dxa"/>
            <w:tcBorders>
              <w:left w:val="single" w:sz="2" w:space="0" w:color="000000"/>
              <w:bottom w:val="single" w:sz="2" w:space="0" w:color="000000"/>
              <w:right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rPr>
              <w:t>215,333</w:t>
            </w:r>
          </w:p>
        </w:tc>
      </w:tr>
      <w:tr w:rsidR="00D227E2">
        <w:trPr>
          <w:trHeight w:val="298"/>
        </w:trPr>
        <w:tc>
          <w:tcPr>
            <w:tcW w:w="1143" w:type="dxa"/>
            <w:tcBorders>
              <w:left w:val="single" w:sz="2" w:space="0" w:color="000000"/>
              <w:bottom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2021</w:t>
            </w:r>
          </w:p>
        </w:tc>
        <w:tc>
          <w:tcPr>
            <w:tcW w:w="2687" w:type="dxa"/>
            <w:tcBorders>
              <w:left w:val="single" w:sz="2" w:space="0" w:color="000000"/>
              <w:bottom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rPr>
              <w:t>318,95</w:t>
            </w:r>
          </w:p>
        </w:tc>
        <w:tc>
          <w:tcPr>
            <w:tcW w:w="2669" w:type="dxa"/>
            <w:tcBorders>
              <w:left w:val="single" w:sz="2" w:space="0" w:color="000000"/>
              <w:bottom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70326,5</w:t>
            </w:r>
          </w:p>
        </w:tc>
        <w:tc>
          <w:tcPr>
            <w:tcW w:w="3025" w:type="dxa"/>
            <w:tcBorders>
              <w:left w:val="single" w:sz="2" w:space="0" w:color="000000"/>
              <w:bottom w:val="single" w:sz="2" w:space="0" w:color="000000"/>
              <w:right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rPr>
              <w:t>233,591</w:t>
            </w:r>
          </w:p>
        </w:tc>
      </w:tr>
      <w:tr w:rsidR="00D227E2">
        <w:trPr>
          <w:trHeight w:val="298"/>
        </w:trPr>
        <w:tc>
          <w:tcPr>
            <w:tcW w:w="1143" w:type="dxa"/>
            <w:tcBorders>
              <w:left w:val="single" w:sz="2" w:space="0" w:color="000000"/>
              <w:bottom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2022</w:t>
            </w:r>
          </w:p>
        </w:tc>
        <w:tc>
          <w:tcPr>
            <w:tcW w:w="2687" w:type="dxa"/>
            <w:tcBorders>
              <w:left w:val="single" w:sz="2" w:space="0" w:color="000000"/>
              <w:bottom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rPr>
              <w:t>258,85</w:t>
            </w:r>
          </w:p>
        </w:tc>
        <w:tc>
          <w:tcPr>
            <w:tcW w:w="2669" w:type="dxa"/>
            <w:tcBorders>
              <w:left w:val="single" w:sz="2" w:space="0" w:color="000000"/>
              <w:bottom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69999,3</w:t>
            </w:r>
          </w:p>
        </w:tc>
        <w:tc>
          <w:tcPr>
            <w:tcW w:w="3025" w:type="dxa"/>
            <w:tcBorders>
              <w:left w:val="single" w:sz="2" w:space="0" w:color="000000"/>
              <w:bottom w:val="single" w:sz="2" w:space="0" w:color="000000"/>
              <w:right w:val="single" w:sz="2" w:space="0" w:color="000000"/>
            </w:tcBorders>
            <w:shd w:val="clear" w:color="auto" w:fill="FFFFFF"/>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rPr>
              <w:t>228,839</w:t>
            </w:r>
          </w:p>
        </w:tc>
      </w:tr>
    </w:tbl>
    <w:p w:rsidR="00D227E2" w:rsidRDefault="00934FC4">
      <w:pPr>
        <w:spacing w:after="0"/>
        <w:rPr>
          <w:rFonts w:ascii="Times New Roman" w:eastAsia="NSimSun" w:hAnsi="Times New Roman" w:cs="Times New Roman"/>
          <w:kern w:val="2"/>
          <w:sz w:val="24"/>
          <w:szCs w:val="24"/>
          <w:lang w:eastAsia="zh-CN" w:bidi="hi-IN"/>
        </w:rPr>
      </w:pPr>
      <w:r>
        <w:rPr>
          <w:rFonts w:ascii="Times New Roman" w:eastAsia="NSimSun" w:hAnsi="Times New Roman" w:cs="Times New Roman"/>
          <w:noProof/>
          <w:kern w:val="2"/>
          <w:sz w:val="24"/>
          <w:szCs w:val="24"/>
          <w:lang w:eastAsia="uk-UA"/>
        </w:rPr>
        <w:drawing>
          <wp:anchor distT="0" distB="0" distL="0" distR="0" simplePos="0" relativeHeight="60" behindDoc="0" locked="0" layoutInCell="0" allowOverlap="1" wp14:anchorId="6F85CDD3" wp14:editId="7B360AF7">
            <wp:simplePos x="0" y="0"/>
            <wp:positionH relativeFrom="column">
              <wp:posOffset>1167765</wp:posOffset>
            </wp:positionH>
            <wp:positionV relativeFrom="paragraph">
              <wp:posOffset>118745</wp:posOffset>
            </wp:positionV>
            <wp:extent cx="3877945" cy="1549400"/>
            <wp:effectExtent l="0" t="0" r="0" b="0"/>
            <wp:wrapSquare wrapText="largest"/>
            <wp:docPr id="44" name="Об'єкт9" descr="діаграма"/>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anchor>
        </w:drawing>
      </w:r>
    </w:p>
    <w:p w:rsidR="00D227E2" w:rsidRDefault="00D227E2">
      <w:pPr>
        <w:spacing w:after="0"/>
        <w:rPr>
          <w:rFonts w:ascii="Times New Roman" w:eastAsia="NSimSun" w:hAnsi="Times New Roman" w:cs="Times New Roman"/>
          <w:kern w:val="2"/>
          <w:sz w:val="24"/>
          <w:szCs w:val="24"/>
          <w:lang w:eastAsia="zh-CN" w:bidi="hi-IN"/>
        </w:rPr>
      </w:pPr>
    </w:p>
    <w:p w:rsidR="00D227E2" w:rsidRDefault="00D227E2">
      <w:pPr>
        <w:spacing w:after="0"/>
        <w:rPr>
          <w:rFonts w:ascii="Times New Roman" w:eastAsia="NSimSun" w:hAnsi="Times New Roman" w:cs="Times New Roman"/>
          <w:kern w:val="2"/>
          <w:sz w:val="24"/>
          <w:szCs w:val="24"/>
          <w:lang w:eastAsia="zh-CN" w:bidi="hi-IN"/>
        </w:rPr>
      </w:pPr>
    </w:p>
    <w:p w:rsidR="00D227E2" w:rsidRDefault="00D227E2">
      <w:pPr>
        <w:spacing w:after="0"/>
        <w:rPr>
          <w:rFonts w:ascii="Times New Roman" w:eastAsia="NSimSun" w:hAnsi="Times New Roman" w:cs="Times New Roman"/>
          <w:kern w:val="2"/>
          <w:sz w:val="24"/>
          <w:szCs w:val="24"/>
          <w:lang w:eastAsia="zh-CN" w:bidi="hi-IN"/>
        </w:rPr>
      </w:pPr>
    </w:p>
    <w:p w:rsidR="00D227E2" w:rsidRDefault="00D227E2">
      <w:pPr>
        <w:spacing w:after="0"/>
        <w:rPr>
          <w:rFonts w:ascii="Times New Roman" w:eastAsia="NSimSun" w:hAnsi="Times New Roman" w:cs="Times New Roman"/>
          <w:kern w:val="2"/>
          <w:sz w:val="24"/>
          <w:szCs w:val="24"/>
          <w:lang w:eastAsia="zh-CN" w:bidi="hi-IN"/>
        </w:rPr>
      </w:pPr>
    </w:p>
    <w:p w:rsidR="00D227E2" w:rsidRDefault="00D227E2">
      <w:pPr>
        <w:spacing w:after="0"/>
        <w:rPr>
          <w:rFonts w:ascii="Times New Roman" w:eastAsia="NSimSun" w:hAnsi="Times New Roman" w:cs="Times New Roman"/>
          <w:kern w:val="2"/>
          <w:sz w:val="24"/>
          <w:szCs w:val="24"/>
          <w:lang w:eastAsia="zh-CN" w:bidi="hi-IN"/>
        </w:rPr>
      </w:pPr>
    </w:p>
    <w:p w:rsidR="00D227E2" w:rsidRDefault="00D227E2">
      <w:pPr>
        <w:spacing w:after="0"/>
        <w:rPr>
          <w:rFonts w:ascii="Times New Roman" w:eastAsia="NSimSun" w:hAnsi="Times New Roman" w:cs="Times New Roman"/>
          <w:kern w:val="2"/>
          <w:sz w:val="24"/>
          <w:szCs w:val="24"/>
          <w:lang w:eastAsia="zh-CN" w:bidi="hi-IN"/>
        </w:rPr>
      </w:pPr>
    </w:p>
    <w:p w:rsidR="00D227E2" w:rsidRDefault="00D227E2">
      <w:pPr>
        <w:spacing w:after="0"/>
        <w:rPr>
          <w:rFonts w:ascii="Times New Roman" w:eastAsia="NSimSun" w:hAnsi="Times New Roman" w:cs="Times New Roman"/>
          <w:kern w:val="2"/>
          <w:sz w:val="24"/>
          <w:szCs w:val="24"/>
          <w:lang w:eastAsia="zh-CN" w:bidi="hi-IN"/>
        </w:rPr>
      </w:pPr>
    </w:p>
    <w:p w:rsidR="00D227E2" w:rsidRDefault="00D227E2">
      <w:pPr>
        <w:spacing w:after="0"/>
        <w:ind w:firstLine="567"/>
        <w:jc w:val="center"/>
        <w:rPr>
          <w:rFonts w:ascii="Times New Roman" w:eastAsia="NSimSun" w:hAnsi="Times New Roman" w:cs="Times New Roman"/>
          <w:color w:val="FF0000"/>
          <w:kern w:val="2"/>
          <w:sz w:val="24"/>
          <w:szCs w:val="24"/>
          <w:lang w:eastAsia="zh-CN" w:bidi="hi-IN"/>
        </w:rPr>
      </w:pPr>
    </w:p>
    <w:p w:rsidR="00D227E2" w:rsidRDefault="00934FC4">
      <w:pPr>
        <w:spacing w:after="0"/>
        <w:ind w:firstLine="567"/>
        <w:jc w:val="center"/>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 xml:space="preserve">Рисунок 30. Споживання теплової енергії </w:t>
      </w:r>
      <w:r>
        <w:rPr>
          <w:rFonts w:ascii="Times New Roman" w:eastAsia="NSimSun" w:hAnsi="Times New Roman" w:cs="Times New Roman"/>
          <w:color w:val="FF0000"/>
          <w:kern w:val="2"/>
          <w:sz w:val="24"/>
          <w:szCs w:val="24"/>
          <w:lang w:eastAsia="zh-CN" w:bidi="hi-IN"/>
        </w:rPr>
        <w:t xml:space="preserve">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lastRenderedPageBreak/>
        <w:t>Динаміка зменшення споживання населенням теплової енергії в більшості пов’язана із впровадженням енергоефективних заходів у житловому секторі, що проводилися мешканцями приватних господарств, власниками квартир у багатоквартирних будинках і ОСББ.</w:t>
      </w:r>
    </w:p>
    <w:p w:rsidR="00D227E2" w:rsidRDefault="00934FC4">
      <w:pPr>
        <w:spacing w:after="0"/>
        <w:rPr>
          <w:rFonts w:ascii="Times New Roman" w:hAnsi="Times New Roman" w:cs="Times New Roman"/>
        </w:rPr>
      </w:pPr>
      <w:r>
        <w:rPr>
          <w:rFonts w:ascii="Times New Roman" w:eastAsia="NSimSun" w:hAnsi="Times New Roman" w:cs="Times New Roman"/>
          <w:noProof/>
          <w:kern w:val="2"/>
          <w:sz w:val="24"/>
          <w:szCs w:val="24"/>
          <w:lang w:eastAsia="uk-UA"/>
        </w:rPr>
        <w:drawing>
          <wp:anchor distT="0" distB="0" distL="0" distR="0" simplePos="0" relativeHeight="58" behindDoc="0" locked="0" layoutInCell="0" allowOverlap="1" wp14:anchorId="634F948C" wp14:editId="7F02B192">
            <wp:simplePos x="0" y="0"/>
            <wp:positionH relativeFrom="column">
              <wp:posOffset>996315</wp:posOffset>
            </wp:positionH>
            <wp:positionV relativeFrom="paragraph">
              <wp:posOffset>111760</wp:posOffset>
            </wp:positionV>
            <wp:extent cx="4067175" cy="2324100"/>
            <wp:effectExtent l="0" t="0" r="0" b="0"/>
            <wp:wrapSquare wrapText="largest"/>
            <wp:docPr id="45" name="Об'єкт10" descr="діаграма"/>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anchor>
        </w:drawing>
      </w:r>
      <w:r>
        <w:rPr>
          <w:rFonts w:ascii="Times New Roman" w:eastAsia="NSimSun" w:hAnsi="Times New Roman" w:cs="Times New Roman"/>
          <w:kern w:val="2"/>
          <w:sz w:val="24"/>
          <w:szCs w:val="24"/>
          <w:lang w:eastAsia="zh-CN" w:bidi="hi-IN"/>
        </w:rPr>
        <w:t> </w:t>
      </w:r>
    </w:p>
    <w:p w:rsidR="00D227E2" w:rsidRDefault="00D227E2">
      <w:pPr>
        <w:spacing w:after="0"/>
        <w:rPr>
          <w:rFonts w:ascii="Times New Roman" w:eastAsia="NSimSun" w:hAnsi="Times New Roman" w:cs="Times New Roman"/>
          <w:kern w:val="2"/>
          <w:sz w:val="24"/>
          <w:szCs w:val="24"/>
          <w:lang w:eastAsia="zh-CN" w:bidi="hi-IN"/>
        </w:rPr>
      </w:pPr>
    </w:p>
    <w:p w:rsidR="00D227E2" w:rsidRDefault="00D227E2">
      <w:pPr>
        <w:spacing w:after="0"/>
        <w:rPr>
          <w:rFonts w:ascii="Times New Roman" w:eastAsia="NSimSun" w:hAnsi="Times New Roman" w:cs="Times New Roman"/>
          <w:kern w:val="2"/>
          <w:sz w:val="24"/>
          <w:szCs w:val="24"/>
          <w:lang w:eastAsia="zh-CN" w:bidi="hi-IN"/>
        </w:rPr>
      </w:pPr>
    </w:p>
    <w:p w:rsidR="00D227E2" w:rsidRDefault="00D227E2">
      <w:pPr>
        <w:spacing w:after="0"/>
        <w:rPr>
          <w:rFonts w:ascii="Times New Roman" w:eastAsia="NSimSun" w:hAnsi="Times New Roman" w:cs="Times New Roman"/>
          <w:kern w:val="2"/>
          <w:sz w:val="24"/>
          <w:szCs w:val="24"/>
          <w:lang w:eastAsia="zh-CN" w:bidi="hi-IN"/>
        </w:rPr>
      </w:pPr>
    </w:p>
    <w:p w:rsidR="00D227E2" w:rsidRDefault="00D227E2">
      <w:pPr>
        <w:spacing w:after="0"/>
        <w:rPr>
          <w:rFonts w:ascii="Times New Roman" w:eastAsia="NSimSun" w:hAnsi="Times New Roman" w:cs="Times New Roman"/>
          <w:kern w:val="2"/>
          <w:sz w:val="24"/>
          <w:szCs w:val="24"/>
          <w:lang w:eastAsia="zh-CN" w:bidi="hi-IN"/>
        </w:rPr>
      </w:pPr>
    </w:p>
    <w:p w:rsidR="00D227E2" w:rsidRDefault="00D227E2">
      <w:pPr>
        <w:spacing w:after="0"/>
        <w:rPr>
          <w:rFonts w:ascii="Times New Roman" w:eastAsia="NSimSun" w:hAnsi="Times New Roman" w:cs="Times New Roman"/>
          <w:kern w:val="2"/>
          <w:sz w:val="24"/>
          <w:szCs w:val="24"/>
          <w:lang w:eastAsia="zh-CN" w:bidi="hi-IN"/>
        </w:rPr>
      </w:pPr>
    </w:p>
    <w:p w:rsidR="00D227E2" w:rsidRDefault="00D227E2">
      <w:pPr>
        <w:spacing w:after="0"/>
        <w:rPr>
          <w:rFonts w:ascii="Times New Roman" w:eastAsia="NSimSun" w:hAnsi="Times New Roman" w:cs="Times New Roman"/>
          <w:kern w:val="2"/>
          <w:sz w:val="24"/>
          <w:szCs w:val="24"/>
          <w:lang w:eastAsia="zh-CN" w:bidi="hi-IN"/>
        </w:rPr>
      </w:pPr>
    </w:p>
    <w:p w:rsidR="00D227E2" w:rsidRDefault="00D227E2">
      <w:pPr>
        <w:spacing w:after="0"/>
        <w:rPr>
          <w:rFonts w:ascii="Times New Roman" w:eastAsia="NSimSun" w:hAnsi="Times New Roman" w:cs="Times New Roman"/>
          <w:kern w:val="2"/>
          <w:sz w:val="24"/>
          <w:szCs w:val="24"/>
          <w:lang w:eastAsia="zh-CN" w:bidi="hi-IN"/>
        </w:rPr>
      </w:pPr>
    </w:p>
    <w:p w:rsidR="00D227E2" w:rsidRDefault="00D227E2">
      <w:pPr>
        <w:spacing w:after="0"/>
        <w:rPr>
          <w:rFonts w:ascii="Times New Roman" w:eastAsia="NSimSun" w:hAnsi="Times New Roman" w:cs="Times New Roman"/>
          <w:kern w:val="2"/>
          <w:sz w:val="24"/>
          <w:szCs w:val="24"/>
          <w:lang w:eastAsia="zh-CN" w:bidi="hi-IN"/>
        </w:rPr>
      </w:pPr>
    </w:p>
    <w:p w:rsidR="00D227E2" w:rsidRDefault="00D227E2">
      <w:pPr>
        <w:spacing w:after="0"/>
        <w:rPr>
          <w:rFonts w:ascii="Times New Roman" w:eastAsia="NSimSun" w:hAnsi="Times New Roman" w:cs="Times New Roman"/>
          <w:kern w:val="2"/>
          <w:sz w:val="24"/>
          <w:szCs w:val="24"/>
          <w:lang w:eastAsia="zh-CN" w:bidi="hi-IN"/>
        </w:rPr>
      </w:pPr>
    </w:p>
    <w:p w:rsidR="00D227E2" w:rsidRDefault="00D227E2">
      <w:pPr>
        <w:spacing w:after="0"/>
        <w:rPr>
          <w:rFonts w:ascii="Times New Roman" w:eastAsia="NSimSun" w:hAnsi="Times New Roman" w:cs="Times New Roman"/>
          <w:kern w:val="2"/>
          <w:sz w:val="24"/>
          <w:szCs w:val="24"/>
          <w:lang w:eastAsia="zh-CN" w:bidi="hi-IN"/>
        </w:rPr>
      </w:pPr>
    </w:p>
    <w:p w:rsidR="00D227E2" w:rsidRDefault="00D227E2">
      <w:pPr>
        <w:spacing w:after="0"/>
        <w:rPr>
          <w:rFonts w:ascii="Times New Roman" w:eastAsia="NSimSun" w:hAnsi="Times New Roman" w:cs="Times New Roman"/>
          <w:kern w:val="2"/>
          <w:sz w:val="24"/>
          <w:szCs w:val="24"/>
          <w:lang w:eastAsia="zh-CN" w:bidi="hi-IN"/>
        </w:rPr>
      </w:pPr>
    </w:p>
    <w:p w:rsidR="00D227E2" w:rsidRDefault="00D227E2">
      <w:pPr>
        <w:spacing w:after="0"/>
        <w:rPr>
          <w:rFonts w:ascii="Times New Roman" w:eastAsia="NSimSun" w:hAnsi="Times New Roman" w:cs="Times New Roman"/>
          <w:kern w:val="2"/>
          <w:sz w:val="24"/>
          <w:szCs w:val="24"/>
          <w:lang w:eastAsia="zh-CN" w:bidi="hi-IN"/>
        </w:rPr>
      </w:pPr>
    </w:p>
    <w:p w:rsidR="00D227E2" w:rsidRDefault="00934FC4">
      <w:pPr>
        <w:spacing w:after="0"/>
        <w:ind w:firstLine="567"/>
        <w:jc w:val="center"/>
        <w:rPr>
          <w:rFonts w:ascii="Times New Roman" w:hAnsi="Times New Roman" w:cs="Times New Roman"/>
        </w:rPr>
      </w:pPr>
      <w:r>
        <w:rPr>
          <w:rFonts w:ascii="Times New Roman" w:eastAsia="NSimSun" w:hAnsi="Times New Roman" w:cs="Times New Roman"/>
          <w:kern w:val="2"/>
          <w:sz w:val="24"/>
          <w:szCs w:val="24"/>
          <w:lang w:eastAsia="zh-CN" w:bidi="hi-IN"/>
        </w:rPr>
        <w:t>Рисунок 31. Газопостача</w:t>
      </w:r>
      <w:r>
        <w:rPr>
          <w:rFonts w:ascii="Times New Roman" w:eastAsia="NSimSun" w:hAnsi="Times New Roman" w:cs="Times New Roman"/>
          <w:color w:val="000000"/>
          <w:kern w:val="2"/>
          <w:sz w:val="24"/>
          <w:szCs w:val="24"/>
          <w:shd w:val="clear" w:color="auto" w:fill="FFFFFF"/>
          <w:lang w:eastAsia="zh-CN" w:bidi="hi-IN"/>
        </w:rPr>
        <w:t xml:space="preserve">ння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Збільшення споживання газу населенням пояснюється тим, що всі новобудови, які будуються в місті та його околицях опалюються індивідуальними газовими котлами. </w:t>
      </w:r>
    </w:p>
    <w:p w:rsidR="00D227E2" w:rsidRDefault="00934FC4">
      <w:pPr>
        <w:spacing w:after="0"/>
        <w:rPr>
          <w:rFonts w:ascii="Times New Roman" w:eastAsia="NSimSun" w:hAnsi="Times New Roman" w:cs="Times New Roman"/>
          <w:kern w:val="2"/>
          <w:sz w:val="24"/>
          <w:szCs w:val="24"/>
          <w:lang w:eastAsia="zh-CN" w:bidi="hi-IN"/>
        </w:rPr>
      </w:pPr>
      <w:r>
        <w:rPr>
          <w:rFonts w:ascii="Times New Roman" w:eastAsia="NSimSun" w:hAnsi="Times New Roman" w:cs="Times New Roman"/>
          <w:noProof/>
          <w:kern w:val="2"/>
          <w:sz w:val="24"/>
          <w:szCs w:val="24"/>
          <w:lang w:eastAsia="uk-UA"/>
        </w:rPr>
        <w:drawing>
          <wp:anchor distT="0" distB="0" distL="0" distR="0" simplePos="0" relativeHeight="56" behindDoc="0" locked="0" layoutInCell="0" allowOverlap="1" wp14:anchorId="256331C4" wp14:editId="6978EC1D">
            <wp:simplePos x="0" y="0"/>
            <wp:positionH relativeFrom="column">
              <wp:posOffset>929640</wp:posOffset>
            </wp:positionH>
            <wp:positionV relativeFrom="paragraph">
              <wp:posOffset>135255</wp:posOffset>
            </wp:positionV>
            <wp:extent cx="3990975" cy="2076450"/>
            <wp:effectExtent l="0" t="0" r="0" b="0"/>
            <wp:wrapSquare wrapText="largest"/>
            <wp:docPr id="46" name="Об'єкт11" descr="діаграма"/>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anchor>
        </w:drawing>
      </w:r>
    </w:p>
    <w:p w:rsidR="00D227E2" w:rsidRDefault="00934FC4">
      <w:pPr>
        <w:spacing w:after="0"/>
        <w:rPr>
          <w:rFonts w:ascii="Times New Roman" w:hAnsi="Times New Roman" w:cs="Times New Roman"/>
        </w:rPr>
      </w:pPr>
      <w:r>
        <w:rPr>
          <w:rFonts w:ascii="Times New Roman" w:eastAsia="NSimSun" w:hAnsi="Times New Roman" w:cs="Times New Roman"/>
          <w:kern w:val="2"/>
          <w:sz w:val="24"/>
          <w:szCs w:val="24"/>
          <w:lang w:eastAsia="zh-CN" w:bidi="hi-IN"/>
        </w:rPr>
        <w:t> </w:t>
      </w:r>
    </w:p>
    <w:p w:rsidR="00D227E2" w:rsidRDefault="00D227E2">
      <w:pPr>
        <w:spacing w:after="0"/>
        <w:rPr>
          <w:rFonts w:ascii="Times New Roman" w:eastAsia="NSimSun" w:hAnsi="Times New Roman" w:cs="Times New Roman"/>
          <w:kern w:val="2"/>
          <w:sz w:val="24"/>
          <w:szCs w:val="24"/>
          <w:lang w:eastAsia="zh-CN" w:bidi="hi-IN"/>
        </w:rPr>
      </w:pPr>
    </w:p>
    <w:p w:rsidR="00D227E2" w:rsidRDefault="00D227E2">
      <w:pPr>
        <w:spacing w:after="0"/>
        <w:rPr>
          <w:rFonts w:ascii="Times New Roman" w:eastAsia="NSimSun" w:hAnsi="Times New Roman" w:cs="Times New Roman"/>
          <w:kern w:val="2"/>
          <w:sz w:val="24"/>
          <w:szCs w:val="24"/>
          <w:lang w:eastAsia="zh-CN" w:bidi="hi-IN"/>
        </w:rPr>
      </w:pPr>
    </w:p>
    <w:p w:rsidR="00D227E2" w:rsidRDefault="00D227E2">
      <w:pPr>
        <w:spacing w:after="0"/>
        <w:rPr>
          <w:rFonts w:ascii="Times New Roman" w:eastAsia="NSimSun" w:hAnsi="Times New Roman" w:cs="Times New Roman"/>
          <w:kern w:val="2"/>
          <w:sz w:val="24"/>
          <w:szCs w:val="24"/>
          <w:lang w:eastAsia="zh-CN" w:bidi="hi-IN"/>
        </w:rPr>
      </w:pPr>
    </w:p>
    <w:p w:rsidR="00D227E2" w:rsidRDefault="00D227E2">
      <w:pPr>
        <w:spacing w:after="0"/>
        <w:rPr>
          <w:rFonts w:ascii="Times New Roman" w:eastAsia="NSimSun" w:hAnsi="Times New Roman" w:cs="Times New Roman"/>
          <w:kern w:val="2"/>
          <w:sz w:val="24"/>
          <w:szCs w:val="24"/>
          <w:lang w:eastAsia="zh-CN" w:bidi="hi-IN"/>
        </w:rPr>
      </w:pPr>
    </w:p>
    <w:p w:rsidR="00D227E2" w:rsidRDefault="00D227E2">
      <w:pPr>
        <w:spacing w:after="0"/>
        <w:rPr>
          <w:rFonts w:ascii="Times New Roman" w:eastAsia="NSimSun" w:hAnsi="Times New Roman" w:cs="Times New Roman"/>
          <w:kern w:val="2"/>
          <w:sz w:val="24"/>
          <w:szCs w:val="24"/>
          <w:lang w:eastAsia="zh-CN" w:bidi="hi-IN"/>
        </w:rPr>
      </w:pPr>
    </w:p>
    <w:p w:rsidR="00D227E2" w:rsidRDefault="00D227E2">
      <w:pPr>
        <w:spacing w:after="0"/>
        <w:rPr>
          <w:rFonts w:ascii="Times New Roman" w:eastAsia="NSimSun" w:hAnsi="Times New Roman" w:cs="Times New Roman"/>
          <w:kern w:val="2"/>
          <w:sz w:val="24"/>
          <w:szCs w:val="24"/>
          <w:lang w:eastAsia="zh-CN" w:bidi="hi-IN"/>
        </w:rPr>
      </w:pPr>
    </w:p>
    <w:p w:rsidR="00D227E2" w:rsidRDefault="00D227E2">
      <w:pPr>
        <w:spacing w:after="0"/>
        <w:rPr>
          <w:rFonts w:ascii="Times New Roman" w:eastAsia="NSimSun" w:hAnsi="Times New Roman" w:cs="Times New Roman"/>
          <w:kern w:val="2"/>
          <w:sz w:val="24"/>
          <w:szCs w:val="24"/>
          <w:lang w:eastAsia="zh-CN" w:bidi="hi-IN"/>
        </w:rPr>
      </w:pPr>
    </w:p>
    <w:p w:rsidR="00D227E2" w:rsidRDefault="00D227E2">
      <w:pPr>
        <w:spacing w:after="0"/>
        <w:rPr>
          <w:rFonts w:ascii="Times New Roman" w:eastAsia="NSimSun" w:hAnsi="Times New Roman" w:cs="Times New Roman"/>
          <w:kern w:val="2"/>
          <w:sz w:val="24"/>
          <w:szCs w:val="24"/>
          <w:lang w:eastAsia="zh-CN" w:bidi="hi-IN"/>
        </w:rPr>
      </w:pPr>
    </w:p>
    <w:p w:rsidR="00D227E2" w:rsidRDefault="00D227E2">
      <w:pPr>
        <w:spacing w:after="0"/>
        <w:rPr>
          <w:rFonts w:ascii="Times New Roman" w:eastAsia="NSimSun" w:hAnsi="Times New Roman" w:cs="Times New Roman"/>
          <w:kern w:val="2"/>
          <w:sz w:val="24"/>
          <w:szCs w:val="24"/>
          <w:lang w:eastAsia="zh-CN" w:bidi="hi-IN"/>
        </w:rPr>
      </w:pPr>
    </w:p>
    <w:p w:rsidR="00D227E2" w:rsidRDefault="00934FC4">
      <w:pPr>
        <w:spacing w:after="0"/>
        <w:ind w:firstLine="567"/>
        <w:jc w:val="center"/>
        <w:rPr>
          <w:rFonts w:ascii="Times New Roman" w:hAnsi="Times New Roman" w:cs="Times New Roman"/>
        </w:rPr>
      </w:pPr>
      <w:r>
        <w:rPr>
          <w:rFonts w:ascii="Times New Roman" w:eastAsia="NSimSun" w:hAnsi="Times New Roman" w:cs="Times New Roman"/>
          <w:kern w:val="2"/>
          <w:sz w:val="24"/>
          <w:szCs w:val="24"/>
          <w:lang w:eastAsia="zh-CN" w:bidi="hi-IN"/>
        </w:rPr>
        <w:t xml:space="preserve">Рисунок 32. Електропостачання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shd w:val="clear" w:color="auto" w:fill="FFFFFF"/>
          <w:lang w:eastAsia="zh-CN" w:bidi="hi-IN"/>
        </w:rPr>
        <w:t>Споживання електроенергії зростає, так як населення все більше користується енергоємними побутовими приладами в т.ч. електрообігрівачами та кондиціонерами у міжопалювальний період.</w:t>
      </w: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934FC4">
      <w:pPr>
        <w:spacing w:after="0" w:line="240" w:lineRule="auto"/>
        <w:ind w:firstLine="567"/>
        <w:jc w:val="both"/>
        <w:rPr>
          <w:rFonts w:ascii="Times New Roman" w:hAnsi="Times New Roman" w:cs="Times New Roman"/>
        </w:rPr>
      </w:pPr>
      <w:r>
        <w:rPr>
          <w:rFonts w:ascii="Times New Roman" w:eastAsia="NSimSun" w:hAnsi="Times New Roman" w:cs="Times New Roman"/>
          <w:b/>
          <w:bCs/>
          <w:color w:val="000000"/>
          <w:kern w:val="2"/>
          <w:sz w:val="24"/>
          <w:szCs w:val="24"/>
          <w:shd w:val="clear" w:color="auto" w:fill="FFFFFF"/>
          <w:lang w:eastAsia="zh-CN" w:bidi="hi-IN"/>
        </w:rPr>
        <w:t>3.2.3. Вуличне освітлення</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Мережі зовнішнього освітлення м. Луцька знаходяться на балансі комунального підприємства «Луцьке електротехнічне підприємство – «Луцьксвітло» (далі – КП «Луцьксвітло»)</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Основною метою діяльності підприємства є забезпечення належного утримання, експлуатації, ремонту, створення електромереж зовнішнього освітлення та технічних засобів регулювання дорожнього руху, розподілення і постачання електроенергії, перетворення електричної енергії в світлову.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Середньорічна кількість годин освітлення міста – 2750 год. </w:t>
      </w:r>
    </w:p>
    <w:p w:rsidR="00D227E2" w:rsidRDefault="00934FC4">
      <w:pPr>
        <w:tabs>
          <w:tab w:val="left" w:pos="0"/>
        </w:tabs>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lastRenderedPageBreak/>
        <w:t>Загальне споживання електроенергії на зовнішнє освітлення у Луцькій МТГ за 2021 та 2022 роки становило 8347878 кВт.год.</w:t>
      </w:r>
    </w:p>
    <w:p w:rsidR="00D227E2" w:rsidRDefault="00934FC4">
      <w:pPr>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ab/>
        <w:t>Таблиця 47. Споживання електроенергії на зовнішнє освітлення у м. Луцьку за період з 2007 до 2022 років</w:t>
      </w:r>
    </w:p>
    <w:tbl>
      <w:tblPr>
        <w:tblW w:w="6946" w:type="dxa"/>
        <w:tblInd w:w="1355" w:type="dxa"/>
        <w:tblLayout w:type="fixed"/>
        <w:tblLook w:val="0000" w:firstRow="0" w:lastRow="0" w:firstColumn="0" w:lastColumn="0" w:noHBand="0" w:noVBand="0"/>
      </w:tblPr>
      <w:tblGrid>
        <w:gridCol w:w="3470"/>
        <w:gridCol w:w="3476"/>
      </w:tblGrid>
      <w:tr w:rsidR="00D227E2">
        <w:tc>
          <w:tcPr>
            <w:tcW w:w="3470"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Рік</w:t>
            </w:r>
          </w:p>
        </w:tc>
        <w:tc>
          <w:tcPr>
            <w:tcW w:w="3475"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Електроенергія, тис. кВт.год</w:t>
            </w:r>
          </w:p>
        </w:tc>
      </w:tr>
      <w:tr w:rsidR="00D227E2">
        <w:tc>
          <w:tcPr>
            <w:tcW w:w="3470"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2007</w:t>
            </w:r>
          </w:p>
        </w:tc>
        <w:tc>
          <w:tcPr>
            <w:tcW w:w="3475"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2975</w:t>
            </w:r>
          </w:p>
        </w:tc>
      </w:tr>
      <w:tr w:rsidR="00D227E2">
        <w:tc>
          <w:tcPr>
            <w:tcW w:w="3470" w:type="dxa"/>
            <w:tcBorders>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2008</w:t>
            </w:r>
          </w:p>
        </w:tc>
        <w:tc>
          <w:tcPr>
            <w:tcW w:w="3475" w:type="dxa"/>
            <w:tcBorders>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2327</w:t>
            </w:r>
          </w:p>
        </w:tc>
      </w:tr>
      <w:tr w:rsidR="00D227E2">
        <w:tc>
          <w:tcPr>
            <w:tcW w:w="3470" w:type="dxa"/>
            <w:tcBorders>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2009</w:t>
            </w:r>
          </w:p>
        </w:tc>
        <w:tc>
          <w:tcPr>
            <w:tcW w:w="3475" w:type="dxa"/>
            <w:tcBorders>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2604</w:t>
            </w:r>
          </w:p>
        </w:tc>
      </w:tr>
      <w:tr w:rsidR="00D227E2">
        <w:tc>
          <w:tcPr>
            <w:tcW w:w="3470" w:type="dxa"/>
            <w:tcBorders>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2010</w:t>
            </w:r>
          </w:p>
        </w:tc>
        <w:tc>
          <w:tcPr>
            <w:tcW w:w="3475" w:type="dxa"/>
            <w:tcBorders>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2647</w:t>
            </w:r>
          </w:p>
        </w:tc>
      </w:tr>
      <w:tr w:rsidR="00D227E2">
        <w:tc>
          <w:tcPr>
            <w:tcW w:w="3470" w:type="dxa"/>
            <w:tcBorders>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2011</w:t>
            </w:r>
          </w:p>
        </w:tc>
        <w:tc>
          <w:tcPr>
            <w:tcW w:w="3475" w:type="dxa"/>
            <w:tcBorders>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2598</w:t>
            </w:r>
          </w:p>
        </w:tc>
      </w:tr>
      <w:tr w:rsidR="00D227E2">
        <w:tc>
          <w:tcPr>
            <w:tcW w:w="3470" w:type="dxa"/>
            <w:tcBorders>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2012</w:t>
            </w:r>
          </w:p>
        </w:tc>
        <w:tc>
          <w:tcPr>
            <w:tcW w:w="3475" w:type="dxa"/>
            <w:tcBorders>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3033</w:t>
            </w:r>
          </w:p>
        </w:tc>
      </w:tr>
      <w:tr w:rsidR="00D227E2">
        <w:tc>
          <w:tcPr>
            <w:tcW w:w="3470" w:type="dxa"/>
            <w:tcBorders>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2013</w:t>
            </w:r>
          </w:p>
        </w:tc>
        <w:tc>
          <w:tcPr>
            <w:tcW w:w="3475" w:type="dxa"/>
            <w:tcBorders>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3139</w:t>
            </w:r>
          </w:p>
        </w:tc>
      </w:tr>
      <w:tr w:rsidR="00D227E2">
        <w:tc>
          <w:tcPr>
            <w:tcW w:w="3470" w:type="dxa"/>
            <w:tcBorders>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2014</w:t>
            </w:r>
          </w:p>
        </w:tc>
        <w:tc>
          <w:tcPr>
            <w:tcW w:w="3475" w:type="dxa"/>
            <w:tcBorders>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3207</w:t>
            </w:r>
          </w:p>
        </w:tc>
      </w:tr>
      <w:tr w:rsidR="00D227E2">
        <w:tc>
          <w:tcPr>
            <w:tcW w:w="3470" w:type="dxa"/>
            <w:tcBorders>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2015</w:t>
            </w:r>
          </w:p>
        </w:tc>
        <w:tc>
          <w:tcPr>
            <w:tcW w:w="3475" w:type="dxa"/>
            <w:tcBorders>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3255</w:t>
            </w:r>
          </w:p>
        </w:tc>
      </w:tr>
      <w:tr w:rsidR="00D227E2">
        <w:tc>
          <w:tcPr>
            <w:tcW w:w="3470"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2016</w:t>
            </w:r>
          </w:p>
        </w:tc>
        <w:tc>
          <w:tcPr>
            <w:tcW w:w="3475"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3173</w:t>
            </w:r>
          </w:p>
        </w:tc>
      </w:tr>
      <w:tr w:rsidR="00D227E2">
        <w:tc>
          <w:tcPr>
            <w:tcW w:w="3470"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2017</w:t>
            </w:r>
          </w:p>
        </w:tc>
        <w:tc>
          <w:tcPr>
            <w:tcW w:w="3475"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3508</w:t>
            </w:r>
          </w:p>
        </w:tc>
      </w:tr>
      <w:tr w:rsidR="00D227E2">
        <w:tc>
          <w:tcPr>
            <w:tcW w:w="3470"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2018</w:t>
            </w:r>
          </w:p>
        </w:tc>
        <w:tc>
          <w:tcPr>
            <w:tcW w:w="3475"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3465</w:t>
            </w:r>
          </w:p>
        </w:tc>
      </w:tr>
      <w:tr w:rsidR="00D227E2">
        <w:tc>
          <w:tcPr>
            <w:tcW w:w="3470"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2019</w:t>
            </w:r>
          </w:p>
        </w:tc>
        <w:tc>
          <w:tcPr>
            <w:tcW w:w="3475"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3619</w:t>
            </w:r>
          </w:p>
        </w:tc>
      </w:tr>
      <w:tr w:rsidR="00D227E2">
        <w:tc>
          <w:tcPr>
            <w:tcW w:w="3470"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2020</w:t>
            </w:r>
          </w:p>
        </w:tc>
        <w:tc>
          <w:tcPr>
            <w:tcW w:w="3475"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3936</w:t>
            </w:r>
          </w:p>
        </w:tc>
      </w:tr>
      <w:tr w:rsidR="00D227E2">
        <w:tc>
          <w:tcPr>
            <w:tcW w:w="3470"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2021</w:t>
            </w:r>
          </w:p>
        </w:tc>
        <w:tc>
          <w:tcPr>
            <w:tcW w:w="3475"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4820</w:t>
            </w:r>
          </w:p>
        </w:tc>
      </w:tr>
      <w:tr w:rsidR="00D227E2">
        <w:tc>
          <w:tcPr>
            <w:tcW w:w="3470"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2022</w:t>
            </w:r>
          </w:p>
        </w:tc>
        <w:tc>
          <w:tcPr>
            <w:tcW w:w="3475"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3528</w:t>
            </w:r>
          </w:p>
        </w:tc>
      </w:tr>
    </w:tbl>
    <w:p w:rsidR="00D227E2" w:rsidRDefault="00D227E2">
      <w:pPr>
        <w:tabs>
          <w:tab w:val="left" w:pos="210"/>
        </w:tabs>
        <w:spacing w:after="0"/>
        <w:jc w:val="both"/>
        <w:rPr>
          <w:rFonts w:ascii="Times New Roman" w:eastAsia="NSimSun" w:hAnsi="Times New Roman" w:cs="Times New Roman"/>
          <w:kern w:val="2"/>
          <w:sz w:val="24"/>
          <w:szCs w:val="24"/>
          <w:lang w:eastAsia="zh-CN" w:bidi="hi-IN"/>
        </w:rPr>
      </w:pPr>
    </w:p>
    <w:p w:rsidR="00D227E2" w:rsidRDefault="00934FC4">
      <w:pPr>
        <w:tabs>
          <w:tab w:val="left" w:pos="210"/>
        </w:tabs>
        <w:spacing w:after="0"/>
        <w:jc w:val="center"/>
        <w:rPr>
          <w:rFonts w:ascii="Times New Roman" w:hAnsi="Times New Roman" w:cs="Times New Roman"/>
        </w:rPr>
      </w:pPr>
      <w:r>
        <w:rPr>
          <w:noProof/>
          <w:lang w:eastAsia="uk-UA"/>
        </w:rPr>
        <w:drawing>
          <wp:inline distT="0" distB="0" distL="0" distR="0" wp14:anchorId="5F07126A" wp14:editId="2D5A4C58">
            <wp:extent cx="4796790" cy="2154555"/>
            <wp:effectExtent l="0" t="0" r="0" b="0"/>
            <wp:docPr id="47" name="Об'єкт4" descr="діаграма"/>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D227E2" w:rsidRDefault="00934FC4">
      <w:pPr>
        <w:spacing w:after="0" w:line="240" w:lineRule="auto"/>
        <w:ind w:firstLine="567"/>
        <w:jc w:val="center"/>
        <w:outlineLvl w:val="3"/>
        <w:rPr>
          <w:rFonts w:ascii="Times New Roman" w:hAnsi="Times New Roman" w:cs="Times New Roman"/>
        </w:rPr>
      </w:pPr>
      <w:r>
        <w:rPr>
          <w:rFonts w:ascii="Times New Roman" w:eastAsia="Arial" w:hAnsi="Times New Roman" w:cs="Times New Roman"/>
          <w:kern w:val="2"/>
          <w:sz w:val="24"/>
          <w:szCs w:val="24"/>
        </w:rPr>
        <w:t xml:space="preserve">Рисунок 33. Витрати електроенергії в системі зовнішнього освітлення міста </w:t>
      </w:r>
    </w:p>
    <w:p w:rsidR="00D227E2" w:rsidRDefault="00934FC4">
      <w:pPr>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Таблиця 48. Основні параметри системи зовнішнього освітлення станом на 2022 рік</w:t>
      </w:r>
    </w:p>
    <w:tbl>
      <w:tblPr>
        <w:tblW w:w="9555" w:type="dxa"/>
        <w:tblInd w:w="127" w:type="dxa"/>
        <w:tblLayout w:type="fixed"/>
        <w:tblCellMar>
          <w:top w:w="28" w:type="dxa"/>
          <w:left w:w="28" w:type="dxa"/>
          <w:bottom w:w="28" w:type="dxa"/>
          <w:right w:w="28" w:type="dxa"/>
        </w:tblCellMar>
        <w:tblLook w:val="0000" w:firstRow="0" w:lastRow="0" w:firstColumn="0" w:lastColumn="0" w:noHBand="0" w:noVBand="0"/>
      </w:tblPr>
      <w:tblGrid>
        <w:gridCol w:w="665"/>
        <w:gridCol w:w="6549"/>
        <w:gridCol w:w="2341"/>
      </w:tblGrid>
      <w:tr w:rsidR="00D227E2">
        <w:tc>
          <w:tcPr>
            <w:tcW w:w="665" w:type="dxa"/>
            <w:tcBorders>
              <w:top w:val="single" w:sz="2" w:space="0" w:color="000000"/>
              <w:left w:val="single" w:sz="2" w:space="0" w:color="000000"/>
              <w:bottom w:val="single" w:sz="2"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w:t>
            </w:r>
          </w:p>
        </w:tc>
        <w:tc>
          <w:tcPr>
            <w:tcW w:w="6549" w:type="dxa"/>
            <w:tcBorders>
              <w:top w:val="single" w:sz="2" w:space="0" w:color="000000"/>
              <w:left w:val="single" w:sz="2" w:space="0" w:color="000000"/>
              <w:bottom w:val="single" w:sz="2"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Параметр</w:t>
            </w:r>
          </w:p>
        </w:tc>
        <w:tc>
          <w:tcPr>
            <w:tcW w:w="2341" w:type="dxa"/>
            <w:tcBorders>
              <w:top w:val="single" w:sz="2" w:space="0" w:color="000000"/>
              <w:left w:val="single" w:sz="2" w:space="0" w:color="000000"/>
              <w:bottom w:val="single" w:sz="2" w:space="0" w:color="000000"/>
              <w:right w:val="single" w:sz="2"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По місту</w:t>
            </w:r>
          </w:p>
        </w:tc>
      </w:tr>
      <w:tr w:rsidR="00D227E2">
        <w:tc>
          <w:tcPr>
            <w:tcW w:w="665" w:type="dxa"/>
            <w:tcBorders>
              <w:left w:val="single" w:sz="2" w:space="0" w:color="000000"/>
              <w:bottom w:val="single" w:sz="2" w:space="0" w:color="000000"/>
            </w:tcBorders>
          </w:tcPr>
          <w:p w:rsidR="00D227E2" w:rsidRDefault="00934FC4">
            <w:pPr>
              <w:widowControl w:val="0"/>
              <w:tabs>
                <w:tab w:val="left" w:pos="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1</w:t>
            </w:r>
          </w:p>
        </w:tc>
        <w:tc>
          <w:tcPr>
            <w:tcW w:w="6549" w:type="dxa"/>
            <w:tcBorders>
              <w:left w:val="single" w:sz="2" w:space="0" w:color="000000"/>
              <w:bottom w:val="single" w:sz="2" w:space="0" w:color="000000"/>
            </w:tcBorders>
          </w:tcPr>
          <w:p w:rsidR="00D227E2" w:rsidRDefault="00934FC4">
            <w:pPr>
              <w:widowControl w:val="0"/>
              <w:tabs>
                <w:tab w:val="left" w:pos="210"/>
              </w:tabs>
              <w:spacing w:after="0"/>
              <w:jc w:val="both"/>
              <w:rPr>
                <w:rFonts w:ascii="Times New Roman" w:hAnsi="Times New Roman" w:cs="Times New Roman"/>
              </w:rPr>
            </w:pPr>
            <w:r>
              <w:rPr>
                <w:rFonts w:ascii="Times New Roman" w:eastAsia="NSimSun" w:hAnsi="Times New Roman" w:cs="Times New Roman"/>
                <w:kern w:val="2"/>
                <w:sz w:val="24"/>
                <w:szCs w:val="24"/>
                <w:lang w:eastAsia="zh-CN" w:bidi="hi-IN"/>
              </w:rPr>
              <w:t>Загальна кількість приладів обліку спожитої електроенергії системи зовнішнього освітлення</w:t>
            </w:r>
          </w:p>
        </w:tc>
        <w:tc>
          <w:tcPr>
            <w:tcW w:w="2341" w:type="dxa"/>
            <w:tcBorders>
              <w:left w:val="single" w:sz="2" w:space="0" w:color="000000"/>
              <w:bottom w:val="single" w:sz="2" w:space="0" w:color="000000"/>
              <w:right w:val="single" w:sz="2"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287 шт.</w:t>
            </w:r>
          </w:p>
        </w:tc>
      </w:tr>
      <w:tr w:rsidR="00D227E2">
        <w:tc>
          <w:tcPr>
            <w:tcW w:w="665" w:type="dxa"/>
            <w:tcBorders>
              <w:left w:val="single" w:sz="2" w:space="0" w:color="000000"/>
              <w:bottom w:val="single" w:sz="2" w:space="0" w:color="000000"/>
            </w:tcBorders>
          </w:tcPr>
          <w:p w:rsidR="00D227E2" w:rsidRDefault="00934FC4">
            <w:pPr>
              <w:widowControl w:val="0"/>
              <w:tabs>
                <w:tab w:val="left" w:pos="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2</w:t>
            </w:r>
          </w:p>
        </w:tc>
        <w:tc>
          <w:tcPr>
            <w:tcW w:w="6549" w:type="dxa"/>
            <w:tcBorders>
              <w:left w:val="single" w:sz="2" w:space="0" w:color="000000"/>
              <w:bottom w:val="single" w:sz="2" w:space="0" w:color="000000"/>
            </w:tcBorders>
          </w:tcPr>
          <w:p w:rsidR="00D227E2" w:rsidRDefault="00934FC4">
            <w:pPr>
              <w:widowControl w:val="0"/>
              <w:tabs>
                <w:tab w:val="left" w:pos="210"/>
              </w:tabs>
              <w:spacing w:after="0"/>
              <w:jc w:val="both"/>
              <w:rPr>
                <w:rFonts w:ascii="Times New Roman" w:hAnsi="Times New Roman" w:cs="Times New Roman"/>
              </w:rPr>
            </w:pPr>
            <w:r>
              <w:rPr>
                <w:rFonts w:ascii="Times New Roman" w:eastAsia="NSimSun" w:hAnsi="Times New Roman" w:cs="Times New Roman"/>
                <w:kern w:val="2"/>
                <w:sz w:val="24"/>
                <w:szCs w:val="24"/>
                <w:lang w:eastAsia="zh-CN" w:bidi="hi-IN"/>
              </w:rPr>
              <w:t>Загальна кількість світлоточок</w:t>
            </w:r>
          </w:p>
        </w:tc>
        <w:tc>
          <w:tcPr>
            <w:tcW w:w="2341" w:type="dxa"/>
            <w:tcBorders>
              <w:left w:val="single" w:sz="2" w:space="0" w:color="000000"/>
              <w:bottom w:val="single" w:sz="2" w:space="0" w:color="000000"/>
              <w:right w:val="single" w:sz="2"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12010 шт.</w:t>
            </w:r>
          </w:p>
        </w:tc>
      </w:tr>
      <w:tr w:rsidR="00D227E2">
        <w:tc>
          <w:tcPr>
            <w:tcW w:w="665" w:type="dxa"/>
            <w:tcBorders>
              <w:left w:val="single" w:sz="2" w:space="0" w:color="000000"/>
              <w:bottom w:val="single" w:sz="2" w:space="0" w:color="000000"/>
            </w:tcBorders>
          </w:tcPr>
          <w:p w:rsidR="00D227E2" w:rsidRDefault="00934FC4">
            <w:pPr>
              <w:widowControl w:val="0"/>
              <w:tabs>
                <w:tab w:val="left" w:pos="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3</w:t>
            </w:r>
          </w:p>
        </w:tc>
        <w:tc>
          <w:tcPr>
            <w:tcW w:w="6549" w:type="dxa"/>
            <w:tcBorders>
              <w:left w:val="single" w:sz="2" w:space="0" w:color="000000"/>
              <w:bottom w:val="single" w:sz="2" w:space="0" w:color="000000"/>
            </w:tcBorders>
          </w:tcPr>
          <w:p w:rsidR="00D227E2" w:rsidRDefault="00934FC4">
            <w:pPr>
              <w:widowControl w:val="0"/>
              <w:tabs>
                <w:tab w:val="left" w:pos="210"/>
              </w:tabs>
              <w:spacing w:after="0"/>
              <w:jc w:val="both"/>
              <w:rPr>
                <w:rFonts w:ascii="Times New Roman" w:hAnsi="Times New Roman" w:cs="Times New Roman"/>
              </w:rPr>
            </w:pPr>
            <w:r>
              <w:rPr>
                <w:rFonts w:ascii="Times New Roman" w:eastAsia="NSimSun" w:hAnsi="Times New Roman" w:cs="Times New Roman"/>
                <w:kern w:val="2"/>
                <w:sz w:val="24"/>
                <w:szCs w:val="24"/>
                <w:lang w:eastAsia="zh-CN" w:bidi="hi-IN"/>
              </w:rPr>
              <w:t>Загальна протяжність мереж (повітряного розведення)</w:t>
            </w:r>
          </w:p>
        </w:tc>
        <w:tc>
          <w:tcPr>
            <w:tcW w:w="2341" w:type="dxa"/>
            <w:tcBorders>
              <w:left w:val="single" w:sz="2" w:space="0" w:color="000000"/>
              <w:bottom w:val="single" w:sz="2" w:space="0" w:color="000000"/>
              <w:right w:val="single" w:sz="2"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208,5 км</w:t>
            </w:r>
          </w:p>
        </w:tc>
      </w:tr>
      <w:tr w:rsidR="00D227E2">
        <w:tc>
          <w:tcPr>
            <w:tcW w:w="665" w:type="dxa"/>
            <w:tcBorders>
              <w:left w:val="single" w:sz="2" w:space="0" w:color="000000"/>
              <w:bottom w:val="single" w:sz="2" w:space="0" w:color="000000"/>
            </w:tcBorders>
          </w:tcPr>
          <w:p w:rsidR="00D227E2" w:rsidRDefault="00934FC4">
            <w:pPr>
              <w:widowControl w:val="0"/>
              <w:tabs>
                <w:tab w:val="left" w:pos="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4</w:t>
            </w:r>
          </w:p>
        </w:tc>
        <w:tc>
          <w:tcPr>
            <w:tcW w:w="6549" w:type="dxa"/>
            <w:tcBorders>
              <w:left w:val="single" w:sz="2" w:space="0" w:color="000000"/>
              <w:bottom w:val="single" w:sz="2" w:space="0" w:color="000000"/>
            </w:tcBorders>
          </w:tcPr>
          <w:p w:rsidR="00D227E2" w:rsidRDefault="00934FC4">
            <w:pPr>
              <w:widowControl w:val="0"/>
              <w:tabs>
                <w:tab w:val="left" w:pos="210"/>
              </w:tabs>
              <w:spacing w:after="0"/>
              <w:jc w:val="both"/>
              <w:rPr>
                <w:rFonts w:ascii="Times New Roman" w:hAnsi="Times New Roman" w:cs="Times New Roman"/>
              </w:rPr>
            </w:pPr>
            <w:r>
              <w:rPr>
                <w:rFonts w:ascii="Times New Roman" w:eastAsia="NSimSun" w:hAnsi="Times New Roman" w:cs="Times New Roman"/>
                <w:kern w:val="2"/>
                <w:sz w:val="24"/>
                <w:szCs w:val="24"/>
                <w:lang w:eastAsia="zh-CN" w:bidi="hi-IN"/>
              </w:rPr>
              <w:t>Загальна протяжність мереж (підземного розведення)</w:t>
            </w:r>
          </w:p>
        </w:tc>
        <w:tc>
          <w:tcPr>
            <w:tcW w:w="2341" w:type="dxa"/>
            <w:tcBorders>
              <w:left w:val="single" w:sz="2" w:space="0" w:color="000000"/>
              <w:bottom w:val="single" w:sz="2" w:space="0" w:color="000000"/>
              <w:right w:val="single" w:sz="2"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261,7 км</w:t>
            </w:r>
          </w:p>
        </w:tc>
      </w:tr>
    </w:tbl>
    <w:p w:rsidR="00D227E2" w:rsidRDefault="00934FC4">
      <w:pPr>
        <w:spacing w:after="0"/>
        <w:ind w:firstLine="510"/>
        <w:jc w:val="both"/>
        <w:rPr>
          <w:rFonts w:ascii="Times New Roman" w:hAnsi="Times New Roman" w:cs="Times New Roman"/>
        </w:rPr>
      </w:pPr>
      <w:r>
        <w:rPr>
          <w:rFonts w:ascii="Times New Roman" w:eastAsia="NSimSun" w:hAnsi="Times New Roman" w:cs="Times New Roman"/>
          <w:kern w:val="2"/>
          <w:sz w:val="24"/>
          <w:szCs w:val="24"/>
          <w:lang w:eastAsia="zh-CN" w:bidi="hi-IN"/>
        </w:rPr>
        <w:t>Для забезпечення зовнішнього освітлення вулиць м. Луцька використовуються освітлювальні прилади з різними типами ламп відповідної потужності. Усього в місті налічується 12010 джерела світла (таблиця 49 та рисунок 34), розміщені на 9 421 опорі.</w:t>
      </w:r>
    </w:p>
    <w:p w:rsidR="00D227E2" w:rsidRDefault="00934FC4">
      <w:pPr>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lastRenderedPageBreak/>
        <w:t>Таблиця 49. Тип освітлювальних приладів (ламп)</w:t>
      </w:r>
    </w:p>
    <w:tbl>
      <w:tblPr>
        <w:tblW w:w="9645" w:type="dxa"/>
        <w:tblInd w:w="209" w:type="dxa"/>
        <w:tblLayout w:type="fixed"/>
        <w:tblLook w:val="0000" w:firstRow="0" w:lastRow="0" w:firstColumn="0" w:lastColumn="0" w:noHBand="0" w:noVBand="0"/>
      </w:tblPr>
      <w:tblGrid>
        <w:gridCol w:w="2508"/>
        <w:gridCol w:w="2383"/>
        <w:gridCol w:w="2375"/>
        <w:gridCol w:w="2379"/>
      </w:tblGrid>
      <w:tr w:rsidR="00D227E2">
        <w:tc>
          <w:tcPr>
            <w:tcW w:w="2507"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Тип джерела освітлення, шт.:</w:t>
            </w:r>
          </w:p>
        </w:tc>
        <w:tc>
          <w:tcPr>
            <w:tcW w:w="2383"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2020</w:t>
            </w:r>
          </w:p>
        </w:tc>
        <w:tc>
          <w:tcPr>
            <w:tcW w:w="2375"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2021</w:t>
            </w:r>
          </w:p>
        </w:tc>
        <w:tc>
          <w:tcPr>
            <w:tcW w:w="2379"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2022</w:t>
            </w:r>
          </w:p>
        </w:tc>
      </w:tr>
      <w:tr w:rsidR="00D227E2">
        <w:tc>
          <w:tcPr>
            <w:tcW w:w="2507"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both"/>
              <w:rPr>
                <w:rFonts w:ascii="Times New Roman" w:hAnsi="Times New Roman" w:cs="Times New Roman"/>
              </w:rPr>
            </w:pPr>
            <w:r>
              <w:rPr>
                <w:rFonts w:ascii="Times New Roman" w:eastAsia="NSimSun" w:hAnsi="Times New Roman" w:cs="Times New Roman"/>
                <w:kern w:val="2"/>
                <w:sz w:val="24"/>
                <w:szCs w:val="24"/>
                <w:lang w:eastAsia="zh-CN" w:bidi="hi-IN"/>
              </w:rPr>
              <w:t>Лампи розжарювання</w:t>
            </w:r>
          </w:p>
        </w:tc>
        <w:tc>
          <w:tcPr>
            <w:tcW w:w="2383"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442</w:t>
            </w:r>
          </w:p>
        </w:tc>
        <w:tc>
          <w:tcPr>
            <w:tcW w:w="2375"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442</w:t>
            </w:r>
          </w:p>
        </w:tc>
        <w:tc>
          <w:tcPr>
            <w:tcW w:w="2379"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442</w:t>
            </w:r>
          </w:p>
        </w:tc>
      </w:tr>
      <w:tr w:rsidR="00D227E2">
        <w:tc>
          <w:tcPr>
            <w:tcW w:w="2507"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both"/>
              <w:rPr>
                <w:rFonts w:ascii="Times New Roman" w:hAnsi="Times New Roman" w:cs="Times New Roman"/>
              </w:rPr>
            </w:pPr>
            <w:r>
              <w:rPr>
                <w:rFonts w:ascii="Times New Roman" w:eastAsia="NSimSun" w:hAnsi="Times New Roman" w:cs="Times New Roman"/>
                <w:kern w:val="2"/>
                <w:sz w:val="24"/>
                <w:szCs w:val="24"/>
                <w:lang w:eastAsia="zh-CN" w:bidi="hi-IN"/>
              </w:rPr>
              <w:t>Люмінесцентні</w:t>
            </w:r>
          </w:p>
        </w:tc>
        <w:tc>
          <w:tcPr>
            <w:tcW w:w="2383"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w:t>
            </w:r>
          </w:p>
        </w:tc>
        <w:tc>
          <w:tcPr>
            <w:tcW w:w="2375"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w:t>
            </w:r>
          </w:p>
        </w:tc>
        <w:tc>
          <w:tcPr>
            <w:tcW w:w="2379"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w:t>
            </w:r>
          </w:p>
        </w:tc>
      </w:tr>
      <w:tr w:rsidR="00D227E2">
        <w:tc>
          <w:tcPr>
            <w:tcW w:w="2507"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both"/>
              <w:rPr>
                <w:rFonts w:ascii="Times New Roman" w:hAnsi="Times New Roman" w:cs="Times New Roman"/>
              </w:rPr>
            </w:pPr>
            <w:r>
              <w:rPr>
                <w:rFonts w:ascii="Times New Roman" w:eastAsia="NSimSun" w:hAnsi="Times New Roman" w:cs="Times New Roman"/>
                <w:kern w:val="2"/>
                <w:sz w:val="24"/>
                <w:szCs w:val="24"/>
                <w:lang w:eastAsia="zh-CN" w:bidi="hi-IN"/>
              </w:rPr>
              <w:t>Ртутні</w:t>
            </w:r>
          </w:p>
        </w:tc>
        <w:tc>
          <w:tcPr>
            <w:tcW w:w="2383"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2451</w:t>
            </w:r>
          </w:p>
        </w:tc>
        <w:tc>
          <w:tcPr>
            <w:tcW w:w="2375"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2444</w:t>
            </w:r>
          </w:p>
        </w:tc>
        <w:tc>
          <w:tcPr>
            <w:tcW w:w="2379"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2048</w:t>
            </w:r>
          </w:p>
        </w:tc>
      </w:tr>
      <w:tr w:rsidR="00D227E2">
        <w:tc>
          <w:tcPr>
            <w:tcW w:w="2507"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both"/>
              <w:rPr>
                <w:rFonts w:ascii="Times New Roman" w:hAnsi="Times New Roman" w:cs="Times New Roman"/>
              </w:rPr>
            </w:pPr>
            <w:r>
              <w:rPr>
                <w:rFonts w:ascii="Times New Roman" w:eastAsia="NSimSun" w:hAnsi="Times New Roman" w:cs="Times New Roman"/>
                <w:kern w:val="2"/>
                <w:sz w:val="24"/>
                <w:szCs w:val="24"/>
                <w:lang w:eastAsia="zh-CN" w:bidi="hi-IN"/>
              </w:rPr>
              <w:t>Натрієві</w:t>
            </w:r>
          </w:p>
        </w:tc>
        <w:tc>
          <w:tcPr>
            <w:tcW w:w="2383"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6809</w:t>
            </w:r>
          </w:p>
        </w:tc>
        <w:tc>
          <w:tcPr>
            <w:tcW w:w="2375"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6786</w:t>
            </w:r>
          </w:p>
        </w:tc>
        <w:tc>
          <w:tcPr>
            <w:tcW w:w="2379"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5158</w:t>
            </w:r>
          </w:p>
        </w:tc>
      </w:tr>
      <w:tr w:rsidR="00D227E2">
        <w:tc>
          <w:tcPr>
            <w:tcW w:w="2507"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both"/>
              <w:rPr>
                <w:rFonts w:ascii="Times New Roman" w:hAnsi="Times New Roman" w:cs="Times New Roman"/>
              </w:rPr>
            </w:pPr>
            <w:r>
              <w:rPr>
                <w:rFonts w:ascii="Times New Roman" w:eastAsia="NSimSun" w:hAnsi="Times New Roman" w:cs="Times New Roman"/>
                <w:kern w:val="2"/>
                <w:sz w:val="24"/>
                <w:szCs w:val="24"/>
                <w:lang w:eastAsia="zh-CN" w:bidi="hi-IN"/>
              </w:rPr>
              <w:t>Метало - галогенні</w:t>
            </w:r>
          </w:p>
        </w:tc>
        <w:tc>
          <w:tcPr>
            <w:tcW w:w="2383"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w:t>
            </w:r>
          </w:p>
        </w:tc>
        <w:tc>
          <w:tcPr>
            <w:tcW w:w="2375"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w:t>
            </w:r>
          </w:p>
        </w:tc>
        <w:tc>
          <w:tcPr>
            <w:tcW w:w="2379"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w:t>
            </w:r>
          </w:p>
        </w:tc>
      </w:tr>
      <w:tr w:rsidR="00D227E2">
        <w:tc>
          <w:tcPr>
            <w:tcW w:w="2507"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both"/>
              <w:rPr>
                <w:rFonts w:ascii="Times New Roman" w:hAnsi="Times New Roman" w:cs="Times New Roman"/>
              </w:rPr>
            </w:pPr>
            <w:r>
              <w:rPr>
                <w:rFonts w:ascii="Times New Roman" w:eastAsia="NSimSun" w:hAnsi="Times New Roman" w:cs="Times New Roman"/>
                <w:kern w:val="2"/>
                <w:sz w:val="24"/>
                <w:szCs w:val="24"/>
                <w:lang w:eastAsia="uk-UA" w:bidi="hi-IN"/>
              </w:rPr>
              <w:t>LED</w:t>
            </w:r>
          </w:p>
        </w:tc>
        <w:tc>
          <w:tcPr>
            <w:tcW w:w="2383"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1994</w:t>
            </w:r>
          </w:p>
        </w:tc>
        <w:tc>
          <w:tcPr>
            <w:tcW w:w="2375"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2101</w:t>
            </w:r>
          </w:p>
        </w:tc>
        <w:tc>
          <w:tcPr>
            <w:tcW w:w="2379"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210"/>
              </w:tabs>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4362</w:t>
            </w:r>
          </w:p>
        </w:tc>
      </w:tr>
    </w:tbl>
    <w:p w:rsidR="00D227E2" w:rsidRDefault="00934FC4">
      <w:pPr>
        <w:tabs>
          <w:tab w:val="left" w:pos="210"/>
        </w:tabs>
        <w:spacing w:after="0"/>
        <w:jc w:val="both"/>
        <w:rPr>
          <w:rFonts w:ascii="Times New Roman" w:hAnsi="Times New Roman" w:cs="Times New Roman"/>
        </w:rPr>
      </w:pPr>
      <w:r>
        <w:rPr>
          <w:rFonts w:ascii="Times New Roman" w:eastAsia="NSimSun" w:hAnsi="Times New Roman" w:cs="Times New Roman"/>
          <w:kern w:val="2"/>
          <w:sz w:val="24"/>
          <w:szCs w:val="24"/>
          <w:lang w:eastAsia="zh-CN" w:bidi="hi-IN"/>
        </w:rPr>
        <w:t>*- дані щодо освітлювальних приладів станом на базовий 2007 рік відсутні</w:t>
      </w:r>
    </w:p>
    <w:p w:rsidR="00D227E2" w:rsidRDefault="00934FC4">
      <w:pPr>
        <w:tabs>
          <w:tab w:val="left" w:pos="210"/>
        </w:tabs>
        <w:spacing w:after="0"/>
        <w:jc w:val="center"/>
        <w:rPr>
          <w:rFonts w:ascii="Times New Roman" w:hAnsi="Times New Roman" w:cs="Times New Roman"/>
        </w:rPr>
      </w:pPr>
      <w:r>
        <w:rPr>
          <w:noProof/>
          <w:lang w:eastAsia="uk-UA"/>
        </w:rPr>
        <w:drawing>
          <wp:inline distT="0" distB="0" distL="0" distR="0" wp14:anchorId="7C2F8BA8" wp14:editId="470D9501">
            <wp:extent cx="3874135" cy="2179955"/>
            <wp:effectExtent l="0" t="0" r="0" b="0"/>
            <wp:docPr id="48" name="Об'єкт8" descr="діаграма"/>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r>
        <w:rPr>
          <w:rFonts w:ascii="Times New Roman" w:hAnsi="Times New Roman" w:cs="Times New Roman"/>
        </w:rPr>
        <w:t> </w:t>
      </w:r>
    </w:p>
    <w:p w:rsidR="00D227E2" w:rsidRDefault="00934FC4">
      <w:pPr>
        <w:spacing w:after="0" w:line="240" w:lineRule="auto"/>
        <w:jc w:val="center"/>
        <w:outlineLvl w:val="3"/>
        <w:rPr>
          <w:rFonts w:ascii="Times New Roman" w:hAnsi="Times New Roman" w:cs="Times New Roman"/>
        </w:rPr>
      </w:pPr>
      <w:r>
        <w:rPr>
          <w:rFonts w:ascii="Times New Roman" w:eastAsia="Arial" w:hAnsi="Times New Roman" w:cs="Times New Roman"/>
          <w:kern w:val="2"/>
          <w:sz w:val="24"/>
          <w:szCs w:val="24"/>
        </w:rPr>
        <w:t xml:space="preserve">Рисунок 34. Частка джерел світла в системі зовнішнього освітлення міста </w:t>
      </w:r>
    </w:p>
    <w:p w:rsidR="00D227E2" w:rsidRDefault="00D227E2">
      <w:pPr>
        <w:spacing w:after="0" w:line="240" w:lineRule="auto"/>
        <w:ind w:firstLine="567"/>
        <w:jc w:val="both"/>
        <w:rPr>
          <w:rFonts w:ascii="Times New Roman" w:hAnsi="Times New Roman" w:cs="Times New Roman"/>
          <w:b/>
          <w:bCs/>
        </w:rPr>
      </w:pPr>
    </w:p>
    <w:p w:rsidR="00D227E2" w:rsidRDefault="00934FC4">
      <w:pPr>
        <w:spacing w:after="0" w:line="240" w:lineRule="auto"/>
        <w:ind w:firstLine="567"/>
        <w:jc w:val="both"/>
        <w:rPr>
          <w:rFonts w:ascii="Times New Roman" w:hAnsi="Times New Roman" w:cs="Times New Roman"/>
        </w:rPr>
      </w:pPr>
      <w:r>
        <w:rPr>
          <w:rFonts w:ascii="Times New Roman" w:eastAsia="NSimSun" w:hAnsi="Times New Roman" w:cs="Times New Roman"/>
          <w:b/>
          <w:bCs/>
          <w:color w:val="000000"/>
          <w:kern w:val="2"/>
          <w:sz w:val="24"/>
          <w:szCs w:val="24"/>
          <w:shd w:val="clear" w:color="auto" w:fill="FFFFFF"/>
          <w:lang w:eastAsia="zh-CN" w:bidi="hi-IN"/>
        </w:rPr>
        <w:t>3.2.4. Промисловість та комерційні структури громади</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Промисловість Луцької МТГ має стійку тенденцію щодо нарощування обсягів виробництва і відповідно зростання споживання енергоресурсів.</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Значна частина виробленої продукції припадає на машинобудування, виробництво гумових і пластмасових виробів, іншої неметалевої мінеральної продукції, виробництво паперу та поліграфічну діяльність.</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Найбільшими споживачами енергоресурсів у Луцькій МТГ є: ПрАТ «СКФ Україна», ПрАТ «ВГП», ПрАТ «Теремно Хліб», ТОВ «Татрафан», ТОВ «Луцька картонно-паперова фабрика», ТОВ «Теріхем Тервакоскі», ТОВ «Лад бетон», ТОВ «Жасмін Лінжері», ТОВ «Волинь-зернопродукт», ДП «Луцький ремонтний завод «Мотор», ДП «Автоскладальний завод №1» ПАТ «Автомобільна компанія «Богдан Моторс», ДКП «Луцьктепло», які забезпечують більше половини загальноміського обсягу.</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В переважній більшості об’єкти промисловості і комерційних структур громади, підключені до електромережі, мережі газопостачання, централізованого теплопостачання, водопостачання та водовідведення.</w:t>
      </w:r>
    </w:p>
    <w:p w:rsidR="00D227E2" w:rsidRDefault="00934FC4">
      <w:pPr>
        <w:spacing w:after="0"/>
        <w:ind w:firstLine="567"/>
        <w:jc w:val="both"/>
        <w:rPr>
          <w:rFonts w:ascii="Times New Roman" w:eastAsia="NSimSun" w:hAnsi="Times New Roman" w:cs="Times New Roman"/>
          <w:color w:val="000000"/>
          <w:kern w:val="2"/>
          <w:sz w:val="24"/>
          <w:szCs w:val="24"/>
          <w:lang w:eastAsia="zh-CN" w:bidi="hi-IN"/>
        </w:rPr>
      </w:pPr>
      <w:r>
        <w:rPr>
          <w:rFonts w:ascii="Times New Roman" w:eastAsia="NSimSun" w:hAnsi="Times New Roman" w:cs="Times New Roman"/>
          <w:color w:val="000000"/>
          <w:kern w:val="2"/>
          <w:sz w:val="24"/>
          <w:szCs w:val="24"/>
          <w:lang w:eastAsia="zh-CN" w:bidi="hi-IN"/>
        </w:rPr>
        <w:t>Споживання енергоресурсів (теплова енергія, електроенергія, природний газ) промисловістю та комерційними структурами Луцька та Луцької МТГ представлено в таблиці 50.</w:t>
      </w:r>
    </w:p>
    <w:p w:rsidR="00974240" w:rsidRDefault="00974240">
      <w:pPr>
        <w:spacing w:after="0"/>
        <w:ind w:firstLine="567"/>
        <w:jc w:val="both"/>
        <w:rPr>
          <w:rFonts w:ascii="Times New Roman" w:eastAsia="NSimSun" w:hAnsi="Times New Roman" w:cs="Times New Roman"/>
          <w:color w:val="000000"/>
          <w:kern w:val="2"/>
          <w:sz w:val="24"/>
          <w:szCs w:val="24"/>
          <w:lang w:eastAsia="zh-CN" w:bidi="hi-IN"/>
        </w:rPr>
      </w:pPr>
    </w:p>
    <w:p w:rsidR="00974240" w:rsidRDefault="00974240">
      <w:pPr>
        <w:spacing w:after="0"/>
        <w:ind w:firstLine="567"/>
        <w:jc w:val="both"/>
        <w:rPr>
          <w:rFonts w:ascii="Times New Roman" w:eastAsia="NSimSun" w:hAnsi="Times New Roman" w:cs="Times New Roman"/>
          <w:color w:val="000000"/>
          <w:kern w:val="2"/>
          <w:sz w:val="24"/>
          <w:szCs w:val="24"/>
          <w:lang w:eastAsia="zh-CN" w:bidi="hi-IN"/>
        </w:rPr>
      </w:pPr>
    </w:p>
    <w:p w:rsidR="00974240" w:rsidRDefault="00974240">
      <w:pPr>
        <w:spacing w:after="0"/>
        <w:ind w:firstLine="567"/>
        <w:jc w:val="both"/>
        <w:rPr>
          <w:rFonts w:ascii="Times New Roman" w:hAnsi="Times New Roman" w:cs="Times New Roman"/>
        </w:rPr>
      </w:pPr>
    </w:p>
    <w:p w:rsidR="00D227E2" w:rsidRDefault="00934FC4">
      <w:pPr>
        <w:spacing w:after="0"/>
        <w:ind w:firstLine="567"/>
        <w:jc w:val="center"/>
        <w:rPr>
          <w:rFonts w:ascii="Times New Roman" w:hAnsi="Times New Roman" w:cs="Times New Roman"/>
        </w:rPr>
      </w:pPr>
      <w:r>
        <w:rPr>
          <w:rFonts w:ascii="Times New Roman" w:eastAsia="NSimSun" w:hAnsi="Times New Roman" w:cs="Times New Roman"/>
          <w:color w:val="000000"/>
          <w:kern w:val="2"/>
          <w:sz w:val="24"/>
          <w:szCs w:val="24"/>
          <w:lang w:eastAsia="zh-CN" w:bidi="hi-IN"/>
        </w:rPr>
        <w:lastRenderedPageBreak/>
        <w:t xml:space="preserve">Таблиця 50. Споживання енергоресурсів (теплова енергія, електроенергія, природний газ) промисловістю та комерційними структурами Луцька </w:t>
      </w:r>
    </w:p>
    <w:tbl>
      <w:tblPr>
        <w:tblW w:w="9526"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331"/>
        <w:gridCol w:w="1808"/>
        <w:gridCol w:w="1843"/>
        <w:gridCol w:w="1976"/>
        <w:gridCol w:w="1568"/>
      </w:tblGrid>
      <w:tr w:rsidR="00D227E2" w:rsidTr="00934FC4">
        <w:tc>
          <w:tcPr>
            <w:tcW w:w="2331" w:type="dxa"/>
            <w:vMerge w:val="restart"/>
          </w:tcPr>
          <w:p w:rsidR="00D227E2" w:rsidRDefault="00934FC4">
            <w:pPr>
              <w:widowControl w:val="0"/>
              <w:suppressLineNumbers/>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Види енергоресурсу</w:t>
            </w:r>
          </w:p>
        </w:tc>
        <w:tc>
          <w:tcPr>
            <w:tcW w:w="5627" w:type="dxa"/>
            <w:gridSpan w:val="3"/>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Роки</w:t>
            </w:r>
          </w:p>
        </w:tc>
        <w:tc>
          <w:tcPr>
            <w:tcW w:w="1568" w:type="dxa"/>
            <w:vMerge w:val="restart"/>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 xml:space="preserve"> % зміни споживання 2022/2007</w:t>
            </w:r>
          </w:p>
        </w:tc>
      </w:tr>
      <w:tr w:rsidR="00D227E2" w:rsidTr="00934FC4">
        <w:tc>
          <w:tcPr>
            <w:tcW w:w="2331" w:type="dxa"/>
            <w:vMerge/>
          </w:tcPr>
          <w:p w:rsidR="00D227E2" w:rsidRDefault="00D227E2">
            <w:pPr>
              <w:widowControl w:val="0"/>
              <w:spacing w:after="0" w:line="240" w:lineRule="auto"/>
              <w:jc w:val="center"/>
              <w:rPr>
                <w:rFonts w:ascii="Times New Roman" w:eastAsia="NSimSun" w:hAnsi="Times New Roman" w:cs="Times New Roman"/>
                <w:kern w:val="2"/>
                <w:lang w:eastAsia="zh-CN" w:bidi="hi-IN"/>
              </w:rPr>
            </w:pPr>
          </w:p>
        </w:tc>
        <w:tc>
          <w:tcPr>
            <w:tcW w:w="1808" w:type="dxa"/>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 xml:space="preserve"> 2007</w:t>
            </w:r>
          </w:p>
        </w:tc>
        <w:tc>
          <w:tcPr>
            <w:tcW w:w="1843" w:type="dxa"/>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2020</w:t>
            </w:r>
          </w:p>
        </w:tc>
        <w:tc>
          <w:tcPr>
            <w:tcW w:w="1976" w:type="dxa"/>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2022</w:t>
            </w:r>
          </w:p>
        </w:tc>
        <w:tc>
          <w:tcPr>
            <w:tcW w:w="1568" w:type="dxa"/>
            <w:vMerge/>
          </w:tcPr>
          <w:p w:rsidR="00D227E2" w:rsidRDefault="00D227E2">
            <w:pPr>
              <w:widowControl w:val="0"/>
              <w:spacing w:after="0" w:line="240" w:lineRule="auto"/>
              <w:jc w:val="center"/>
              <w:rPr>
                <w:rFonts w:ascii="Times New Roman" w:eastAsia="NSimSun" w:hAnsi="Times New Roman" w:cs="Times New Roman"/>
                <w:kern w:val="2"/>
                <w:lang w:eastAsia="zh-CN" w:bidi="hi-IN"/>
              </w:rPr>
            </w:pPr>
          </w:p>
        </w:tc>
      </w:tr>
      <w:tr w:rsidR="00D227E2" w:rsidTr="00934FC4">
        <w:tc>
          <w:tcPr>
            <w:tcW w:w="2331" w:type="dxa"/>
          </w:tcPr>
          <w:p w:rsidR="00D227E2" w:rsidRDefault="00934FC4">
            <w:pPr>
              <w:widowControl w:val="0"/>
              <w:spacing w:after="0" w:line="240" w:lineRule="auto"/>
              <w:rPr>
                <w:rFonts w:ascii="Times New Roman" w:hAnsi="Times New Roman" w:cs="Times New Roman"/>
              </w:rPr>
            </w:pPr>
            <w:r>
              <w:rPr>
                <w:rFonts w:ascii="Times New Roman" w:eastAsia="NSimSun" w:hAnsi="Times New Roman" w:cs="Times New Roman"/>
                <w:kern w:val="2"/>
                <w:lang w:eastAsia="zh-CN" w:bidi="hi-IN"/>
              </w:rPr>
              <w:t>Теплова енергія,  Гкал</w:t>
            </w:r>
          </w:p>
        </w:tc>
        <w:tc>
          <w:tcPr>
            <w:tcW w:w="1808" w:type="dxa"/>
          </w:tcPr>
          <w:p w:rsidR="00D227E2" w:rsidRDefault="00934FC4">
            <w:pPr>
              <w:widowControl w:val="0"/>
              <w:suppressLineNumbers/>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47770</w:t>
            </w:r>
          </w:p>
        </w:tc>
        <w:tc>
          <w:tcPr>
            <w:tcW w:w="1843" w:type="dxa"/>
          </w:tcPr>
          <w:p w:rsidR="00D227E2" w:rsidRDefault="00934FC4">
            <w:pPr>
              <w:widowControl w:val="0"/>
              <w:suppressLineNumbers/>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10424</w:t>
            </w:r>
          </w:p>
        </w:tc>
        <w:tc>
          <w:tcPr>
            <w:tcW w:w="1976" w:type="dxa"/>
          </w:tcPr>
          <w:p w:rsidR="00D227E2" w:rsidRDefault="00934FC4">
            <w:pPr>
              <w:widowControl w:val="0"/>
              <w:suppressLineNumbers/>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8130</w:t>
            </w:r>
          </w:p>
        </w:tc>
        <w:tc>
          <w:tcPr>
            <w:tcW w:w="1568" w:type="dxa"/>
          </w:tcPr>
          <w:p w:rsidR="00D227E2" w:rsidRDefault="00934FC4">
            <w:pPr>
              <w:widowControl w:val="0"/>
              <w:suppressLineNumbers/>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-82,98</w:t>
            </w:r>
          </w:p>
        </w:tc>
      </w:tr>
      <w:tr w:rsidR="00D227E2" w:rsidTr="00934FC4">
        <w:tc>
          <w:tcPr>
            <w:tcW w:w="2331" w:type="dxa"/>
          </w:tcPr>
          <w:p w:rsidR="00D227E2" w:rsidRDefault="00934FC4">
            <w:pPr>
              <w:widowControl w:val="0"/>
              <w:spacing w:after="0" w:line="240" w:lineRule="auto"/>
              <w:rPr>
                <w:rFonts w:ascii="Times New Roman" w:hAnsi="Times New Roman" w:cs="Times New Roman"/>
              </w:rPr>
            </w:pPr>
            <w:r>
              <w:rPr>
                <w:rFonts w:ascii="Times New Roman" w:eastAsia="NSimSun" w:hAnsi="Times New Roman" w:cs="Times New Roman"/>
                <w:kern w:val="2"/>
                <w:lang w:eastAsia="zh-CN" w:bidi="hi-IN"/>
              </w:rPr>
              <w:t>Електроенергія, МВт.год</w:t>
            </w:r>
          </w:p>
        </w:tc>
        <w:tc>
          <w:tcPr>
            <w:tcW w:w="1808" w:type="dxa"/>
          </w:tcPr>
          <w:p w:rsidR="00D227E2" w:rsidRDefault="00934FC4">
            <w:pPr>
              <w:widowControl w:val="0"/>
              <w:suppressLineNumbers/>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248067</w:t>
            </w:r>
          </w:p>
        </w:tc>
        <w:tc>
          <w:tcPr>
            <w:tcW w:w="1843" w:type="dxa"/>
          </w:tcPr>
          <w:p w:rsidR="00D227E2" w:rsidRDefault="00934FC4">
            <w:pPr>
              <w:widowControl w:val="0"/>
              <w:suppressLineNumbers/>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318766</w:t>
            </w:r>
          </w:p>
        </w:tc>
        <w:tc>
          <w:tcPr>
            <w:tcW w:w="1976" w:type="dxa"/>
          </w:tcPr>
          <w:p w:rsidR="00D227E2" w:rsidRDefault="00934FC4">
            <w:pPr>
              <w:widowControl w:val="0"/>
              <w:suppressLineNumbers/>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306496</w:t>
            </w:r>
          </w:p>
        </w:tc>
        <w:tc>
          <w:tcPr>
            <w:tcW w:w="1568" w:type="dxa"/>
          </w:tcPr>
          <w:p w:rsidR="00D227E2" w:rsidRDefault="00934FC4">
            <w:pPr>
              <w:widowControl w:val="0"/>
              <w:suppressLineNumbers/>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+23,55</w:t>
            </w:r>
          </w:p>
        </w:tc>
      </w:tr>
      <w:tr w:rsidR="00D227E2" w:rsidTr="00934FC4">
        <w:tc>
          <w:tcPr>
            <w:tcW w:w="2331" w:type="dxa"/>
          </w:tcPr>
          <w:p w:rsidR="00D227E2" w:rsidRDefault="00934FC4">
            <w:pPr>
              <w:widowControl w:val="0"/>
              <w:spacing w:after="0" w:line="240" w:lineRule="auto"/>
              <w:rPr>
                <w:rFonts w:ascii="Times New Roman" w:hAnsi="Times New Roman" w:cs="Times New Roman"/>
              </w:rPr>
            </w:pPr>
            <w:r>
              <w:rPr>
                <w:rFonts w:ascii="Times New Roman" w:eastAsia="NSimSun" w:hAnsi="Times New Roman" w:cs="Times New Roman"/>
                <w:kern w:val="2"/>
                <w:lang w:eastAsia="zh-CN" w:bidi="hi-IN"/>
              </w:rPr>
              <w:t>Природний газ, тис.м</w:t>
            </w:r>
            <w:r>
              <w:rPr>
                <w:rFonts w:ascii="Times New Roman" w:eastAsia="NSimSun" w:hAnsi="Times New Roman" w:cs="Times New Roman"/>
                <w:kern w:val="2"/>
                <w:vertAlign w:val="superscript"/>
                <w:lang w:eastAsia="zh-CN" w:bidi="hi-IN"/>
              </w:rPr>
              <w:t>3</w:t>
            </w:r>
          </w:p>
        </w:tc>
        <w:tc>
          <w:tcPr>
            <w:tcW w:w="1808" w:type="dxa"/>
          </w:tcPr>
          <w:p w:rsidR="00D227E2" w:rsidRDefault="00934FC4">
            <w:pPr>
              <w:widowControl w:val="0"/>
              <w:suppressLineNumbers/>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75683,32</w:t>
            </w:r>
          </w:p>
        </w:tc>
        <w:tc>
          <w:tcPr>
            <w:tcW w:w="1843" w:type="dxa"/>
          </w:tcPr>
          <w:p w:rsidR="00D227E2" w:rsidRDefault="00934FC4">
            <w:pPr>
              <w:widowControl w:val="0"/>
              <w:suppressLineNumbers/>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22254,87</w:t>
            </w:r>
          </w:p>
        </w:tc>
        <w:tc>
          <w:tcPr>
            <w:tcW w:w="1976" w:type="dxa"/>
          </w:tcPr>
          <w:p w:rsidR="00D227E2" w:rsidRDefault="00934FC4">
            <w:pPr>
              <w:widowControl w:val="0"/>
              <w:suppressLineNumbers/>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14155,45</w:t>
            </w:r>
          </w:p>
        </w:tc>
        <w:tc>
          <w:tcPr>
            <w:tcW w:w="1568" w:type="dxa"/>
          </w:tcPr>
          <w:p w:rsidR="00D227E2" w:rsidRDefault="00934FC4">
            <w:pPr>
              <w:widowControl w:val="0"/>
              <w:suppressLineNumbers/>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-81,30</w:t>
            </w:r>
          </w:p>
        </w:tc>
      </w:tr>
      <w:tr w:rsidR="00D227E2" w:rsidTr="00934FC4">
        <w:tc>
          <w:tcPr>
            <w:tcW w:w="2331" w:type="dxa"/>
          </w:tcPr>
          <w:p w:rsidR="00D227E2" w:rsidRDefault="00934FC4">
            <w:pPr>
              <w:widowControl w:val="0"/>
              <w:spacing w:after="0" w:line="240" w:lineRule="auto"/>
              <w:rPr>
                <w:rFonts w:ascii="Times New Roman" w:hAnsi="Times New Roman" w:cs="Times New Roman"/>
              </w:rPr>
            </w:pPr>
            <w:r>
              <w:rPr>
                <w:rFonts w:ascii="Times New Roman" w:eastAsia="NSimSun" w:hAnsi="Times New Roman" w:cs="Times New Roman"/>
                <w:kern w:val="2"/>
                <w:lang w:eastAsia="zh-CN" w:bidi="hi-IN"/>
              </w:rPr>
              <w:t>Загальний обсяг енергії, МВт.год</w:t>
            </w:r>
          </w:p>
        </w:tc>
        <w:tc>
          <w:tcPr>
            <w:tcW w:w="1808" w:type="dxa"/>
          </w:tcPr>
          <w:p w:rsidR="00D227E2" w:rsidRDefault="00934FC4">
            <w:pPr>
              <w:widowControl w:val="0"/>
              <w:suppressLineNumbers/>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1102082,54</w:t>
            </w:r>
          </w:p>
        </w:tc>
        <w:tc>
          <w:tcPr>
            <w:tcW w:w="1843" w:type="dxa"/>
          </w:tcPr>
          <w:p w:rsidR="00D227E2" w:rsidRDefault="00934FC4">
            <w:pPr>
              <w:widowControl w:val="0"/>
              <w:suppressLineNumbers/>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565677,88</w:t>
            </w:r>
          </w:p>
        </w:tc>
        <w:tc>
          <w:tcPr>
            <w:tcW w:w="1976" w:type="dxa"/>
          </w:tcPr>
          <w:p w:rsidR="00D227E2" w:rsidRDefault="00934FC4">
            <w:pPr>
              <w:widowControl w:val="0"/>
              <w:suppressLineNumbers/>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465291,18</w:t>
            </w:r>
          </w:p>
        </w:tc>
        <w:tc>
          <w:tcPr>
            <w:tcW w:w="1568" w:type="dxa"/>
          </w:tcPr>
          <w:p w:rsidR="00D227E2" w:rsidRDefault="00934FC4">
            <w:pPr>
              <w:widowControl w:val="0"/>
              <w:suppressLineNumbers/>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-57,8</w:t>
            </w:r>
          </w:p>
        </w:tc>
      </w:tr>
    </w:tbl>
    <w:p w:rsidR="00D227E2" w:rsidRDefault="00D227E2">
      <w:pPr>
        <w:spacing w:after="0"/>
        <w:ind w:firstLine="567"/>
        <w:jc w:val="both"/>
        <w:rPr>
          <w:rFonts w:ascii="Times New Roman" w:hAnsi="Times New Roman" w:cs="Times New Roman"/>
          <w:color w:val="000000"/>
          <w:shd w:val="clear" w:color="auto" w:fill="FFFFFF"/>
        </w:rPr>
      </w:pPr>
    </w:p>
    <w:p w:rsidR="00D227E2" w:rsidRDefault="00934FC4">
      <w:pPr>
        <w:spacing w:after="0"/>
        <w:ind w:firstLine="567"/>
        <w:jc w:val="both"/>
        <w:rPr>
          <w:rFonts w:ascii="Times New Roman" w:hAnsi="Times New Roman" w:cs="Times New Roman"/>
          <w:color w:val="000000"/>
          <w:shd w:val="clear" w:color="auto" w:fill="FFFFFF"/>
        </w:rPr>
      </w:pPr>
      <w:r>
        <w:rPr>
          <w:rFonts w:ascii="Times New Roman" w:hAnsi="Times New Roman" w:cs="Times New Roman"/>
          <w:noProof/>
          <w:color w:val="000000"/>
          <w:shd w:val="clear" w:color="auto" w:fill="FFFFFF"/>
          <w:lang w:eastAsia="uk-UA"/>
        </w:rPr>
        <w:drawing>
          <wp:anchor distT="0" distB="0" distL="0" distR="0" simplePos="0" relativeHeight="106" behindDoc="0" locked="0" layoutInCell="0" allowOverlap="1" wp14:anchorId="6F1A33A2" wp14:editId="5B3BB9BF">
            <wp:simplePos x="0" y="0"/>
            <wp:positionH relativeFrom="column">
              <wp:posOffset>1118870</wp:posOffset>
            </wp:positionH>
            <wp:positionV relativeFrom="paragraph">
              <wp:posOffset>50165</wp:posOffset>
            </wp:positionV>
            <wp:extent cx="3684270" cy="2072640"/>
            <wp:effectExtent l="0" t="0" r="0" b="0"/>
            <wp:wrapSquare wrapText="largest"/>
            <wp:docPr id="49" name="Об'єкт17" descr="діаграма"/>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anchor>
        </w:drawing>
      </w:r>
    </w:p>
    <w:p w:rsidR="00D227E2" w:rsidRDefault="00D227E2">
      <w:pPr>
        <w:spacing w:after="0"/>
        <w:ind w:firstLine="567"/>
        <w:jc w:val="both"/>
        <w:rPr>
          <w:rFonts w:ascii="Times New Roman" w:hAnsi="Times New Roman" w:cs="Times New Roman"/>
          <w:color w:val="000000"/>
          <w:shd w:val="clear" w:color="auto" w:fill="FFFFFF"/>
        </w:rPr>
      </w:pPr>
    </w:p>
    <w:p w:rsidR="00D227E2" w:rsidRDefault="00D227E2">
      <w:pPr>
        <w:spacing w:after="0"/>
        <w:ind w:firstLine="567"/>
        <w:jc w:val="both"/>
        <w:rPr>
          <w:rFonts w:ascii="Times New Roman" w:hAnsi="Times New Roman" w:cs="Times New Roman"/>
          <w:color w:val="000000"/>
          <w:shd w:val="clear" w:color="auto" w:fill="FFFFFF"/>
        </w:rPr>
      </w:pPr>
    </w:p>
    <w:p w:rsidR="00D227E2" w:rsidRDefault="00D227E2">
      <w:pPr>
        <w:spacing w:after="0"/>
        <w:ind w:firstLine="567"/>
        <w:jc w:val="both"/>
        <w:rPr>
          <w:rFonts w:ascii="Times New Roman" w:hAnsi="Times New Roman" w:cs="Times New Roman"/>
          <w:color w:val="000000"/>
          <w:shd w:val="clear" w:color="auto" w:fill="FFFFFF"/>
        </w:rPr>
      </w:pPr>
    </w:p>
    <w:p w:rsidR="00D227E2" w:rsidRDefault="00D227E2">
      <w:pPr>
        <w:spacing w:after="0"/>
        <w:ind w:firstLine="567"/>
        <w:jc w:val="both"/>
        <w:rPr>
          <w:rFonts w:ascii="Times New Roman" w:hAnsi="Times New Roman" w:cs="Times New Roman"/>
          <w:color w:val="000000"/>
          <w:shd w:val="clear" w:color="auto" w:fill="FFFFFF"/>
        </w:rPr>
      </w:pPr>
    </w:p>
    <w:p w:rsidR="00D227E2" w:rsidRDefault="00D227E2">
      <w:pPr>
        <w:spacing w:after="0"/>
        <w:ind w:firstLine="567"/>
        <w:jc w:val="both"/>
        <w:rPr>
          <w:rFonts w:ascii="Times New Roman" w:hAnsi="Times New Roman" w:cs="Times New Roman"/>
          <w:color w:val="000000"/>
          <w:shd w:val="clear" w:color="auto" w:fill="FFFFFF"/>
        </w:rPr>
      </w:pPr>
    </w:p>
    <w:p w:rsidR="00D227E2" w:rsidRDefault="00D227E2">
      <w:pPr>
        <w:spacing w:after="0"/>
        <w:ind w:firstLine="567"/>
        <w:jc w:val="center"/>
        <w:rPr>
          <w:rFonts w:ascii="Times New Roman" w:eastAsia="NSimSun" w:hAnsi="Times New Roman" w:cs="Times New Roman"/>
          <w:color w:val="000000"/>
          <w:kern w:val="2"/>
          <w:sz w:val="24"/>
          <w:szCs w:val="24"/>
          <w:shd w:val="clear" w:color="auto" w:fill="FFFFFF"/>
          <w:lang w:eastAsia="zh-CN" w:bidi="hi-IN"/>
        </w:rPr>
      </w:pPr>
    </w:p>
    <w:p w:rsidR="00D227E2" w:rsidRDefault="00D227E2">
      <w:pPr>
        <w:spacing w:after="0"/>
        <w:ind w:firstLine="567"/>
        <w:jc w:val="center"/>
        <w:rPr>
          <w:rFonts w:ascii="Times New Roman" w:eastAsia="NSimSun" w:hAnsi="Times New Roman" w:cs="Times New Roman"/>
          <w:color w:val="000000"/>
          <w:kern w:val="2"/>
          <w:sz w:val="24"/>
          <w:szCs w:val="24"/>
          <w:shd w:val="clear" w:color="auto" w:fill="FFFFFF"/>
          <w:lang w:eastAsia="zh-CN" w:bidi="hi-IN"/>
        </w:rPr>
      </w:pPr>
    </w:p>
    <w:p w:rsidR="00D227E2" w:rsidRDefault="00D227E2">
      <w:pPr>
        <w:spacing w:after="0"/>
        <w:ind w:firstLine="567"/>
        <w:jc w:val="center"/>
        <w:rPr>
          <w:rFonts w:ascii="Times New Roman" w:eastAsia="NSimSun" w:hAnsi="Times New Roman" w:cs="Times New Roman"/>
          <w:color w:val="000000"/>
          <w:kern w:val="2"/>
          <w:sz w:val="24"/>
          <w:szCs w:val="24"/>
          <w:shd w:val="clear" w:color="auto" w:fill="FFFFFF"/>
          <w:lang w:eastAsia="zh-CN" w:bidi="hi-IN"/>
        </w:rPr>
      </w:pPr>
    </w:p>
    <w:p w:rsidR="00D227E2" w:rsidRDefault="00D227E2">
      <w:pPr>
        <w:spacing w:after="0"/>
        <w:ind w:firstLine="567"/>
        <w:jc w:val="center"/>
        <w:rPr>
          <w:rFonts w:ascii="Times New Roman" w:eastAsia="NSimSun" w:hAnsi="Times New Roman" w:cs="Times New Roman"/>
          <w:color w:val="000000"/>
          <w:kern w:val="2"/>
          <w:sz w:val="24"/>
          <w:szCs w:val="24"/>
          <w:shd w:val="clear" w:color="auto" w:fill="FFFFFF"/>
          <w:lang w:eastAsia="zh-CN" w:bidi="hi-IN"/>
        </w:rPr>
      </w:pPr>
    </w:p>
    <w:p w:rsidR="00D227E2" w:rsidRDefault="00D227E2">
      <w:pPr>
        <w:spacing w:after="0"/>
        <w:ind w:firstLine="567"/>
        <w:jc w:val="both"/>
        <w:rPr>
          <w:rFonts w:ascii="Times New Roman" w:hAnsi="Times New Roman" w:cs="Times New Roman"/>
          <w:sz w:val="24"/>
          <w:szCs w:val="24"/>
        </w:rPr>
      </w:pPr>
    </w:p>
    <w:p w:rsidR="00D227E2" w:rsidRDefault="00934FC4">
      <w:pPr>
        <w:spacing w:after="0"/>
        <w:ind w:firstLine="567"/>
        <w:jc w:val="center"/>
        <w:rPr>
          <w:rFonts w:ascii="Times New Roman" w:hAnsi="Times New Roman" w:cs="Times New Roman"/>
          <w:sz w:val="24"/>
          <w:szCs w:val="24"/>
        </w:rPr>
      </w:pPr>
      <w:r>
        <w:rPr>
          <w:rFonts w:ascii="Times New Roman" w:hAnsi="Times New Roman" w:cs="Times New Roman"/>
          <w:sz w:val="24"/>
          <w:szCs w:val="24"/>
        </w:rPr>
        <w:t> </w:t>
      </w:r>
    </w:p>
    <w:p w:rsidR="00D227E2" w:rsidRDefault="00934FC4">
      <w:pPr>
        <w:spacing w:after="0"/>
        <w:ind w:firstLine="567"/>
        <w:jc w:val="center"/>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 xml:space="preserve">Рисунок 35. Споживання енергоресурсів (теплова енергія, електроенергія, природний газ) промисловістю та комерційними структурами  </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На рисунку 36 представлена структура споживання енергоносіїв промисловістю та іншими комерційними структурами у 2007 та 2022 роках відповідно.  </w:t>
      </w:r>
    </w:p>
    <w:p w:rsidR="00D227E2" w:rsidRDefault="00934FC4">
      <w:pPr>
        <w:spacing w:after="0"/>
        <w:ind w:firstLine="567"/>
        <w:jc w:val="both"/>
        <w:rPr>
          <w:rFonts w:ascii="Times New Roman" w:hAnsi="Times New Roman" w:cs="Times New Roman"/>
        </w:rPr>
      </w:pPr>
      <w:r>
        <w:rPr>
          <w:rFonts w:ascii="Times New Roman" w:hAnsi="Times New Roman" w:cs="Times New Roman"/>
          <w:noProof/>
          <w:sz w:val="24"/>
          <w:szCs w:val="24"/>
          <w:lang w:eastAsia="uk-UA"/>
        </w:rPr>
        <w:drawing>
          <wp:anchor distT="0" distB="0" distL="0" distR="0" simplePos="0" relativeHeight="108" behindDoc="0" locked="0" layoutInCell="0" allowOverlap="1" wp14:anchorId="1D51C3CF" wp14:editId="64D1937F">
            <wp:simplePos x="0" y="0"/>
            <wp:positionH relativeFrom="column">
              <wp:posOffset>13970</wp:posOffset>
            </wp:positionH>
            <wp:positionV relativeFrom="paragraph">
              <wp:posOffset>635</wp:posOffset>
            </wp:positionV>
            <wp:extent cx="2667000" cy="1728470"/>
            <wp:effectExtent l="0" t="0" r="0" b="0"/>
            <wp:wrapSquare wrapText="largest"/>
            <wp:docPr id="50" name="Об'єкт30" descr="діаграма"/>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anchor>
        </w:drawing>
      </w:r>
      <w:r>
        <w:rPr>
          <w:rFonts w:ascii="Times New Roman" w:hAnsi="Times New Roman" w:cs="Times New Roman"/>
          <w:noProof/>
          <w:sz w:val="24"/>
          <w:szCs w:val="24"/>
          <w:lang w:eastAsia="uk-UA"/>
        </w:rPr>
        <w:drawing>
          <wp:anchor distT="0" distB="0" distL="0" distR="0" simplePos="0" relativeHeight="110" behindDoc="0" locked="0" layoutInCell="0" allowOverlap="1" wp14:anchorId="57144AEC" wp14:editId="408B2D21">
            <wp:simplePos x="0" y="0"/>
            <wp:positionH relativeFrom="column">
              <wp:posOffset>3141980</wp:posOffset>
            </wp:positionH>
            <wp:positionV relativeFrom="paragraph">
              <wp:posOffset>9525</wp:posOffset>
            </wp:positionV>
            <wp:extent cx="2865755" cy="1708150"/>
            <wp:effectExtent l="0" t="0" r="0" b="0"/>
            <wp:wrapSquare wrapText="largest"/>
            <wp:docPr id="51" name="Об'єкт29" descr="діаграма"/>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anchor>
        </w:drawing>
      </w:r>
      <w:r>
        <w:rPr>
          <w:rFonts w:ascii="Times New Roman" w:hAnsi="Times New Roman" w:cs="Times New Roman"/>
          <w:sz w:val="24"/>
          <w:szCs w:val="24"/>
        </w:rPr>
        <w:t> </w:t>
      </w:r>
    </w:p>
    <w:p w:rsidR="00D227E2" w:rsidRDefault="00D227E2">
      <w:pPr>
        <w:spacing w:after="0"/>
        <w:ind w:firstLine="567"/>
        <w:jc w:val="center"/>
        <w:rPr>
          <w:rFonts w:ascii="Times New Roman" w:eastAsia="NSimSun" w:hAnsi="Times New Roman" w:cs="Times New Roman"/>
          <w:color w:val="000000"/>
          <w:kern w:val="2"/>
          <w:sz w:val="24"/>
          <w:szCs w:val="24"/>
          <w:shd w:val="clear" w:color="auto" w:fill="FFFFFF"/>
          <w:lang w:eastAsia="zh-CN" w:bidi="hi-IN"/>
        </w:rPr>
      </w:pPr>
    </w:p>
    <w:p w:rsidR="00D227E2" w:rsidRDefault="00D227E2">
      <w:pPr>
        <w:spacing w:after="0"/>
        <w:ind w:firstLine="567"/>
        <w:jc w:val="center"/>
        <w:rPr>
          <w:rFonts w:ascii="Times New Roman" w:eastAsia="NSimSun" w:hAnsi="Times New Roman" w:cs="Times New Roman"/>
          <w:color w:val="000000"/>
          <w:kern w:val="2"/>
          <w:sz w:val="24"/>
          <w:szCs w:val="24"/>
          <w:shd w:val="clear" w:color="auto" w:fill="FFFFFF"/>
          <w:lang w:eastAsia="zh-CN" w:bidi="hi-IN"/>
        </w:rPr>
      </w:pPr>
    </w:p>
    <w:p w:rsidR="00D227E2" w:rsidRDefault="00D227E2">
      <w:pPr>
        <w:spacing w:after="0"/>
        <w:ind w:firstLine="567"/>
        <w:jc w:val="center"/>
        <w:rPr>
          <w:rFonts w:ascii="Times New Roman" w:eastAsia="NSimSun" w:hAnsi="Times New Roman" w:cs="Times New Roman"/>
          <w:color w:val="000000"/>
          <w:kern w:val="2"/>
          <w:sz w:val="24"/>
          <w:szCs w:val="24"/>
          <w:shd w:val="clear" w:color="auto" w:fill="FFFFFF"/>
          <w:lang w:eastAsia="zh-CN" w:bidi="hi-IN"/>
        </w:rPr>
      </w:pPr>
    </w:p>
    <w:p w:rsidR="00D227E2" w:rsidRDefault="00D227E2">
      <w:pPr>
        <w:spacing w:after="0"/>
        <w:ind w:firstLine="567"/>
        <w:jc w:val="center"/>
        <w:rPr>
          <w:rFonts w:ascii="Times New Roman" w:eastAsia="NSimSun" w:hAnsi="Times New Roman" w:cs="Times New Roman"/>
          <w:color w:val="000000"/>
          <w:kern w:val="2"/>
          <w:sz w:val="24"/>
          <w:szCs w:val="24"/>
          <w:shd w:val="clear" w:color="auto" w:fill="FFFFFF"/>
          <w:lang w:eastAsia="zh-CN" w:bidi="hi-IN"/>
        </w:rPr>
      </w:pPr>
    </w:p>
    <w:p w:rsidR="00D227E2" w:rsidRDefault="00D227E2">
      <w:pPr>
        <w:spacing w:after="0"/>
        <w:ind w:firstLine="567"/>
        <w:jc w:val="center"/>
        <w:rPr>
          <w:rFonts w:ascii="Times New Roman" w:eastAsia="NSimSun" w:hAnsi="Times New Roman" w:cs="Times New Roman"/>
          <w:color w:val="000000"/>
          <w:kern w:val="2"/>
          <w:sz w:val="24"/>
          <w:szCs w:val="24"/>
          <w:shd w:val="clear" w:color="auto" w:fill="FFFFFF"/>
          <w:lang w:eastAsia="zh-CN" w:bidi="hi-IN"/>
        </w:rPr>
      </w:pPr>
    </w:p>
    <w:p w:rsidR="00D227E2" w:rsidRDefault="00D227E2">
      <w:pPr>
        <w:spacing w:after="0"/>
        <w:ind w:firstLine="567"/>
        <w:jc w:val="center"/>
        <w:rPr>
          <w:rFonts w:ascii="Times New Roman" w:eastAsia="NSimSun" w:hAnsi="Times New Roman" w:cs="Times New Roman"/>
          <w:color w:val="000000"/>
          <w:kern w:val="2"/>
          <w:sz w:val="24"/>
          <w:szCs w:val="24"/>
          <w:shd w:val="clear" w:color="auto" w:fill="FFFFFF"/>
          <w:lang w:eastAsia="zh-CN" w:bidi="hi-IN"/>
        </w:rPr>
      </w:pPr>
    </w:p>
    <w:p w:rsidR="00D227E2" w:rsidRDefault="00D227E2">
      <w:pPr>
        <w:spacing w:after="0"/>
        <w:ind w:firstLine="567"/>
        <w:jc w:val="center"/>
        <w:rPr>
          <w:rFonts w:ascii="Times New Roman" w:eastAsia="NSimSun" w:hAnsi="Times New Roman" w:cs="Times New Roman"/>
          <w:color w:val="000000"/>
          <w:kern w:val="2"/>
          <w:sz w:val="24"/>
          <w:szCs w:val="24"/>
          <w:shd w:val="clear" w:color="auto" w:fill="FFFFFF"/>
          <w:lang w:eastAsia="zh-CN" w:bidi="hi-IN"/>
        </w:rPr>
      </w:pPr>
    </w:p>
    <w:p w:rsidR="00D227E2" w:rsidRDefault="00D227E2">
      <w:pPr>
        <w:spacing w:after="0"/>
        <w:ind w:firstLine="567"/>
        <w:jc w:val="center"/>
        <w:rPr>
          <w:rFonts w:ascii="Times New Roman" w:eastAsia="NSimSun" w:hAnsi="Times New Roman" w:cs="Times New Roman"/>
          <w:color w:val="000000"/>
          <w:kern w:val="2"/>
          <w:sz w:val="24"/>
          <w:szCs w:val="24"/>
          <w:shd w:val="clear" w:color="auto" w:fill="FFFFFF"/>
          <w:lang w:eastAsia="zh-CN" w:bidi="hi-IN"/>
        </w:rPr>
      </w:pPr>
    </w:p>
    <w:p w:rsidR="00D227E2" w:rsidRDefault="00934FC4">
      <w:pPr>
        <w:spacing w:after="0"/>
        <w:ind w:firstLine="567"/>
        <w:jc w:val="center"/>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Рисунок 36. Структура споживання енергоносіїв промисловістю та іншими комерційними структурами у 2007 та 2022 році</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shd w:val="clear" w:color="auto" w:fill="FFFFFF"/>
          <w:lang w:eastAsia="zh-CN" w:bidi="hi-IN"/>
        </w:rPr>
        <w:t>Аналіз таблиці 51 та рисунків 35, 36 показує, що споживання теплової енергії зменшилось на 82.98 %, споживання природного газу зменшилося на 81,30 %, а використання електроенергії навпаки збільшилося на 23,55 %. Зміна ціни на газ в Україні з 2014 року спонукала промисловість та комерційні структури до економії споживання традиційних енергоресурсів та перехід на альтернативні джерела енергії, що призвело до зменшення загального споживання ресурсів.</w:t>
      </w: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934FC4">
      <w:pPr>
        <w:spacing w:after="0" w:line="240" w:lineRule="auto"/>
        <w:ind w:firstLine="567"/>
        <w:jc w:val="both"/>
        <w:rPr>
          <w:rFonts w:ascii="Times New Roman" w:hAnsi="Times New Roman" w:cs="Times New Roman"/>
        </w:rPr>
      </w:pPr>
      <w:r>
        <w:rPr>
          <w:rFonts w:ascii="Times New Roman" w:eastAsia="NSimSun" w:hAnsi="Times New Roman" w:cs="Times New Roman"/>
          <w:b/>
          <w:bCs/>
          <w:color w:val="000000"/>
          <w:kern w:val="2"/>
          <w:sz w:val="24"/>
          <w:szCs w:val="24"/>
          <w:shd w:val="clear" w:color="auto" w:fill="FFFFFF"/>
          <w:lang w:eastAsia="zh-CN" w:bidi="hi-IN"/>
        </w:rPr>
        <w:lastRenderedPageBreak/>
        <w:t>3.2.5. Транспорт та дорожня інфраструктура</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Основна частина перевезень вантажів і пасажирів у м. Луцьку здійснюється електротранспортом (тролейбуси), автобусним транспортом, легковим автомобільним транспортом, вантажним автомобільним транспортом та залізничним транспортом.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 xml:space="preserve">Транспортне сполучення організоване таким чином, щоб у пасажирів була можливість дістатися у будь-яке місто України та міста ближнього зарубіжжя.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Перевезення пасажирів у м. Луцьку здійснюють юридичні особи та фізичні особи-підприємці.</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 xml:space="preserve">Загальна протяжність автомобільних доріг з асфальтованим покриттям у м. Луцьку складає 308,4 км.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Враховуючи специфіку транспорту громади, його облік та право власності, а також обсяги споживання пального, виділимо три основні сектори: муніципальний транспорт, громадський транспорт та приватний транспорт.</w:t>
      </w:r>
    </w:p>
    <w:p w:rsidR="00D227E2" w:rsidRDefault="00D227E2">
      <w:pPr>
        <w:spacing w:after="0" w:line="240" w:lineRule="auto"/>
        <w:ind w:left="239"/>
        <w:jc w:val="both"/>
        <w:outlineLvl w:val="3"/>
        <w:rPr>
          <w:rFonts w:ascii="Times New Roman" w:eastAsia="Arial" w:hAnsi="Times New Roman" w:cs="Times New Roman"/>
          <w:b/>
          <w:bCs/>
          <w:kern w:val="2"/>
          <w:sz w:val="24"/>
          <w:szCs w:val="24"/>
          <w:shd w:val="clear" w:color="auto" w:fill="FFFFFF"/>
        </w:rPr>
      </w:pPr>
    </w:p>
    <w:p w:rsidR="00D227E2" w:rsidRDefault="00934FC4">
      <w:pPr>
        <w:spacing w:after="0" w:line="240" w:lineRule="auto"/>
        <w:ind w:firstLine="567"/>
        <w:jc w:val="both"/>
        <w:rPr>
          <w:rFonts w:ascii="Times New Roman" w:hAnsi="Times New Roman" w:cs="Times New Roman"/>
        </w:rPr>
      </w:pPr>
      <w:r>
        <w:rPr>
          <w:rFonts w:ascii="Times New Roman" w:eastAsia="NSimSun" w:hAnsi="Times New Roman" w:cs="Times New Roman"/>
          <w:b/>
          <w:bCs/>
          <w:color w:val="000000"/>
          <w:kern w:val="2"/>
          <w:sz w:val="24"/>
          <w:szCs w:val="24"/>
          <w:shd w:val="clear" w:color="auto" w:fill="FFFFFF"/>
          <w:lang w:eastAsia="zh-CN" w:bidi="hi-IN"/>
        </w:rPr>
        <w:t>3.2.5.1. Муніципальний транспорт</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shd w:val="clear" w:color="auto" w:fill="FFFFFF"/>
          <w:lang w:eastAsia="zh-CN" w:bidi="hi-IN"/>
        </w:rPr>
        <w:t>У Луцькій МТГ загальна кількість муніципальних транспортних засобів станом на 01.01.2023 складає</w:t>
      </w:r>
      <w:r>
        <w:rPr>
          <w:rFonts w:ascii="Times New Roman" w:eastAsia="NSimSun" w:hAnsi="Times New Roman" w:cs="Times New Roman"/>
          <w:color w:val="000000"/>
          <w:kern w:val="2"/>
          <w:sz w:val="24"/>
          <w:szCs w:val="24"/>
          <w:shd w:val="clear" w:color="auto" w:fill="FFFFFF"/>
          <w:lang w:eastAsia="zh-CN" w:bidi="hi-IN"/>
        </w:rPr>
        <w:t xml:space="preserve"> 422 одиниці. Середній вік випуску автотранспортних засобів у м. Луцьку – 1999 рік. </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kern w:val="2"/>
          <w:sz w:val="24"/>
          <w:szCs w:val="24"/>
          <w:lang w:eastAsia="zh-CN" w:bidi="hi-IN"/>
        </w:rPr>
        <w:t>У таблиці 51 маємо кількість автотранспорту в розрізі муніципальних установ, організацій і підприємств Луцька станом на 01.01.2023.</w:t>
      </w:r>
    </w:p>
    <w:p w:rsidR="00D227E2" w:rsidRDefault="00934FC4">
      <w:pPr>
        <w:spacing w:after="0"/>
        <w:ind w:firstLine="510"/>
        <w:jc w:val="center"/>
        <w:rPr>
          <w:rFonts w:ascii="Times New Roman" w:hAnsi="Times New Roman" w:cs="Times New Roman"/>
        </w:rPr>
      </w:pPr>
      <w:r>
        <w:rPr>
          <w:rFonts w:ascii="Times New Roman" w:eastAsia="NSimSun" w:hAnsi="Times New Roman" w:cs="Times New Roman"/>
          <w:kern w:val="2"/>
          <w:sz w:val="24"/>
          <w:szCs w:val="24"/>
          <w:lang w:eastAsia="zh-CN" w:bidi="hi-IN"/>
        </w:rPr>
        <w:t xml:space="preserve">Таблиця 51. Кількість та середній рік випуску автотранспорту у розрізі муніципальних установ, організацій і підприємств </w:t>
      </w:r>
    </w:p>
    <w:tbl>
      <w:tblPr>
        <w:tblW w:w="9658" w:type="dxa"/>
        <w:tblLayout w:type="fixed"/>
        <w:tblCellMar>
          <w:left w:w="10" w:type="dxa"/>
          <w:right w:w="10" w:type="dxa"/>
        </w:tblCellMar>
        <w:tblLook w:val="01E0" w:firstRow="1" w:lastRow="1" w:firstColumn="1" w:lastColumn="1" w:noHBand="0" w:noVBand="0"/>
      </w:tblPr>
      <w:tblGrid>
        <w:gridCol w:w="3305"/>
        <w:gridCol w:w="790"/>
        <w:gridCol w:w="793"/>
        <w:gridCol w:w="795"/>
        <w:gridCol w:w="795"/>
        <w:gridCol w:w="808"/>
        <w:gridCol w:w="791"/>
        <w:gridCol w:w="791"/>
        <w:gridCol w:w="790"/>
      </w:tblGrid>
      <w:tr w:rsidR="00D227E2" w:rsidRPr="00934FC4">
        <w:tc>
          <w:tcPr>
            <w:tcW w:w="3304" w:type="dxa"/>
            <w:vMerge w:val="restart"/>
            <w:tcBorders>
              <w:top w:val="single" w:sz="4" w:space="0" w:color="000000"/>
              <w:left w:val="single" w:sz="4" w:space="0" w:color="000000"/>
              <w:bottom w:val="single" w:sz="4" w:space="0" w:color="000000"/>
              <w:right w:val="single" w:sz="4" w:space="0" w:color="000000"/>
            </w:tcBorders>
            <w:vAlign w:val="center"/>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Муніципальні установи і підприємства</w:t>
            </w:r>
          </w:p>
        </w:tc>
        <w:tc>
          <w:tcPr>
            <w:tcW w:w="1583" w:type="dxa"/>
            <w:gridSpan w:val="2"/>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Легкові автомобілі</w:t>
            </w:r>
          </w:p>
        </w:tc>
        <w:tc>
          <w:tcPr>
            <w:tcW w:w="1590" w:type="dxa"/>
            <w:gridSpan w:val="2"/>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Вантажний автотранспорт</w:t>
            </w:r>
          </w:p>
        </w:tc>
        <w:tc>
          <w:tcPr>
            <w:tcW w:w="1599" w:type="dxa"/>
            <w:gridSpan w:val="2"/>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Автобуси</w:t>
            </w:r>
          </w:p>
        </w:tc>
        <w:tc>
          <w:tcPr>
            <w:tcW w:w="1581" w:type="dxa"/>
            <w:gridSpan w:val="2"/>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Спец</w:t>
            </w:r>
          </w:p>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транспорт</w:t>
            </w:r>
          </w:p>
        </w:tc>
      </w:tr>
      <w:tr w:rsidR="00D227E2" w:rsidRPr="00934FC4">
        <w:tc>
          <w:tcPr>
            <w:tcW w:w="3304" w:type="dxa"/>
            <w:vMerge/>
            <w:tcBorders>
              <w:top w:val="single" w:sz="4" w:space="0" w:color="000000"/>
              <w:left w:val="single" w:sz="4" w:space="0" w:color="000000"/>
              <w:bottom w:val="single" w:sz="4" w:space="0" w:color="000000"/>
              <w:right w:val="single" w:sz="4" w:space="0" w:color="000000"/>
            </w:tcBorders>
          </w:tcPr>
          <w:p w:rsidR="00D227E2" w:rsidRPr="00934FC4" w:rsidRDefault="00D227E2">
            <w:pPr>
              <w:widowControl w:val="0"/>
              <w:spacing w:after="0" w:line="240" w:lineRule="auto"/>
              <w:jc w:val="center"/>
              <w:rPr>
                <w:rFonts w:ascii="Times New Roman" w:eastAsia="NSimSun" w:hAnsi="Times New Roman" w:cs="Times New Roman"/>
                <w:kern w:val="2"/>
                <w:sz w:val="20"/>
                <w:szCs w:val="20"/>
                <w:lang w:eastAsia="zh-CN" w:bidi="hi-IN"/>
              </w:rPr>
            </w:pP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К-ть од.</w:t>
            </w:r>
          </w:p>
        </w:tc>
        <w:tc>
          <w:tcPr>
            <w:tcW w:w="793"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Сер. р.в.</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К-ть од.</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Сер. р.в.</w:t>
            </w:r>
          </w:p>
        </w:tc>
        <w:tc>
          <w:tcPr>
            <w:tcW w:w="808"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К-ть од.</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Сер. р.в.</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К-ть од.</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Сер. р.в.</w:t>
            </w:r>
          </w:p>
        </w:tc>
      </w:tr>
      <w:tr w:rsidR="00D227E2" w:rsidRPr="00934FC4">
        <w:trPr>
          <w:trHeight w:val="299"/>
        </w:trPr>
        <w:tc>
          <w:tcPr>
            <w:tcW w:w="3304"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Департамент молоді та спорту</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w:t>
            </w:r>
          </w:p>
        </w:tc>
        <w:tc>
          <w:tcPr>
            <w:tcW w:w="793"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1992</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1996</w:t>
            </w:r>
          </w:p>
        </w:tc>
        <w:tc>
          <w:tcPr>
            <w:tcW w:w="808"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r>
      <w:tr w:rsidR="00D227E2" w:rsidRPr="00934FC4">
        <w:trPr>
          <w:trHeight w:val="299"/>
        </w:trPr>
        <w:tc>
          <w:tcPr>
            <w:tcW w:w="3304"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Господарсько-технічний відділ</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16</w:t>
            </w:r>
          </w:p>
        </w:tc>
        <w:tc>
          <w:tcPr>
            <w:tcW w:w="793"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2008</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2007</w:t>
            </w:r>
          </w:p>
        </w:tc>
        <w:tc>
          <w:tcPr>
            <w:tcW w:w="808"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r>
      <w:tr w:rsidR="00D227E2" w:rsidRPr="00934FC4">
        <w:trPr>
          <w:trHeight w:val="299"/>
        </w:trPr>
        <w:tc>
          <w:tcPr>
            <w:tcW w:w="3304"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Департамент культури</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w:t>
            </w:r>
          </w:p>
        </w:tc>
        <w:tc>
          <w:tcPr>
            <w:tcW w:w="793"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2003</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1977</w:t>
            </w:r>
          </w:p>
        </w:tc>
        <w:tc>
          <w:tcPr>
            <w:tcW w:w="808"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2000</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r>
      <w:tr w:rsidR="00D227E2" w:rsidRPr="00934FC4">
        <w:trPr>
          <w:trHeight w:val="299"/>
        </w:trPr>
        <w:tc>
          <w:tcPr>
            <w:tcW w:w="3304"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Департамент освіти</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10</w:t>
            </w:r>
          </w:p>
        </w:tc>
        <w:tc>
          <w:tcPr>
            <w:tcW w:w="793"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2003</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1995</w:t>
            </w:r>
          </w:p>
        </w:tc>
        <w:tc>
          <w:tcPr>
            <w:tcW w:w="808"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13</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2012</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5</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1986</w:t>
            </w:r>
          </w:p>
        </w:tc>
      </w:tr>
      <w:tr w:rsidR="00D227E2" w:rsidRPr="00934FC4">
        <w:trPr>
          <w:trHeight w:val="277"/>
        </w:trPr>
        <w:tc>
          <w:tcPr>
            <w:tcW w:w="3304"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Департамент соціальної політики</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w:t>
            </w:r>
          </w:p>
        </w:tc>
        <w:tc>
          <w:tcPr>
            <w:tcW w:w="793"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1994</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2000</w:t>
            </w:r>
          </w:p>
        </w:tc>
        <w:tc>
          <w:tcPr>
            <w:tcW w:w="808"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r>
      <w:tr w:rsidR="00D227E2" w:rsidRPr="00934FC4">
        <w:trPr>
          <w:trHeight w:val="330"/>
        </w:trPr>
        <w:tc>
          <w:tcPr>
            <w:tcW w:w="3304"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ЖКП-2</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w:t>
            </w:r>
          </w:p>
        </w:tc>
        <w:tc>
          <w:tcPr>
            <w:tcW w:w="793"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2006</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1991</w:t>
            </w:r>
          </w:p>
        </w:tc>
        <w:tc>
          <w:tcPr>
            <w:tcW w:w="808"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1992</w:t>
            </w:r>
          </w:p>
        </w:tc>
      </w:tr>
      <w:tr w:rsidR="00D227E2" w:rsidRPr="00934FC4">
        <w:trPr>
          <w:trHeight w:val="338"/>
        </w:trPr>
        <w:tc>
          <w:tcPr>
            <w:tcW w:w="3304"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ЖКП-7</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w:t>
            </w:r>
          </w:p>
        </w:tc>
        <w:tc>
          <w:tcPr>
            <w:tcW w:w="793"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2010</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3</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1990</w:t>
            </w:r>
          </w:p>
        </w:tc>
        <w:tc>
          <w:tcPr>
            <w:tcW w:w="808"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r>
      <w:tr w:rsidR="00D227E2" w:rsidRPr="00934FC4">
        <w:trPr>
          <w:trHeight w:val="340"/>
        </w:trPr>
        <w:tc>
          <w:tcPr>
            <w:tcW w:w="3304"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ЖКП-3</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w:t>
            </w:r>
          </w:p>
        </w:tc>
        <w:tc>
          <w:tcPr>
            <w:tcW w:w="793"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1998</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3</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1988</w:t>
            </w:r>
          </w:p>
        </w:tc>
        <w:tc>
          <w:tcPr>
            <w:tcW w:w="808"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7</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1989</w:t>
            </w:r>
          </w:p>
        </w:tc>
      </w:tr>
      <w:tr w:rsidR="00D227E2" w:rsidRPr="00934FC4">
        <w:trPr>
          <w:trHeight w:val="252"/>
        </w:trPr>
        <w:tc>
          <w:tcPr>
            <w:tcW w:w="3304"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КП «ЛПЕ»</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w:t>
            </w:r>
          </w:p>
        </w:tc>
        <w:tc>
          <w:tcPr>
            <w:tcW w:w="793"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2005</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4</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1988</w:t>
            </w:r>
          </w:p>
        </w:tc>
        <w:tc>
          <w:tcPr>
            <w:tcW w:w="808"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5</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2007</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9</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1989</w:t>
            </w:r>
          </w:p>
        </w:tc>
      </w:tr>
      <w:tr w:rsidR="00D227E2" w:rsidRPr="00934FC4">
        <w:trPr>
          <w:trHeight w:val="319"/>
        </w:trPr>
        <w:tc>
          <w:tcPr>
            <w:tcW w:w="3304"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ЛСКАП «Луцькспецкомунтранс»</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10</w:t>
            </w:r>
          </w:p>
        </w:tc>
        <w:tc>
          <w:tcPr>
            <w:tcW w:w="793"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2007</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17</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1998</w:t>
            </w:r>
          </w:p>
        </w:tc>
        <w:tc>
          <w:tcPr>
            <w:tcW w:w="808"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4</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2000</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72</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2002</w:t>
            </w:r>
          </w:p>
        </w:tc>
      </w:tr>
      <w:tr w:rsidR="00D227E2" w:rsidRPr="00934FC4">
        <w:trPr>
          <w:trHeight w:val="510"/>
        </w:trPr>
        <w:tc>
          <w:tcPr>
            <w:tcW w:w="3304"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КП «Луцький спеціалізований комбінат КПО»</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3"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2006</w:t>
            </w:r>
          </w:p>
        </w:tc>
        <w:tc>
          <w:tcPr>
            <w:tcW w:w="808"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5</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2003</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6</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2005</w:t>
            </w:r>
          </w:p>
        </w:tc>
      </w:tr>
      <w:tr w:rsidR="00D227E2" w:rsidRPr="00934FC4">
        <w:trPr>
          <w:trHeight w:val="333"/>
        </w:trPr>
        <w:tc>
          <w:tcPr>
            <w:tcW w:w="3304"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КП «ЛПЕ-Луцьксвітло»</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w:t>
            </w:r>
          </w:p>
        </w:tc>
        <w:tc>
          <w:tcPr>
            <w:tcW w:w="793"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2004</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1989</w:t>
            </w:r>
          </w:p>
        </w:tc>
        <w:tc>
          <w:tcPr>
            <w:tcW w:w="808"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8</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1992</w:t>
            </w:r>
          </w:p>
        </w:tc>
      </w:tr>
      <w:tr w:rsidR="00D227E2" w:rsidRPr="00934FC4">
        <w:trPr>
          <w:trHeight w:val="299"/>
        </w:trPr>
        <w:tc>
          <w:tcPr>
            <w:tcW w:w="3304"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КП «МОЛМТГ»</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24</w:t>
            </w:r>
          </w:p>
        </w:tc>
        <w:tc>
          <w:tcPr>
            <w:tcW w:w="793"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2013</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2008</w:t>
            </w:r>
          </w:p>
        </w:tc>
        <w:tc>
          <w:tcPr>
            <w:tcW w:w="808"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6</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2012</w:t>
            </w:r>
          </w:p>
        </w:tc>
      </w:tr>
      <w:tr w:rsidR="00D227E2" w:rsidRPr="00934FC4">
        <w:trPr>
          <w:trHeight w:val="299"/>
        </w:trPr>
        <w:tc>
          <w:tcPr>
            <w:tcW w:w="3304"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КП «Парки та сквери м. Луцька»</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w:t>
            </w:r>
          </w:p>
        </w:tc>
        <w:tc>
          <w:tcPr>
            <w:tcW w:w="793"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2008</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6</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1990</w:t>
            </w:r>
          </w:p>
        </w:tc>
        <w:tc>
          <w:tcPr>
            <w:tcW w:w="808"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1993</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7</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1999</w:t>
            </w:r>
          </w:p>
        </w:tc>
      </w:tr>
      <w:tr w:rsidR="00D227E2" w:rsidRPr="00934FC4">
        <w:trPr>
          <w:trHeight w:val="299"/>
        </w:trPr>
        <w:tc>
          <w:tcPr>
            <w:tcW w:w="3304"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КП «Ласка»</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w:t>
            </w:r>
          </w:p>
        </w:tc>
        <w:tc>
          <w:tcPr>
            <w:tcW w:w="793"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2005</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808"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r>
      <w:tr w:rsidR="00D227E2" w:rsidRPr="00934FC4">
        <w:trPr>
          <w:trHeight w:val="299"/>
        </w:trPr>
        <w:tc>
          <w:tcPr>
            <w:tcW w:w="3304"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КП «Луцький зоопарк»</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3"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2006</w:t>
            </w:r>
          </w:p>
        </w:tc>
        <w:tc>
          <w:tcPr>
            <w:tcW w:w="808"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r>
      <w:tr w:rsidR="00D227E2" w:rsidRPr="00934FC4">
        <w:trPr>
          <w:trHeight w:val="299"/>
        </w:trPr>
        <w:tc>
          <w:tcPr>
            <w:tcW w:w="3304"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ЛКШСХ</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w:t>
            </w:r>
          </w:p>
        </w:tc>
        <w:tc>
          <w:tcPr>
            <w:tcW w:w="793"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2015</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3</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2012</w:t>
            </w:r>
          </w:p>
        </w:tc>
        <w:tc>
          <w:tcPr>
            <w:tcW w:w="808"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r>
      <w:tr w:rsidR="00D227E2" w:rsidRPr="00934FC4">
        <w:trPr>
          <w:trHeight w:val="299"/>
        </w:trPr>
        <w:tc>
          <w:tcPr>
            <w:tcW w:w="3304"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КП «Луцькреклама»</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w:t>
            </w:r>
          </w:p>
        </w:tc>
        <w:tc>
          <w:tcPr>
            <w:tcW w:w="793"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1999</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808"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r>
      <w:tr w:rsidR="00D227E2" w:rsidRPr="00934FC4">
        <w:trPr>
          <w:trHeight w:val="299"/>
        </w:trPr>
        <w:tc>
          <w:tcPr>
            <w:tcW w:w="3304"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Управління охорони здоров’я</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43</w:t>
            </w:r>
          </w:p>
        </w:tc>
        <w:tc>
          <w:tcPr>
            <w:tcW w:w="793"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2001</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4</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2005</w:t>
            </w:r>
          </w:p>
        </w:tc>
        <w:tc>
          <w:tcPr>
            <w:tcW w:w="808"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5</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2012</w:t>
            </w:r>
          </w:p>
        </w:tc>
      </w:tr>
      <w:tr w:rsidR="00D227E2" w:rsidRPr="00934FC4">
        <w:trPr>
          <w:trHeight w:val="299"/>
        </w:trPr>
        <w:tc>
          <w:tcPr>
            <w:tcW w:w="3304"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КП «Луцькводоканал»</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10</w:t>
            </w:r>
          </w:p>
        </w:tc>
        <w:tc>
          <w:tcPr>
            <w:tcW w:w="793"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2003</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12</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2005</w:t>
            </w:r>
          </w:p>
        </w:tc>
        <w:tc>
          <w:tcPr>
            <w:tcW w:w="808"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2001</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24</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kern w:val="2"/>
                <w:sz w:val="20"/>
                <w:szCs w:val="20"/>
              </w:rPr>
              <w:t>1992</w:t>
            </w:r>
          </w:p>
        </w:tc>
      </w:tr>
      <w:tr w:rsidR="00D227E2" w:rsidRPr="00934FC4">
        <w:trPr>
          <w:trHeight w:val="299"/>
        </w:trPr>
        <w:tc>
          <w:tcPr>
            <w:tcW w:w="3304"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rPr>
                <w:rFonts w:ascii="Times New Roman" w:hAnsi="Times New Roman" w:cs="Times New Roman"/>
                <w:sz w:val="20"/>
                <w:szCs w:val="20"/>
              </w:rPr>
            </w:pPr>
            <w:r w:rsidRPr="00934FC4">
              <w:rPr>
                <w:rFonts w:ascii="Times New Roman" w:eastAsia="Microsoft Sans Serif" w:hAnsi="Times New Roman" w:cs="Times New Roman"/>
                <w:color w:val="000000"/>
                <w:kern w:val="2"/>
                <w:sz w:val="20"/>
                <w:szCs w:val="20"/>
                <w:shd w:val="clear" w:color="auto" w:fill="FFFFFF"/>
              </w:rPr>
              <w:lastRenderedPageBreak/>
              <w:t>КП «Луцьктепло»</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color w:val="000000"/>
                <w:kern w:val="2"/>
                <w:sz w:val="20"/>
                <w:szCs w:val="20"/>
                <w:shd w:val="clear" w:color="auto" w:fill="FFFFFF"/>
              </w:rPr>
              <w:t>4</w:t>
            </w:r>
          </w:p>
        </w:tc>
        <w:tc>
          <w:tcPr>
            <w:tcW w:w="793"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color w:val="000000"/>
                <w:kern w:val="2"/>
                <w:sz w:val="20"/>
                <w:szCs w:val="20"/>
                <w:shd w:val="clear" w:color="auto" w:fill="FFFFFF"/>
              </w:rPr>
              <w:t>2001</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color w:val="000000"/>
                <w:kern w:val="2"/>
                <w:sz w:val="20"/>
                <w:szCs w:val="20"/>
                <w:shd w:val="clear" w:color="auto" w:fill="FFFFFF"/>
              </w:rPr>
              <w:t>22</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color w:val="000000"/>
                <w:kern w:val="2"/>
                <w:sz w:val="20"/>
                <w:szCs w:val="20"/>
                <w:shd w:val="clear" w:color="auto" w:fill="FFFFFF"/>
              </w:rPr>
              <w:t>1995</w:t>
            </w:r>
          </w:p>
        </w:tc>
        <w:tc>
          <w:tcPr>
            <w:tcW w:w="808"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color w:val="000000"/>
                <w:kern w:val="2"/>
                <w:sz w:val="20"/>
                <w:szCs w:val="20"/>
                <w:shd w:val="clear" w:color="auto" w:fill="FFFFFF"/>
              </w:rPr>
              <w:t>1</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color w:val="000000"/>
                <w:kern w:val="2"/>
                <w:sz w:val="20"/>
                <w:szCs w:val="20"/>
                <w:shd w:val="clear" w:color="auto" w:fill="FFFFFF"/>
              </w:rPr>
              <w:t>2001</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color w:val="000000"/>
                <w:kern w:val="2"/>
                <w:sz w:val="20"/>
                <w:szCs w:val="20"/>
                <w:shd w:val="clear" w:color="auto" w:fill="FFFFFF"/>
              </w:rPr>
              <w:t>18</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color w:val="000000"/>
                <w:kern w:val="2"/>
                <w:sz w:val="20"/>
                <w:szCs w:val="20"/>
                <w:shd w:val="clear" w:color="auto" w:fill="FFFFFF"/>
              </w:rPr>
              <w:t>1998</w:t>
            </w:r>
          </w:p>
        </w:tc>
      </w:tr>
      <w:tr w:rsidR="00D227E2" w:rsidRPr="00934FC4">
        <w:trPr>
          <w:trHeight w:val="316"/>
        </w:trPr>
        <w:tc>
          <w:tcPr>
            <w:tcW w:w="3304"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rPr>
                <w:rFonts w:ascii="Times New Roman" w:hAnsi="Times New Roman" w:cs="Times New Roman"/>
                <w:sz w:val="20"/>
                <w:szCs w:val="20"/>
              </w:rPr>
            </w:pPr>
            <w:r w:rsidRPr="00934FC4">
              <w:rPr>
                <w:rFonts w:ascii="Times New Roman" w:eastAsia="Microsoft Sans Serif" w:hAnsi="Times New Roman" w:cs="Times New Roman"/>
                <w:color w:val="000000"/>
                <w:kern w:val="2"/>
                <w:sz w:val="20"/>
                <w:szCs w:val="20"/>
                <w:shd w:val="clear" w:color="auto" w:fill="FFFFFF"/>
              </w:rPr>
              <w:t>Всього</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color w:val="000000"/>
                <w:kern w:val="2"/>
                <w:sz w:val="20"/>
                <w:szCs w:val="20"/>
                <w:shd w:val="clear" w:color="auto" w:fill="FFFFFF"/>
              </w:rPr>
              <w:t>132</w:t>
            </w:r>
          </w:p>
        </w:tc>
        <w:tc>
          <w:tcPr>
            <w:tcW w:w="793"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color w:val="000000"/>
                <w:kern w:val="2"/>
                <w:sz w:val="20"/>
                <w:szCs w:val="20"/>
                <w:shd w:val="clear" w:color="auto" w:fill="FFFFFF"/>
              </w:rPr>
              <w:t>2003</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color w:val="000000"/>
                <w:kern w:val="2"/>
                <w:sz w:val="20"/>
                <w:szCs w:val="20"/>
                <w:shd w:val="clear" w:color="auto" w:fill="FFFFFF"/>
              </w:rPr>
              <w:t>89</w:t>
            </w:r>
          </w:p>
        </w:tc>
        <w:tc>
          <w:tcPr>
            <w:tcW w:w="795"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color w:val="000000"/>
                <w:kern w:val="2"/>
                <w:sz w:val="20"/>
                <w:szCs w:val="20"/>
                <w:shd w:val="clear" w:color="auto" w:fill="FFFFFF"/>
              </w:rPr>
              <w:t>1997</w:t>
            </w:r>
          </w:p>
        </w:tc>
        <w:tc>
          <w:tcPr>
            <w:tcW w:w="808"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color w:val="000000"/>
                <w:kern w:val="2"/>
                <w:sz w:val="20"/>
                <w:szCs w:val="20"/>
                <w:shd w:val="clear" w:color="auto" w:fill="FFFFFF"/>
              </w:rPr>
              <w:t>32</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color w:val="000000"/>
                <w:kern w:val="2"/>
                <w:sz w:val="20"/>
                <w:szCs w:val="20"/>
                <w:shd w:val="clear" w:color="auto" w:fill="FFFFFF"/>
              </w:rPr>
              <w:t>2002</w:t>
            </w:r>
          </w:p>
        </w:tc>
        <w:tc>
          <w:tcPr>
            <w:tcW w:w="791"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color w:val="000000"/>
                <w:kern w:val="2"/>
                <w:sz w:val="20"/>
                <w:szCs w:val="20"/>
                <w:shd w:val="clear" w:color="auto" w:fill="FFFFFF"/>
              </w:rPr>
              <w:t>169</w:t>
            </w:r>
          </w:p>
        </w:tc>
        <w:tc>
          <w:tcPr>
            <w:tcW w:w="790"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color w:val="000000"/>
                <w:kern w:val="2"/>
                <w:sz w:val="20"/>
                <w:szCs w:val="20"/>
                <w:shd w:val="clear" w:color="auto" w:fill="FFFFFF"/>
              </w:rPr>
              <w:t>1997</w:t>
            </w:r>
          </w:p>
        </w:tc>
      </w:tr>
      <w:tr w:rsidR="00D227E2" w:rsidRPr="00934FC4">
        <w:trPr>
          <w:trHeight w:val="313"/>
        </w:trPr>
        <w:tc>
          <w:tcPr>
            <w:tcW w:w="3304"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rPr>
                <w:rFonts w:ascii="Times New Roman" w:hAnsi="Times New Roman" w:cs="Times New Roman"/>
                <w:sz w:val="20"/>
                <w:szCs w:val="20"/>
              </w:rPr>
            </w:pPr>
            <w:r w:rsidRPr="00934FC4">
              <w:rPr>
                <w:rFonts w:ascii="Times New Roman" w:eastAsia="Microsoft Sans Serif" w:hAnsi="Times New Roman" w:cs="Times New Roman"/>
                <w:color w:val="000000"/>
                <w:kern w:val="2"/>
                <w:sz w:val="20"/>
                <w:szCs w:val="20"/>
                <w:shd w:val="clear" w:color="auto" w:fill="FFFFFF"/>
              </w:rPr>
              <w:t>Загальна кількість машин</w:t>
            </w:r>
          </w:p>
        </w:tc>
        <w:tc>
          <w:tcPr>
            <w:tcW w:w="6353" w:type="dxa"/>
            <w:gridSpan w:val="8"/>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color w:val="000000"/>
                <w:kern w:val="2"/>
                <w:sz w:val="20"/>
                <w:szCs w:val="20"/>
                <w:shd w:val="clear" w:color="auto" w:fill="FFFFFF"/>
              </w:rPr>
              <w:t>422</w:t>
            </w:r>
          </w:p>
        </w:tc>
      </w:tr>
      <w:tr w:rsidR="00D227E2" w:rsidRPr="00934FC4">
        <w:trPr>
          <w:trHeight w:val="315"/>
        </w:trPr>
        <w:tc>
          <w:tcPr>
            <w:tcW w:w="3304" w:type="dxa"/>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rPr>
                <w:rFonts w:ascii="Times New Roman" w:hAnsi="Times New Roman" w:cs="Times New Roman"/>
                <w:sz w:val="20"/>
                <w:szCs w:val="20"/>
              </w:rPr>
            </w:pPr>
            <w:r w:rsidRPr="00934FC4">
              <w:rPr>
                <w:rFonts w:ascii="Times New Roman" w:eastAsia="Microsoft Sans Serif" w:hAnsi="Times New Roman" w:cs="Times New Roman"/>
                <w:color w:val="000000"/>
                <w:kern w:val="2"/>
                <w:sz w:val="20"/>
                <w:szCs w:val="20"/>
                <w:shd w:val="clear" w:color="auto" w:fill="FFFFFF"/>
              </w:rPr>
              <w:t>Середній рік випуску</w:t>
            </w:r>
          </w:p>
        </w:tc>
        <w:tc>
          <w:tcPr>
            <w:tcW w:w="6353" w:type="dxa"/>
            <w:gridSpan w:val="8"/>
            <w:tcBorders>
              <w:top w:val="single" w:sz="4" w:space="0" w:color="000000"/>
              <w:left w:val="single" w:sz="4" w:space="0" w:color="000000"/>
              <w:bottom w:val="single" w:sz="4" w:space="0" w:color="000000"/>
              <w:right w:val="single" w:sz="4" w:space="0" w:color="000000"/>
            </w:tcBorders>
          </w:tcPr>
          <w:p w:rsidR="00D227E2" w:rsidRPr="00934FC4" w:rsidRDefault="00934FC4">
            <w:pPr>
              <w:widowControl w:val="0"/>
              <w:spacing w:after="0" w:line="240" w:lineRule="auto"/>
              <w:jc w:val="center"/>
              <w:rPr>
                <w:rFonts w:ascii="Times New Roman" w:hAnsi="Times New Roman" w:cs="Times New Roman"/>
                <w:sz w:val="20"/>
                <w:szCs w:val="20"/>
              </w:rPr>
            </w:pPr>
            <w:r w:rsidRPr="00934FC4">
              <w:rPr>
                <w:rFonts w:ascii="Times New Roman" w:eastAsia="Microsoft Sans Serif" w:hAnsi="Times New Roman" w:cs="Times New Roman"/>
                <w:color w:val="000000"/>
                <w:kern w:val="2"/>
                <w:sz w:val="20"/>
                <w:szCs w:val="20"/>
                <w:shd w:val="clear" w:color="auto" w:fill="FFFFFF"/>
              </w:rPr>
              <w:t>1999</w:t>
            </w:r>
          </w:p>
        </w:tc>
      </w:tr>
    </w:tbl>
    <w:p w:rsidR="00D227E2" w:rsidRDefault="00934FC4">
      <w:pPr>
        <w:spacing w:after="0"/>
        <w:ind w:firstLine="510"/>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З таблиці 51 можна зробити висновок, що муніципальні установи, організації і підприємства потребують оновлення парку транспортних засобів.</w:t>
      </w:r>
    </w:p>
    <w:p w:rsidR="00D227E2" w:rsidRDefault="00934FC4">
      <w:pPr>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Таблиця 52. Показники споживання палива муніципальним транспортом у 2022 році</w:t>
      </w:r>
    </w:p>
    <w:tbl>
      <w:tblPr>
        <w:tblW w:w="9644" w:type="dxa"/>
        <w:tblInd w:w="41" w:type="dxa"/>
        <w:tblLayout w:type="fixed"/>
        <w:tblCellMar>
          <w:left w:w="5" w:type="dxa"/>
          <w:right w:w="5" w:type="dxa"/>
        </w:tblCellMar>
        <w:tblLook w:val="01E0" w:firstRow="1" w:lastRow="1" w:firstColumn="1" w:lastColumn="1" w:noHBand="0" w:noVBand="0"/>
      </w:tblPr>
      <w:tblGrid>
        <w:gridCol w:w="3846"/>
        <w:gridCol w:w="1460"/>
        <w:gridCol w:w="1439"/>
        <w:gridCol w:w="1453"/>
        <w:gridCol w:w="1446"/>
      </w:tblGrid>
      <w:tr w:rsidR="00D227E2">
        <w:trPr>
          <w:trHeight w:val="510"/>
        </w:trPr>
        <w:tc>
          <w:tcPr>
            <w:tcW w:w="3846" w:type="dxa"/>
            <w:vMerge w:val="restart"/>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Муніципальні установи і підприємства</w:t>
            </w:r>
          </w:p>
        </w:tc>
        <w:tc>
          <w:tcPr>
            <w:tcW w:w="14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Бензин</w:t>
            </w:r>
          </w:p>
        </w:tc>
        <w:tc>
          <w:tcPr>
            <w:tcW w:w="143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Дизельне</w:t>
            </w:r>
          </w:p>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паливо</w:t>
            </w:r>
          </w:p>
        </w:tc>
        <w:tc>
          <w:tcPr>
            <w:tcW w:w="1453" w:type="dxa"/>
            <w:tcBorders>
              <w:top w:val="single" w:sz="4" w:space="0" w:color="000000"/>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Скраплений газ</w:t>
            </w:r>
          </w:p>
        </w:tc>
        <w:tc>
          <w:tcPr>
            <w:tcW w:w="14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Стиснений газ</w:t>
            </w:r>
          </w:p>
        </w:tc>
      </w:tr>
      <w:tr w:rsidR="00D227E2">
        <w:trPr>
          <w:trHeight w:val="299"/>
        </w:trPr>
        <w:tc>
          <w:tcPr>
            <w:tcW w:w="3846"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ind w:firstLine="510"/>
              <w:jc w:val="both"/>
              <w:rPr>
                <w:rFonts w:ascii="Times New Roman" w:eastAsia="Microsoft Sans Serif" w:hAnsi="Times New Roman" w:cs="Times New Roman"/>
                <w:kern w:val="2"/>
              </w:rPr>
            </w:pPr>
          </w:p>
        </w:tc>
        <w:tc>
          <w:tcPr>
            <w:tcW w:w="14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л</w:t>
            </w:r>
          </w:p>
        </w:tc>
        <w:tc>
          <w:tcPr>
            <w:tcW w:w="143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л</w:t>
            </w:r>
          </w:p>
        </w:tc>
        <w:tc>
          <w:tcPr>
            <w:tcW w:w="1453" w:type="dxa"/>
            <w:tcBorders>
              <w:top w:val="single" w:sz="4" w:space="0" w:color="000000"/>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л</w:t>
            </w:r>
          </w:p>
        </w:tc>
        <w:tc>
          <w:tcPr>
            <w:tcW w:w="14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м3</w:t>
            </w:r>
          </w:p>
        </w:tc>
      </w:tr>
      <w:tr w:rsidR="00D227E2">
        <w:trPr>
          <w:trHeight w:val="299"/>
        </w:trPr>
        <w:tc>
          <w:tcPr>
            <w:tcW w:w="38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Департамент молоді та спорту</w:t>
            </w:r>
          </w:p>
        </w:tc>
        <w:tc>
          <w:tcPr>
            <w:tcW w:w="14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94</w:t>
            </w:r>
          </w:p>
        </w:tc>
        <w:tc>
          <w:tcPr>
            <w:tcW w:w="1439" w:type="dxa"/>
            <w:tcBorders>
              <w:top w:val="single" w:sz="4" w:space="0" w:color="000000"/>
              <w:left w:val="single" w:sz="4" w:space="0" w:color="000000"/>
              <w:bottom w:val="single" w:sz="4" w:space="0" w:color="000000"/>
              <w:right w:val="single" w:sz="4" w:space="0" w:color="000000"/>
            </w:tcBorders>
          </w:tcPr>
          <w:p w:rsidR="00D227E2" w:rsidRDefault="00934FC4">
            <w:pPr>
              <w:widowControl w:val="0"/>
              <w:tabs>
                <w:tab w:val="left" w:pos="0"/>
              </w:tabs>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53" w:type="dxa"/>
            <w:tcBorders>
              <w:top w:val="single" w:sz="4" w:space="0" w:color="000000"/>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r>
      <w:tr w:rsidR="00D227E2">
        <w:trPr>
          <w:trHeight w:val="326"/>
        </w:trPr>
        <w:tc>
          <w:tcPr>
            <w:tcW w:w="38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Господарсько-технічний відділ</w:t>
            </w:r>
          </w:p>
        </w:tc>
        <w:tc>
          <w:tcPr>
            <w:tcW w:w="14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19480</w:t>
            </w:r>
          </w:p>
        </w:tc>
        <w:tc>
          <w:tcPr>
            <w:tcW w:w="143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8450</w:t>
            </w:r>
          </w:p>
        </w:tc>
        <w:tc>
          <w:tcPr>
            <w:tcW w:w="1453" w:type="dxa"/>
            <w:tcBorders>
              <w:top w:val="single" w:sz="4" w:space="0" w:color="000000"/>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r>
      <w:tr w:rsidR="00D227E2">
        <w:trPr>
          <w:trHeight w:val="297"/>
        </w:trPr>
        <w:tc>
          <w:tcPr>
            <w:tcW w:w="38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Департамент культури</w:t>
            </w:r>
          </w:p>
        </w:tc>
        <w:tc>
          <w:tcPr>
            <w:tcW w:w="14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555</w:t>
            </w:r>
          </w:p>
        </w:tc>
        <w:tc>
          <w:tcPr>
            <w:tcW w:w="143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500</w:t>
            </w:r>
          </w:p>
        </w:tc>
        <w:tc>
          <w:tcPr>
            <w:tcW w:w="1453" w:type="dxa"/>
            <w:tcBorders>
              <w:top w:val="single" w:sz="4" w:space="0" w:color="000000"/>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r>
      <w:tr w:rsidR="00D227E2">
        <w:trPr>
          <w:trHeight w:val="301"/>
        </w:trPr>
        <w:tc>
          <w:tcPr>
            <w:tcW w:w="38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Департамент освіти</w:t>
            </w:r>
          </w:p>
        </w:tc>
        <w:tc>
          <w:tcPr>
            <w:tcW w:w="14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7229,33</w:t>
            </w:r>
          </w:p>
        </w:tc>
        <w:tc>
          <w:tcPr>
            <w:tcW w:w="143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11423,49</w:t>
            </w:r>
          </w:p>
        </w:tc>
        <w:tc>
          <w:tcPr>
            <w:tcW w:w="1453" w:type="dxa"/>
            <w:tcBorders>
              <w:top w:val="single" w:sz="4" w:space="0" w:color="000000"/>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r>
      <w:tr w:rsidR="00D227E2">
        <w:trPr>
          <w:trHeight w:val="299"/>
        </w:trPr>
        <w:tc>
          <w:tcPr>
            <w:tcW w:w="38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Департамент соціальної політики</w:t>
            </w:r>
          </w:p>
        </w:tc>
        <w:tc>
          <w:tcPr>
            <w:tcW w:w="14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280</w:t>
            </w:r>
          </w:p>
        </w:tc>
        <w:tc>
          <w:tcPr>
            <w:tcW w:w="143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1610</w:t>
            </w:r>
          </w:p>
        </w:tc>
        <w:tc>
          <w:tcPr>
            <w:tcW w:w="1453" w:type="dxa"/>
            <w:tcBorders>
              <w:top w:val="single" w:sz="4" w:space="0" w:color="000000"/>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1570</w:t>
            </w:r>
          </w:p>
        </w:tc>
        <w:tc>
          <w:tcPr>
            <w:tcW w:w="14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r>
      <w:tr w:rsidR="00D227E2">
        <w:trPr>
          <w:trHeight w:val="299"/>
        </w:trPr>
        <w:tc>
          <w:tcPr>
            <w:tcW w:w="3846" w:type="dxa"/>
            <w:tcBorders>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ЖКП-2</w:t>
            </w:r>
          </w:p>
        </w:tc>
        <w:tc>
          <w:tcPr>
            <w:tcW w:w="1460"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3959</w:t>
            </w:r>
          </w:p>
        </w:tc>
        <w:tc>
          <w:tcPr>
            <w:tcW w:w="1439"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1180</w:t>
            </w:r>
          </w:p>
        </w:tc>
        <w:tc>
          <w:tcPr>
            <w:tcW w:w="1453" w:type="dxa"/>
            <w:tcBorders>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46"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129</w:t>
            </w:r>
          </w:p>
        </w:tc>
      </w:tr>
      <w:tr w:rsidR="00D227E2">
        <w:trPr>
          <w:trHeight w:val="299"/>
        </w:trPr>
        <w:tc>
          <w:tcPr>
            <w:tcW w:w="3846" w:type="dxa"/>
            <w:tcBorders>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ЖКП-7</w:t>
            </w:r>
          </w:p>
        </w:tc>
        <w:tc>
          <w:tcPr>
            <w:tcW w:w="1460"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977,1</w:t>
            </w:r>
          </w:p>
        </w:tc>
        <w:tc>
          <w:tcPr>
            <w:tcW w:w="1439"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587,6</w:t>
            </w:r>
          </w:p>
        </w:tc>
        <w:tc>
          <w:tcPr>
            <w:tcW w:w="1453" w:type="dxa"/>
            <w:tcBorders>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333,89</w:t>
            </w:r>
          </w:p>
        </w:tc>
        <w:tc>
          <w:tcPr>
            <w:tcW w:w="1446"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923,69</w:t>
            </w:r>
          </w:p>
        </w:tc>
      </w:tr>
      <w:tr w:rsidR="00D227E2">
        <w:trPr>
          <w:trHeight w:val="299"/>
        </w:trPr>
        <w:tc>
          <w:tcPr>
            <w:tcW w:w="3846" w:type="dxa"/>
            <w:tcBorders>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ЖКП-3</w:t>
            </w:r>
          </w:p>
        </w:tc>
        <w:tc>
          <w:tcPr>
            <w:tcW w:w="1460"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5290</w:t>
            </w:r>
          </w:p>
        </w:tc>
        <w:tc>
          <w:tcPr>
            <w:tcW w:w="1439"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1740</w:t>
            </w:r>
          </w:p>
        </w:tc>
        <w:tc>
          <w:tcPr>
            <w:tcW w:w="1453" w:type="dxa"/>
            <w:tcBorders>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2546,22</w:t>
            </w:r>
          </w:p>
        </w:tc>
        <w:tc>
          <w:tcPr>
            <w:tcW w:w="1446"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5434,7</w:t>
            </w:r>
          </w:p>
        </w:tc>
      </w:tr>
      <w:tr w:rsidR="00D227E2">
        <w:trPr>
          <w:trHeight w:val="299"/>
        </w:trPr>
        <w:tc>
          <w:tcPr>
            <w:tcW w:w="3846" w:type="dxa"/>
            <w:tcBorders>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КП «ЛПЕ»</w:t>
            </w:r>
          </w:p>
        </w:tc>
        <w:tc>
          <w:tcPr>
            <w:tcW w:w="1460"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1367</w:t>
            </w:r>
          </w:p>
        </w:tc>
        <w:tc>
          <w:tcPr>
            <w:tcW w:w="1439"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10188</w:t>
            </w:r>
          </w:p>
        </w:tc>
        <w:tc>
          <w:tcPr>
            <w:tcW w:w="1453" w:type="dxa"/>
            <w:tcBorders>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8843</w:t>
            </w:r>
          </w:p>
        </w:tc>
        <w:tc>
          <w:tcPr>
            <w:tcW w:w="1446"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4855</w:t>
            </w:r>
          </w:p>
        </w:tc>
      </w:tr>
      <w:tr w:rsidR="00D227E2">
        <w:trPr>
          <w:trHeight w:val="299"/>
        </w:trPr>
        <w:tc>
          <w:tcPr>
            <w:tcW w:w="3846" w:type="dxa"/>
            <w:tcBorders>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ЛСКАП</w:t>
            </w:r>
          </w:p>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«Луцькспецкомунтранс»</w:t>
            </w:r>
          </w:p>
        </w:tc>
        <w:tc>
          <w:tcPr>
            <w:tcW w:w="1460" w:type="dxa"/>
            <w:tcBorders>
              <w:left w:val="single" w:sz="4" w:space="0" w:color="000000"/>
              <w:bottom w:val="single" w:sz="4" w:space="0" w:color="000000"/>
              <w:right w:val="single" w:sz="4" w:space="0" w:color="000000"/>
            </w:tcBorders>
          </w:tcPr>
          <w:p w:rsidR="00D227E2" w:rsidRDefault="00D227E2">
            <w:pPr>
              <w:widowControl w:val="0"/>
              <w:spacing w:after="0" w:line="240" w:lineRule="auto"/>
              <w:jc w:val="center"/>
              <w:rPr>
                <w:rFonts w:ascii="Times New Roman" w:eastAsia="Microsoft Sans Serif" w:hAnsi="Times New Roman" w:cs="Times New Roman"/>
                <w:kern w:val="2"/>
              </w:rPr>
            </w:pPr>
          </w:p>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39822,8</w:t>
            </w:r>
          </w:p>
        </w:tc>
        <w:tc>
          <w:tcPr>
            <w:tcW w:w="1439" w:type="dxa"/>
            <w:tcBorders>
              <w:left w:val="single" w:sz="4" w:space="0" w:color="000000"/>
              <w:bottom w:val="single" w:sz="4" w:space="0" w:color="000000"/>
              <w:right w:val="single" w:sz="4" w:space="0" w:color="000000"/>
            </w:tcBorders>
          </w:tcPr>
          <w:p w:rsidR="00D227E2" w:rsidRDefault="00D227E2">
            <w:pPr>
              <w:widowControl w:val="0"/>
              <w:spacing w:after="0" w:line="240" w:lineRule="auto"/>
              <w:jc w:val="center"/>
              <w:rPr>
                <w:rFonts w:ascii="Times New Roman" w:eastAsia="Microsoft Sans Serif" w:hAnsi="Times New Roman" w:cs="Times New Roman"/>
                <w:kern w:val="2"/>
              </w:rPr>
            </w:pPr>
          </w:p>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503579,1</w:t>
            </w:r>
          </w:p>
        </w:tc>
        <w:tc>
          <w:tcPr>
            <w:tcW w:w="1453" w:type="dxa"/>
            <w:tcBorders>
              <w:left w:val="single" w:sz="4" w:space="0" w:color="000000"/>
              <w:bottom w:val="single" w:sz="4" w:space="0" w:color="000000"/>
            </w:tcBorders>
          </w:tcPr>
          <w:p w:rsidR="00D227E2" w:rsidRDefault="00D227E2">
            <w:pPr>
              <w:widowControl w:val="0"/>
              <w:spacing w:after="0" w:line="240" w:lineRule="auto"/>
              <w:jc w:val="center"/>
              <w:rPr>
                <w:rFonts w:ascii="Times New Roman" w:eastAsia="Microsoft Sans Serif" w:hAnsi="Times New Roman" w:cs="Times New Roman"/>
                <w:kern w:val="2"/>
              </w:rPr>
            </w:pPr>
          </w:p>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517,4</w:t>
            </w:r>
          </w:p>
        </w:tc>
        <w:tc>
          <w:tcPr>
            <w:tcW w:w="1446" w:type="dxa"/>
            <w:tcBorders>
              <w:left w:val="single" w:sz="4" w:space="0" w:color="000000"/>
              <w:bottom w:val="single" w:sz="4" w:space="0" w:color="000000"/>
              <w:right w:val="single" w:sz="4" w:space="0" w:color="000000"/>
            </w:tcBorders>
          </w:tcPr>
          <w:p w:rsidR="00D227E2" w:rsidRDefault="00D227E2">
            <w:pPr>
              <w:widowControl w:val="0"/>
              <w:spacing w:after="0" w:line="240" w:lineRule="auto"/>
              <w:jc w:val="center"/>
              <w:rPr>
                <w:rFonts w:ascii="Times New Roman" w:eastAsia="Microsoft Sans Serif" w:hAnsi="Times New Roman" w:cs="Times New Roman"/>
                <w:kern w:val="2"/>
              </w:rPr>
            </w:pPr>
          </w:p>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7255,9</w:t>
            </w:r>
          </w:p>
        </w:tc>
      </w:tr>
      <w:tr w:rsidR="00D227E2">
        <w:trPr>
          <w:trHeight w:val="299"/>
        </w:trPr>
        <w:tc>
          <w:tcPr>
            <w:tcW w:w="3846" w:type="dxa"/>
            <w:tcBorders>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КП «Луцький спеціалізований комбінат КПО»</w:t>
            </w:r>
          </w:p>
        </w:tc>
        <w:tc>
          <w:tcPr>
            <w:tcW w:w="1460" w:type="dxa"/>
            <w:tcBorders>
              <w:left w:val="single" w:sz="4" w:space="0" w:color="000000"/>
              <w:bottom w:val="single" w:sz="4" w:space="0" w:color="000000"/>
              <w:right w:val="single" w:sz="4" w:space="0" w:color="000000"/>
            </w:tcBorders>
          </w:tcPr>
          <w:p w:rsidR="00D227E2" w:rsidRDefault="00D227E2">
            <w:pPr>
              <w:widowControl w:val="0"/>
              <w:spacing w:after="0" w:line="240" w:lineRule="auto"/>
              <w:jc w:val="center"/>
              <w:rPr>
                <w:rFonts w:ascii="Times New Roman" w:eastAsia="Microsoft Sans Serif" w:hAnsi="Times New Roman" w:cs="Times New Roman"/>
                <w:kern w:val="2"/>
              </w:rPr>
            </w:pPr>
          </w:p>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8900</w:t>
            </w:r>
          </w:p>
        </w:tc>
        <w:tc>
          <w:tcPr>
            <w:tcW w:w="1439" w:type="dxa"/>
            <w:tcBorders>
              <w:left w:val="single" w:sz="4" w:space="0" w:color="000000"/>
              <w:bottom w:val="single" w:sz="4" w:space="0" w:color="000000"/>
              <w:right w:val="single" w:sz="4" w:space="0" w:color="000000"/>
            </w:tcBorders>
          </w:tcPr>
          <w:p w:rsidR="00D227E2" w:rsidRDefault="00D227E2">
            <w:pPr>
              <w:widowControl w:val="0"/>
              <w:spacing w:after="0" w:line="240" w:lineRule="auto"/>
              <w:jc w:val="center"/>
              <w:rPr>
                <w:rFonts w:ascii="Times New Roman" w:eastAsia="Microsoft Sans Serif" w:hAnsi="Times New Roman" w:cs="Times New Roman"/>
                <w:kern w:val="2"/>
              </w:rPr>
            </w:pPr>
          </w:p>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15550</w:t>
            </w:r>
          </w:p>
        </w:tc>
        <w:tc>
          <w:tcPr>
            <w:tcW w:w="1453" w:type="dxa"/>
            <w:tcBorders>
              <w:left w:val="single" w:sz="4" w:space="0" w:color="000000"/>
              <w:bottom w:val="single" w:sz="4" w:space="0" w:color="000000"/>
            </w:tcBorders>
          </w:tcPr>
          <w:p w:rsidR="00D227E2" w:rsidRDefault="00D227E2">
            <w:pPr>
              <w:widowControl w:val="0"/>
              <w:spacing w:after="0" w:line="240" w:lineRule="auto"/>
              <w:jc w:val="center"/>
              <w:rPr>
                <w:rFonts w:ascii="Times New Roman" w:eastAsia="Microsoft Sans Serif" w:hAnsi="Times New Roman" w:cs="Times New Roman"/>
                <w:kern w:val="2"/>
              </w:rPr>
            </w:pPr>
          </w:p>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46" w:type="dxa"/>
            <w:tcBorders>
              <w:left w:val="single" w:sz="4" w:space="0" w:color="000000"/>
              <w:bottom w:val="single" w:sz="4" w:space="0" w:color="000000"/>
              <w:right w:val="single" w:sz="4" w:space="0" w:color="000000"/>
            </w:tcBorders>
          </w:tcPr>
          <w:p w:rsidR="00D227E2" w:rsidRDefault="00D227E2">
            <w:pPr>
              <w:widowControl w:val="0"/>
              <w:spacing w:after="0" w:line="240" w:lineRule="auto"/>
              <w:jc w:val="center"/>
              <w:rPr>
                <w:rFonts w:ascii="Times New Roman" w:eastAsia="Microsoft Sans Serif" w:hAnsi="Times New Roman" w:cs="Times New Roman"/>
                <w:kern w:val="2"/>
              </w:rPr>
            </w:pPr>
          </w:p>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2938</w:t>
            </w:r>
          </w:p>
        </w:tc>
      </w:tr>
      <w:tr w:rsidR="00D227E2">
        <w:trPr>
          <w:trHeight w:val="299"/>
        </w:trPr>
        <w:tc>
          <w:tcPr>
            <w:tcW w:w="38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КП «ЛПЕ-Луцьксвітло»</w:t>
            </w:r>
          </w:p>
        </w:tc>
        <w:tc>
          <w:tcPr>
            <w:tcW w:w="14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8410,39</w:t>
            </w:r>
          </w:p>
        </w:tc>
        <w:tc>
          <w:tcPr>
            <w:tcW w:w="143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11398,12</w:t>
            </w:r>
          </w:p>
        </w:tc>
        <w:tc>
          <w:tcPr>
            <w:tcW w:w="1453" w:type="dxa"/>
            <w:tcBorders>
              <w:top w:val="single" w:sz="4" w:space="0" w:color="000000"/>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4952,82</w:t>
            </w:r>
          </w:p>
        </w:tc>
        <w:tc>
          <w:tcPr>
            <w:tcW w:w="14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3425,75</w:t>
            </w:r>
          </w:p>
        </w:tc>
      </w:tr>
      <w:tr w:rsidR="00D227E2">
        <w:trPr>
          <w:trHeight w:val="368"/>
        </w:trPr>
        <w:tc>
          <w:tcPr>
            <w:tcW w:w="38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КП «МОЛМТГ»</w:t>
            </w:r>
          </w:p>
        </w:tc>
        <w:tc>
          <w:tcPr>
            <w:tcW w:w="14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79154</w:t>
            </w:r>
          </w:p>
        </w:tc>
        <w:tc>
          <w:tcPr>
            <w:tcW w:w="143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27665</w:t>
            </w:r>
          </w:p>
        </w:tc>
        <w:tc>
          <w:tcPr>
            <w:tcW w:w="1453" w:type="dxa"/>
            <w:tcBorders>
              <w:top w:val="single" w:sz="4" w:space="0" w:color="000000"/>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24441</w:t>
            </w:r>
          </w:p>
        </w:tc>
        <w:tc>
          <w:tcPr>
            <w:tcW w:w="14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r>
      <w:tr w:rsidR="00D227E2">
        <w:trPr>
          <w:trHeight w:val="299"/>
        </w:trPr>
        <w:tc>
          <w:tcPr>
            <w:tcW w:w="38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КП «Парки та сквери м.Луцька»</w:t>
            </w:r>
          </w:p>
        </w:tc>
        <w:tc>
          <w:tcPr>
            <w:tcW w:w="14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22493</w:t>
            </w:r>
          </w:p>
        </w:tc>
        <w:tc>
          <w:tcPr>
            <w:tcW w:w="143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4619</w:t>
            </w:r>
          </w:p>
        </w:tc>
        <w:tc>
          <w:tcPr>
            <w:tcW w:w="1453" w:type="dxa"/>
            <w:tcBorders>
              <w:top w:val="single" w:sz="4" w:space="0" w:color="000000"/>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2506</w:t>
            </w:r>
          </w:p>
        </w:tc>
      </w:tr>
      <w:tr w:rsidR="00D227E2">
        <w:trPr>
          <w:trHeight w:val="299"/>
        </w:trPr>
        <w:tc>
          <w:tcPr>
            <w:tcW w:w="38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КП «Ласка»</w:t>
            </w:r>
          </w:p>
        </w:tc>
        <w:tc>
          <w:tcPr>
            <w:tcW w:w="14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703,29</w:t>
            </w:r>
          </w:p>
        </w:tc>
        <w:tc>
          <w:tcPr>
            <w:tcW w:w="143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2330,73</w:t>
            </w:r>
          </w:p>
        </w:tc>
        <w:tc>
          <w:tcPr>
            <w:tcW w:w="1453" w:type="dxa"/>
            <w:tcBorders>
              <w:top w:val="single" w:sz="4" w:space="0" w:color="000000"/>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r>
      <w:tr w:rsidR="00D227E2">
        <w:trPr>
          <w:trHeight w:val="299"/>
        </w:trPr>
        <w:tc>
          <w:tcPr>
            <w:tcW w:w="3846" w:type="dxa"/>
            <w:tcBorders>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КП «Луцький зоопарк»</w:t>
            </w:r>
          </w:p>
        </w:tc>
        <w:tc>
          <w:tcPr>
            <w:tcW w:w="1460"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982</w:t>
            </w:r>
          </w:p>
        </w:tc>
        <w:tc>
          <w:tcPr>
            <w:tcW w:w="1439"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936</w:t>
            </w:r>
          </w:p>
        </w:tc>
        <w:tc>
          <w:tcPr>
            <w:tcW w:w="1453" w:type="dxa"/>
            <w:tcBorders>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2190</w:t>
            </w:r>
          </w:p>
        </w:tc>
        <w:tc>
          <w:tcPr>
            <w:tcW w:w="1446"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r>
      <w:tr w:rsidR="00D227E2">
        <w:trPr>
          <w:trHeight w:val="299"/>
        </w:trPr>
        <w:tc>
          <w:tcPr>
            <w:tcW w:w="38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ЛКШСХ</w:t>
            </w:r>
          </w:p>
        </w:tc>
        <w:tc>
          <w:tcPr>
            <w:tcW w:w="14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2300,1</w:t>
            </w:r>
          </w:p>
        </w:tc>
        <w:tc>
          <w:tcPr>
            <w:tcW w:w="143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3569,17</w:t>
            </w:r>
          </w:p>
        </w:tc>
        <w:tc>
          <w:tcPr>
            <w:tcW w:w="1453" w:type="dxa"/>
            <w:tcBorders>
              <w:top w:val="single" w:sz="4" w:space="0" w:color="000000"/>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r>
      <w:tr w:rsidR="00D227E2">
        <w:trPr>
          <w:trHeight w:val="302"/>
        </w:trPr>
        <w:tc>
          <w:tcPr>
            <w:tcW w:w="38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КП «Луцькреклама»</w:t>
            </w:r>
          </w:p>
        </w:tc>
        <w:tc>
          <w:tcPr>
            <w:tcW w:w="14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1315</w:t>
            </w:r>
          </w:p>
        </w:tc>
        <w:tc>
          <w:tcPr>
            <w:tcW w:w="143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53" w:type="dxa"/>
            <w:tcBorders>
              <w:top w:val="single" w:sz="4" w:space="0" w:color="000000"/>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r>
      <w:tr w:rsidR="00D227E2">
        <w:trPr>
          <w:trHeight w:val="300"/>
        </w:trPr>
        <w:tc>
          <w:tcPr>
            <w:tcW w:w="38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Управління охорони здоров’я</w:t>
            </w:r>
          </w:p>
        </w:tc>
        <w:tc>
          <w:tcPr>
            <w:tcW w:w="14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86704</w:t>
            </w:r>
          </w:p>
        </w:tc>
        <w:tc>
          <w:tcPr>
            <w:tcW w:w="143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32707</w:t>
            </w:r>
          </w:p>
        </w:tc>
        <w:tc>
          <w:tcPr>
            <w:tcW w:w="1453" w:type="dxa"/>
            <w:tcBorders>
              <w:top w:val="single" w:sz="4" w:space="0" w:color="000000"/>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2441</w:t>
            </w:r>
          </w:p>
        </w:tc>
        <w:tc>
          <w:tcPr>
            <w:tcW w:w="14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r>
      <w:tr w:rsidR="00D227E2">
        <w:trPr>
          <w:trHeight w:val="300"/>
        </w:trPr>
        <w:tc>
          <w:tcPr>
            <w:tcW w:w="3846" w:type="dxa"/>
            <w:tcBorders>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КП «Луцькводоканал»</w:t>
            </w:r>
          </w:p>
        </w:tc>
        <w:tc>
          <w:tcPr>
            <w:tcW w:w="1460"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63117</w:t>
            </w:r>
          </w:p>
        </w:tc>
        <w:tc>
          <w:tcPr>
            <w:tcW w:w="1439"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57961</w:t>
            </w:r>
          </w:p>
        </w:tc>
        <w:tc>
          <w:tcPr>
            <w:tcW w:w="1453" w:type="dxa"/>
            <w:tcBorders>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w:t>
            </w:r>
          </w:p>
        </w:tc>
        <w:tc>
          <w:tcPr>
            <w:tcW w:w="1446"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659</w:t>
            </w:r>
          </w:p>
        </w:tc>
      </w:tr>
      <w:tr w:rsidR="00D227E2">
        <w:trPr>
          <w:trHeight w:val="300"/>
        </w:trPr>
        <w:tc>
          <w:tcPr>
            <w:tcW w:w="3846" w:type="dxa"/>
            <w:tcBorders>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color w:val="000000"/>
                <w:kern w:val="2"/>
                <w:shd w:val="clear" w:color="auto" w:fill="FFFFFF"/>
              </w:rPr>
              <w:t>КП «Луцьктепло»</w:t>
            </w:r>
          </w:p>
        </w:tc>
        <w:tc>
          <w:tcPr>
            <w:tcW w:w="1460"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10933</w:t>
            </w:r>
          </w:p>
        </w:tc>
        <w:tc>
          <w:tcPr>
            <w:tcW w:w="1439"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29038</w:t>
            </w:r>
          </w:p>
        </w:tc>
        <w:tc>
          <w:tcPr>
            <w:tcW w:w="1453" w:type="dxa"/>
            <w:tcBorders>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27124</w:t>
            </w:r>
          </w:p>
        </w:tc>
        <w:tc>
          <w:tcPr>
            <w:tcW w:w="1446"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72</w:t>
            </w:r>
          </w:p>
        </w:tc>
      </w:tr>
      <w:tr w:rsidR="00D227E2">
        <w:trPr>
          <w:trHeight w:val="300"/>
        </w:trPr>
        <w:tc>
          <w:tcPr>
            <w:tcW w:w="3846" w:type="dxa"/>
            <w:tcBorders>
              <w:left w:val="single" w:sz="4" w:space="0" w:color="000000"/>
              <w:bottom w:val="single" w:sz="4" w:space="0" w:color="000000"/>
              <w:right w:val="single" w:sz="4" w:space="0" w:color="000000"/>
            </w:tcBorders>
          </w:tcPr>
          <w:p w:rsidR="00D227E2" w:rsidRDefault="00934FC4">
            <w:pPr>
              <w:widowControl w:val="0"/>
              <w:spacing w:after="0" w:line="240" w:lineRule="auto"/>
              <w:ind w:firstLine="510"/>
              <w:jc w:val="both"/>
              <w:rPr>
                <w:rFonts w:ascii="Times New Roman" w:hAnsi="Times New Roman" w:cs="Times New Roman"/>
              </w:rPr>
            </w:pPr>
            <w:r>
              <w:rPr>
                <w:rFonts w:ascii="Times New Roman" w:eastAsia="Microsoft Sans Serif" w:hAnsi="Times New Roman" w:cs="Times New Roman"/>
                <w:kern w:val="2"/>
              </w:rPr>
              <w:t>Всього</w:t>
            </w:r>
          </w:p>
        </w:tc>
        <w:tc>
          <w:tcPr>
            <w:tcW w:w="1460"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364066,01</w:t>
            </w:r>
          </w:p>
        </w:tc>
        <w:tc>
          <w:tcPr>
            <w:tcW w:w="1439"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725032,21</w:t>
            </w:r>
          </w:p>
        </w:tc>
        <w:tc>
          <w:tcPr>
            <w:tcW w:w="1453" w:type="dxa"/>
            <w:tcBorders>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74959,33</w:t>
            </w:r>
          </w:p>
        </w:tc>
        <w:tc>
          <w:tcPr>
            <w:tcW w:w="1446"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28199,04</w:t>
            </w:r>
          </w:p>
        </w:tc>
      </w:tr>
    </w:tbl>
    <w:p w:rsidR="00D227E2" w:rsidRDefault="00934FC4">
      <w:pPr>
        <w:spacing w:after="0"/>
        <w:ind w:firstLine="510"/>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У трійці найбільших споживачів бензину є: управління охорони здоров’я, КП «Медичне об’єднання Луцької міської територіальної громади» (КП МОЛМТГ) та КП «Луцькводоканал». Найбільшими споживачами дизельного палива є: КП «Луцькспецкомунтранс», КП «Луцькводоканал» та управління охорони здоров’я. Бюджетні підприємства, установи та організації під час здійснення своєї господарської діяльності, крім основних видів палива (бензин, дизельне паливо) використовують скраплений та стиснений газ.</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kern w:val="2"/>
          <w:sz w:val="24"/>
          <w:szCs w:val="24"/>
          <w:lang w:eastAsia="zh-CN" w:bidi="hi-IN"/>
        </w:rPr>
        <w:t>У таблиці 53, 54 та на рисунку 37 наведено загальні обсяги споживання палива муніципальним транспортом м. Луцька у 2007 та 2022 роках.</w:t>
      </w:r>
    </w:p>
    <w:p w:rsidR="00D227E2" w:rsidRDefault="00934FC4">
      <w:pPr>
        <w:spacing w:after="0"/>
        <w:ind w:firstLine="510"/>
        <w:jc w:val="center"/>
        <w:rPr>
          <w:rFonts w:ascii="Times New Roman" w:hAnsi="Times New Roman" w:cs="Times New Roman"/>
        </w:rPr>
      </w:pPr>
      <w:r>
        <w:rPr>
          <w:rFonts w:ascii="Times New Roman" w:eastAsia="NSimSun" w:hAnsi="Times New Roman" w:cs="Times New Roman"/>
          <w:kern w:val="2"/>
          <w:sz w:val="24"/>
          <w:szCs w:val="24"/>
          <w:lang w:eastAsia="zh-CN" w:bidi="hi-IN"/>
        </w:rPr>
        <w:t xml:space="preserve">Таблиця 53. Загальні обсяги споживання палива муніципальним транспортом м. Луцька </w:t>
      </w:r>
    </w:p>
    <w:tbl>
      <w:tblPr>
        <w:tblW w:w="9563" w:type="dxa"/>
        <w:tblInd w:w="81" w:type="dxa"/>
        <w:tblLayout w:type="fixed"/>
        <w:tblCellMar>
          <w:left w:w="5" w:type="dxa"/>
          <w:right w:w="5" w:type="dxa"/>
        </w:tblCellMar>
        <w:tblLook w:val="01E0" w:firstRow="1" w:lastRow="1" w:firstColumn="1" w:lastColumn="1" w:noHBand="0" w:noVBand="0"/>
      </w:tblPr>
      <w:tblGrid>
        <w:gridCol w:w="4886"/>
        <w:gridCol w:w="4677"/>
      </w:tblGrid>
      <w:tr w:rsidR="00D227E2">
        <w:trPr>
          <w:trHeight w:val="299"/>
        </w:trPr>
        <w:tc>
          <w:tcPr>
            <w:tcW w:w="488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Тип палива</w:t>
            </w:r>
          </w:p>
        </w:tc>
        <w:tc>
          <w:tcPr>
            <w:tcW w:w="467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Споживання у 2022</w:t>
            </w:r>
          </w:p>
        </w:tc>
      </w:tr>
      <w:tr w:rsidR="00D227E2">
        <w:trPr>
          <w:trHeight w:val="299"/>
        </w:trPr>
        <w:tc>
          <w:tcPr>
            <w:tcW w:w="488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eastAsia="Microsoft Sans Serif" w:hAnsi="Times New Roman" w:cs="Times New Roman"/>
                <w:kern w:val="2"/>
              </w:rPr>
              <w:t>Бензин, л</w:t>
            </w:r>
          </w:p>
        </w:tc>
        <w:tc>
          <w:tcPr>
            <w:tcW w:w="467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364066,01</w:t>
            </w:r>
          </w:p>
        </w:tc>
      </w:tr>
      <w:tr w:rsidR="00D227E2">
        <w:trPr>
          <w:trHeight w:val="299"/>
        </w:trPr>
        <w:tc>
          <w:tcPr>
            <w:tcW w:w="488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eastAsia="Microsoft Sans Serif" w:hAnsi="Times New Roman" w:cs="Times New Roman"/>
                <w:kern w:val="2"/>
              </w:rPr>
              <w:lastRenderedPageBreak/>
              <w:t>Дизель, л</w:t>
            </w:r>
          </w:p>
        </w:tc>
        <w:tc>
          <w:tcPr>
            <w:tcW w:w="467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725032,21</w:t>
            </w:r>
          </w:p>
        </w:tc>
      </w:tr>
      <w:tr w:rsidR="00D227E2">
        <w:trPr>
          <w:trHeight w:val="302"/>
        </w:trPr>
        <w:tc>
          <w:tcPr>
            <w:tcW w:w="488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eastAsia="Microsoft Sans Serif" w:hAnsi="Times New Roman" w:cs="Times New Roman"/>
                <w:kern w:val="2"/>
              </w:rPr>
              <w:t>Скраплений газ, л</w:t>
            </w:r>
          </w:p>
        </w:tc>
        <w:tc>
          <w:tcPr>
            <w:tcW w:w="467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74959,33</w:t>
            </w:r>
          </w:p>
        </w:tc>
      </w:tr>
      <w:tr w:rsidR="00D227E2">
        <w:trPr>
          <w:trHeight w:val="302"/>
        </w:trPr>
        <w:tc>
          <w:tcPr>
            <w:tcW w:w="4885"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both"/>
              <w:rPr>
                <w:rFonts w:ascii="Times New Roman" w:hAnsi="Times New Roman" w:cs="Times New Roman"/>
                <w:vertAlign w:val="superscript"/>
              </w:rPr>
            </w:pPr>
            <w:r>
              <w:rPr>
                <w:rFonts w:ascii="Times New Roman" w:eastAsia="Microsoft Sans Serif" w:hAnsi="Times New Roman" w:cs="Times New Roman"/>
                <w:kern w:val="2"/>
              </w:rPr>
              <w:t>Стиснений газ, м</w:t>
            </w:r>
            <w:r>
              <w:rPr>
                <w:rFonts w:ascii="Times New Roman" w:eastAsia="Microsoft Sans Serif" w:hAnsi="Times New Roman" w:cs="Times New Roman"/>
                <w:kern w:val="2"/>
                <w:vertAlign w:val="superscript"/>
              </w:rPr>
              <w:t>3</w:t>
            </w:r>
          </w:p>
        </w:tc>
        <w:tc>
          <w:tcPr>
            <w:tcW w:w="4677"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28199,04</w:t>
            </w:r>
          </w:p>
        </w:tc>
      </w:tr>
    </w:tbl>
    <w:p w:rsidR="00D227E2" w:rsidRDefault="00934FC4">
      <w:pPr>
        <w:spacing w:after="0"/>
        <w:ind w:firstLine="510"/>
        <w:jc w:val="center"/>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Таблиця 54. Загальні обсяги споживання палива муніципальним транспортом м. Луцька у МВт.год</w:t>
      </w:r>
    </w:p>
    <w:tbl>
      <w:tblPr>
        <w:tblW w:w="9563" w:type="dxa"/>
        <w:tblInd w:w="81" w:type="dxa"/>
        <w:tblLayout w:type="fixed"/>
        <w:tblCellMar>
          <w:left w:w="5" w:type="dxa"/>
          <w:right w:w="5" w:type="dxa"/>
        </w:tblCellMar>
        <w:tblLook w:val="01E0" w:firstRow="1" w:lastRow="1" w:firstColumn="1" w:lastColumn="1" w:noHBand="0" w:noVBand="0"/>
      </w:tblPr>
      <w:tblGrid>
        <w:gridCol w:w="3675"/>
        <w:gridCol w:w="2486"/>
        <w:gridCol w:w="3402"/>
      </w:tblGrid>
      <w:tr w:rsidR="00D227E2">
        <w:trPr>
          <w:trHeight w:val="200"/>
        </w:trPr>
        <w:tc>
          <w:tcPr>
            <w:tcW w:w="367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Тип палива</w:t>
            </w:r>
          </w:p>
        </w:tc>
        <w:tc>
          <w:tcPr>
            <w:tcW w:w="248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Споживання у 2007</w:t>
            </w:r>
          </w:p>
        </w:tc>
        <w:tc>
          <w:tcPr>
            <w:tcW w:w="340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Споживання у 2022</w:t>
            </w:r>
          </w:p>
        </w:tc>
      </w:tr>
      <w:tr w:rsidR="00D227E2">
        <w:trPr>
          <w:trHeight w:val="299"/>
        </w:trPr>
        <w:tc>
          <w:tcPr>
            <w:tcW w:w="367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eastAsia="Microsoft Sans Serif" w:hAnsi="Times New Roman" w:cs="Times New Roman"/>
                <w:kern w:val="2"/>
              </w:rPr>
              <w:t>Бензин (МВт.год)</w:t>
            </w:r>
          </w:p>
        </w:tc>
        <w:tc>
          <w:tcPr>
            <w:tcW w:w="248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rPr>
              <w:t>958,0</w:t>
            </w:r>
          </w:p>
        </w:tc>
        <w:tc>
          <w:tcPr>
            <w:tcW w:w="340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3439,8</w:t>
            </w:r>
          </w:p>
        </w:tc>
      </w:tr>
      <w:tr w:rsidR="00D227E2">
        <w:trPr>
          <w:trHeight w:val="299"/>
        </w:trPr>
        <w:tc>
          <w:tcPr>
            <w:tcW w:w="367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eastAsia="Microsoft Sans Serif" w:hAnsi="Times New Roman" w:cs="Times New Roman"/>
                <w:kern w:val="2"/>
              </w:rPr>
              <w:t>Дизель (МВт.год)</w:t>
            </w:r>
          </w:p>
        </w:tc>
        <w:tc>
          <w:tcPr>
            <w:tcW w:w="248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rPr>
              <w:t>13576,0</w:t>
            </w:r>
          </w:p>
        </w:tc>
        <w:tc>
          <w:tcPr>
            <w:tcW w:w="340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7165,2</w:t>
            </w:r>
          </w:p>
        </w:tc>
      </w:tr>
      <w:tr w:rsidR="00D227E2">
        <w:trPr>
          <w:trHeight w:val="302"/>
        </w:trPr>
        <w:tc>
          <w:tcPr>
            <w:tcW w:w="367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eastAsia="Microsoft Sans Serif" w:hAnsi="Times New Roman" w:cs="Times New Roman"/>
                <w:kern w:val="2"/>
              </w:rPr>
              <w:t>Скраплений газ (МВт.год)</w:t>
            </w:r>
          </w:p>
        </w:tc>
        <w:tc>
          <w:tcPr>
            <w:tcW w:w="248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rPr>
              <w:t>1360,0</w:t>
            </w:r>
          </w:p>
        </w:tc>
        <w:tc>
          <w:tcPr>
            <w:tcW w:w="340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555,8</w:t>
            </w:r>
          </w:p>
        </w:tc>
      </w:tr>
      <w:tr w:rsidR="00D227E2">
        <w:trPr>
          <w:trHeight w:val="302"/>
        </w:trPr>
        <w:tc>
          <w:tcPr>
            <w:tcW w:w="3675"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eastAsia="Microsoft Sans Serif" w:hAnsi="Times New Roman" w:cs="Times New Roman"/>
                <w:kern w:val="2"/>
              </w:rPr>
              <w:t>Стиснений газ (МВт.год)</w:t>
            </w:r>
          </w:p>
        </w:tc>
        <w:tc>
          <w:tcPr>
            <w:tcW w:w="2486"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rPr>
              <w:t>0,0</w:t>
            </w:r>
          </w:p>
        </w:tc>
        <w:tc>
          <w:tcPr>
            <w:tcW w:w="3402"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266,5</w:t>
            </w:r>
          </w:p>
        </w:tc>
      </w:tr>
    </w:tbl>
    <w:p w:rsidR="00D227E2" w:rsidRDefault="00934FC4">
      <w:pPr>
        <w:spacing w:after="0"/>
        <w:ind w:firstLine="510"/>
        <w:jc w:val="both"/>
        <w:rPr>
          <w:rFonts w:ascii="Times New Roman" w:eastAsia="NSimSun" w:hAnsi="Times New Roman" w:cs="Times New Roman"/>
          <w:color w:val="00FF7F"/>
          <w:kern w:val="2"/>
          <w:sz w:val="24"/>
          <w:szCs w:val="24"/>
          <w:shd w:val="clear" w:color="auto" w:fill="FFFF00"/>
          <w:lang w:eastAsia="zh-CN" w:bidi="hi-IN"/>
        </w:rPr>
      </w:pPr>
      <w:r>
        <w:rPr>
          <w:rFonts w:ascii="Times New Roman" w:eastAsia="NSimSun" w:hAnsi="Times New Roman" w:cs="Times New Roman"/>
          <w:noProof/>
          <w:color w:val="00FF7F"/>
          <w:kern w:val="2"/>
          <w:sz w:val="24"/>
          <w:szCs w:val="24"/>
          <w:shd w:val="clear" w:color="auto" w:fill="FFFF00"/>
          <w:lang w:eastAsia="uk-UA"/>
        </w:rPr>
        <w:drawing>
          <wp:anchor distT="0" distB="0" distL="0" distR="0" simplePos="0" relativeHeight="54" behindDoc="0" locked="0" layoutInCell="0" allowOverlap="1" wp14:anchorId="364F2C52" wp14:editId="16641DC2">
            <wp:simplePos x="0" y="0"/>
            <wp:positionH relativeFrom="column">
              <wp:posOffset>1460500</wp:posOffset>
            </wp:positionH>
            <wp:positionV relativeFrom="paragraph">
              <wp:posOffset>152400</wp:posOffset>
            </wp:positionV>
            <wp:extent cx="3753485" cy="1609725"/>
            <wp:effectExtent l="0" t="0" r="0" b="0"/>
            <wp:wrapSquare wrapText="largest"/>
            <wp:docPr id="52" name="Об'єкт27" descr="діаграма"/>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anchor>
        </w:drawing>
      </w:r>
    </w:p>
    <w:p w:rsidR="00D227E2" w:rsidRDefault="00D227E2">
      <w:pPr>
        <w:spacing w:after="0"/>
        <w:ind w:firstLine="510"/>
        <w:jc w:val="center"/>
        <w:rPr>
          <w:rFonts w:ascii="Times New Roman" w:eastAsia="NSimSun" w:hAnsi="Times New Roman" w:cs="Times New Roman"/>
          <w:color w:val="000000"/>
          <w:kern w:val="2"/>
          <w:sz w:val="24"/>
          <w:szCs w:val="24"/>
          <w:shd w:val="clear" w:color="auto" w:fill="FFFFFF"/>
          <w:lang w:eastAsia="zh-CN" w:bidi="hi-IN"/>
        </w:rPr>
      </w:pPr>
    </w:p>
    <w:p w:rsidR="00D227E2" w:rsidRDefault="00D227E2">
      <w:pPr>
        <w:spacing w:after="0"/>
        <w:ind w:firstLine="510"/>
        <w:jc w:val="center"/>
        <w:rPr>
          <w:rFonts w:ascii="Times New Roman" w:eastAsia="NSimSun" w:hAnsi="Times New Roman" w:cs="Times New Roman"/>
          <w:color w:val="000000"/>
          <w:kern w:val="2"/>
          <w:sz w:val="24"/>
          <w:szCs w:val="24"/>
          <w:shd w:val="clear" w:color="auto" w:fill="FFFFFF"/>
          <w:lang w:eastAsia="zh-CN" w:bidi="hi-IN"/>
        </w:rPr>
      </w:pPr>
    </w:p>
    <w:p w:rsidR="00D227E2" w:rsidRDefault="00D227E2">
      <w:pPr>
        <w:spacing w:after="0"/>
        <w:ind w:firstLine="510"/>
        <w:jc w:val="center"/>
        <w:rPr>
          <w:rFonts w:ascii="Times New Roman" w:eastAsia="NSimSun" w:hAnsi="Times New Roman" w:cs="Times New Roman"/>
          <w:color w:val="000000"/>
          <w:kern w:val="2"/>
          <w:sz w:val="24"/>
          <w:szCs w:val="24"/>
          <w:shd w:val="clear" w:color="auto" w:fill="FFFFFF"/>
          <w:lang w:eastAsia="zh-CN" w:bidi="hi-IN"/>
        </w:rPr>
      </w:pPr>
    </w:p>
    <w:p w:rsidR="00D227E2" w:rsidRDefault="00D227E2">
      <w:pPr>
        <w:spacing w:after="0"/>
        <w:ind w:firstLine="510"/>
        <w:jc w:val="center"/>
        <w:rPr>
          <w:rFonts w:ascii="Times New Roman" w:eastAsia="NSimSun" w:hAnsi="Times New Roman" w:cs="Times New Roman"/>
          <w:color w:val="000000"/>
          <w:kern w:val="2"/>
          <w:sz w:val="24"/>
          <w:szCs w:val="24"/>
          <w:shd w:val="clear" w:color="auto" w:fill="FFFFFF"/>
          <w:lang w:eastAsia="zh-CN" w:bidi="hi-IN"/>
        </w:rPr>
      </w:pPr>
    </w:p>
    <w:p w:rsidR="00D227E2" w:rsidRDefault="00D227E2">
      <w:pPr>
        <w:spacing w:after="0"/>
        <w:ind w:firstLine="510"/>
        <w:jc w:val="center"/>
        <w:rPr>
          <w:rFonts w:ascii="Times New Roman" w:eastAsia="NSimSun" w:hAnsi="Times New Roman" w:cs="Times New Roman"/>
          <w:color w:val="000000"/>
          <w:kern w:val="2"/>
          <w:sz w:val="24"/>
          <w:szCs w:val="24"/>
          <w:shd w:val="clear" w:color="auto" w:fill="FFFFFF"/>
          <w:lang w:eastAsia="zh-CN" w:bidi="hi-IN"/>
        </w:rPr>
      </w:pPr>
    </w:p>
    <w:p w:rsidR="00D227E2" w:rsidRDefault="00D227E2">
      <w:pPr>
        <w:spacing w:after="0"/>
        <w:ind w:firstLine="510"/>
        <w:jc w:val="center"/>
        <w:rPr>
          <w:rFonts w:ascii="Times New Roman" w:eastAsia="NSimSun" w:hAnsi="Times New Roman" w:cs="Times New Roman"/>
          <w:color w:val="000000"/>
          <w:kern w:val="2"/>
          <w:sz w:val="24"/>
          <w:szCs w:val="24"/>
          <w:shd w:val="clear" w:color="auto" w:fill="FFFFFF"/>
          <w:lang w:eastAsia="zh-CN" w:bidi="hi-IN"/>
        </w:rPr>
      </w:pPr>
    </w:p>
    <w:p w:rsidR="00D227E2" w:rsidRDefault="00D227E2">
      <w:pPr>
        <w:spacing w:after="0"/>
        <w:ind w:firstLine="510"/>
        <w:jc w:val="center"/>
        <w:rPr>
          <w:rFonts w:ascii="Times New Roman" w:eastAsia="NSimSun" w:hAnsi="Times New Roman" w:cs="Times New Roman"/>
          <w:color w:val="000000"/>
          <w:kern w:val="2"/>
          <w:sz w:val="24"/>
          <w:szCs w:val="24"/>
          <w:shd w:val="clear" w:color="auto" w:fill="FFFFFF"/>
          <w:lang w:eastAsia="zh-CN" w:bidi="hi-IN"/>
        </w:rPr>
      </w:pPr>
    </w:p>
    <w:p w:rsidR="00D227E2" w:rsidRDefault="00D227E2">
      <w:pPr>
        <w:spacing w:after="0"/>
        <w:ind w:firstLine="510"/>
        <w:jc w:val="center"/>
        <w:rPr>
          <w:rFonts w:ascii="Times New Roman" w:eastAsia="NSimSun" w:hAnsi="Times New Roman" w:cs="Times New Roman"/>
          <w:color w:val="000000"/>
          <w:kern w:val="2"/>
          <w:sz w:val="24"/>
          <w:szCs w:val="24"/>
          <w:shd w:val="clear" w:color="auto" w:fill="FFFFFF"/>
          <w:lang w:eastAsia="zh-CN" w:bidi="hi-IN"/>
        </w:rPr>
      </w:pPr>
    </w:p>
    <w:p w:rsidR="00D227E2" w:rsidRDefault="00934FC4">
      <w:pPr>
        <w:spacing w:after="0"/>
        <w:ind w:firstLine="510"/>
        <w:jc w:val="center"/>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Рисунок 37. Загальні обсяги споживання палива муніципальним транспортом м. Луцька у 2022 році (МВт.год)</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 xml:space="preserve">Споживання палива муніципальним транспортом на території, що увійшла до Луцької МТГ розраховано пропорційно до кількості населення старостинських округів. </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Муніципальний транспорт який обслуговує перевезення пасажирів у Луцькій МТГ наведено у підпункті 3.2.5.2. Громадський транспорт.</w:t>
      </w:r>
    </w:p>
    <w:p w:rsidR="00D227E2" w:rsidRDefault="00D227E2">
      <w:pPr>
        <w:spacing w:after="0"/>
        <w:ind w:firstLine="510"/>
        <w:jc w:val="both"/>
        <w:rPr>
          <w:rFonts w:ascii="Times New Roman" w:eastAsia="NSimSun" w:hAnsi="Times New Roman" w:cs="Times New Roman"/>
          <w:color w:val="000000"/>
          <w:kern w:val="2"/>
          <w:sz w:val="24"/>
          <w:szCs w:val="24"/>
          <w:shd w:val="clear" w:color="auto" w:fill="FFFFFF"/>
          <w:lang w:eastAsia="zh-CN" w:bidi="hi-IN"/>
        </w:rPr>
      </w:pPr>
    </w:p>
    <w:p w:rsidR="00D227E2" w:rsidRDefault="00934FC4">
      <w:pPr>
        <w:spacing w:after="0" w:line="240" w:lineRule="auto"/>
        <w:ind w:firstLine="510"/>
        <w:jc w:val="both"/>
        <w:rPr>
          <w:rFonts w:ascii="Times New Roman" w:hAnsi="Times New Roman" w:cs="Times New Roman"/>
        </w:rPr>
      </w:pPr>
      <w:r>
        <w:rPr>
          <w:rFonts w:ascii="Times New Roman" w:eastAsia="NSimSun" w:hAnsi="Times New Roman" w:cs="Times New Roman"/>
          <w:b/>
          <w:bCs/>
          <w:color w:val="000000"/>
          <w:kern w:val="2"/>
          <w:sz w:val="24"/>
          <w:szCs w:val="24"/>
          <w:shd w:val="clear" w:color="auto" w:fill="FFFFFF"/>
          <w:lang w:eastAsia="zh-CN" w:bidi="hi-IN"/>
        </w:rPr>
        <w:t>3.2.5.2. Громадський транспорт</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kern w:val="2"/>
          <w:sz w:val="24"/>
          <w:szCs w:val="24"/>
          <w:lang w:eastAsia="zh-CN" w:bidi="hi-IN"/>
        </w:rPr>
        <w:t>Міський громадський транспорт Луцької МТГ станом на 01.01.2023 складається із 13 приватних перевізників та комунального підприємства «Луцьке підприємство електротранспорту».</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kern w:val="2"/>
          <w:sz w:val="24"/>
          <w:szCs w:val="24"/>
          <w:lang w:eastAsia="zh-CN" w:bidi="hi-IN"/>
        </w:rPr>
        <w:t>Приватними перевізниками обслуговуються 28 маршрутів по яким курсують 139 автобусів, що працюють в звичайному режимі руху (таблиця 55).</w:t>
      </w:r>
    </w:p>
    <w:p w:rsidR="00D227E2" w:rsidRDefault="00934FC4">
      <w:pPr>
        <w:spacing w:after="0"/>
        <w:ind w:firstLine="510"/>
        <w:jc w:val="center"/>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Таблиця 55. Характеристика перевізників</w:t>
      </w:r>
    </w:p>
    <w:tbl>
      <w:tblPr>
        <w:tblW w:w="9677" w:type="dxa"/>
        <w:tblInd w:w="291" w:type="dxa"/>
        <w:tblLayout w:type="fixed"/>
        <w:tblLook w:val="04A0" w:firstRow="1" w:lastRow="0" w:firstColumn="1" w:lastColumn="0" w:noHBand="0" w:noVBand="1"/>
      </w:tblPr>
      <w:tblGrid>
        <w:gridCol w:w="6441"/>
        <w:gridCol w:w="869"/>
        <w:gridCol w:w="891"/>
        <w:gridCol w:w="727"/>
        <w:gridCol w:w="749"/>
      </w:tblGrid>
      <w:tr w:rsidR="00D227E2">
        <w:tc>
          <w:tcPr>
            <w:tcW w:w="6441" w:type="dxa"/>
            <w:vMerge w:val="restart"/>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shd w:val="clear" w:color="auto" w:fill="FFFFFF"/>
              </w:rPr>
              <w:t>Параметр</w:t>
            </w:r>
          </w:p>
        </w:tc>
        <w:tc>
          <w:tcPr>
            <w:tcW w:w="1760" w:type="dxa"/>
            <w:gridSpan w:val="2"/>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shd w:val="clear" w:color="auto" w:fill="FFFFFF"/>
              </w:rPr>
              <w:t>м. Луцьк</w:t>
            </w:r>
          </w:p>
        </w:tc>
        <w:tc>
          <w:tcPr>
            <w:tcW w:w="1476" w:type="dxa"/>
            <w:gridSpan w:val="2"/>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shd w:val="clear" w:color="auto" w:fill="FFFFFF"/>
              </w:rPr>
              <w:t>СО</w:t>
            </w:r>
          </w:p>
        </w:tc>
      </w:tr>
      <w:tr w:rsidR="00D227E2">
        <w:tc>
          <w:tcPr>
            <w:tcW w:w="6441"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contextualSpacing/>
              <w:jc w:val="center"/>
              <w:rPr>
                <w:rFonts w:ascii="Times New Roman" w:hAnsi="Times New Roman" w:cs="Times New Roman"/>
                <w:color w:val="000000"/>
                <w:shd w:val="clear" w:color="auto" w:fill="FFFFFF"/>
              </w:rPr>
            </w:pPr>
          </w:p>
        </w:tc>
        <w:tc>
          <w:tcPr>
            <w:tcW w:w="86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shd w:val="clear" w:color="auto" w:fill="FFFFFF"/>
              </w:rPr>
              <w:t>2015</w:t>
            </w:r>
          </w:p>
        </w:tc>
        <w:tc>
          <w:tcPr>
            <w:tcW w:w="891"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shd w:val="clear" w:color="auto" w:fill="FFFFFF"/>
              </w:rPr>
              <w:t>2022</w:t>
            </w:r>
          </w:p>
        </w:tc>
        <w:tc>
          <w:tcPr>
            <w:tcW w:w="72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shd w:val="clear" w:color="auto" w:fill="FFFFFF"/>
              </w:rPr>
              <w:t>2015</w:t>
            </w:r>
          </w:p>
        </w:tc>
        <w:tc>
          <w:tcPr>
            <w:tcW w:w="74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hAnsi="Times New Roman" w:cs="Times New Roman"/>
                <w:color w:val="000000"/>
                <w:shd w:val="clear" w:color="auto" w:fill="FFFFFF"/>
              </w:rPr>
              <w:t>2022</w:t>
            </w:r>
          </w:p>
        </w:tc>
      </w:tr>
      <w:tr w:rsidR="00D227E2">
        <w:tc>
          <w:tcPr>
            <w:tcW w:w="6441"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both"/>
              <w:rPr>
                <w:rFonts w:ascii="Times New Roman" w:hAnsi="Times New Roman" w:cs="Times New Roman"/>
              </w:rPr>
            </w:pPr>
            <w:r>
              <w:rPr>
                <w:rFonts w:ascii="Times New Roman" w:hAnsi="Times New Roman" w:cs="Times New Roman"/>
                <w:color w:val="000000"/>
                <w:shd w:val="clear" w:color="auto" w:fill="FFFFFF"/>
              </w:rPr>
              <w:t>Кількість перевізників (од)</w:t>
            </w:r>
          </w:p>
        </w:tc>
        <w:tc>
          <w:tcPr>
            <w:tcW w:w="86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eastAsia="Microsoft Sans Serif" w:hAnsi="Times New Roman" w:cs="Times New Roman"/>
                <w:kern w:val="2"/>
              </w:rPr>
              <w:t>10</w:t>
            </w:r>
          </w:p>
        </w:tc>
        <w:tc>
          <w:tcPr>
            <w:tcW w:w="891"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13</w:t>
            </w:r>
          </w:p>
        </w:tc>
        <w:tc>
          <w:tcPr>
            <w:tcW w:w="72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eastAsia="Microsoft Sans Serif" w:hAnsi="Times New Roman" w:cs="Times New Roman"/>
                <w:kern w:val="2"/>
              </w:rPr>
              <w:t>-</w:t>
            </w:r>
          </w:p>
        </w:tc>
        <w:tc>
          <w:tcPr>
            <w:tcW w:w="74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w:t>
            </w:r>
          </w:p>
        </w:tc>
      </w:tr>
      <w:tr w:rsidR="00D227E2">
        <w:tc>
          <w:tcPr>
            <w:tcW w:w="6441"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both"/>
              <w:rPr>
                <w:rFonts w:ascii="Times New Roman" w:hAnsi="Times New Roman" w:cs="Times New Roman"/>
              </w:rPr>
            </w:pPr>
            <w:r>
              <w:rPr>
                <w:rFonts w:ascii="Times New Roman" w:eastAsia="Microsoft Sans Serif" w:hAnsi="Times New Roman" w:cs="Times New Roman"/>
                <w:color w:val="000000"/>
                <w:kern w:val="2"/>
                <w:shd w:val="clear" w:color="auto" w:fill="FFFFFF"/>
              </w:rPr>
              <w:t>в т.ч. тролейбуси (од)</w:t>
            </w:r>
          </w:p>
        </w:tc>
        <w:tc>
          <w:tcPr>
            <w:tcW w:w="86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eastAsia="Microsoft Sans Serif" w:hAnsi="Times New Roman" w:cs="Times New Roman"/>
                <w:kern w:val="2"/>
              </w:rPr>
              <w:t>1</w:t>
            </w:r>
          </w:p>
        </w:tc>
        <w:tc>
          <w:tcPr>
            <w:tcW w:w="891"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w:t>
            </w:r>
          </w:p>
        </w:tc>
        <w:tc>
          <w:tcPr>
            <w:tcW w:w="72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eastAsia="Microsoft Sans Serif" w:hAnsi="Times New Roman" w:cs="Times New Roman"/>
                <w:kern w:val="2"/>
              </w:rPr>
              <w:t>-</w:t>
            </w:r>
          </w:p>
        </w:tc>
        <w:tc>
          <w:tcPr>
            <w:tcW w:w="74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w:t>
            </w:r>
          </w:p>
        </w:tc>
      </w:tr>
      <w:tr w:rsidR="00D227E2">
        <w:tc>
          <w:tcPr>
            <w:tcW w:w="6441"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both"/>
              <w:rPr>
                <w:rFonts w:ascii="Times New Roman" w:hAnsi="Times New Roman" w:cs="Times New Roman"/>
              </w:rPr>
            </w:pPr>
            <w:r>
              <w:rPr>
                <w:rFonts w:ascii="Times New Roman" w:hAnsi="Times New Roman" w:cs="Times New Roman"/>
                <w:color w:val="000000"/>
                <w:shd w:val="clear" w:color="auto" w:fill="FFFFFF"/>
              </w:rPr>
              <w:t>Кількість маршрутів (од)</w:t>
            </w:r>
          </w:p>
        </w:tc>
        <w:tc>
          <w:tcPr>
            <w:tcW w:w="86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eastAsia="Microsoft Sans Serif" w:hAnsi="Times New Roman" w:cs="Times New Roman"/>
                <w:kern w:val="2"/>
              </w:rPr>
              <w:t>39</w:t>
            </w:r>
          </w:p>
        </w:tc>
        <w:tc>
          <w:tcPr>
            <w:tcW w:w="891"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30</w:t>
            </w:r>
          </w:p>
        </w:tc>
        <w:tc>
          <w:tcPr>
            <w:tcW w:w="72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eastAsia="Microsoft Sans Serif" w:hAnsi="Times New Roman" w:cs="Times New Roman"/>
                <w:kern w:val="2"/>
              </w:rPr>
              <w:t>-</w:t>
            </w:r>
          </w:p>
        </w:tc>
        <w:tc>
          <w:tcPr>
            <w:tcW w:w="74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7</w:t>
            </w:r>
          </w:p>
        </w:tc>
      </w:tr>
      <w:tr w:rsidR="00D227E2">
        <w:tc>
          <w:tcPr>
            <w:tcW w:w="6441"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both"/>
              <w:rPr>
                <w:rFonts w:ascii="Times New Roman" w:hAnsi="Times New Roman" w:cs="Times New Roman"/>
              </w:rPr>
            </w:pPr>
            <w:r>
              <w:rPr>
                <w:rFonts w:ascii="Times New Roman" w:eastAsia="Microsoft Sans Serif" w:hAnsi="Times New Roman" w:cs="Times New Roman"/>
                <w:color w:val="000000"/>
                <w:kern w:val="2"/>
                <w:shd w:val="clear" w:color="auto" w:fill="FFFFFF"/>
              </w:rPr>
              <w:t>в т.ч. тролейбуси (од)</w:t>
            </w:r>
          </w:p>
        </w:tc>
        <w:tc>
          <w:tcPr>
            <w:tcW w:w="86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eastAsia="Microsoft Sans Serif" w:hAnsi="Times New Roman" w:cs="Times New Roman"/>
                <w:kern w:val="2"/>
              </w:rPr>
              <w:t>11</w:t>
            </w:r>
          </w:p>
        </w:tc>
        <w:tc>
          <w:tcPr>
            <w:tcW w:w="891"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9</w:t>
            </w:r>
          </w:p>
        </w:tc>
        <w:tc>
          <w:tcPr>
            <w:tcW w:w="72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eastAsia="Microsoft Sans Serif" w:hAnsi="Times New Roman" w:cs="Times New Roman"/>
                <w:kern w:val="2"/>
              </w:rPr>
              <w:t>-</w:t>
            </w:r>
          </w:p>
        </w:tc>
        <w:tc>
          <w:tcPr>
            <w:tcW w:w="74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w:t>
            </w:r>
          </w:p>
        </w:tc>
      </w:tr>
      <w:tr w:rsidR="00D227E2">
        <w:tc>
          <w:tcPr>
            <w:tcW w:w="6441"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both"/>
              <w:rPr>
                <w:rFonts w:ascii="Times New Roman" w:hAnsi="Times New Roman" w:cs="Times New Roman"/>
              </w:rPr>
            </w:pPr>
            <w:r>
              <w:rPr>
                <w:rFonts w:ascii="Times New Roman" w:hAnsi="Times New Roman" w:cs="Times New Roman"/>
                <w:color w:val="000000"/>
                <w:shd w:val="clear" w:color="auto" w:fill="FFFFFF"/>
              </w:rPr>
              <w:t>Загальна кількість транспортних засобів, що використовується перевізниками (шт.)</w:t>
            </w:r>
          </w:p>
        </w:tc>
        <w:tc>
          <w:tcPr>
            <w:tcW w:w="86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eastAsia="Microsoft Sans Serif" w:hAnsi="Times New Roman" w:cs="Times New Roman"/>
                <w:kern w:val="2"/>
              </w:rPr>
              <w:t>298</w:t>
            </w:r>
          </w:p>
        </w:tc>
        <w:tc>
          <w:tcPr>
            <w:tcW w:w="891"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212</w:t>
            </w:r>
          </w:p>
        </w:tc>
        <w:tc>
          <w:tcPr>
            <w:tcW w:w="72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eastAsia="Microsoft Sans Serif" w:hAnsi="Times New Roman" w:cs="Times New Roman"/>
                <w:kern w:val="2"/>
              </w:rPr>
              <w:t>-</w:t>
            </w:r>
          </w:p>
        </w:tc>
        <w:tc>
          <w:tcPr>
            <w:tcW w:w="74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10</w:t>
            </w:r>
          </w:p>
        </w:tc>
      </w:tr>
      <w:tr w:rsidR="00D227E2">
        <w:tc>
          <w:tcPr>
            <w:tcW w:w="6441"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both"/>
              <w:rPr>
                <w:rFonts w:ascii="Times New Roman" w:hAnsi="Times New Roman" w:cs="Times New Roman"/>
              </w:rPr>
            </w:pPr>
            <w:r>
              <w:rPr>
                <w:rFonts w:ascii="Times New Roman" w:eastAsia="Microsoft Sans Serif" w:hAnsi="Times New Roman" w:cs="Times New Roman"/>
                <w:color w:val="000000"/>
                <w:kern w:val="2"/>
                <w:shd w:val="clear" w:color="auto" w:fill="FFFFFF"/>
              </w:rPr>
              <w:t>в т.ч. тролейбусів (шт.)</w:t>
            </w:r>
          </w:p>
        </w:tc>
        <w:tc>
          <w:tcPr>
            <w:tcW w:w="86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eastAsia="Microsoft Sans Serif" w:hAnsi="Times New Roman" w:cs="Times New Roman"/>
                <w:kern w:val="2"/>
              </w:rPr>
              <w:t>65</w:t>
            </w:r>
          </w:p>
        </w:tc>
        <w:tc>
          <w:tcPr>
            <w:tcW w:w="891"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73</w:t>
            </w:r>
          </w:p>
        </w:tc>
        <w:tc>
          <w:tcPr>
            <w:tcW w:w="72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eastAsia="Microsoft Sans Serif" w:hAnsi="Times New Roman" w:cs="Times New Roman"/>
                <w:kern w:val="2"/>
              </w:rPr>
              <w:t>-</w:t>
            </w:r>
          </w:p>
        </w:tc>
        <w:tc>
          <w:tcPr>
            <w:tcW w:w="74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w:t>
            </w:r>
          </w:p>
        </w:tc>
      </w:tr>
      <w:tr w:rsidR="00D227E2">
        <w:tc>
          <w:tcPr>
            <w:tcW w:w="6441"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both"/>
              <w:rPr>
                <w:rFonts w:ascii="Times New Roman" w:hAnsi="Times New Roman" w:cs="Times New Roman"/>
              </w:rPr>
            </w:pPr>
            <w:r>
              <w:rPr>
                <w:rFonts w:ascii="Times New Roman" w:eastAsia="Microsoft Sans Serif" w:hAnsi="Times New Roman" w:cs="Times New Roman"/>
                <w:color w:val="000000"/>
                <w:kern w:val="2"/>
                <w:shd w:val="clear" w:color="auto" w:fill="FFFFFF"/>
              </w:rPr>
              <w:t xml:space="preserve">Загальна протяжність </w:t>
            </w:r>
            <w:r>
              <w:rPr>
                <w:rFonts w:ascii="Times New Roman" w:hAnsi="Times New Roman" w:cs="Times New Roman"/>
              </w:rPr>
              <w:t>контактної мережі для тролейбусів (км)</w:t>
            </w:r>
          </w:p>
        </w:tc>
        <w:tc>
          <w:tcPr>
            <w:tcW w:w="86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eastAsia="Microsoft Sans Serif" w:hAnsi="Times New Roman" w:cs="Times New Roman"/>
                <w:kern w:val="2"/>
              </w:rPr>
              <w:t>109,2</w:t>
            </w:r>
          </w:p>
        </w:tc>
        <w:tc>
          <w:tcPr>
            <w:tcW w:w="891"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109,2</w:t>
            </w:r>
          </w:p>
        </w:tc>
        <w:tc>
          <w:tcPr>
            <w:tcW w:w="72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eastAsia="Microsoft Sans Serif" w:hAnsi="Times New Roman" w:cs="Times New Roman"/>
                <w:kern w:val="2"/>
              </w:rPr>
              <w:t>-</w:t>
            </w:r>
          </w:p>
        </w:tc>
        <w:tc>
          <w:tcPr>
            <w:tcW w:w="74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w:t>
            </w:r>
          </w:p>
        </w:tc>
      </w:tr>
      <w:tr w:rsidR="00D227E2">
        <w:tc>
          <w:tcPr>
            <w:tcW w:w="6441"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both"/>
              <w:rPr>
                <w:rFonts w:ascii="Times New Roman" w:hAnsi="Times New Roman" w:cs="Times New Roman"/>
              </w:rPr>
            </w:pPr>
            <w:r>
              <w:rPr>
                <w:rFonts w:ascii="Times New Roman" w:eastAsia="Microsoft Sans Serif" w:hAnsi="Times New Roman" w:cs="Times New Roman"/>
                <w:color w:val="000000"/>
                <w:kern w:val="2"/>
                <w:shd w:val="clear" w:color="auto" w:fill="FFFFFF"/>
              </w:rPr>
              <w:t>Кількість тягових підстанцій для тролейбусів (од)</w:t>
            </w:r>
          </w:p>
        </w:tc>
        <w:tc>
          <w:tcPr>
            <w:tcW w:w="86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eastAsia="Microsoft Sans Serif" w:hAnsi="Times New Roman" w:cs="Times New Roman"/>
                <w:kern w:val="2"/>
              </w:rPr>
              <w:t>9</w:t>
            </w:r>
          </w:p>
        </w:tc>
        <w:tc>
          <w:tcPr>
            <w:tcW w:w="891"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9</w:t>
            </w:r>
          </w:p>
        </w:tc>
        <w:tc>
          <w:tcPr>
            <w:tcW w:w="72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eastAsia="Microsoft Sans Serif" w:hAnsi="Times New Roman" w:cs="Times New Roman"/>
                <w:kern w:val="2"/>
              </w:rPr>
              <w:t>-</w:t>
            </w:r>
          </w:p>
        </w:tc>
        <w:tc>
          <w:tcPr>
            <w:tcW w:w="74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w:t>
            </w:r>
          </w:p>
        </w:tc>
      </w:tr>
      <w:tr w:rsidR="00D227E2">
        <w:tc>
          <w:tcPr>
            <w:tcW w:w="6441"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both"/>
              <w:rPr>
                <w:rFonts w:ascii="Times New Roman" w:hAnsi="Times New Roman" w:cs="Times New Roman"/>
              </w:rPr>
            </w:pPr>
            <w:r>
              <w:rPr>
                <w:rFonts w:ascii="Times New Roman" w:hAnsi="Times New Roman" w:cs="Times New Roman"/>
              </w:rPr>
              <w:t>Експлуатаційна протяжність тролейбусних ліній (км)</w:t>
            </w:r>
          </w:p>
        </w:tc>
        <w:tc>
          <w:tcPr>
            <w:tcW w:w="86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eastAsia="Microsoft Sans Serif" w:hAnsi="Times New Roman" w:cs="Times New Roman"/>
                <w:kern w:val="2"/>
              </w:rPr>
              <w:t>276</w:t>
            </w:r>
          </w:p>
        </w:tc>
        <w:tc>
          <w:tcPr>
            <w:tcW w:w="891"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276</w:t>
            </w:r>
          </w:p>
        </w:tc>
        <w:tc>
          <w:tcPr>
            <w:tcW w:w="72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eastAsia="Microsoft Sans Serif" w:hAnsi="Times New Roman" w:cs="Times New Roman"/>
                <w:kern w:val="2"/>
              </w:rPr>
              <w:t>-</w:t>
            </w:r>
          </w:p>
        </w:tc>
        <w:tc>
          <w:tcPr>
            <w:tcW w:w="74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contextualSpacing/>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w:t>
            </w:r>
          </w:p>
        </w:tc>
      </w:tr>
    </w:tbl>
    <w:p w:rsidR="00D227E2" w:rsidRDefault="00D227E2">
      <w:pPr>
        <w:spacing w:after="0"/>
        <w:ind w:firstLine="510"/>
        <w:jc w:val="both"/>
        <w:rPr>
          <w:rFonts w:ascii="Times New Roman" w:eastAsia="NSimSun" w:hAnsi="Times New Roman" w:cs="Times New Roman"/>
          <w:color w:val="000000"/>
          <w:kern w:val="2"/>
          <w:sz w:val="24"/>
          <w:szCs w:val="24"/>
          <w:shd w:val="clear" w:color="auto" w:fill="FFFFFF"/>
          <w:lang w:eastAsia="zh-CN" w:bidi="hi-IN"/>
        </w:rPr>
      </w:pPr>
    </w:p>
    <w:p w:rsidR="00D227E2" w:rsidRDefault="00D227E2">
      <w:pPr>
        <w:spacing w:after="0"/>
        <w:ind w:firstLine="510"/>
        <w:jc w:val="both"/>
        <w:rPr>
          <w:rFonts w:ascii="Times New Roman" w:eastAsia="NSimSun" w:hAnsi="Times New Roman" w:cs="Times New Roman"/>
          <w:color w:val="000000"/>
          <w:kern w:val="2"/>
          <w:sz w:val="24"/>
          <w:szCs w:val="24"/>
          <w:shd w:val="clear" w:color="auto" w:fill="FFFFFF"/>
          <w:lang w:eastAsia="zh-CN" w:bidi="hi-IN"/>
        </w:rPr>
      </w:pP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kern w:val="2"/>
          <w:sz w:val="24"/>
          <w:szCs w:val="24"/>
          <w:lang w:eastAsia="zh-CN" w:bidi="hi-IN"/>
        </w:rPr>
        <w:lastRenderedPageBreak/>
        <w:t>На рисунку 38 зображена схема руху громадського транспорту у Луцькій МТГ та навколишніх громадах.</w:t>
      </w:r>
    </w:p>
    <w:p w:rsidR="00D227E2" w:rsidRDefault="00934FC4">
      <w:pPr>
        <w:spacing w:after="0"/>
        <w:ind w:firstLine="510"/>
        <w:jc w:val="center"/>
        <w:rPr>
          <w:rFonts w:ascii="Times New Roman" w:hAnsi="Times New Roman" w:cs="Times New Roman"/>
        </w:rPr>
      </w:pPr>
      <w:r>
        <w:rPr>
          <w:noProof/>
          <w:lang w:eastAsia="uk-UA"/>
        </w:rPr>
        <w:drawing>
          <wp:anchor distT="0" distB="0" distL="0" distR="0" simplePos="0" relativeHeight="102" behindDoc="0" locked="0" layoutInCell="0" allowOverlap="1" wp14:anchorId="19D65865" wp14:editId="4F09E804">
            <wp:simplePos x="0" y="0"/>
            <wp:positionH relativeFrom="column">
              <wp:align>center</wp:align>
            </wp:positionH>
            <wp:positionV relativeFrom="paragraph">
              <wp:posOffset>635</wp:posOffset>
            </wp:positionV>
            <wp:extent cx="5995035" cy="5291455"/>
            <wp:effectExtent l="0" t="0" r="0" b="0"/>
            <wp:wrapSquare wrapText="largest"/>
            <wp:docPr id="53" name="Зображення7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Зображення7 Copy 1"/>
                    <pic:cNvPicPr>
                      <a:picLocks noChangeAspect="1" noChangeArrowheads="1"/>
                    </pic:cNvPicPr>
                  </pic:nvPicPr>
                  <pic:blipFill>
                    <a:blip r:embed="rId75"/>
                    <a:stretch>
                      <a:fillRect/>
                    </a:stretch>
                  </pic:blipFill>
                  <pic:spPr bwMode="auto">
                    <a:xfrm>
                      <a:off x="0" y="0"/>
                      <a:ext cx="5995035" cy="5291455"/>
                    </a:xfrm>
                    <a:prstGeom prst="rect">
                      <a:avLst/>
                    </a:prstGeom>
                  </pic:spPr>
                </pic:pic>
              </a:graphicData>
            </a:graphic>
          </wp:anchor>
        </w:drawing>
      </w:r>
      <w:r>
        <w:rPr>
          <w:rFonts w:ascii="Times New Roman" w:eastAsia="NSimSun" w:hAnsi="Times New Roman" w:cs="Times New Roman"/>
          <w:color w:val="000000"/>
          <w:kern w:val="2"/>
          <w:sz w:val="24"/>
          <w:szCs w:val="24"/>
          <w:shd w:val="clear" w:color="auto" w:fill="FFFFFF"/>
          <w:lang w:eastAsia="zh-CN" w:bidi="hi-IN"/>
        </w:rPr>
        <w:t> Рисунок 38. Схема руху громадського транспорту</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Станом на 2022 рік протяжність міських автобусних маршрутів становить 330 км, середня довжина маршруту тролейбусів 21,29 км.</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 xml:space="preserve">Загальна кількість зупинок у Луцькій МТГ становить 717 одиниць, з них 454 зупинки у м. Луцьку та 263 зупинки в населених пунктах громади.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З метою покращення якості перевезення пасажирів у Луцькій МТГ з 2019 року запроваджено автоматизовану систему обліку оплати проїзду (АСООП).</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 xml:space="preserve">Окрім обліку оплати проїзду АСООП включає також систему GPS-моніторингу, систему автоматичного сповіщення пасажирів (оголошення в салонах автобусів/тролейбусів назв зупинок), систему відеоспостереження. Оператором створено графічний інтерфейс для обліку валідацій (uagui), графічний інтерфейс GPS-моніторингу (uavts), графічний інтерфейс відеоспостереження (CMS), вебпортал для пасажирів (www.citycard.ua), мобільний додаток Android/IOS CityCard.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 xml:space="preserve">Пасажиру надано можливість здійснювати оплату за проїзд: транспортними картками (неперсоніфіковані, учнівські, студентські, пільгові), QR-квитками у мобільному додатку, разовими QR-квитками, банківськими картками з фізичних носіїв та з пристроїв з технологією NFC через GooglePay/ApplePay. Поповнити баланс електронної картки для </w:t>
      </w:r>
      <w:r>
        <w:rPr>
          <w:rFonts w:ascii="Times New Roman" w:eastAsia="NSimSun" w:hAnsi="Times New Roman" w:cs="Times New Roman"/>
          <w:color w:val="000000"/>
          <w:kern w:val="2"/>
          <w:sz w:val="24"/>
          <w:szCs w:val="24"/>
          <w:shd w:val="clear" w:color="auto" w:fill="FFFFFF"/>
          <w:lang w:eastAsia="zh-CN" w:bidi="hi-IN"/>
        </w:rPr>
        <w:lastRenderedPageBreak/>
        <w:t>проїзду можна у терміналах самообслуговування, що розташовані у кожному районі міста, на вебпорталі www.citycard.ua та у мобільному додатку CityCard.</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АСООП через доступ до вебпорталу та мобільного додатку надає можливість відстежувати рух коштів, вивчати графік та рух транспорту за маршрутом у режимі онлайн.</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Перевізники та Організатор перевезень отримали звітність щодо пасажиропотоків у кількісному та фінансовому вигляді, а також можливість фільтрувати інформацію для побудови зручних транспортних звітів.</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Виведення з тіні коштів сприяє покращенню фінансового стану перевізника, надає можливість встановити економічно обґрунтований тариф, та розширює інвестиційні можливості надавачів послуг.</w:t>
      </w:r>
    </w:p>
    <w:p w:rsidR="00D227E2" w:rsidRDefault="00934FC4">
      <w:pPr>
        <w:spacing w:after="0"/>
        <w:ind w:firstLine="567"/>
        <w:jc w:val="center"/>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Таблиця 56. Кількість перевезених пасажирів комунальним транспортом за 2022 рік</w:t>
      </w:r>
    </w:p>
    <w:tbl>
      <w:tblPr>
        <w:tblW w:w="5000" w:type="pct"/>
        <w:tblInd w:w="28" w:type="dxa"/>
        <w:tblLayout w:type="fixed"/>
        <w:tblCellMar>
          <w:top w:w="28" w:type="dxa"/>
          <w:left w:w="28" w:type="dxa"/>
          <w:bottom w:w="28" w:type="dxa"/>
          <w:right w:w="28" w:type="dxa"/>
        </w:tblCellMar>
        <w:tblLook w:val="0000" w:firstRow="0" w:lastRow="0" w:firstColumn="0" w:lastColumn="0" w:noHBand="0" w:noVBand="0"/>
      </w:tblPr>
      <w:tblGrid>
        <w:gridCol w:w="5223"/>
        <w:gridCol w:w="4471"/>
      </w:tblGrid>
      <w:tr w:rsidR="00D227E2">
        <w:tc>
          <w:tcPr>
            <w:tcW w:w="5192" w:type="dxa"/>
            <w:tcBorders>
              <w:top w:val="single" w:sz="2" w:space="0" w:color="000000"/>
              <w:left w:val="single" w:sz="2" w:space="0" w:color="000000"/>
              <w:bottom w:val="single" w:sz="2" w:space="0" w:color="000000"/>
            </w:tcBorders>
          </w:tcPr>
          <w:p w:rsidR="00D227E2" w:rsidRDefault="00934FC4">
            <w:pPr>
              <w:widowControl w:val="0"/>
              <w:suppressLineNumbers/>
              <w:spacing w:after="0" w:line="240" w:lineRule="auto"/>
              <w:jc w:val="center"/>
              <w:rPr>
                <w:rFonts w:ascii="Times New Roman" w:hAnsi="Times New Roman" w:cs="Times New Roman"/>
              </w:rPr>
            </w:pPr>
            <w:r>
              <w:rPr>
                <w:rFonts w:ascii="Times New Roman" w:eastAsia="NSimSun" w:hAnsi="Times New Roman" w:cs="Times New Roman"/>
                <w:color w:val="000000"/>
                <w:kern w:val="2"/>
                <w:shd w:val="clear" w:color="auto" w:fill="FFFFFF"/>
                <w:lang w:eastAsia="zh-CN" w:bidi="hi-IN"/>
              </w:rPr>
              <w:t>Тип транспорту</w:t>
            </w:r>
          </w:p>
        </w:tc>
        <w:tc>
          <w:tcPr>
            <w:tcW w:w="4445" w:type="dxa"/>
            <w:tcBorders>
              <w:top w:val="single" w:sz="2" w:space="0" w:color="000000"/>
              <w:left w:val="single" w:sz="2" w:space="0" w:color="000000"/>
              <w:bottom w:val="single" w:sz="2" w:space="0" w:color="000000"/>
              <w:right w:val="single" w:sz="2" w:space="0" w:color="000000"/>
            </w:tcBorders>
          </w:tcPr>
          <w:p w:rsidR="00D227E2" w:rsidRDefault="00934FC4">
            <w:pPr>
              <w:widowControl w:val="0"/>
              <w:suppressLineNumbers/>
              <w:spacing w:after="0" w:line="240" w:lineRule="auto"/>
              <w:jc w:val="center"/>
              <w:rPr>
                <w:rFonts w:ascii="Times New Roman" w:hAnsi="Times New Roman" w:cs="Times New Roman"/>
              </w:rPr>
            </w:pPr>
            <w:r>
              <w:rPr>
                <w:rFonts w:ascii="Times New Roman" w:eastAsia="NSimSun" w:hAnsi="Times New Roman" w:cs="Times New Roman"/>
                <w:color w:val="000000"/>
                <w:kern w:val="2"/>
                <w:shd w:val="clear" w:color="auto" w:fill="FFFFFF"/>
                <w:lang w:eastAsia="zh-CN" w:bidi="hi-IN"/>
              </w:rPr>
              <w:t>Кількість пасажирів</w:t>
            </w:r>
          </w:p>
        </w:tc>
      </w:tr>
      <w:tr w:rsidR="00D227E2">
        <w:tc>
          <w:tcPr>
            <w:tcW w:w="5192" w:type="dxa"/>
            <w:tcBorders>
              <w:left w:val="single" w:sz="2" w:space="0" w:color="000000"/>
              <w:bottom w:val="single" w:sz="2" w:space="0" w:color="000000"/>
            </w:tcBorders>
          </w:tcPr>
          <w:p w:rsidR="00D227E2" w:rsidRDefault="00934FC4">
            <w:pPr>
              <w:widowControl w:val="0"/>
              <w:suppressLineNumbers/>
              <w:spacing w:after="0" w:line="240" w:lineRule="auto"/>
              <w:rPr>
                <w:rFonts w:ascii="Times New Roman" w:hAnsi="Times New Roman" w:cs="Times New Roman"/>
              </w:rPr>
            </w:pPr>
            <w:r>
              <w:rPr>
                <w:rFonts w:ascii="Times New Roman" w:eastAsia="NSimSun" w:hAnsi="Times New Roman" w:cs="Times New Roman"/>
                <w:color w:val="000000"/>
                <w:kern w:val="2"/>
                <w:shd w:val="clear" w:color="auto" w:fill="FFFFFF"/>
                <w:lang w:eastAsia="zh-CN" w:bidi="hi-IN"/>
              </w:rPr>
              <w:t>Автобуси</w:t>
            </w:r>
          </w:p>
        </w:tc>
        <w:tc>
          <w:tcPr>
            <w:tcW w:w="4445" w:type="dxa"/>
            <w:tcBorders>
              <w:left w:val="single" w:sz="2" w:space="0" w:color="000000"/>
              <w:bottom w:val="single" w:sz="2" w:space="0" w:color="000000"/>
              <w:right w:val="single" w:sz="2" w:space="0" w:color="000000"/>
            </w:tcBorders>
          </w:tcPr>
          <w:p w:rsidR="00D227E2" w:rsidRDefault="00934FC4">
            <w:pPr>
              <w:widowControl w:val="0"/>
              <w:suppressLineNumbers/>
              <w:spacing w:after="0" w:line="240" w:lineRule="auto"/>
              <w:jc w:val="center"/>
              <w:rPr>
                <w:rFonts w:ascii="Times New Roman" w:hAnsi="Times New Roman" w:cs="Times New Roman"/>
              </w:rPr>
            </w:pPr>
            <w:r>
              <w:rPr>
                <w:rFonts w:ascii="Times New Roman" w:hAnsi="Times New Roman" w:cs="Times New Roman"/>
              </w:rPr>
              <w:t>15 941 814</w:t>
            </w:r>
          </w:p>
        </w:tc>
      </w:tr>
      <w:tr w:rsidR="00D227E2">
        <w:tc>
          <w:tcPr>
            <w:tcW w:w="5192" w:type="dxa"/>
            <w:tcBorders>
              <w:left w:val="single" w:sz="2" w:space="0" w:color="000000"/>
              <w:bottom w:val="single" w:sz="2" w:space="0" w:color="000000"/>
            </w:tcBorders>
          </w:tcPr>
          <w:p w:rsidR="00D227E2" w:rsidRDefault="00934FC4">
            <w:pPr>
              <w:widowControl w:val="0"/>
              <w:suppressLineNumbers/>
              <w:spacing w:after="0" w:line="240" w:lineRule="auto"/>
              <w:rPr>
                <w:rFonts w:ascii="Times New Roman" w:hAnsi="Times New Roman" w:cs="Times New Roman"/>
              </w:rPr>
            </w:pPr>
            <w:r>
              <w:rPr>
                <w:rFonts w:ascii="Times New Roman" w:eastAsia="NSimSun" w:hAnsi="Times New Roman" w:cs="Times New Roman"/>
                <w:color w:val="000000"/>
                <w:kern w:val="2"/>
                <w:shd w:val="clear" w:color="auto" w:fill="FFFFFF"/>
                <w:lang w:eastAsia="zh-CN" w:bidi="hi-IN"/>
              </w:rPr>
              <w:t>Тролейбуси</w:t>
            </w:r>
          </w:p>
        </w:tc>
        <w:tc>
          <w:tcPr>
            <w:tcW w:w="4445" w:type="dxa"/>
            <w:tcBorders>
              <w:left w:val="single" w:sz="2" w:space="0" w:color="000000"/>
              <w:bottom w:val="single" w:sz="2" w:space="0" w:color="000000"/>
              <w:right w:val="single" w:sz="2" w:space="0" w:color="000000"/>
            </w:tcBorders>
          </w:tcPr>
          <w:p w:rsidR="00D227E2" w:rsidRDefault="00934FC4">
            <w:pPr>
              <w:widowControl w:val="0"/>
              <w:suppressLineNumbers/>
              <w:spacing w:after="0" w:line="240" w:lineRule="auto"/>
              <w:jc w:val="center"/>
              <w:rPr>
                <w:rFonts w:ascii="Times New Roman" w:hAnsi="Times New Roman" w:cs="Times New Roman"/>
              </w:rPr>
            </w:pPr>
            <w:r>
              <w:rPr>
                <w:rFonts w:ascii="Times New Roman" w:eastAsia="NSimSun" w:hAnsi="Times New Roman" w:cs="Times New Roman"/>
                <w:color w:val="000000"/>
                <w:kern w:val="2"/>
                <w:shd w:val="clear" w:color="auto" w:fill="FFFFFF"/>
                <w:lang w:eastAsia="zh-CN" w:bidi="hi-IN"/>
              </w:rPr>
              <w:t>13 172 771</w:t>
            </w:r>
          </w:p>
        </w:tc>
      </w:tr>
      <w:tr w:rsidR="00D227E2">
        <w:tc>
          <w:tcPr>
            <w:tcW w:w="5192" w:type="dxa"/>
            <w:tcBorders>
              <w:left w:val="single" w:sz="2" w:space="0" w:color="000000"/>
              <w:bottom w:val="single" w:sz="2" w:space="0" w:color="000000"/>
            </w:tcBorders>
          </w:tcPr>
          <w:p w:rsidR="00D227E2" w:rsidRDefault="00934FC4">
            <w:pPr>
              <w:widowControl w:val="0"/>
              <w:suppressLineNumbers/>
              <w:spacing w:after="0" w:line="240" w:lineRule="auto"/>
              <w:rPr>
                <w:rFonts w:ascii="Times New Roman" w:hAnsi="Times New Roman" w:cs="Times New Roman"/>
              </w:rPr>
            </w:pPr>
            <w:r>
              <w:rPr>
                <w:rFonts w:ascii="Times New Roman" w:eastAsia="NSimSun" w:hAnsi="Times New Roman" w:cs="Times New Roman"/>
                <w:color w:val="000000"/>
                <w:kern w:val="2"/>
                <w:shd w:val="clear" w:color="auto" w:fill="FFFFFF"/>
                <w:lang w:eastAsia="zh-CN" w:bidi="hi-IN"/>
              </w:rPr>
              <w:t>Всього</w:t>
            </w:r>
          </w:p>
        </w:tc>
        <w:tc>
          <w:tcPr>
            <w:tcW w:w="4445" w:type="dxa"/>
            <w:tcBorders>
              <w:left w:val="single" w:sz="2" w:space="0" w:color="000000"/>
              <w:bottom w:val="single" w:sz="2" w:space="0" w:color="000000"/>
              <w:right w:val="single" w:sz="2" w:space="0" w:color="000000"/>
            </w:tcBorders>
          </w:tcPr>
          <w:p w:rsidR="00D227E2" w:rsidRDefault="00934FC4">
            <w:pPr>
              <w:widowControl w:val="0"/>
              <w:suppressLineNumbers/>
              <w:spacing w:after="0" w:line="240" w:lineRule="auto"/>
              <w:jc w:val="center"/>
              <w:rPr>
                <w:rFonts w:ascii="Times New Roman" w:hAnsi="Times New Roman" w:cs="Times New Roman"/>
              </w:rPr>
            </w:pPr>
            <w:r>
              <w:rPr>
                <w:rFonts w:ascii="Times New Roman" w:hAnsi="Times New Roman" w:cs="Times New Roman"/>
              </w:rPr>
              <w:t>29 114 585</w:t>
            </w:r>
          </w:p>
        </w:tc>
      </w:tr>
    </w:tbl>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 xml:space="preserve">Окремо слід відмітити проєкт «Використання екологічних і розумних технологій у системі громадського транспорту м. Луцька».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В результаті його реалізації встановлено:</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1) 9 нових зупинок громадського транспорту із розумним табло, на яких висвітлюється інформація про прибуття громадського транспорту;</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2) 22 розумних табло на існуючих зупинках;</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3) сонячні панелі, точки для зарядки телефонів, зовнішнє освітлення, смітники для роздільного збору сміття, камери відеоспостереження, точки безкоштовного Wi-Fi;</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4) створено сайт, що висвітлює інформацію про громадський транспорт Луцької МТГ).</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Для збору даних щодо споживання палива громадським транспортом проводився розрахунок споживання палива відповідно до пройденого кілометражу та характеристик автотранспорту.</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kern w:val="2"/>
          <w:sz w:val="24"/>
          <w:szCs w:val="24"/>
          <w:lang w:eastAsia="zh-CN" w:bidi="hi-IN"/>
        </w:rPr>
        <w:t>Розрахункові дані по споживанню палива громадським транспортом у 2007, 2020 та 2022 роках представлені в таблиці 57.</w:t>
      </w:r>
    </w:p>
    <w:p w:rsidR="00D227E2" w:rsidRDefault="00934FC4">
      <w:pPr>
        <w:spacing w:after="0"/>
        <w:ind w:firstLine="510"/>
        <w:jc w:val="center"/>
        <w:rPr>
          <w:rFonts w:ascii="Times New Roman" w:hAnsi="Times New Roman" w:cs="Times New Roman"/>
        </w:rPr>
      </w:pPr>
      <w:r>
        <w:rPr>
          <w:rFonts w:ascii="Times New Roman" w:eastAsia="NSimSun" w:hAnsi="Times New Roman" w:cs="Times New Roman"/>
          <w:kern w:val="2"/>
          <w:sz w:val="24"/>
          <w:szCs w:val="24"/>
          <w:lang w:eastAsia="zh-CN" w:bidi="hi-IN"/>
        </w:rPr>
        <w:t xml:space="preserve">Таблиця 57. Споживання палива громадським транспортом у м. Луцьку </w:t>
      </w:r>
    </w:p>
    <w:tbl>
      <w:tblPr>
        <w:tblW w:w="9633" w:type="dxa"/>
        <w:tblInd w:w="21" w:type="dxa"/>
        <w:tblLayout w:type="fixed"/>
        <w:tblCellMar>
          <w:left w:w="5" w:type="dxa"/>
          <w:right w:w="5" w:type="dxa"/>
        </w:tblCellMar>
        <w:tblLook w:val="01E0" w:firstRow="1" w:lastRow="1" w:firstColumn="1" w:lastColumn="1" w:noHBand="0" w:noVBand="0"/>
      </w:tblPr>
      <w:tblGrid>
        <w:gridCol w:w="2546"/>
        <w:gridCol w:w="1522"/>
        <w:gridCol w:w="1591"/>
        <w:gridCol w:w="1742"/>
        <w:gridCol w:w="2232"/>
      </w:tblGrid>
      <w:tr w:rsidR="00D227E2">
        <w:trPr>
          <w:trHeight w:val="299"/>
        </w:trPr>
        <w:tc>
          <w:tcPr>
            <w:tcW w:w="2546" w:type="dxa"/>
            <w:vMerge w:val="restart"/>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jc w:val="center"/>
              <w:rPr>
                <w:rFonts w:ascii="Times New Roman" w:eastAsia="Microsoft Sans Serif" w:hAnsi="Times New Roman" w:cs="Times New Roman"/>
                <w:kern w:val="2"/>
              </w:rPr>
            </w:pPr>
          </w:p>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Види палива</w:t>
            </w:r>
          </w:p>
        </w:tc>
        <w:tc>
          <w:tcPr>
            <w:tcW w:w="4855" w:type="dxa"/>
            <w:gridSpan w:val="3"/>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Споживання палива, л</w:t>
            </w:r>
          </w:p>
        </w:tc>
        <w:tc>
          <w:tcPr>
            <w:tcW w:w="2232" w:type="dxa"/>
            <w:vMerge w:val="restart"/>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Порівняння споживання в 2022</w:t>
            </w:r>
          </w:p>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до 2007 року ( %)</w:t>
            </w:r>
          </w:p>
        </w:tc>
      </w:tr>
      <w:tr w:rsidR="00D227E2">
        <w:trPr>
          <w:trHeight w:val="448"/>
        </w:trPr>
        <w:tc>
          <w:tcPr>
            <w:tcW w:w="2546" w:type="dxa"/>
            <w:vMerge/>
            <w:tcBorders>
              <w:left w:val="single" w:sz="4" w:space="0" w:color="000000"/>
              <w:bottom w:val="single" w:sz="4" w:space="0" w:color="000000"/>
              <w:right w:val="single" w:sz="4" w:space="0" w:color="000000"/>
            </w:tcBorders>
          </w:tcPr>
          <w:p w:rsidR="00D227E2" w:rsidRDefault="00D227E2">
            <w:pPr>
              <w:widowControl w:val="0"/>
              <w:spacing w:after="0" w:line="240" w:lineRule="auto"/>
              <w:jc w:val="both"/>
              <w:rPr>
                <w:rFonts w:ascii="Times New Roman" w:eastAsia="NSimSun" w:hAnsi="Times New Roman" w:cs="Times New Roman"/>
                <w:kern w:val="2"/>
                <w:lang w:eastAsia="zh-CN" w:bidi="hi-IN"/>
              </w:rPr>
            </w:pPr>
          </w:p>
        </w:tc>
        <w:tc>
          <w:tcPr>
            <w:tcW w:w="152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2007</w:t>
            </w:r>
          </w:p>
        </w:tc>
        <w:tc>
          <w:tcPr>
            <w:tcW w:w="1591"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2020</w:t>
            </w:r>
          </w:p>
        </w:tc>
        <w:tc>
          <w:tcPr>
            <w:tcW w:w="174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2022</w:t>
            </w:r>
          </w:p>
        </w:tc>
        <w:tc>
          <w:tcPr>
            <w:tcW w:w="2232" w:type="dxa"/>
            <w:vMerge/>
            <w:tcBorders>
              <w:left w:val="single" w:sz="4" w:space="0" w:color="000000"/>
              <w:bottom w:val="single" w:sz="4" w:space="0" w:color="000000"/>
              <w:right w:val="single" w:sz="4" w:space="0" w:color="000000"/>
            </w:tcBorders>
          </w:tcPr>
          <w:p w:rsidR="00D227E2" w:rsidRDefault="00D227E2">
            <w:pPr>
              <w:widowControl w:val="0"/>
              <w:spacing w:after="0" w:line="240" w:lineRule="auto"/>
              <w:jc w:val="both"/>
              <w:rPr>
                <w:rFonts w:ascii="Times New Roman" w:eastAsia="NSimSun" w:hAnsi="Times New Roman" w:cs="Times New Roman"/>
                <w:kern w:val="2"/>
                <w:lang w:eastAsia="zh-CN" w:bidi="hi-IN"/>
              </w:rPr>
            </w:pPr>
          </w:p>
        </w:tc>
      </w:tr>
      <w:tr w:rsidR="00D227E2">
        <w:trPr>
          <w:trHeight w:val="299"/>
        </w:trPr>
        <w:tc>
          <w:tcPr>
            <w:tcW w:w="25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NSimSun" w:hAnsi="Times New Roman" w:cs="Times New Roman"/>
                <w:kern w:val="2"/>
                <w:lang w:eastAsia="zh-CN" w:bidi="hi-IN"/>
              </w:rPr>
              <w:t>Електроенергія, кВт.год</w:t>
            </w:r>
          </w:p>
        </w:tc>
        <w:tc>
          <w:tcPr>
            <w:tcW w:w="152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8944878</w:t>
            </w:r>
          </w:p>
        </w:tc>
        <w:tc>
          <w:tcPr>
            <w:tcW w:w="1591"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5272809</w:t>
            </w:r>
          </w:p>
        </w:tc>
        <w:tc>
          <w:tcPr>
            <w:tcW w:w="174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4680113</w:t>
            </w:r>
          </w:p>
        </w:tc>
        <w:tc>
          <w:tcPr>
            <w:tcW w:w="223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52</w:t>
            </w:r>
          </w:p>
        </w:tc>
      </w:tr>
      <w:tr w:rsidR="00D227E2">
        <w:trPr>
          <w:trHeight w:val="299"/>
        </w:trPr>
        <w:tc>
          <w:tcPr>
            <w:tcW w:w="2546"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eastAsia="Microsoft Sans Serif" w:hAnsi="Times New Roman" w:cs="Times New Roman"/>
                <w:kern w:val="2"/>
              </w:rPr>
              <w:t>Дизельне паливо, л</w:t>
            </w:r>
          </w:p>
        </w:tc>
        <w:tc>
          <w:tcPr>
            <w:tcW w:w="1522"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3270400</w:t>
            </w:r>
          </w:p>
        </w:tc>
        <w:tc>
          <w:tcPr>
            <w:tcW w:w="1591"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2005675</w:t>
            </w:r>
          </w:p>
        </w:tc>
        <w:tc>
          <w:tcPr>
            <w:tcW w:w="1742"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1899825</w:t>
            </w:r>
          </w:p>
        </w:tc>
        <w:tc>
          <w:tcPr>
            <w:tcW w:w="2232"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58</w:t>
            </w:r>
          </w:p>
        </w:tc>
      </w:tr>
    </w:tbl>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У таблиці 57 та рисунку 39 для порівняльного аналізу наведено кількість спожитого палива громадським транспортом по роках в загальних одиницях виміру МВт.год.</w:t>
      </w:r>
    </w:p>
    <w:p w:rsidR="00D227E2" w:rsidRDefault="00934FC4">
      <w:pPr>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Таблиця 57. Споживання палива громадським транспортом м. Луцька, МВт.год</w:t>
      </w:r>
    </w:p>
    <w:tbl>
      <w:tblPr>
        <w:tblW w:w="9653" w:type="dxa"/>
        <w:tblInd w:w="1" w:type="dxa"/>
        <w:tblLayout w:type="fixed"/>
        <w:tblCellMar>
          <w:left w:w="5" w:type="dxa"/>
          <w:right w:w="5" w:type="dxa"/>
        </w:tblCellMar>
        <w:tblLook w:val="01E0" w:firstRow="1" w:lastRow="1" w:firstColumn="1" w:lastColumn="1" w:noHBand="0" w:noVBand="0"/>
      </w:tblPr>
      <w:tblGrid>
        <w:gridCol w:w="2500"/>
        <w:gridCol w:w="1580"/>
        <w:gridCol w:w="1567"/>
        <w:gridCol w:w="1548"/>
        <w:gridCol w:w="2458"/>
      </w:tblGrid>
      <w:tr w:rsidR="00D227E2">
        <w:trPr>
          <w:trHeight w:val="299"/>
        </w:trPr>
        <w:tc>
          <w:tcPr>
            <w:tcW w:w="2500" w:type="dxa"/>
            <w:vMerge w:val="restart"/>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Види палива</w:t>
            </w:r>
          </w:p>
        </w:tc>
        <w:tc>
          <w:tcPr>
            <w:tcW w:w="4695" w:type="dxa"/>
            <w:gridSpan w:val="3"/>
            <w:tcBorders>
              <w:top w:val="single" w:sz="4" w:space="0" w:color="000000"/>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Споживання палива по роках МВт.год</w:t>
            </w:r>
          </w:p>
        </w:tc>
        <w:tc>
          <w:tcPr>
            <w:tcW w:w="2458" w:type="dxa"/>
            <w:vMerge w:val="restart"/>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Порівняння споживання в 2022</w:t>
            </w:r>
          </w:p>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до 2007 року (%)</w:t>
            </w:r>
          </w:p>
        </w:tc>
      </w:tr>
      <w:tr w:rsidR="00D227E2">
        <w:trPr>
          <w:trHeight w:val="300"/>
        </w:trPr>
        <w:tc>
          <w:tcPr>
            <w:tcW w:w="2500" w:type="dxa"/>
            <w:vMerge/>
            <w:tcBorders>
              <w:left w:val="single" w:sz="4" w:space="0" w:color="000000"/>
              <w:bottom w:val="single" w:sz="4" w:space="0" w:color="000000"/>
              <w:right w:val="single" w:sz="4" w:space="0" w:color="000000"/>
            </w:tcBorders>
          </w:tcPr>
          <w:p w:rsidR="00D227E2" w:rsidRDefault="00D227E2">
            <w:pPr>
              <w:widowControl w:val="0"/>
              <w:spacing w:after="0" w:line="240" w:lineRule="auto"/>
              <w:jc w:val="center"/>
              <w:rPr>
                <w:rFonts w:ascii="Times New Roman" w:eastAsia="NSimSun" w:hAnsi="Times New Roman" w:cs="Times New Roman"/>
                <w:kern w:val="2"/>
                <w:lang w:eastAsia="zh-CN" w:bidi="hi-IN"/>
              </w:rPr>
            </w:pPr>
          </w:p>
        </w:tc>
        <w:tc>
          <w:tcPr>
            <w:tcW w:w="158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2007</w:t>
            </w:r>
          </w:p>
        </w:tc>
        <w:tc>
          <w:tcPr>
            <w:tcW w:w="156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2020</w:t>
            </w:r>
          </w:p>
        </w:tc>
        <w:tc>
          <w:tcPr>
            <w:tcW w:w="1548" w:type="dxa"/>
            <w:tcBorders>
              <w:top w:val="single" w:sz="4" w:space="0" w:color="000000"/>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2022</w:t>
            </w:r>
          </w:p>
        </w:tc>
        <w:tc>
          <w:tcPr>
            <w:tcW w:w="2458"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jc w:val="center"/>
              <w:rPr>
                <w:rFonts w:ascii="Times New Roman" w:eastAsia="Microsoft Sans Serif" w:hAnsi="Times New Roman" w:cs="Times New Roman"/>
                <w:kern w:val="2"/>
              </w:rPr>
            </w:pPr>
          </w:p>
        </w:tc>
      </w:tr>
      <w:tr w:rsidR="00D227E2">
        <w:trPr>
          <w:trHeight w:val="299"/>
        </w:trPr>
        <w:tc>
          <w:tcPr>
            <w:tcW w:w="250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NSimSun" w:hAnsi="Times New Roman" w:cs="Times New Roman"/>
                <w:kern w:val="2"/>
                <w:lang w:eastAsia="zh-CN" w:bidi="hi-IN"/>
              </w:rPr>
              <w:t>Електроенергія</w:t>
            </w:r>
          </w:p>
        </w:tc>
        <w:tc>
          <w:tcPr>
            <w:tcW w:w="158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8944,878</w:t>
            </w:r>
          </w:p>
        </w:tc>
        <w:tc>
          <w:tcPr>
            <w:tcW w:w="156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5272,809</w:t>
            </w:r>
          </w:p>
        </w:tc>
        <w:tc>
          <w:tcPr>
            <w:tcW w:w="1548" w:type="dxa"/>
            <w:tcBorders>
              <w:top w:val="single" w:sz="4" w:space="0" w:color="000000"/>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4680,113</w:t>
            </w:r>
          </w:p>
        </w:tc>
        <w:tc>
          <w:tcPr>
            <w:tcW w:w="245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52</w:t>
            </w:r>
          </w:p>
        </w:tc>
      </w:tr>
      <w:tr w:rsidR="00D227E2">
        <w:trPr>
          <w:trHeight w:val="299"/>
        </w:trPr>
        <w:tc>
          <w:tcPr>
            <w:tcW w:w="2500" w:type="dxa"/>
            <w:tcBorders>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kern w:val="2"/>
              </w:rPr>
              <w:t>Дизельне паливо</w:t>
            </w:r>
          </w:p>
        </w:tc>
        <w:tc>
          <w:tcPr>
            <w:tcW w:w="1580"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38476,3</w:t>
            </w:r>
          </w:p>
        </w:tc>
        <w:tc>
          <w:tcPr>
            <w:tcW w:w="1567"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23596,8</w:t>
            </w:r>
          </w:p>
        </w:tc>
        <w:tc>
          <w:tcPr>
            <w:tcW w:w="1548" w:type="dxa"/>
            <w:tcBorders>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22351,4</w:t>
            </w:r>
          </w:p>
        </w:tc>
        <w:tc>
          <w:tcPr>
            <w:tcW w:w="2458"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58</w:t>
            </w:r>
          </w:p>
        </w:tc>
      </w:tr>
      <w:tr w:rsidR="00D227E2">
        <w:trPr>
          <w:trHeight w:val="299"/>
        </w:trPr>
        <w:tc>
          <w:tcPr>
            <w:tcW w:w="2500"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Всього</w:t>
            </w:r>
          </w:p>
        </w:tc>
        <w:tc>
          <w:tcPr>
            <w:tcW w:w="1580"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47421,178</w:t>
            </w:r>
          </w:p>
        </w:tc>
        <w:tc>
          <w:tcPr>
            <w:tcW w:w="1567"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28869,609</w:t>
            </w:r>
          </w:p>
        </w:tc>
        <w:tc>
          <w:tcPr>
            <w:tcW w:w="1548" w:type="dxa"/>
            <w:tcBorders>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27031,513</w:t>
            </w:r>
          </w:p>
        </w:tc>
        <w:tc>
          <w:tcPr>
            <w:tcW w:w="2458"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rPr>
              <w:t>57</w:t>
            </w:r>
          </w:p>
        </w:tc>
      </w:tr>
    </w:tbl>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lastRenderedPageBreak/>
        <w:t>За даними таблиці 57 можна побачити, що загальне споживання пального громадським транспортом зменшилося у порівнянні із 2007 роком. Зменшення споживання у 2022 році порівняно з 2007 роком склало 57 %.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w:t>
      </w:r>
    </w:p>
    <w:p w:rsidR="00D227E2" w:rsidRDefault="00934FC4">
      <w:pPr>
        <w:spacing w:after="0"/>
        <w:ind w:firstLine="567"/>
        <w:jc w:val="both"/>
        <w:rPr>
          <w:rFonts w:ascii="Times New Roman" w:eastAsia="NSimSun" w:hAnsi="Times New Roman" w:cs="Times New Roman"/>
          <w:kern w:val="2"/>
          <w:sz w:val="24"/>
          <w:szCs w:val="24"/>
          <w:lang w:eastAsia="zh-CN" w:bidi="hi-IN"/>
        </w:rPr>
      </w:pPr>
      <w:r>
        <w:rPr>
          <w:rFonts w:ascii="Times New Roman" w:eastAsia="NSimSun" w:hAnsi="Times New Roman" w:cs="Times New Roman"/>
          <w:noProof/>
          <w:kern w:val="2"/>
          <w:sz w:val="24"/>
          <w:szCs w:val="24"/>
          <w:lang w:eastAsia="uk-UA"/>
        </w:rPr>
        <w:drawing>
          <wp:anchor distT="0" distB="0" distL="0" distR="0" simplePos="0" relativeHeight="52" behindDoc="0" locked="0" layoutInCell="0" allowOverlap="1" wp14:anchorId="4A16CCAD" wp14:editId="67B6DFEA">
            <wp:simplePos x="0" y="0"/>
            <wp:positionH relativeFrom="column">
              <wp:posOffset>975995</wp:posOffset>
            </wp:positionH>
            <wp:positionV relativeFrom="paragraph">
              <wp:posOffset>48895</wp:posOffset>
            </wp:positionV>
            <wp:extent cx="3905885" cy="1886585"/>
            <wp:effectExtent l="0" t="0" r="0" b="0"/>
            <wp:wrapSquare wrapText="left"/>
            <wp:docPr id="54" name="Об'єкт24" descr="діаграма"/>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anchor>
        </w:drawing>
      </w: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Рисунок 39. Споживання палива громадським транспортом м. Луцька, МВт.год</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У період з 2007 по 2022 роки поступово зменшувалося споживання палива за рахунок збільшення використання електротранспорту (тролейбусів).</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kern w:val="2"/>
          <w:sz w:val="24"/>
          <w:szCs w:val="24"/>
          <w:shd w:val="clear" w:color="auto" w:fill="FFFFFF"/>
          <w:lang w:eastAsia="zh-CN" w:bidi="hi-IN"/>
        </w:rPr>
        <w:t>У таблиці 58 можна побачити дані споживання пального громадським транспортом у навколишніх громадах м. Луцька.</w:t>
      </w:r>
    </w:p>
    <w:p w:rsidR="00D227E2" w:rsidRDefault="00934FC4">
      <w:pPr>
        <w:spacing w:after="0"/>
        <w:ind w:firstLine="510"/>
        <w:jc w:val="center"/>
        <w:rPr>
          <w:rFonts w:ascii="Times New Roman" w:hAnsi="Times New Roman" w:cs="Times New Roman"/>
        </w:rPr>
      </w:pPr>
      <w:r>
        <w:rPr>
          <w:rFonts w:ascii="Times New Roman" w:eastAsia="NSimSun" w:hAnsi="Times New Roman" w:cs="Times New Roman"/>
          <w:kern w:val="2"/>
          <w:sz w:val="24"/>
          <w:szCs w:val="24"/>
          <w:shd w:val="clear" w:color="auto" w:fill="FFFFFF"/>
          <w:lang w:eastAsia="zh-CN" w:bidi="hi-IN"/>
        </w:rPr>
        <w:t xml:space="preserve">Таблиця 58. Споживання палива громадським транспортом у навколишніх громадах </w:t>
      </w:r>
    </w:p>
    <w:tbl>
      <w:tblPr>
        <w:tblW w:w="6340" w:type="dxa"/>
        <w:jc w:val="center"/>
        <w:tblLayout w:type="fixed"/>
        <w:tblCellMar>
          <w:left w:w="5" w:type="dxa"/>
          <w:right w:w="5" w:type="dxa"/>
        </w:tblCellMar>
        <w:tblLook w:val="01E0" w:firstRow="1" w:lastRow="1" w:firstColumn="1" w:lastColumn="1" w:noHBand="0" w:noVBand="0"/>
      </w:tblPr>
      <w:tblGrid>
        <w:gridCol w:w="2440"/>
        <w:gridCol w:w="3900"/>
      </w:tblGrid>
      <w:tr w:rsidR="00D227E2">
        <w:trPr>
          <w:trHeight w:val="299"/>
          <w:jc w:val="center"/>
        </w:trPr>
        <w:tc>
          <w:tcPr>
            <w:tcW w:w="2440" w:type="dxa"/>
            <w:vMerge w:val="restart"/>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jc w:val="center"/>
              <w:rPr>
                <w:rFonts w:ascii="Times New Roman" w:eastAsia="Microsoft Sans Serif" w:hAnsi="Times New Roman" w:cs="Times New Roman"/>
                <w:kern w:val="2"/>
                <w:shd w:val="clear" w:color="auto" w:fill="FFFFFF"/>
              </w:rPr>
            </w:pPr>
          </w:p>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hd w:val="clear" w:color="auto" w:fill="FFFFFF"/>
              </w:rPr>
              <w:t>Види палива</w:t>
            </w:r>
          </w:p>
        </w:tc>
        <w:tc>
          <w:tcPr>
            <w:tcW w:w="389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hd w:val="clear" w:color="auto" w:fill="FFFFFF"/>
              </w:rPr>
              <w:t>Споживання палива (л)</w:t>
            </w:r>
          </w:p>
        </w:tc>
      </w:tr>
      <w:tr w:rsidR="00D227E2">
        <w:trPr>
          <w:trHeight w:val="331"/>
          <w:jc w:val="center"/>
        </w:trPr>
        <w:tc>
          <w:tcPr>
            <w:tcW w:w="2440" w:type="dxa"/>
            <w:vMerge/>
            <w:tcBorders>
              <w:left w:val="single" w:sz="4" w:space="0" w:color="000000"/>
              <w:bottom w:val="single" w:sz="4" w:space="0" w:color="000000"/>
              <w:right w:val="single" w:sz="4" w:space="0" w:color="000000"/>
            </w:tcBorders>
          </w:tcPr>
          <w:p w:rsidR="00D227E2" w:rsidRDefault="00D227E2">
            <w:pPr>
              <w:widowControl w:val="0"/>
              <w:spacing w:after="0" w:line="240" w:lineRule="auto"/>
              <w:jc w:val="both"/>
              <w:rPr>
                <w:rFonts w:ascii="Times New Roman" w:eastAsia="NSimSun" w:hAnsi="Times New Roman" w:cs="Times New Roman"/>
                <w:kern w:val="2"/>
                <w:shd w:val="clear" w:color="auto" w:fill="FFFFFF"/>
                <w:lang w:eastAsia="zh-CN" w:bidi="hi-IN"/>
              </w:rPr>
            </w:pPr>
          </w:p>
        </w:tc>
        <w:tc>
          <w:tcPr>
            <w:tcW w:w="389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hd w:val="clear" w:color="auto" w:fill="FFFFFF"/>
              </w:rPr>
              <w:t>2022</w:t>
            </w:r>
          </w:p>
        </w:tc>
      </w:tr>
      <w:tr w:rsidR="00D227E2">
        <w:trPr>
          <w:trHeight w:val="302"/>
          <w:jc w:val="center"/>
        </w:trPr>
        <w:tc>
          <w:tcPr>
            <w:tcW w:w="244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eastAsia="Microsoft Sans Serif" w:hAnsi="Times New Roman" w:cs="Times New Roman"/>
                <w:kern w:val="2"/>
                <w:shd w:val="clear" w:color="auto" w:fill="FFFFFF"/>
              </w:rPr>
              <w:t>Дизельне паливо, л</w:t>
            </w:r>
          </w:p>
        </w:tc>
        <w:tc>
          <w:tcPr>
            <w:tcW w:w="389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kern w:val="2"/>
                <w:shd w:val="clear" w:color="auto" w:fill="FFFFFF"/>
              </w:rPr>
              <w:t>127750</w:t>
            </w:r>
          </w:p>
        </w:tc>
      </w:tr>
    </w:tbl>
    <w:p w:rsidR="00D227E2" w:rsidRDefault="00D227E2">
      <w:pPr>
        <w:spacing w:after="0" w:line="240" w:lineRule="auto"/>
        <w:ind w:firstLine="510"/>
        <w:jc w:val="both"/>
        <w:rPr>
          <w:rFonts w:ascii="Times New Roman" w:eastAsia="NSimSun" w:hAnsi="Times New Roman" w:cs="Times New Roman"/>
          <w:color w:val="C9211E"/>
          <w:kern w:val="2"/>
          <w:sz w:val="24"/>
          <w:szCs w:val="24"/>
          <w:shd w:val="clear" w:color="auto" w:fill="FFFFFF"/>
          <w:lang w:eastAsia="zh-CN" w:bidi="hi-IN"/>
        </w:rPr>
      </w:pPr>
    </w:p>
    <w:p w:rsidR="00D227E2" w:rsidRDefault="00934FC4">
      <w:pPr>
        <w:spacing w:after="0" w:line="240" w:lineRule="auto"/>
        <w:ind w:firstLine="510"/>
        <w:jc w:val="both"/>
        <w:rPr>
          <w:rFonts w:ascii="Times New Roman" w:hAnsi="Times New Roman" w:cs="Times New Roman"/>
        </w:rPr>
      </w:pPr>
      <w:r>
        <w:rPr>
          <w:rFonts w:ascii="Times New Roman" w:eastAsia="NSimSun" w:hAnsi="Times New Roman" w:cs="Times New Roman"/>
          <w:b/>
          <w:bCs/>
          <w:color w:val="000000"/>
          <w:kern w:val="2"/>
          <w:sz w:val="24"/>
          <w:szCs w:val="24"/>
          <w:shd w:val="clear" w:color="auto" w:fill="FFFFFF"/>
          <w:lang w:eastAsia="zh-CN" w:bidi="hi-IN"/>
        </w:rPr>
        <w:t>3.2.5.3. Приватний транспорт</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 xml:space="preserve">В Луцькій МТГ протягом останніх років помітно збільшується кількість транспорту, що значно погіршує умови переміщення містом та призводить до збільшення викидів </w:t>
      </w:r>
      <w:r>
        <w:rPr>
          <w:rFonts w:ascii="Times New Roman" w:hAnsi="Times New Roman" w:cs="Times New Roman"/>
          <w:color w:val="000000"/>
          <w:sz w:val="24"/>
          <w:szCs w:val="24"/>
          <w:shd w:val="clear" w:color="auto" w:fill="FFFFFF"/>
          <w:lang w:eastAsia="ru-RU"/>
        </w:rPr>
        <w:t>СО</w:t>
      </w:r>
      <w:r>
        <w:rPr>
          <w:rFonts w:ascii="Times New Roman" w:hAnsi="Times New Roman" w:cs="Times New Roman"/>
          <w:color w:val="000000"/>
          <w:sz w:val="24"/>
          <w:szCs w:val="24"/>
          <w:shd w:val="clear" w:color="auto" w:fill="FFFFFF"/>
          <w:vertAlign w:val="subscript"/>
          <w:lang w:eastAsia="ru-RU"/>
        </w:rPr>
        <w:t>2</w:t>
      </w:r>
      <w:r>
        <w:rPr>
          <w:rFonts w:ascii="Times New Roman" w:eastAsia="NSimSun" w:hAnsi="Times New Roman" w:cs="Times New Roman"/>
          <w:color w:val="000000"/>
          <w:kern w:val="2"/>
          <w:sz w:val="24"/>
          <w:szCs w:val="24"/>
          <w:shd w:val="clear" w:color="auto" w:fill="FFFFFF"/>
          <w:lang w:eastAsia="zh-CN" w:bidi="hi-IN"/>
        </w:rPr>
        <w:t>.</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У таблиці 59 подана інформація про кількість зареєстрованого автомобільного транспорту, отримана від Головного сервісного центру МВС регіонального сервісного центру ГСЦ МВС у Волинській області.</w:t>
      </w:r>
    </w:p>
    <w:p w:rsidR="00D227E2" w:rsidRDefault="00934FC4">
      <w:pPr>
        <w:spacing w:after="0"/>
        <w:ind w:firstLine="510"/>
        <w:jc w:val="center"/>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 xml:space="preserve">Таблиця 59. Кількість зареєстрованого автомобільного транспорту* </w:t>
      </w:r>
    </w:p>
    <w:tbl>
      <w:tblPr>
        <w:tblW w:w="9639" w:type="dxa"/>
        <w:tblInd w:w="5" w:type="dxa"/>
        <w:tblLayout w:type="fixed"/>
        <w:tblCellMar>
          <w:left w:w="5" w:type="dxa"/>
          <w:right w:w="5" w:type="dxa"/>
        </w:tblCellMar>
        <w:tblLook w:val="04A0" w:firstRow="1" w:lastRow="0" w:firstColumn="1" w:lastColumn="0" w:noHBand="0" w:noVBand="1"/>
      </w:tblPr>
      <w:tblGrid>
        <w:gridCol w:w="4406"/>
        <w:gridCol w:w="1346"/>
        <w:gridCol w:w="2045"/>
        <w:gridCol w:w="1842"/>
      </w:tblGrid>
      <w:tr w:rsidR="00D227E2">
        <w:tc>
          <w:tcPr>
            <w:tcW w:w="4405" w:type="dxa"/>
            <w:vMerge w:val="restart"/>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eastAsia="Microsoft Sans Serif" w:hAnsi="Times New Roman" w:cs="Times New Roman"/>
                <w:color w:val="000000"/>
                <w:kern w:val="2"/>
                <w:shd w:val="clear" w:color="auto" w:fill="FFFFFF"/>
              </w:rPr>
            </w:pPr>
          </w:p>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Типи транспорту</w:t>
            </w:r>
          </w:p>
        </w:tc>
        <w:tc>
          <w:tcPr>
            <w:tcW w:w="13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Кількість у Луцькій МТГ**</w:t>
            </w:r>
          </w:p>
        </w:tc>
        <w:tc>
          <w:tcPr>
            <w:tcW w:w="204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Кількість у</w:t>
            </w:r>
          </w:p>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 xml:space="preserve"> м. Луцьку (од.)</w:t>
            </w:r>
          </w:p>
        </w:tc>
        <w:tc>
          <w:tcPr>
            <w:tcW w:w="184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Кількість у Луцькій МТГ** (од.)</w:t>
            </w:r>
          </w:p>
        </w:tc>
      </w:tr>
      <w:tr w:rsidR="00D227E2">
        <w:tc>
          <w:tcPr>
            <w:tcW w:w="4405" w:type="dxa"/>
            <w:vMerge/>
            <w:tcBorders>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eastAsia="NSimSun" w:hAnsi="Times New Roman" w:cs="Times New Roman"/>
                <w:color w:val="000000"/>
                <w:kern w:val="2"/>
                <w:shd w:val="clear" w:color="auto" w:fill="FFFFFF"/>
                <w:lang w:eastAsia="zh-CN" w:bidi="hi-IN"/>
              </w:rPr>
            </w:pPr>
          </w:p>
        </w:tc>
        <w:tc>
          <w:tcPr>
            <w:tcW w:w="1346"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2007</w:t>
            </w:r>
          </w:p>
        </w:tc>
        <w:tc>
          <w:tcPr>
            <w:tcW w:w="204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2013-2020</w:t>
            </w:r>
          </w:p>
        </w:tc>
        <w:tc>
          <w:tcPr>
            <w:tcW w:w="184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2013-2020</w:t>
            </w:r>
          </w:p>
        </w:tc>
      </w:tr>
      <w:tr w:rsidR="00D227E2">
        <w:trPr>
          <w:trHeight w:val="346"/>
        </w:trPr>
        <w:tc>
          <w:tcPr>
            <w:tcW w:w="440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color w:val="000000"/>
                <w:kern w:val="2"/>
              </w:rPr>
              <w:t>Мотоцикли</w:t>
            </w:r>
          </w:p>
        </w:tc>
        <w:tc>
          <w:tcPr>
            <w:tcW w:w="1346" w:type="dxa"/>
            <w:tcBorders>
              <w:top w:val="single" w:sz="4" w:space="0" w:color="000000"/>
              <w:left w:val="single" w:sz="4" w:space="0" w:color="000000"/>
              <w:bottom w:val="single" w:sz="4" w:space="0" w:color="000000"/>
              <w:right w:val="single" w:sz="4" w:space="0" w:color="000000"/>
            </w:tcBorders>
            <w:vAlign w:val="center"/>
          </w:tcPr>
          <w:p w:rsidR="00D227E2" w:rsidRDefault="00934FC4">
            <w:pPr>
              <w:spacing w:after="0"/>
              <w:jc w:val="center"/>
              <w:rPr>
                <w:rFonts w:ascii="Times New Roman" w:hAnsi="Times New Roman" w:cs="Times New Roman"/>
              </w:rPr>
            </w:pPr>
            <w:r>
              <w:rPr>
                <w:rFonts w:ascii="Times New Roman" w:hAnsi="Times New Roman" w:cs="Times New Roman"/>
                <w:color w:val="000000"/>
              </w:rPr>
              <w:t>734</w:t>
            </w:r>
          </w:p>
        </w:tc>
        <w:tc>
          <w:tcPr>
            <w:tcW w:w="204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rPr>
              <w:t>607</w:t>
            </w:r>
          </w:p>
        </w:tc>
        <w:tc>
          <w:tcPr>
            <w:tcW w:w="184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rPr>
              <w:t>815</w:t>
            </w:r>
          </w:p>
        </w:tc>
      </w:tr>
      <w:tr w:rsidR="00D227E2">
        <w:tc>
          <w:tcPr>
            <w:tcW w:w="4405" w:type="dxa"/>
            <w:tcBorders>
              <w:left w:val="single" w:sz="4" w:space="0" w:color="000000"/>
              <w:bottom w:val="single" w:sz="4" w:space="0" w:color="000000"/>
              <w:right w:val="single" w:sz="4" w:space="0" w:color="000000"/>
            </w:tcBorders>
            <w:vAlign w:val="center"/>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color w:val="000000"/>
                <w:kern w:val="2"/>
              </w:rPr>
              <w:t>Мотоцикли з електродвигуном</w:t>
            </w:r>
          </w:p>
        </w:tc>
        <w:tc>
          <w:tcPr>
            <w:tcW w:w="1346" w:type="dxa"/>
            <w:tcBorders>
              <w:left w:val="single" w:sz="4" w:space="0" w:color="000000"/>
              <w:bottom w:val="single" w:sz="4" w:space="0" w:color="000000"/>
              <w:right w:val="single" w:sz="4" w:space="0" w:color="000000"/>
            </w:tcBorders>
            <w:vAlign w:val="center"/>
          </w:tcPr>
          <w:p w:rsidR="00D227E2" w:rsidRDefault="00934FC4">
            <w:pPr>
              <w:spacing w:after="0"/>
              <w:jc w:val="center"/>
              <w:rPr>
                <w:rFonts w:ascii="Times New Roman" w:hAnsi="Times New Roman" w:cs="Times New Roman"/>
              </w:rPr>
            </w:pPr>
            <w:r>
              <w:rPr>
                <w:rFonts w:ascii="Times New Roman" w:hAnsi="Times New Roman" w:cs="Times New Roman"/>
                <w:color w:val="000000"/>
              </w:rPr>
              <w:t>0</w:t>
            </w:r>
          </w:p>
        </w:tc>
        <w:tc>
          <w:tcPr>
            <w:tcW w:w="2045"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rPr>
              <w:t>1</w:t>
            </w:r>
          </w:p>
        </w:tc>
        <w:tc>
          <w:tcPr>
            <w:tcW w:w="1842"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rPr>
              <w:t>1</w:t>
            </w:r>
          </w:p>
        </w:tc>
      </w:tr>
      <w:tr w:rsidR="00D227E2">
        <w:tc>
          <w:tcPr>
            <w:tcW w:w="440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color w:val="000000"/>
                <w:kern w:val="2"/>
              </w:rPr>
              <w:t>Легкові автомобілі</w:t>
            </w:r>
          </w:p>
        </w:tc>
        <w:tc>
          <w:tcPr>
            <w:tcW w:w="1346" w:type="dxa"/>
            <w:tcBorders>
              <w:top w:val="single" w:sz="4" w:space="0" w:color="000000"/>
              <w:left w:val="single" w:sz="4" w:space="0" w:color="000000"/>
              <w:bottom w:val="single" w:sz="4" w:space="0" w:color="000000"/>
              <w:right w:val="single" w:sz="4" w:space="0" w:color="000000"/>
            </w:tcBorders>
            <w:vAlign w:val="center"/>
          </w:tcPr>
          <w:p w:rsidR="00D227E2" w:rsidRDefault="00934FC4">
            <w:pPr>
              <w:spacing w:after="0"/>
              <w:jc w:val="center"/>
              <w:rPr>
                <w:rFonts w:ascii="Times New Roman" w:hAnsi="Times New Roman" w:cs="Times New Roman"/>
              </w:rPr>
            </w:pPr>
            <w:r>
              <w:rPr>
                <w:rFonts w:ascii="Times New Roman" w:hAnsi="Times New Roman" w:cs="Times New Roman"/>
                <w:color w:val="000000"/>
              </w:rPr>
              <w:t>21602</w:t>
            </w:r>
          </w:p>
        </w:tc>
        <w:tc>
          <w:tcPr>
            <w:tcW w:w="204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rPr>
              <w:t>21111</w:t>
            </w:r>
          </w:p>
        </w:tc>
        <w:tc>
          <w:tcPr>
            <w:tcW w:w="184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rPr>
              <w:t>24002</w:t>
            </w:r>
          </w:p>
        </w:tc>
      </w:tr>
      <w:tr w:rsidR="00D227E2">
        <w:tc>
          <w:tcPr>
            <w:tcW w:w="4405" w:type="dxa"/>
            <w:tcBorders>
              <w:left w:val="single" w:sz="4" w:space="0" w:color="000000"/>
              <w:bottom w:val="single" w:sz="4" w:space="0" w:color="000000"/>
              <w:right w:val="single" w:sz="4" w:space="0" w:color="000000"/>
            </w:tcBorders>
            <w:vAlign w:val="center"/>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color w:val="000000"/>
                <w:kern w:val="2"/>
              </w:rPr>
              <w:t>Легкові автомобілі з електродвигуном</w:t>
            </w:r>
          </w:p>
        </w:tc>
        <w:tc>
          <w:tcPr>
            <w:tcW w:w="1346" w:type="dxa"/>
            <w:tcBorders>
              <w:left w:val="single" w:sz="4" w:space="0" w:color="000000"/>
              <w:bottom w:val="single" w:sz="4" w:space="0" w:color="000000"/>
              <w:right w:val="single" w:sz="4" w:space="0" w:color="000000"/>
            </w:tcBorders>
            <w:vAlign w:val="center"/>
          </w:tcPr>
          <w:p w:rsidR="00D227E2" w:rsidRDefault="00934FC4">
            <w:pPr>
              <w:spacing w:after="0"/>
              <w:jc w:val="center"/>
              <w:rPr>
                <w:rFonts w:ascii="Times New Roman" w:hAnsi="Times New Roman" w:cs="Times New Roman"/>
              </w:rPr>
            </w:pPr>
            <w:r>
              <w:rPr>
                <w:rFonts w:ascii="Times New Roman" w:hAnsi="Times New Roman" w:cs="Times New Roman"/>
                <w:color w:val="000000"/>
              </w:rPr>
              <w:t>0</w:t>
            </w:r>
          </w:p>
        </w:tc>
        <w:tc>
          <w:tcPr>
            <w:tcW w:w="2045"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rPr>
              <w:t>157</w:t>
            </w:r>
          </w:p>
        </w:tc>
        <w:tc>
          <w:tcPr>
            <w:tcW w:w="1842"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rPr>
              <w:t>178</w:t>
            </w:r>
          </w:p>
        </w:tc>
      </w:tr>
      <w:tr w:rsidR="00D227E2">
        <w:tc>
          <w:tcPr>
            <w:tcW w:w="4405" w:type="dxa"/>
            <w:tcBorders>
              <w:left w:val="single" w:sz="4" w:space="0" w:color="000000"/>
              <w:bottom w:val="single" w:sz="4" w:space="0" w:color="000000"/>
              <w:right w:val="single" w:sz="4" w:space="0" w:color="000000"/>
            </w:tcBorders>
            <w:vAlign w:val="center"/>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color w:val="000000"/>
                <w:kern w:val="2"/>
              </w:rPr>
              <w:t>Легкові автомобілі з гібридним двигуном</w:t>
            </w:r>
          </w:p>
        </w:tc>
        <w:tc>
          <w:tcPr>
            <w:tcW w:w="1346" w:type="dxa"/>
            <w:tcBorders>
              <w:left w:val="single" w:sz="4" w:space="0" w:color="000000"/>
              <w:bottom w:val="single" w:sz="4" w:space="0" w:color="000000"/>
              <w:right w:val="single" w:sz="4" w:space="0" w:color="000000"/>
            </w:tcBorders>
            <w:vAlign w:val="center"/>
          </w:tcPr>
          <w:p w:rsidR="00D227E2" w:rsidRDefault="00934FC4">
            <w:pPr>
              <w:spacing w:after="0"/>
              <w:jc w:val="center"/>
              <w:rPr>
                <w:rFonts w:ascii="Times New Roman" w:hAnsi="Times New Roman" w:cs="Times New Roman"/>
              </w:rPr>
            </w:pPr>
            <w:r>
              <w:rPr>
                <w:rFonts w:ascii="Times New Roman" w:hAnsi="Times New Roman" w:cs="Times New Roman"/>
                <w:color w:val="000000"/>
              </w:rPr>
              <w:t>0</w:t>
            </w:r>
          </w:p>
        </w:tc>
        <w:tc>
          <w:tcPr>
            <w:tcW w:w="2045"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rPr>
              <w:t>163</w:t>
            </w:r>
          </w:p>
        </w:tc>
        <w:tc>
          <w:tcPr>
            <w:tcW w:w="1842"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rPr>
              <w:t>176</w:t>
            </w:r>
          </w:p>
        </w:tc>
      </w:tr>
      <w:tr w:rsidR="00D227E2">
        <w:tc>
          <w:tcPr>
            <w:tcW w:w="440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color w:val="000000"/>
                <w:kern w:val="2"/>
              </w:rPr>
              <w:t>Вантажні автомобілі</w:t>
            </w:r>
          </w:p>
        </w:tc>
        <w:tc>
          <w:tcPr>
            <w:tcW w:w="1346" w:type="dxa"/>
            <w:tcBorders>
              <w:top w:val="single" w:sz="4" w:space="0" w:color="000000"/>
              <w:left w:val="single" w:sz="4" w:space="0" w:color="000000"/>
              <w:bottom w:val="single" w:sz="4" w:space="0" w:color="000000"/>
              <w:right w:val="single" w:sz="4" w:space="0" w:color="000000"/>
            </w:tcBorders>
            <w:vAlign w:val="center"/>
          </w:tcPr>
          <w:p w:rsidR="00D227E2" w:rsidRDefault="00934FC4">
            <w:pPr>
              <w:spacing w:after="0"/>
              <w:jc w:val="center"/>
              <w:rPr>
                <w:rFonts w:ascii="Times New Roman" w:hAnsi="Times New Roman" w:cs="Times New Roman"/>
              </w:rPr>
            </w:pPr>
            <w:r>
              <w:rPr>
                <w:rFonts w:ascii="Times New Roman" w:hAnsi="Times New Roman" w:cs="Times New Roman"/>
                <w:color w:val="000000"/>
              </w:rPr>
              <w:t>2266</w:t>
            </w:r>
          </w:p>
        </w:tc>
        <w:tc>
          <w:tcPr>
            <w:tcW w:w="204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rPr>
              <w:t>2250</w:t>
            </w:r>
          </w:p>
        </w:tc>
        <w:tc>
          <w:tcPr>
            <w:tcW w:w="184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rPr>
              <w:t>2518</w:t>
            </w:r>
          </w:p>
        </w:tc>
      </w:tr>
      <w:tr w:rsidR="00D227E2">
        <w:tc>
          <w:tcPr>
            <w:tcW w:w="4405" w:type="dxa"/>
            <w:tcBorders>
              <w:left w:val="single" w:sz="4" w:space="0" w:color="000000"/>
              <w:bottom w:val="single" w:sz="4" w:space="0" w:color="000000"/>
              <w:right w:val="single" w:sz="4" w:space="0" w:color="000000"/>
            </w:tcBorders>
            <w:vAlign w:val="center"/>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color w:val="000000"/>
                <w:kern w:val="2"/>
              </w:rPr>
              <w:t>Вантажні автомобілі з електродвигуном</w:t>
            </w:r>
          </w:p>
        </w:tc>
        <w:tc>
          <w:tcPr>
            <w:tcW w:w="1346" w:type="dxa"/>
            <w:tcBorders>
              <w:left w:val="single" w:sz="4" w:space="0" w:color="000000"/>
              <w:bottom w:val="single" w:sz="4" w:space="0" w:color="000000"/>
              <w:right w:val="single" w:sz="4" w:space="0" w:color="000000"/>
            </w:tcBorders>
            <w:vAlign w:val="center"/>
          </w:tcPr>
          <w:p w:rsidR="00D227E2" w:rsidRDefault="00934FC4">
            <w:pPr>
              <w:spacing w:after="0"/>
              <w:jc w:val="center"/>
              <w:rPr>
                <w:rFonts w:ascii="Times New Roman" w:hAnsi="Times New Roman" w:cs="Times New Roman"/>
              </w:rPr>
            </w:pPr>
            <w:r>
              <w:rPr>
                <w:rFonts w:ascii="Times New Roman" w:hAnsi="Times New Roman" w:cs="Times New Roman"/>
                <w:color w:val="000000"/>
              </w:rPr>
              <w:t>0</w:t>
            </w:r>
          </w:p>
        </w:tc>
        <w:tc>
          <w:tcPr>
            <w:tcW w:w="2045"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rPr>
              <w:t>65</w:t>
            </w:r>
          </w:p>
        </w:tc>
        <w:tc>
          <w:tcPr>
            <w:tcW w:w="1842"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rPr>
              <w:t>72</w:t>
            </w:r>
          </w:p>
        </w:tc>
      </w:tr>
      <w:tr w:rsidR="00D227E2">
        <w:tc>
          <w:tcPr>
            <w:tcW w:w="440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color w:val="000000"/>
                <w:kern w:val="2"/>
              </w:rPr>
              <w:t>Автобуси</w:t>
            </w:r>
          </w:p>
        </w:tc>
        <w:tc>
          <w:tcPr>
            <w:tcW w:w="1346" w:type="dxa"/>
            <w:tcBorders>
              <w:top w:val="single" w:sz="4" w:space="0" w:color="000000"/>
              <w:left w:val="single" w:sz="4" w:space="0" w:color="000000"/>
              <w:bottom w:val="single" w:sz="4" w:space="0" w:color="000000"/>
              <w:right w:val="single" w:sz="4" w:space="0" w:color="000000"/>
            </w:tcBorders>
            <w:vAlign w:val="center"/>
          </w:tcPr>
          <w:p w:rsidR="00D227E2" w:rsidRDefault="00934FC4">
            <w:pPr>
              <w:spacing w:after="0"/>
              <w:jc w:val="center"/>
              <w:rPr>
                <w:rFonts w:ascii="Times New Roman" w:hAnsi="Times New Roman" w:cs="Times New Roman"/>
              </w:rPr>
            </w:pPr>
            <w:r>
              <w:rPr>
                <w:rFonts w:ascii="Times New Roman" w:hAnsi="Times New Roman" w:cs="Times New Roman"/>
                <w:color w:val="000000"/>
              </w:rPr>
              <w:t>298</w:t>
            </w:r>
          </w:p>
        </w:tc>
        <w:tc>
          <w:tcPr>
            <w:tcW w:w="204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rPr>
              <w:t>275</w:t>
            </w:r>
          </w:p>
        </w:tc>
        <w:tc>
          <w:tcPr>
            <w:tcW w:w="184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rPr>
              <w:t>331</w:t>
            </w:r>
          </w:p>
        </w:tc>
      </w:tr>
      <w:tr w:rsidR="00D227E2">
        <w:tc>
          <w:tcPr>
            <w:tcW w:w="4405"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color w:val="000000"/>
                <w:kern w:val="2"/>
              </w:rPr>
              <w:t>Автобуси з електродвигуном</w:t>
            </w:r>
          </w:p>
        </w:tc>
        <w:tc>
          <w:tcPr>
            <w:tcW w:w="1346" w:type="dxa"/>
            <w:tcBorders>
              <w:left w:val="single" w:sz="4" w:space="0" w:color="000000"/>
              <w:bottom w:val="single" w:sz="4" w:space="0" w:color="000000"/>
              <w:right w:val="single" w:sz="4" w:space="0" w:color="000000"/>
            </w:tcBorders>
            <w:vAlign w:val="center"/>
          </w:tcPr>
          <w:p w:rsidR="00D227E2" w:rsidRDefault="00934FC4">
            <w:pPr>
              <w:spacing w:after="0"/>
              <w:jc w:val="center"/>
              <w:rPr>
                <w:rFonts w:ascii="Times New Roman" w:hAnsi="Times New Roman" w:cs="Times New Roman"/>
              </w:rPr>
            </w:pPr>
            <w:r>
              <w:rPr>
                <w:rFonts w:ascii="Times New Roman" w:hAnsi="Times New Roman" w:cs="Times New Roman"/>
                <w:color w:val="000000"/>
              </w:rPr>
              <w:t>0</w:t>
            </w:r>
          </w:p>
        </w:tc>
        <w:tc>
          <w:tcPr>
            <w:tcW w:w="2045"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rPr>
              <w:t>10</w:t>
            </w:r>
          </w:p>
        </w:tc>
        <w:tc>
          <w:tcPr>
            <w:tcW w:w="1842"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rPr>
              <w:t>11</w:t>
            </w:r>
          </w:p>
        </w:tc>
      </w:tr>
      <w:tr w:rsidR="00D227E2">
        <w:tc>
          <w:tcPr>
            <w:tcW w:w="4405" w:type="dxa"/>
            <w:tcBorders>
              <w:left w:val="single" w:sz="4" w:space="0" w:color="000000"/>
              <w:bottom w:val="single" w:sz="4" w:space="0" w:color="000000"/>
              <w:right w:val="single" w:sz="4" w:space="0" w:color="000000"/>
            </w:tcBorders>
            <w:vAlign w:val="center"/>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color w:val="000000"/>
                <w:kern w:val="2"/>
              </w:rPr>
              <w:t>Спецтранспорт</w:t>
            </w:r>
          </w:p>
        </w:tc>
        <w:tc>
          <w:tcPr>
            <w:tcW w:w="1346" w:type="dxa"/>
            <w:tcBorders>
              <w:left w:val="single" w:sz="4" w:space="0" w:color="000000"/>
              <w:bottom w:val="single" w:sz="4" w:space="0" w:color="000000"/>
              <w:right w:val="single" w:sz="4" w:space="0" w:color="000000"/>
            </w:tcBorders>
            <w:vAlign w:val="center"/>
          </w:tcPr>
          <w:p w:rsidR="00D227E2" w:rsidRDefault="00934FC4">
            <w:pPr>
              <w:spacing w:after="0"/>
              <w:jc w:val="center"/>
              <w:rPr>
                <w:rFonts w:ascii="Times New Roman" w:hAnsi="Times New Roman" w:cs="Times New Roman"/>
              </w:rPr>
            </w:pPr>
            <w:r>
              <w:rPr>
                <w:rFonts w:ascii="Times New Roman" w:hAnsi="Times New Roman" w:cs="Times New Roman"/>
                <w:color w:val="000000"/>
              </w:rPr>
              <w:t>192</w:t>
            </w:r>
          </w:p>
        </w:tc>
        <w:tc>
          <w:tcPr>
            <w:tcW w:w="2045"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rPr>
              <w:t>197</w:t>
            </w:r>
          </w:p>
        </w:tc>
        <w:tc>
          <w:tcPr>
            <w:tcW w:w="1842"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rPr>
              <w:t>213</w:t>
            </w:r>
          </w:p>
        </w:tc>
      </w:tr>
      <w:tr w:rsidR="00D227E2">
        <w:tc>
          <w:tcPr>
            <w:tcW w:w="4405" w:type="dxa"/>
            <w:tcBorders>
              <w:left w:val="single" w:sz="4" w:space="0" w:color="000000"/>
              <w:bottom w:val="single" w:sz="4" w:space="0" w:color="000000"/>
              <w:right w:val="single" w:sz="4" w:space="0" w:color="000000"/>
            </w:tcBorders>
            <w:vAlign w:val="center"/>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color w:val="000000"/>
                <w:kern w:val="2"/>
              </w:rPr>
              <w:t>Всього</w:t>
            </w:r>
          </w:p>
        </w:tc>
        <w:tc>
          <w:tcPr>
            <w:tcW w:w="1346" w:type="dxa"/>
            <w:tcBorders>
              <w:left w:val="single" w:sz="4" w:space="0" w:color="000000"/>
              <w:bottom w:val="single" w:sz="4" w:space="0" w:color="000000"/>
              <w:right w:val="single" w:sz="4" w:space="0" w:color="000000"/>
            </w:tcBorders>
          </w:tcPr>
          <w:p w:rsidR="00D227E2" w:rsidRDefault="00934FC4">
            <w:pPr>
              <w:spacing w:after="0"/>
              <w:jc w:val="center"/>
              <w:rPr>
                <w:rFonts w:ascii="Times New Roman" w:hAnsi="Times New Roman" w:cs="Times New Roman"/>
              </w:rPr>
            </w:pPr>
            <w:r>
              <w:rPr>
                <w:rFonts w:ascii="Times New Roman" w:hAnsi="Times New Roman" w:cs="Times New Roman"/>
                <w:color w:val="000000"/>
              </w:rPr>
              <w:t>25092</w:t>
            </w:r>
          </w:p>
        </w:tc>
        <w:tc>
          <w:tcPr>
            <w:tcW w:w="204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rPr>
              <w:t>24836</w:t>
            </w:r>
          </w:p>
        </w:tc>
        <w:tc>
          <w:tcPr>
            <w:tcW w:w="184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rPr>
              <w:t>28318</w:t>
            </w:r>
          </w:p>
        </w:tc>
      </w:tr>
    </w:tbl>
    <w:p w:rsidR="00D227E2" w:rsidRDefault="00934FC4">
      <w:pPr>
        <w:spacing w:after="0" w:line="240" w:lineRule="auto"/>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lastRenderedPageBreak/>
        <w:t>*За інформацією наданою Головним сервісним центром МВС регіонального сервісного центру ГСЦ МВС у Волинській області щодо кількості проведених перших реєстрацій транспортних засобів, які зареєстровані у м. Луцьку та Луцькому районі.</w:t>
      </w:r>
    </w:p>
    <w:p w:rsidR="00D227E2" w:rsidRDefault="00934FC4">
      <w:pPr>
        <w:spacing w:after="0" w:line="240" w:lineRule="auto"/>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bidi="hi-IN"/>
        </w:rPr>
        <w:t>**Дані отримано розрахунковим шляхом на основі показників Головного сервісного центру МВС регіонального сервісного центру ГСЦ МВС у Волинській області (по ТСЦ0741 пропорційно кількості населення Луцької МТГ).</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 xml:space="preserve">Візуальні спостереження показують, що кількість транспортних засобів на вулицях Луцька збільшується. </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В таблиці 60 показано кількість проведених перших реєстрацій транспортних засобів за типами двигунів.</w:t>
      </w:r>
    </w:p>
    <w:p w:rsidR="00D227E2" w:rsidRDefault="00934FC4">
      <w:pPr>
        <w:spacing w:after="0"/>
        <w:ind w:firstLine="510"/>
        <w:jc w:val="center"/>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Таблиця 60. Кількість транспортних засобів за типами двигунів*</w:t>
      </w:r>
    </w:p>
    <w:tbl>
      <w:tblPr>
        <w:tblW w:w="9584" w:type="dxa"/>
        <w:tblInd w:w="84" w:type="dxa"/>
        <w:tblLayout w:type="fixed"/>
        <w:tblCellMar>
          <w:left w:w="5" w:type="dxa"/>
          <w:right w:w="5" w:type="dxa"/>
        </w:tblCellMar>
        <w:tblLook w:val="04A0" w:firstRow="1" w:lastRow="0" w:firstColumn="1" w:lastColumn="0" w:noHBand="0" w:noVBand="1"/>
      </w:tblPr>
      <w:tblGrid>
        <w:gridCol w:w="4620"/>
        <w:gridCol w:w="2475"/>
        <w:gridCol w:w="2489"/>
      </w:tblGrid>
      <w:tr w:rsidR="00D227E2">
        <w:trPr>
          <w:trHeight w:val="506"/>
        </w:trPr>
        <w:tc>
          <w:tcPr>
            <w:tcW w:w="4620" w:type="dxa"/>
            <w:vMerge w:val="restart"/>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eastAsia="Microsoft Sans Serif" w:hAnsi="Times New Roman" w:cs="Times New Roman"/>
                <w:color w:val="000000"/>
                <w:kern w:val="2"/>
                <w:shd w:val="clear" w:color="auto" w:fill="FFFFFF"/>
              </w:rPr>
            </w:pPr>
          </w:p>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Типи транспорту</w:t>
            </w:r>
          </w:p>
        </w:tc>
        <w:tc>
          <w:tcPr>
            <w:tcW w:w="247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Кількість у м. Луцьку (од.)</w:t>
            </w:r>
          </w:p>
        </w:tc>
        <w:tc>
          <w:tcPr>
            <w:tcW w:w="248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Кількість у Луцькій МТГ (од.)**</w:t>
            </w:r>
          </w:p>
        </w:tc>
      </w:tr>
      <w:tr w:rsidR="00D227E2">
        <w:trPr>
          <w:trHeight w:val="292"/>
        </w:trPr>
        <w:tc>
          <w:tcPr>
            <w:tcW w:w="4620" w:type="dxa"/>
            <w:vMerge/>
            <w:tcBorders>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eastAsia="NSimSun" w:hAnsi="Times New Roman" w:cs="Times New Roman"/>
                <w:color w:val="000000"/>
                <w:kern w:val="2"/>
                <w:shd w:val="clear" w:color="auto" w:fill="FFFFFF"/>
                <w:lang w:eastAsia="zh-CN" w:bidi="hi-IN"/>
              </w:rPr>
            </w:pPr>
          </w:p>
        </w:tc>
        <w:tc>
          <w:tcPr>
            <w:tcW w:w="247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2013-2020</w:t>
            </w:r>
          </w:p>
        </w:tc>
        <w:tc>
          <w:tcPr>
            <w:tcW w:w="248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2013-2020</w:t>
            </w:r>
          </w:p>
        </w:tc>
      </w:tr>
      <w:tr w:rsidR="00D227E2">
        <w:trPr>
          <w:trHeight w:val="283"/>
        </w:trPr>
        <w:tc>
          <w:tcPr>
            <w:tcW w:w="4620"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color w:val="000000"/>
                <w:kern w:val="2"/>
                <w:shd w:val="clear" w:color="auto" w:fill="FFFFFF"/>
              </w:rPr>
              <w:t>Мотоцикли (бензин)</w:t>
            </w:r>
          </w:p>
        </w:tc>
        <w:tc>
          <w:tcPr>
            <w:tcW w:w="247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607</w:t>
            </w:r>
          </w:p>
        </w:tc>
        <w:tc>
          <w:tcPr>
            <w:tcW w:w="248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815</w:t>
            </w:r>
          </w:p>
        </w:tc>
      </w:tr>
      <w:tr w:rsidR="00D227E2">
        <w:tc>
          <w:tcPr>
            <w:tcW w:w="4620" w:type="dxa"/>
            <w:tcBorders>
              <w:left w:val="single" w:sz="4" w:space="0" w:color="000000"/>
              <w:bottom w:val="single" w:sz="4" w:space="0" w:color="000000"/>
              <w:right w:val="single" w:sz="4" w:space="0" w:color="000000"/>
            </w:tcBorders>
            <w:vAlign w:val="center"/>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color w:val="000000"/>
                <w:kern w:val="2"/>
                <w:shd w:val="clear" w:color="auto" w:fill="FFFFFF"/>
              </w:rPr>
              <w:t>Мотоцикли (дизель)</w:t>
            </w:r>
          </w:p>
        </w:tc>
        <w:tc>
          <w:tcPr>
            <w:tcW w:w="2475"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w:t>
            </w:r>
          </w:p>
        </w:tc>
        <w:tc>
          <w:tcPr>
            <w:tcW w:w="2489"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w:t>
            </w:r>
          </w:p>
        </w:tc>
      </w:tr>
      <w:tr w:rsidR="00D227E2">
        <w:tc>
          <w:tcPr>
            <w:tcW w:w="4620"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color w:val="000000"/>
                <w:kern w:val="2"/>
                <w:shd w:val="clear" w:color="auto" w:fill="FFFFFF"/>
              </w:rPr>
              <w:t>Легкові автомобілі (бензин)</w:t>
            </w:r>
          </w:p>
        </w:tc>
        <w:tc>
          <w:tcPr>
            <w:tcW w:w="247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9824</w:t>
            </w:r>
          </w:p>
        </w:tc>
        <w:tc>
          <w:tcPr>
            <w:tcW w:w="248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10654</w:t>
            </w:r>
          </w:p>
        </w:tc>
      </w:tr>
      <w:tr w:rsidR="00D227E2">
        <w:tc>
          <w:tcPr>
            <w:tcW w:w="4620" w:type="dxa"/>
            <w:tcBorders>
              <w:left w:val="single" w:sz="4" w:space="0" w:color="000000"/>
              <w:bottom w:val="single" w:sz="4" w:space="0" w:color="000000"/>
              <w:right w:val="single" w:sz="4" w:space="0" w:color="000000"/>
            </w:tcBorders>
            <w:vAlign w:val="center"/>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color w:val="000000"/>
                <w:kern w:val="2"/>
                <w:shd w:val="clear" w:color="auto" w:fill="FFFFFF"/>
              </w:rPr>
              <w:t>Легкові автомобілі (дизель)</w:t>
            </w:r>
          </w:p>
        </w:tc>
        <w:tc>
          <w:tcPr>
            <w:tcW w:w="2475"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11287</w:t>
            </w:r>
          </w:p>
        </w:tc>
        <w:tc>
          <w:tcPr>
            <w:tcW w:w="2489"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13348</w:t>
            </w:r>
          </w:p>
        </w:tc>
      </w:tr>
      <w:tr w:rsidR="00D227E2">
        <w:tc>
          <w:tcPr>
            <w:tcW w:w="4620"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color w:val="000000"/>
                <w:kern w:val="2"/>
                <w:shd w:val="clear" w:color="auto" w:fill="FFFFFF"/>
              </w:rPr>
              <w:t>Вантажні автомобілі (бензин)</w:t>
            </w:r>
          </w:p>
        </w:tc>
        <w:tc>
          <w:tcPr>
            <w:tcW w:w="247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436</w:t>
            </w:r>
          </w:p>
        </w:tc>
        <w:tc>
          <w:tcPr>
            <w:tcW w:w="248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451</w:t>
            </w:r>
          </w:p>
        </w:tc>
      </w:tr>
      <w:tr w:rsidR="00D227E2">
        <w:tc>
          <w:tcPr>
            <w:tcW w:w="4620" w:type="dxa"/>
            <w:tcBorders>
              <w:left w:val="single" w:sz="4" w:space="0" w:color="000000"/>
              <w:bottom w:val="single" w:sz="4" w:space="0" w:color="000000"/>
              <w:right w:val="single" w:sz="4" w:space="0" w:color="000000"/>
            </w:tcBorders>
            <w:vAlign w:val="center"/>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color w:val="000000"/>
                <w:kern w:val="2"/>
                <w:shd w:val="clear" w:color="auto" w:fill="FFFFFF"/>
              </w:rPr>
              <w:t>Вантажні автомобілі (дизель)</w:t>
            </w:r>
          </w:p>
        </w:tc>
        <w:tc>
          <w:tcPr>
            <w:tcW w:w="2475"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1814</w:t>
            </w:r>
          </w:p>
        </w:tc>
        <w:tc>
          <w:tcPr>
            <w:tcW w:w="2489"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2061</w:t>
            </w:r>
          </w:p>
        </w:tc>
      </w:tr>
      <w:tr w:rsidR="00D227E2">
        <w:tc>
          <w:tcPr>
            <w:tcW w:w="4620"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color w:val="000000"/>
                <w:kern w:val="2"/>
                <w:shd w:val="clear" w:color="auto" w:fill="FFFFFF"/>
              </w:rPr>
              <w:t>Автобуси (бензин)</w:t>
            </w:r>
          </w:p>
        </w:tc>
        <w:tc>
          <w:tcPr>
            <w:tcW w:w="247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18</w:t>
            </w:r>
          </w:p>
        </w:tc>
        <w:tc>
          <w:tcPr>
            <w:tcW w:w="248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19</w:t>
            </w:r>
          </w:p>
        </w:tc>
      </w:tr>
      <w:tr w:rsidR="00D227E2">
        <w:tc>
          <w:tcPr>
            <w:tcW w:w="4620" w:type="dxa"/>
            <w:tcBorders>
              <w:left w:val="single" w:sz="4" w:space="0" w:color="000000"/>
              <w:bottom w:val="single" w:sz="4" w:space="0" w:color="000000"/>
              <w:right w:val="single" w:sz="4" w:space="0" w:color="000000"/>
            </w:tcBorders>
            <w:vAlign w:val="center"/>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color w:val="000000"/>
                <w:kern w:val="2"/>
                <w:shd w:val="clear" w:color="auto" w:fill="FFFFFF"/>
              </w:rPr>
              <w:t>Автобуси (дизель</w:t>
            </w:r>
            <w:bookmarkStart w:id="6" w:name="_GoBack_Copy_1_Copy_1"/>
            <w:bookmarkEnd w:id="6"/>
            <w:r>
              <w:rPr>
                <w:rFonts w:ascii="Times New Roman" w:eastAsia="Microsoft Sans Serif" w:hAnsi="Times New Roman" w:cs="Times New Roman"/>
                <w:color w:val="000000"/>
                <w:kern w:val="2"/>
                <w:shd w:val="clear" w:color="auto" w:fill="FFFFFF"/>
              </w:rPr>
              <w:t>)</w:t>
            </w:r>
          </w:p>
        </w:tc>
        <w:tc>
          <w:tcPr>
            <w:tcW w:w="2475"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257</w:t>
            </w:r>
          </w:p>
        </w:tc>
        <w:tc>
          <w:tcPr>
            <w:tcW w:w="2489"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311</w:t>
            </w:r>
          </w:p>
        </w:tc>
      </w:tr>
      <w:tr w:rsidR="00D227E2">
        <w:tc>
          <w:tcPr>
            <w:tcW w:w="4620" w:type="dxa"/>
            <w:tcBorders>
              <w:left w:val="single" w:sz="4" w:space="0" w:color="000000"/>
              <w:bottom w:val="single" w:sz="4" w:space="0" w:color="000000"/>
              <w:right w:val="single" w:sz="4" w:space="0" w:color="000000"/>
            </w:tcBorders>
            <w:vAlign w:val="center"/>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color w:val="000000"/>
                <w:kern w:val="2"/>
                <w:shd w:val="clear" w:color="auto" w:fill="FFFFFF"/>
              </w:rPr>
              <w:t>Спецтранспорт (бензин)</w:t>
            </w:r>
          </w:p>
        </w:tc>
        <w:tc>
          <w:tcPr>
            <w:tcW w:w="2475"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w:t>
            </w:r>
          </w:p>
        </w:tc>
        <w:tc>
          <w:tcPr>
            <w:tcW w:w="2489"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w:t>
            </w:r>
          </w:p>
        </w:tc>
      </w:tr>
      <w:tr w:rsidR="00D227E2">
        <w:tc>
          <w:tcPr>
            <w:tcW w:w="4620" w:type="dxa"/>
            <w:tcBorders>
              <w:left w:val="single" w:sz="4" w:space="0" w:color="000000"/>
              <w:bottom w:val="single" w:sz="4" w:space="0" w:color="000000"/>
              <w:right w:val="single" w:sz="4" w:space="0" w:color="000000"/>
            </w:tcBorders>
            <w:vAlign w:val="center"/>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color w:val="000000"/>
                <w:kern w:val="2"/>
                <w:shd w:val="clear" w:color="auto" w:fill="FFFFFF"/>
              </w:rPr>
              <w:t>Спецтранспорт (дизель)</w:t>
            </w:r>
          </w:p>
        </w:tc>
        <w:tc>
          <w:tcPr>
            <w:tcW w:w="2475"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197</w:t>
            </w:r>
          </w:p>
        </w:tc>
        <w:tc>
          <w:tcPr>
            <w:tcW w:w="2489"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213</w:t>
            </w:r>
          </w:p>
        </w:tc>
      </w:tr>
      <w:tr w:rsidR="00D227E2">
        <w:tc>
          <w:tcPr>
            <w:tcW w:w="4620" w:type="dxa"/>
            <w:tcBorders>
              <w:top w:val="single" w:sz="4" w:space="0" w:color="000000"/>
              <w:left w:val="single" w:sz="4" w:space="0" w:color="000000"/>
              <w:bottom w:val="single" w:sz="4" w:space="0" w:color="000000"/>
              <w:right w:val="single" w:sz="4" w:space="0" w:color="000000"/>
            </w:tcBorders>
            <w:vAlign w:val="center"/>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color w:val="000000"/>
                <w:kern w:val="2"/>
                <w:shd w:val="clear" w:color="auto" w:fill="FFFFFF"/>
              </w:rPr>
              <w:t>Всього</w:t>
            </w:r>
          </w:p>
        </w:tc>
        <w:tc>
          <w:tcPr>
            <w:tcW w:w="247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24262</w:t>
            </w:r>
          </w:p>
        </w:tc>
        <w:tc>
          <w:tcPr>
            <w:tcW w:w="248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27872</w:t>
            </w:r>
          </w:p>
        </w:tc>
      </w:tr>
    </w:tbl>
    <w:p w:rsidR="00D227E2" w:rsidRDefault="00934FC4">
      <w:pPr>
        <w:spacing w:after="0" w:line="240" w:lineRule="auto"/>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*За інформацією наданою Головним сервісним центром МВС регіонального сервісного центру ГСЦ МВС у Волинській області щодо кількості проведених перших реєстрацій транспортних засобів, які зареєстровані у м. Луцьку та Луцькому районі.</w:t>
      </w:r>
    </w:p>
    <w:p w:rsidR="00D227E2" w:rsidRDefault="00934FC4">
      <w:pPr>
        <w:spacing w:after="0" w:line="240" w:lineRule="auto"/>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bidi="hi-IN"/>
        </w:rPr>
        <w:t>**Дані отримано розрахунковим шляхом на основі показників Головного сервісного центру МВС регіонального сервісного центру ГСЦ МВС у Волинській області (по ТСЦ0741 пропорційно кількості населення Луцької МТГ).</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Далі на рисунку 40 можна побачити розподіл за типами автотранспорту у 2013-2020 роки. </w:t>
      </w:r>
    </w:p>
    <w:p w:rsidR="00D227E2" w:rsidRDefault="00934FC4">
      <w:pPr>
        <w:spacing w:after="0"/>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 </w:t>
      </w:r>
    </w:p>
    <w:p w:rsidR="00D227E2" w:rsidRDefault="00934FC4">
      <w:pPr>
        <w:spacing w:after="0"/>
        <w:jc w:val="both"/>
        <w:rPr>
          <w:rFonts w:ascii="Times New Roman" w:hAnsi="Times New Roman" w:cs="Times New Roman"/>
          <w:color w:val="000000"/>
          <w:shd w:val="clear" w:color="auto" w:fill="FFFFFF"/>
        </w:rPr>
      </w:pPr>
      <w:r>
        <w:rPr>
          <w:rFonts w:ascii="Times New Roman" w:hAnsi="Times New Roman" w:cs="Times New Roman"/>
          <w:noProof/>
          <w:color w:val="000000"/>
          <w:shd w:val="clear" w:color="auto" w:fill="FFFFFF"/>
          <w:lang w:eastAsia="uk-UA"/>
        </w:rPr>
        <w:drawing>
          <wp:anchor distT="0" distB="0" distL="0" distR="0" simplePos="0" relativeHeight="98" behindDoc="0" locked="0" layoutInCell="0" allowOverlap="1" wp14:anchorId="6DB8F064" wp14:editId="6AEB2B1B">
            <wp:simplePos x="0" y="0"/>
            <wp:positionH relativeFrom="column">
              <wp:posOffset>1466215</wp:posOffset>
            </wp:positionH>
            <wp:positionV relativeFrom="paragraph">
              <wp:posOffset>-11430</wp:posOffset>
            </wp:positionV>
            <wp:extent cx="3670300" cy="2064385"/>
            <wp:effectExtent l="0" t="0" r="0" b="0"/>
            <wp:wrapSquare wrapText="largest"/>
            <wp:docPr id="55" name="Об'єкт26" descr="діаграма"/>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anchor>
        </w:drawing>
      </w:r>
    </w:p>
    <w:p w:rsidR="00D227E2" w:rsidRDefault="00D227E2">
      <w:pPr>
        <w:spacing w:after="0"/>
        <w:jc w:val="both"/>
        <w:rPr>
          <w:rFonts w:ascii="Times New Roman" w:hAnsi="Times New Roman" w:cs="Times New Roman"/>
          <w:color w:val="000000"/>
          <w:shd w:val="clear" w:color="auto" w:fill="FFFFFF"/>
        </w:rPr>
      </w:pPr>
    </w:p>
    <w:p w:rsidR="00D227E2" w:rsidRDefault="00D227E2">
      <w:pPr>
        <w:spacing w:after="0"/>
        <w:jc w:val="both"/>
        <w:rPr>
          <w:rFonts w:ascii="Times New Roman" w:hAnsi="Times New Roman" w:cs="Times New Roman"/>
          <w:color w:val="000000"/>
          <w:shd w:val="clear" w:color="auto" w:fill="FFFFFF"/>
        </w:rPr>
      </w:pPr>
    </w:p>
    <w:p w:rsidR="00D227E2" w:rsidRDefault="00D227E2">
      <w:pPr>
        <w:spacing w:after="0"/>
        <w:jc w:val="both"/>
        <w:rPr>
          <w:rFonts w:ascii="Times New Roman" w:hAnsi="Times New Roman" w:cs="Times New Roman"/>
          <w:color w:val="000000"/>
          <w:shd w:val="clear" w:color="auto" w:fill="FFFFFF"/>
        </w:rPr>
      </w:pPr>
    </w:p>
    <w:p w:rsidR="00D227E2" w:rsidRDefault="00D227E2">
      <w:pPr>
        <w:spacing w:after="0"/>
        <w:jc w:val="both"/>
        <w:rPr>
          <w:rFonts w:ascii="Times New Roman" w:hAnsi="Times New Roman" w:cs="Times New Roman"/>
          <w:color w:val="000000"/>
          <w:shd w:val="clear" w:color="auto" w:fill="FFFFFF"/>
        </w:rPr>
      </w:pPr>
    </w:p>
    <w:p w:rsidR="00D227E2" w:rsidRDefault="00D227E2">
      <w:pPr>
        <w:spacing w:after="0"/>
        <w:jc w:val="both"/>
        <w:rPr>
          <w:rFonts w:ascii="Times New Roman" w:hAnsi="Times New Roman" w:cs="Times New Roman"/>
          <w:color w:val="000000"/>
          <w:shd w:val="clear" w:color="auto" w:fill="FFFFFF"/>
        </w:rPr>
      </w:pPr>
    </w:p>
    <w:p w:rsidR="00D227E2" w:rsidRDefault="00D227E2">
      <w:pPr>
        <w:spacing w:after="0"/>
        <w:jc w:val="both"/>
        <w:rPr>
          <w:rFonts w:ascii="Times New Roman" w:hAnsi="Times New Roman" w:cs="Times New Roman"/>
          <w:color w:val="000000"/>
          <w:shd w:val="clear" w:color="auto" w:fill="FFFFFF"/>
        </w:rPr>
      </w:pPr>
    </w:p>
    <w:p w:rsidR="00D227E2" w:rsidRDefault="00D227E2">
      <w:pPr>
        <w:spacing w:after="0"/>
        <w:jc w:val="both"/>
        <w:rPr>
          <w:rFonts w:ascii="Times New Roman" w:hAnsi="Times New Roman" w:cs="Times New Roman"/>
          <w:color w:val="000000"/>
          <w:shd w:val="clear" w:color="auto" w:fill="FFFFFF"/>
        </w:rPr>
      </w:pPr>
    </w:p>
    <w:p w:rsidR="00D227E2" w:rsidRDefault="00D227E2">
      <w:pPr>
        <w:spacing w:after="0"/>
        <w:jc w:val="both"/>
        <w:rPr>
          <w:rFonts w:ascii="Times New Roman" w:hAnsi="Times New Roman" w:cs="Times New Roman"/>
          <w:color w:val="000000"/>
          <w:shd w:val="clear" w:color="auto" w:fill="FFFFFF"/>
        </w:rPr>
      </w:pPr>
    </w:p>
    <w:p w:rsidR="00D227E2" w:rsidRDefault="00D227E2">
      <w:pPr>
        <w:spacing w:after="0"/>
        <w:ind w:firstLine="567"/>
        <w:jc w:val="center"/>
        <w:rPr>
          <w:rFonts w:ascii="Times New Roman" w:hAnsi="Times New Roman" w:cs="Times New Roman"/>
          <w:color w:val="000000"/>
          <w:shd w:val="clear" w:color="auto" w:fill="FFFFFF"/>
        </w:rPr>
      </w:pPr>
    </w:p>
    <w:p w:rsidR="00D227E2" w:rsidRDefault="00934FC4">
      <w:pPr>
        <w:spacing w:after="0"/>
        <w:jc w:val="center"/>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  </w:t>
      </w:r>
    </w:p>
    <w:p w:rsidR="00D227E2" w:rsidRDefault="00D227E2">
      <w:pPr>
        <w:spacing w:after="0"/>
        <w:jc w:val="center"/>
        <w:rPr>
          <w:rFonts w:ascii="Times New Roman" w:eastAsia="NSimSun" w:hAnsi="Times New Roman" w:cs="Times New Roman"/>
          <w:color w:val="000000"/>
          <w:kern w:val="2"/>
          <w:sz w:val="24"/>
          <w:szCs w:val="24"/>
          <w:shd w:val="clear" w:color="auto" w:fill="FFFFFF"/>
          <w:lang w:eastAsia="zh-CN" w:bidi="hi-IN"/>
        </w:rPr>
      </w:pPr>
    </w:p>
    <w:p w:rsidR="00D227E2" w:rsidRDefault="00934FC4">
      <w:pPr>
        <w:spacing w:after="0"/>
        <w:jc w:val="center"/>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 xml:space="preserve">Рисунок 40. Розподіл за типами автотранспорту </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lastRenderedPageBreak/>
        <w:t xml:space="preserve">Левову долю серед приватного  автомобільного транспорту у Луцькій МТГ займають легкові автомобілі. Їх частка в загальній кількості автотранспорту міста за 2013-2020 роки складала 85 %. </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Статистика по об’єму двигуна  (для легкових машин), що зареєстровані у м. Луцьку відображена у таблиці 61.</w:t>
      </w:r>
    </w:p>
    <w:p w:rsidR="00D227E2" w:rsidRDefault="00934FC4">
      <w:pPr>
        <w:spacing w:after="0"/>
        <w:ind w:firstLine="510"/>
        <w:jc w:val="center"/>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 xml:space="preserve">Таблиця 61. Розподіл транспортних засобів за об’ємом двигуна (для легкових машин), що знаходилися на обліку у м. Луцьку </w:t>
      </w:r>
    </w:p>
    <w:tbl>
      <w:tblPr>
        <w:tblW w:w="9585" w:type="dxa"/>
        <w:tblInd w:w="64" w:type="dxa"/>
        <w:tblLayout w:type="fixed"/>
        <w:tblCellMar>
          <w:left w:w="5" w:type="dxa"/>
          <w:right w:w="5" w:type="dxa"/>
        </w:tblCellMar>
        <w:tblLook w:val="04A0" w:firstRow="1" w:lastRow="0" w:firstColumn="1" w:lastColumn="0" w:noHBand="0" w:noVBand="1"/>
      </w:tblPr>
      <w:tblGrid>
        <w:gridCol w:w="5707"/>
        <w:gridCol w:w="3878"/>
      </w:tblGrid>
      <w:tr w:rsidR="00D227E2">
        <w:trPr>
          <w:trHeight w:val="443"/>
        </w:trPr>
        <w:tc>
          <w:tcPr>
            <w:tcW w:w="5706" w:type="dxa"/>
            <w:vMerge w:val="restart"/>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Об’єм двигуна автомобіля</w:t>
            </w:r>
          </w:p>
        </w:tc>
        <w:tc>
          <w:tcPr>
            <w:tcW w:w="387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 xml:space="preserve"> Кількість автомобілів з вказаним</w:t>
            </w:r>
          </w:p>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об’ємом двигуна (од.)</w:t>
            </w:r>
          </w:p>
        </w:tc>
      </w:tr>
      <w:tr w:rsidR="00D227E2">
        <w:trPr>
          <w:trHeight w:val="84"/>
        </w:trPr>
        <w:tc>
          <w:tcPr>
            <w:tcW w:w="5706" w:type="dxa"/>
            <w:vMerge/>
            <w:tcBorders>
              <w:left w:val="single" w:sz="4" w:space="0" w:color="000000"/>
              <w:bottom w:val="single" w:sz="4" w:space="0" w:color="000000"/>
              <w:right w:val="single" w:sz="4" w:space="0" w:color="000000"/>
            </w:tcBorders>
          </w:tcPr>
          <w:p w:rsidR="00D227E2" w:rsidRDefault="00D227E2">
            <w:pPr>
              <w:widowControl w:val="0"/>
              <w:spacing w:after="0" w:line="240" w:lineRule="auto"/>
              <w:rPr>
                <w:rFonts w:ascii="Times New Roman" w:eastAsia="NSimSun" w:hAnsi="Times New Roman" w:cs="Times New Roman"/>
                <w:color w:val="000000"/>
                <w:kern w:val="2"/>
                <w:shd w:val="clear" w:color="auto" w:fill="FFFFFF"/>
                <w:lang w:eastAsia="zh-CN" w:bidi="hi-IN"/>
              </w:rPr>
            </w:pPr>
          </w:p>
        </w:tc>
        <w:tc>
          <w:tcPr>
            <w:tcW w:w="387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2013-2020</w:t>
            </w:r>
          </w:p>
        </w:tc>
      </w:tr>
      <w:tr w:rsidR="00D227E2">
        <w:trPr>
          <w:trHeight w:val="229"/>
        </w:trPr>
        <w:tc>
          <w:tcPr>
            <w:tcW w:w="570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color w:val="000000"/>
                <w:kern w:val="2"/>
                <w:shd w:val="clear" w:color="auto" w:fill="FFFFFF"/>
              </w:rPr>
              <w:t>Більш ніж 3,8 л</w:t>
            </w:r>
          </w:p>
        </w:tc>
        <w:tc>
          <w:tcPr>
            <w:tcW w:w="387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5540</w:t>
            </w:r>
          </w:p>
        </w:tc>
      </w:tr>
      <w:tr w:rsidR="00D227E2">
        <w:trPr>
          <w:trHeight w:val="234"/>
        </w:trPr>
        <w:tc>
          <w:tcPr>
            <w:tcW w:w="570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color w:val="000000"/>
                <w:kern w:val="2"/>
                <w:shd w:val="clear" w:color="auto" w:fill="FFFFFF"/>
              </w:rPr>
              <w:t>2,5-3,8 л</w:t>
            </w:r>
          </w:p>
        </w:tc>
        <w:tc>
          <w:tcPr>
            <w:tcW w:w="387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3745</w:t>
            </w:r>
          </w:p>
        </w:tc>
      </w:tr>
      <w:tr w:rsidR="00D227E2">
        <w:trPr>
          <w:trHeight w:val="223"/>
        </w:trPr>
        <w:tc>
          <w:tcPr>
            <w:tcW w:w="570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color w:val="000000"/>
                <w:kern w:val="2"/>
                <w:shd w:val="clear" w:color="auto" w:fill="FFFFFF"/>
              </w:rPr>
              <w:t>1,5-2,4 л</w:t>
            </w:r>
          </w:p>
        </w:tc>
        <w:tc>
          <w:tcPr>
            <w:tcW w:w="387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37879</w:t>
            </w:r>
          </w:p>
        </w:tc>
      </w:tr>
      <w:tr w:rsidR="00D227E2">
        <w:trPr>
          <w:trHeight w:val="228"/>
        </w:trPr>
        <w:tc>
          <w:tcPr>
            <w:tcW w:w="570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color w:val="000000"/>
                <w:kern w:val="2"/>
                <w:shd w:val="clear" w:color="auto" w:fill="FFFFFF"/>
              </w:rPr>
              <w:t>Менше ніж 1,5л</w:t>
            </w:r>
          </w:p>
        </w:tc>
        <w:tc>
          <w:tcPr>
            <w:tcW w:w="387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16868</w:t>
            </w:r>
          </w:p>
        </w:tc>
      </w:tr>
    </w:tbl>
    <w:p w:rsidR="00D227E2" w:rsidRDefault="00934FC4">
      <w:pPr>
        <w:spacing w:after="0" w:line="240" w:lineRule="auto"/>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*За інформацією наданою Головним сервісним центром МВС регіонального сервісного центру ГСЦ МВС у Волинській області щодо кількості проведених перших реєстрацій транспортних засобів, які зареєстровані у м. Луцьку.</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Згідно з методикою Угоди мерів щодо Енергії та Клімату для визначення споживання пального приватним транспортом у Луцьку станом на 2020 рік було обрано «територіальний метод». Під час розрахунку було враховано:</w:t>
      </w:r>
    </w:p>
    <w:p w:rsidR="00D227E2" w:rsidRDefault="00934FC4">
      <w:pPr>
        <w:numPr>
          <w:ilvl w:val="0"/>
          <w:numId w:val="12"/>
        </w:numPr>
        <w:spacing w:after="0"/>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кількість приватного транспорту у розрізі видів транспорту та за видом споживання палива;</w:t>
      </w:r>
    </w:p>
    <w:p w:rsidR="00D227E2" w:rsidRDefault="00934FC4">
      <w:pPr>
        <w:numPr>
          <w:ilvl w:val="0"/>
          <w:numId w:val="12"/>
        </w:numPr>
        <w:spacing w:after="0"/>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довжина середньої поїздки для різних видів автотранспорту та частота поїздок;</w:t>
      </w:r>
    </w:p>
    <w:p w:rsidR="00D227E2" w:rsidRDefault="00934FC4">
      <w:pPr>
        <w:numPr>
          <w:ilvl w:val="0"/>
          <w:numId w:val="12"/>
        </w:numPr>
        <w:spacing w:after="0"/>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середня витрата палива по типам автотранспорту з розрахунку на 100 км;</w:t>
      </w:r>
    </w:p>
    <w:p w:rsidR="00D227E2" w:rsidRDefault="00934FC4">
      <w:pPr>
        <w:numPr>
          <w:ilvl w:val="0"/>
          <w:numId w:val="12"/>
        </w:numPr>
        <w:spacing w:after="0"/>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середній річний пробіг;</w:t>
      </w:r>
    </w:p>
    <w:p w:rsidR="00D227E2" w:rsidRDefault="00934FC4">
      <w:pPr>
        <w:numPr>
          <w:ilvl w:val="0"/>
          <w:numId w:val="12"/>
        </w:numPr>
        <w:spacing w:after="0"/>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коефіцієнти переводу з натуральних одиниць в тонни та МВт.год.</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Нижче у таблиці 62 подано розрахункові дані споживання палива приватним транспортом у 2020 році.</w:t>
      </w:r>
    </w:p>
    <w:p w:rsidR="00D227E2" w:rsidRDefault="00934FC4">
      <w:pPr>
        <w:spacing w:after="0"/>
        <w:ind w:firstLine="510"/>
        <w:jc w:val="center"/>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Таблиця 62. Споживання пального приватним та комерційним транспортом у м. Луцьку у 2020 році</w:t>
      </w:r>
    </w:p>
    <w:tbl>
      <w:tblPr>
        <w:tblW w:w="9613" w:type="dxa"/>
        <w:tblInd w:w="41" w:type="dxa"/>
        <w:tblLayout w:type="fixed"/>
        <w:tblCellMar>
          <w:left w:w="5" w:type="dxa"/>
          <w:right w:w="5" w:type="dxa"/>
        </w:tblCellMar>
        <w:tblLook w:val="01E0" w:firstRow="1" w:lastRow="1" w:firstColumn="1" w:lastColumn="1" w:noHBand="0" w:noVBand="0"/>
      </w:tblPr>
      <w:tblGrid>
        <w:gridCol w:w="2956"/>
        <w:gridCol w:w="1271"/>
        <w:gridCol w:w="1139"/>
        <w:gridCol w:w="993"/>
        <w:gridCol w:w="1565"/>
        <w:gridCol w:w="1689"/>
      </w:tblGrid>
      <w:tr w:rsidR="00D227E2">
        <w:tc>
          <w:tcPr>
            <w:tcW w:w="2955" w:type="dxa"/>
            <w:vMerge w:val="restart"/>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color w:val="000000"/>
                <w:kern w:val="2"/>
                <w:shd w:val="clear" w:color="auto" w:fill="FFFFFF"/>
                <w:lang w:eastAsia="zh-CN" w:bidi="hi-IN"/>
              </w:rPr>
              <w:t>Вид транспорту</w:t>
            </w:r>
          </w:p>
        </w:tc>
        <w:tc>
          <w:tcPr>
            <w:tcW w:w="1271" w:type="dxa"/>
            <w:tcBorders>
              <w:top w:val="single" w:sz="4" w:space="0" w:color="000000"/>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Е/е</w:t>
            </w:r>
          </w:p>
        </w:tc>
        <w:tc>
          <w:tcPr>
            <w:tcW w:w="113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Бензин</w:t>
            </w:r>
          </w:p>
        </w:tc>
        <w:tc>
          <w:tcPr>
            <w:tcW w:w="99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Дизель</w:t>
            </w:r>
          </w:p>
        </w:tc>
        <w:tc>
          <w:tcPr>
            <w:tcW w:w="156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Зріджений газ</w:t>
            </w:r>
          </w:p>
        </w:tc>
        <w:tc>
          <w:tcPr>
            <w:tcW w:w="168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Стиснений газ</w:t>
            </w:r>
          </w:p>
        </w:tc>
      </w:tr>
      <w:tr w:rsidR="00D227E2">
        <w:tc>
          <w:tcPr>
            <w:tcW w:w="2955"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jc w:val="both"/>
              <w:rPr>
                <w:rFonts w:ascii="Times New Roman" w:eastAsia="Microsoft Sans Serif" w:hAnsi="Times New Roman" w:cs="Times New Roman"/>
                <w:color w:val="000000"/>
                <w:kern w:val="2"/>
                <w:shd w:val="clear" w:color="auto" w:fill="FFFFFF"/>
              </w:rPr>
            </w:pPr>
          </w:p>
        </w:tc>
        <w:tc>
          <w:tcPr>
            <w:tcW w:w="1271" w:type="dxa"/>
            <w:tcBorders>
              <w:top w:val="single" w:sz="4" w:space="0" w:color="000000"/>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кВт/год</w:t>
            </w:r>
          </w:p>
        </w:tc>
        <w:tc>
          <w:tcPr>
            <w:tcW w:w="113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л</w:t>
            </w:r>
          </w:p>
        </w:tc>
        <w:tc>
          <w:tcPr>
            <w:tcW w:w="99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л</w:t>
            </w:r>
          </w:p>
        </w:tc>
        <w:tc>
          <w:tcPr>
            <w:tcW w:w="156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л</w:t>
            </w:r>
          </w:p>
        </w:tc>
        <w:tc>
          <w:tcPr>
            <w:tcW w:w="168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м</w:t>
            </w:r>
            <w:r>
              <w:rPr>
                <w:rFonts w:ascii="Times New Roman" w:eastAsia="Microsoft Sans Serif" w:hAnsi="Times New Roman" w:cs="Times New Roman"/>
                <w:color w:val="000000"/>
                <w:kern w:val="2"/>
                <w:shd w:val="clear" w:color="auto" w:fill="FFFFFF"/>
                <w:vertAlign w:val="superscript"/>
              </w:rPr>
              <w:t>3</w:t>
            </w:r>
          </w:p>
        </w:tc>
      </w:tr>
      <w:tr w:rsidR="00D227E2">
        <w:tc>
          <w:tcPr>
            <w:tcW w:w="2955"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eastAsia="Microsoft Sans Serif" w:hAnsi="Times New Roman" w:cs="Times New Roman"/>
                <w:color w:val="000000"/>
                <w:kern w:val="2"/>
                <w:shd w:val="clear" w:color="auto" w:fill="FFFFFF"/>
              </w:rPr>
              <w:t>Мотоцикли</w:t>
            </w:r>
          </w:p>
        </w:tc>
        <w:tc>
          <w:tcPr>
            <w:tcW w:w="1271" w:type="dxa"/>
            <w:tcBorders>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28,1</w:t>
            </w:r>
          </w:p>
        </w:tc>
        <w:tc>
          <w:tcPr>
            <w:tcW w:w="1139"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15265</w:t>
            </w:r>
          </w:p>
        </w:tc>
        <w:tc>
          <w:tcPr>
            <w:tcW w:w="993"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0</w:t>
            </w:r>
          </w:p>
        </w:tc>
        <w:tc>
          <w:tcPr>
            <w:tcW w:w="1565"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0</w:t>
            </w:r>
          </w:p>
        </w:tc>
        <w:tc>
          <w:tcPr>
            <w:tcW w:w="1689"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0</w:t>
            </w:r>
          </w:p>
        </w:tc>
      </w:tr>
      <w:tr w:rsidR="00D227E2">
        <w:tc>
          <w:tcPr>
            <w:tcW w:w="2955"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eastAsia="Microsoft Sans Serif" w:hAnsi="Times New Roman" w:cs="Times New Roman"/>
                <w:color w:val="000000"/>
                <w:kern w:val="2"/>
                <w:shd w:val="clear" w:color="auto" w:fill="FFFFFF"/>
              </w:rPr>
              <w:t>Легкові автомобілі</w:t>
            </w:r>
          </w:p>
        </w:tc>
        <w:tc>
          <w:tcPr>
            <w:tcW w:w="1271" w:type="dxa"/>
            <w:tcBorders>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715244,1</w:t>
            </w:r>
          </w:p>
        </w:tc>
        <w:tc>
          <w:tcPr>
            <w:tcW w:w="1139"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9423533</w:t>
            </w:r>
          </w:p>
        </w:tc>
        <w:tc>
          <w:tcPr>
            <w:tcW w:w="993"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9214599</w:t>
            </w:r>
          </w:p>
        </w:tc>
        <w:tc>
          <w:tcPr>
            <w:tcW w:w="1565"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1360644</w:t>
            </w:r>
          </w:p>
        </w:tc>
        <w:tc>
          <w:tcPr>
            <w:tcW w:w="1689"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0</w:t>
            </w:r>
          </w:p>
        </w:tc>
      </w:tr>
      <w:tr w:rsidR="00D227E2">
        <w:tc>
          <w:tcPr>
            <w:tcW w:w="295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eastAsia="Microsoft Sans Serif" w:hAnsi="Times New Roman" w:cs="Times New Roman"/>
                <w:color w:val="000000"/>
                <w:kern w:val="2"/>
                <w:shd w:val="clear" w:color="auto" w:fill="FFFFFF"/>
              </w:rPr>
              <w:t>Вантажні автомобілі</w:t>
            </w:r>
          </w:p>
        </w:tc>
        <w:tc>
          <w:tcPr>
            <w:tcW w:w="1271" w:type="dxa"/>
            <w:tcBorders>
              <w:top w:val="single" w:sz="4" w:space="0" w:color="000000"/>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45070,9</w:t>
            </w:r>
          </w:p>
        </w:tc>
        <w:tc>
          <w:tcPr>
            <w:tcW w:w="113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0</w:t>
            </w:r>
          </w:p>
        </w:tc>
        <w:tc>
          <w:tcPr>
            <w:tcW w:w="99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1120394</w:t>
            </w:r>
          </w:p>
        </w:tc>
        <w:tc>
          <w:tcPr>
            <w:tcW w:w="156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0</w:t>
            </w:r>
          </w:p>
        </w:tc>
        <w:tc>
          <w:tcPr>
            <w:tcW w:w="168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0</w:t>
            </w:r>
          </w:p>
        </w:tc>
      </w:tr>
      <w:tr w:rsidR="00D227E2">
        <w:tc>
          <w:tcPr>
            <w:tcW w:w="295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eastAsia="Microsoft Sans Serif" w:hAnsi="Times New Roman" w:cs="Times New Roman"/>
                <w:color w:val="000000"/>
                <w:kern w:val="2"/>
                <w:shd w:val="clear" w:color="auto" w:fill="FFFFFF"/>
              </w:rPr>
              <w:t>Автобуси</w:t>
            </w:r>
          </w:p>
        </w:tc>
        <w:tc>
          <w:tcPr>
            <w:tcW w:w="1271" w:type="dxa"/>
            <w:tcBorders>
              <w:top w:val="single" w:sz="4" w:space="0" w:color="000000"/>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73448,9</w:t>
            </w:r>
          </w:p>
        </w:tc>
        <w:tc>
          <w:tcPr>
            <w:tcW w:w="113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15265</w:t>
            </w:r>
          </w:p>
        </w:tc>
        <w:tc>
          <w:tcPr>
            <w:tcW w:w="99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0</w:t>
            </w:r>
          </w:p>
        </w:tc>
        <w:tc>
          <w:tcPr>
            <w:tcW w:w="156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0</w:t>
            </w:r>
          </w:p>
        </w:tc>
        <w:tc>
          <w:tcPr>
            <w:tcW w:w="168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17207</w:t>
            </w:r>
          </w:p>
        </w:tc>
      </w:tr>
      <w:tr w:rsidR="00D227E2">
        <w:tc>
          <w:tcPr>
            <w:tcW w:w="295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right"/>
              <w:rPr>
                <w:rFonts w:ascii="Times New Roman" w:hAnsi="Times New Roman" w:cs="Times New Roman"/>
              </w:rPr>
            </w:pPr>
            <w:r>
              <w:rPr>
                <w:rFonts w:ascii="Times New Roman" w:eastAsia="Microsoft Sans Serif" w:hAnsi="Times New Roman" w:cs="Times New Roman"/>
                <w:color w:val="000000"/>
                <w:kern w:val="2"/>
                <w:shd w:val="clear" w:color="auto" w:fill="FFFFFF"/>
              </w:rPr>
              <w:t>Всього</w:t>
            </w:r>
          </w:p>
        </w:tc>
        <w:tc>
          <w:tcPr>
            <w:tcW w:w="1271" w:type="dxa"/>
            <w:tcBorders>
              <w:top w:val="single" w:sz="4" w:space="0" w:color="000000"/>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833792</w:t>
            </w:r>
          </w:p>
        </w:tc>
        <w:tc>
          <w:tcPr>
            <w:tcW w:w="113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9454063</w:t>
            </w:r>
          </w:p>
        </w:tc>
        <w:tc>
          <w:tcPr>
            <w:tcW w:w="99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10334993</w:t>
            </w:r>
          </w:p>
        </w:tc>
        <w:tc>
          <w:tcPr>
            <w:tcW w:w="156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1360644</w:t>
            </w:r>
          </w:p>
        </w:tc>
        <w:tc>
          <w:tcPr>
            <w:tcW w:w="168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17207</w:t>
            </w:r>
          </w:p>
        </w:tc>
      </w:tr>
    </w:tbl>
    <w:p w:rsidR="00D227E2" w:rsidRDefault="00934FC4">
      <w:pPr>
        <w:spacing w:after="0"/>
        <w:ind w:firstLine="510"/>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Оскільки у Плані дій зі сталого енергетичного розвитку міста Луцька на 2012-2025 роки відсутній розділ про приватний транспорт та збір статистичних даних щодо споживання пального у 2007 році не проводився, формування даних для базового кадастру викидів щодо кількості спожитого пального у 2007 році буде розраховано виходячи з кількості спожитого пального у 2020 році та загальноукраїнських тенденцій із зростання кількості транспорту.</w:t>
      </w:r>
    </w:p>
    <w:p w:rsidR="00D227E2" w:rsidRDefault="00934FC4">
      <w:pPr>
        <w:spacing w:after="0"/>
        <w:ind w:firstLine="510"/>
        <w:jc w:val="center"/>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Таблиця 63. Споживання пального приватним та комерційним транспортом у м. Луцьку у 2007 році</w:t>
      </w:r>
    </w:p>
    <w:tbl>
      <w:tblPr>
        <w:tblW w:w="9613" w:type="dxa"/>
        <w:tblInd w:w="41" w:type="dxa"/>
        <w:tblLayout w:type="fixed"/>
        <w:tblCellMar>
          <w:left w:w="5" w:type="dxa"/>
          <w:right w:w="5" w:type="dxa"/>
        </w:tblCellMar>
        <w:tblLook w:val="01E0" w:firstRow="1" w:lastRow="1" w:firstColumn="1" w:lastColumn="1" w:noHBand="0" w:noVBand="0"/>
      </w:tblPr>
      <w:tblGrid>
        <w:gridCol w:w="3651"/>
        <w:gridCol w:w="1416"/>
        <w:gridCol w:w="1286"/>
        <w:gridCol w:w="1695"/>
        <w:gridCol w:w="1565"/>
      </w:tblGrid>
      <w:tr w:rsidR="00D227E2">
        <w:trPr>
          <w:trHeight w:val="259"/>
        </w:trPr>
        <w:tc>
          <w:tcPr>
            <w:tcW w:w="3651" w:type="dxa"/>
            <w:vMerge w:val="restart"/>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color w:val="000000"/>
                <w:kern w:val="2"/>
                <w:shd w:val="clear" w:color="auto" w:fill="FFFFFF"/>
                <w:lang w:eastAsia="zh-CN" w:bidi="hi-IN"/>
              </w:rPr>
              <w:t>Вид транспорту</w:t>
            </w:r>
          </w:p>
        </w:tc>
        <w:tc>
          <w:tcPr>
            <w:tcW w:w="141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Бензин</w:t>
            </w:r>
          </w:p>
        </w:tc>
        <w:tc>
          <w:tcPr>
            <w:tcW w:w="128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Дизель</w:t>
            </w:r>
          </w:p>
        </w:tc>
        <w:tc>
          <w:tcPr>
            <w:tcW w:w="169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Зріджений газ</w:t>
            </w:r>
          </w:p>
        </w:tc>
        <w:tc>
          <w:tcPr>
            <w:tcW w:w="156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Стиснений газ</w:t>
            </w:r>
          </w:p>
        </w:tc>
      </w:tr>
      <w:tr w:rsidR="00D227E2">
        <w:trPr>
          <w:trHeight w:val="251"/>
        </w:trPr>
        <w:tc>
          <w:tcPr>
            <w:tcW w:w="3651"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jc w:val="both"/>
              <w:rPr>
                <w:rFonts w:ascii="Times New Roman" w:eastAsia="Microsoft Sans Serif" w:hAnsi="Times New Roman" w:cs="Times New Roman"/>
                <w:color w:val="000000"/>
                <w:kern w:val="2"/>
                <w:shd w:val="clear" w:color="auto" w:fill="FFFFFF"/>
              </w:rPr>
            </w:pPr>
          </w:p>
        </w:tc>
        <w:tc>
          <w:tcPr>
            <w:tcW w:w="141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л</w:t>
            </w:r>
          </w:p>
        </w:tc>
        <w:tc>
          <w:tcPr>
            <w:tcW w:w="128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л</w:t>
            </w:r>
          </w:p>
        </w:tc>
        <w:tc>
          <w:tcPr>
            <w:tcW w:w="169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л</w:t>
            </w:r>
          </w:p>
        </w:tc>
        <w:tc>
          <w:tcPr>
            <w:tcW w:w="156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м</w:t>
            </w:r>
            <w:r>
              <w:rPr>
                <w:rFonts w:ascii="Times New Roman" w:eastAsia="Microsoft Sans Serif" w:hAnsi="Times New Roman" w:cs="Times New Roman"/>
                <w:color w:val="000000"/>
                <w:kern w:val="2"/>
                <w:shd w:val="clear" w:color="auto" w:fill="FFFFFF"/>
                <w:vertAlign w:val="superscript"/>
              </w:rPr>
              <w:t>3</w:t>
            </w:r>
          </w:p>
        </w:tc>
      </w:tr>
      <w:tr w:rsidR="00D227E2">
        <w:trPr>
          <w:trHeight w:val="251"/>
        </w:trPr>
        <w:tc>
          <w:tcPr>
            <w:tcW w:w="3651"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eastAsia="Microsoft Sans Serif" w:hAnsi="Times New Roman" w:cs="Times New Roman"/>
                <w:color w:val="000000"/>
                <w:kern w:val="2"/>
                <w:shd w:val="clear" w:color="auto" w:fill="FFFFFF"/>
              </w:rPr>
              <w:t>Мотоцикли</w:t>
            </w:r>
          </w:p>
        </w:tc>
        <w:tc>
          <w:tcPr>
            <w:tcW w:w="1416"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17103</w:t>
            </w:r>
          </w:p>
        </w:tc>
        <w:tc>
          <w:tcPr>
            <w:tcW w:w="1286"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0</w:t>
            </w:r>
          </w:p>
        </w:tc>
        <w:tc>
          <w:tcPr>
            <w:tcW w:w="1695"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0</w:t>
            </w:r>
          </w:p>
        </w:tc>
        <w:tc>
          <w:tcPr>
            <w:tcW w:w="1565" w:type="dxa"/>
            <w:tcBorders>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0</w:t>
            </w:r>
          </w:p>
        </w:tc>
      </w:tr>
      <w:tr w:rsidR="00D227E2">
        <w:trPr>
          <w:trHeight w:val="267"/>
        </w:trPr>
        <w:tc>
          <w:tcPr>
            <w:tcW w:w="3651"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eastAsia="Microsoft Sans Serif" w:hAnsi="Times New Roman" w:cs="Times New Roman"/>
                <w:color w:val="000000"/>
                <w:kern w:val="2"/>
                <w:shd w:val="clear" w:color="auto" w:fill="FFFFFF"/>
              </w:rPr>
              <w:t>Легкові автомобілі</w:t>
            </w:r>
          </w:p>
        </w:tc>
        <w:tc>
          <w:tcPr>
            <w:tcW w:w="141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10479848</w:t>
            </w:r>
          </w:p>
        </w:tc>
        <w:tc>
          <w:tcPr>
            <w:tcW w:w="128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10320444</w:t>
            </w:r>
          </w:p>
        </w:tc>
        <w:tc>
          <w:tcPr>
            <w:tcW w:w="169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1523589</w:t>
            </w:r>
          </w:p>
        </w:tc>
        <w:tc>
          <w:tcPr>
            <w:tcW w:w="156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0</w:t>
            </w:r>
          </w:p>
        </w:tc>
      </w:tr>
      <w:tr w:rsidR="00D227E2">
        <w:trPr>
          <w:trHeight w:val="276"/>
        </w:trPr>
        <w:tc>
          <w:tcPr>
            <w:tcW w:w="3651"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eastAsia="Microsoft Sans Serif" w:hAnsi="Times New Roman" w:cs="Times New Roman"/>
                <w:color w:val="000000"/>
                <w:kern w:val="2"/>
                <w:shd w:val="clear" w:color="auto" w:fill="FFFFFF"/>
              </w:rPr>
              <w:lastRenderedPageBreak/>
              <w:t>Вантажні автомобілі</w:t>
            </w:r>
          </w:p>
        </w:tc>
        <w:tc>
          <w:tcPr>
            <w:tcW w:w="141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366594</w:t>
            </w:r>
          </w:p>
        </w:tc>
        <w:tc>
          <w:tcPr>
            <w:tcW w:w="128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1506074</w:t>
            </w:r>
          </w:p>
        </w:tc>
        <w:tc>
          <w:tcPr>
            <w:tcW w:w="169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0</w:t>
            </w:r>
          </w:p>
        </w:tc>
        <w:tc>
          <w:tcPr>
            <w:tcW w:w="156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0</w:t>
            </w:r>
          </w:p>
        </w:tc>
      </w:tr>
      <w:tr w:rsidR="00D227E2">
        <w:trPr>
          <w:trHeight w:val="253"/>
        </w:trPr>
        <w:tc>
          <w:tcPr>
            <w:tcW w:w="3651"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eastAsia="Microsoft Sans Serif" w:hAnsi="Times New Roman" w:cs="Times New Roman"/>
                <w:color w:val="000000"/>
                <w:kern w:val="2"/>
                <w:shd w:val="clear" w:color="auto" w:fill="FFFFFF"/>
              </w:rPr>
              <w:t>Автобуси</w:t>
            </w:r>
          </w:p>
        </w:tc>
        <w:tc>
          <w:tcPr>
            <w:tcW w:w="141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10247</w:t>
            </w:r>
          </w:p>
        </w:tc>
        <w:tc>
          <w:tcPr>
            <w:tcW w:w="128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138173</w:t>
            </w:r>
          </w:p>
        </w:tc>
        <w:tc>
          <w:tcPr>
            <w:tcW w:w="169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0</w:t>
            </w:r>
          </w:p>
        </w:tc>
        <w:tc>
          <w:tcPr>
            <w:tcW w:w="156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11550</w:t>
            </w:r>
          </w:p>
        </w:tc>
      </w:tr>
      <w:tr w:rsidR="00D227E2">
        <w:trPr>
          <w:trHeight w:val="294"/>
        </w:trPr>
        <w:tc>
          <w:tcPr>
            <w:tcW w:w="3651" w:type="dxa"/>
            <w:tcBorders>
              <w:top w:val="single" w:sz="4" w:space="0" w:color="000000"/>
              <w:left w:val="single" w:sz="4" w:space="0" w:color="000000"/>
              <w:bottom w:val="single" w:sz="4" w:space="0" w:color="000000"/>
              <w:right w:val="single" w:sz="4" w:space="0" w:color="000000"/>
            </w:tcBorders>
          </w:tcPr>
          <w:p w:rsidR="00D227E2" w:rsidRDefault="00934FC4">
            <w:pPr>
              <w:spacing w:after="0"/>
              <w:rPr>
                <w:rFonts w:ascii="Times New Roman" w:hAnsi="Times New Roman" w:cs="Times New Roman"/>
              </w:rPr>
            </w:pPr>
            <w:r>
              <w:rPr>
                <w:rFonts w:ascii="Times New Roman" w:hAnsi="Times New Roman" w:cs="Times New Roman"/>
                <w:color w:val="000000"/>
                <w:shd w:val="clear" w:color="auto" w:fill="FFFFFF"/>
              </w:rPr>
              <w:t>Всього</w:t>
            </w:r>
          </w:p>
        </w:tc>
        <w:tc>
          <w:tcPr>
            <w:tcW w:w="141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10873792</w:t>
            </w:r>
          </w:p>
        </w:tc>
        <w:tc>
          <w:tcPr>
            <w:tcW w:w="128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11964691</w:t>
            </w:r>
          </w:p>
        </w:tc>
        <w:tc>
          <w:tcPr>
            <w:tcW w:w="169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1523589</w:t>
            </w:r>
          </w:p>
        </w:tc>
        <w:tc>
          <w:tcPr>
            <w:tcW w:w="156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11550</w:t>
            </w:r>
          </w:p>
        </w:tc>
      </w:tr>
    </w:tbl>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 xml:space="preserve">Порівняння загального споживання пального приватним та комерційним транспортом у 2007 та 2020 роках наведено у таблиці 63.1 та на рисунку 40, вказує на зростання об’єму споживання по всіх видах транспорту. Це корелюється із загальноукраїнськими даними про зростання кількості транспорту у вказаному часовому діапазоні. </w:t>
      </w:r>
    </w:p>
    <w:p w:rsidR="00D227E2" w:rsidRDefault="00934FC4">
      <w:pPr>
        <w:spacing w:after="0"/>
        <w:ind w:firstLine="510"/>
        <w:jc w:val="center"/>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Таблиця 63.1. Загальне споживання палива приватним та комерційним транспортом в 2007 та 2020 роках (</w:t>
      </w:r>
      <w:r>
        <w:rPr>
          <w:rFonts w:ascii="Times New Roman" w:eastAsia="Microsoft Sans Serif" w:hAnsi="Times New Roman" w:cs="Times New Roman"/>
          <w:color w:val="000000"/>
          <w:kern w:val="2"/>
          <w:shd w:val="clear" w:color="auto" w:fill="FFFFFF"/>
        </w:rPr>
        <w:t>МВт∙год</w:t>
      </w:r>
      <w:r>
        <w:rPr>
          <w:rFonts w:ascii="Times New Roman" w:eastAsia="NSimSun" w:hAnsi="Times New Roman" w:cs="Times New Roman"/>
          <w:color w:val="000000"/>
          <w:kern w:val="2"/>
          <w:sz w:val="24"/>
          <w:szCs w:val="24"/>
          <w:shd w:val="clear" w:color="auto" w:fill="FFFFFF"/>
          <w:lang w:eastAsia="zh-CN" w:bidi="hi-IN"/>
        </w:rPr>
        <w:t>)</w:t>
      </w:r>
    </w:p>
    <w:tbl>
      <w:tblPr>
        <w:tblW w:w="9609" w:type="dxa"/>
        <w:tblInd w:w="41" w:type="dxa"/>
        <w:tblLayout w:type="fixed"/>
        <w:tblCellMar>
          <w:left w:w="5" w:type="dxa"/>
          <w:right w:w="5" w:type="dxa"/>
        </w:tblCellMar>
        <w:tblLook w:val="01E0" w:firstRow="1" w:lastRow="1" w:firstColumn="1" w:lastColumn="1" w:noHBand="0" w:noVBand="0"/>
      </w:tblPr>
      <w:tblGrid>
        <w:gridCol w:w="1082"/>
        <w:gridCol w:w="1351"/>
        <w:gridCol w:w="1359"/>
        <w:gridCol w:w="1369"/>
        <w:gridCol w:w="1353"/>
        <w:gridCol w:w="1361"/>
        <w:gridCol w:w="1734"/>
      </w:tblGrid>
      <w:tr w:rsidR="00D227E2">
        <w:trPr>
          <w:trHeight w:val="225"/>
        </w:trPr>
        <w:tc>
          <w:tcPr>
            <w:tcW w:w="1081" w:type="dxa"/>
            <w:vMerge w:val="restart"/>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Роки</w:t>
            </w:r>
          </w:p>
        </w:tc>
        <w:tc>
          <w:tcPr>
            <w:tcW w:w="6793" w:type="dxa"/>
            <w:gridSpan w:val="5"/>
            <w:tcBorders>
              <w:top w:val="single" w:sz="4" w:space="0" w:color="000000"/>
              <w:left w:val="single" w:sz="4" w:space="0" w:color="000000"/>
              <w:bottom w:val="single" w:sz="4" w:space="0" w:color="000000"/>
              <w:right w:val="single" w:sz="6"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Загальне споживання палива по роках, МВт∙год</w:t>
            </w:r>
          </w:p>
        </w:tc>
        <w:tc>
          <w:tcPr>
            <w:tcW w:w="1734" w:type="dxa"/>
            <w:vMerge w:val="restart"/>
            <w:tcBorders>
              <w:top w:val="single" w:sz="4" w:space="0" w:color="000000"/>
              <w:left w:val="single" w:sz="6"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Загальне споживання палива, МВт∙год</w:t>
            </w:r>
          </w:p>
        </w:tc>
      </w:tr>
      <w:tr w:rsidR="00D227E2">
        <w:trPr>
          <w:trHeight w:val="284"/>
        </w:trPr>
        <w:tc>
          <w:tcPr>
            <w:tcW w:w="1081" w:type="dxa"/>
            <w:vMerge/>
            <w:tcBorders>
              <w:left w:val="single" w:sz="4" w:space="0" w:color="000000"/>
              <w:bottom w:val="single" w:sz="4" w:space="0" w:color="000000"/>
              <w:right w:val="single" w:sz="4" w:space="0" w:color="000000"/>
            </w:tcBorders>
          </w:tcPr>
          <w:p w:rsidR="00D227E2" w:rsidRDefault="00D227E2">
            <w:pPr>
              <w:widowControl w:val="0"/>
              <w:spacing w:after="0" w:line="240" w:lineRule="auto"/>
              <w:jc w:val="both"/>
              <w:rPr>
                <w:rFonts w:ascii="Times New Roman" w:eastAsia="NSimSun" w:hAnsi="Times New Roman" w:cs="Times New Roman"/>
                <w:color w:val="000000"/>
                <w:kern w:val="2"/>
                <w:shd w:val="clear" w:color="auto" w:fill="FFFFFF"/>
                <w:lang w:eastAsia="zh-CN" w:bidi="hi-IN"/>
              </w:rPr>
            </w:pPr>
          </w:p>
        </w:tc>
        <w:tc>
          <w:tcPr>
            <w:tcW w:w="1351" w:type="dxa"/>
            <w:tcBorders>
              <w:top w:val="single" w:sz="4" w:space="0" w:color="000000"/>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Е/е</w:t>
            </w:r>
          </w:p>
        </w:tc>
        <w:tc>
          <w:tcPr>
            <w:tcW w:w="135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Бензин</w:t>
            </w:r>
          </w:p>
        </w:tc>
        <w:tc>
          <w:tcPr>
            <w:tcW w:w="136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Дизель</w:t>
            </w:r>
          </w:p>
        </w:tc>
        <w:tc>
          <w:tcPr>
            <w:tcW w:w="135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Зріджений газ</w:t>
            </w:r>
          </w:p>
        </w:tc>
        <w:tc>
          <w:tcPr>
            <w:tcW w:w="1361" w:type="dxa"/>
            <w:tcBorders>
              <w:top w:val="single" w:sz="4" w:space="0" w:color="000000"/>
              <w:left w:val="single" w:sz="4" w:space="0" w:color="000000"/>
              <w:bottom w:val="single" w:sz="4" w:space="0" w:color="000000"/>
              <w:right w:val="single" w:sz="6"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Стиснений газ</w:t>
            </w:r>
          </w:p>
        </w:tc>
        <w:tc>
          <w:tcPr>
            <w:tcW w:w="1734" w:type="dxa"/>
            <w:vMerge/>
            <w:tcBorders>
              <w:left w:val="single" w:sz="6" w:space="0" w:color="000000"/>
              <w:bottom w:val="single" w:sz="4" w:space="0" w:color="000000"/>
              <w:right w:val="single" w:sz="4" w:space="0" w:color="000000"/>
            </w:tcBorders>
          </w:tcPr>
          <w:p w:rsidR="00D227E2" w:rsidRDefault="00D227E2">
            <w:pPr>
              <w:widowControl w:val="0"/>
              <w:spacing w:after="0" w:line="240" w:lineRule="auto"/>
              <w:jc w:val="both"/>
              <w:rPr>
                <w:rFonts w:ascii="Times New Roman" w:eastAsia="NSimSun" w:hAnsi="Times New Roman" w:cs="Times New Roman"/>
                <w:color w:val="000000"/>
                <w:kern w:val="2"/>
                <w:shd w:val="clear" w:color="auto" w:fill="FFFFFF"/>
                <w:lang w:eastAsia="zh-CN" w:bidi="hi-IN"/>
              </w:rPr>
            </w:pPr>
          </w:p>
        </w:tc>
      </w:tr>
      <w:tr w:rsidR="00D227E2">
        <w:trPr>
          <w:trHeight w:val="299"/>
        </w:trPr>
        <w:tc>
          <w:tcPr>
            <w:tcW w:w="1081"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2007</w:t>
            </w:r>
          </w:p>
        </w:tc>
        <w:tc>
          <w:tcPr>
            <w:tcW w:w="1351" w:type="dxa"/>
            <w:tcBorders>
              <w:top w:val="single" w:sz="4" w:space="0" w:color="000000"/>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w:t>
            </w:r>
          </w:p>
        </w:tc>
        <w:tc>
          <w:tcPr>
            <w:tcW w:w="135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100979,43</w:t>
            </w:r>
          </w:p>
        </w:tc>
        <w:tc>
          <w:tcPr>
            <w:tcW w:w="136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118887,19</w:t>
            </w:r>
          </w:p>
        </w:tc>
        <w:tc>
          <w:tcPr>
            <w:tcW w:w="135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9979,45</w:t>
            </w:r>
          </w:p>
        </w:tc>
        <w:tc>
          <w:tcPr>
            <w:tcW w:w="1361" w:type="dxa"/>
            <w:tcBorders>
              <w:top w:val="single" w:sz="4" w:space="0" w:color="000000"/>
              <w:left w:val="single" w:sz="4" w:space="0" w:color="000000"/>
              <w:bottom w:val="single" w:sz="4" w:space="0" w:color="000000"/>
              <w:right w:val="single" w:sz="6"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159390,00</w:t>
            </w:r>
          </w:p>
        </w:tc>
        <w:tc>
          <w:tcPr>
            <w:tcW w:w="1734" w:type="dxa"/>
            <w:tcBorders>
              <w:top w:val="single" w:sz="4" w:space="0" w:color="000000"/>
              <w:left w:val="single" w:sz="6"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fldChar w:fldCharType="begin"/>
            </w:r>
            <w:r>
              <w:rPr>
                <w:rFonts w:ascii="Times New Roman" w:eastAsia="Microsoft Sans Serif" w:hAnsi="Times New Roman" w:cs="Times New Roman"/>
                <w:color w:val="000000"/>
                <w:kern w:val="2"/>
                <w:shd w:val="clear" w:color="auto" w:fill="FFFFFF"/>
              </w:rPr>
              <w:instrText xml:space="preserve"> =C3:F3</w:instrText>
            </w:r>
            <w:r>
              <w:rPr>
                <w:rFonts w:ascii="Times New Roman" w:eastAsia="Microsoft Sans Serif" w:hAnsi="Times New Roman" w:cs="Times New Roman"/>
                <w:color w:val="000000"/>
                <w:kern w:val="2"/>
                <w:shd w:val="clear" w:color="auto" w:fill="FFFFFF"/>
              </w:rPr>
              <w:fldChar w:fldCharType="separate"/>
            </w:r>
            <w:r>
              <w:rPr>
                <w:rFonts w:ascii="Times New Roman" w:eastAsia="Microsoft Sans Serif" w:hAnsi="Times New Roman" w:cs="Times New Roman"/>
                <w:color w:val="000000"/>
                <w:kern w:val="2"/>
                <w:shd w:val="clear" w:color="auto" w:fill="FFFFFF"/>
              </w:rPr>
              <w:t>389236,07</w:t>
            </w:r>
            <w:r>
              <w:rPr>
                <w:rFonts w:ascii="Times New Roman" w:eastAsia="Microsoft Sans Serif" w:hAnsi="Times New Roman" w:cs="Times New Roman"/>
                <w:color w:val="000000"/>
                <w:kern w:val="2"/>
                <w:shd w:val="clear" w:color="auto" w:fill="FFFFFF"/>
              </w:rPr>
              <w:fldChar w:fldCharType="end"/>
            </w:r>
          </w:p>
        </w:tc>
      </w:tr>
      <w:tr w:rsidR="00D227E2">
        <w:trPr>
          <w:trHeight w:val="299"/>
        </w:trPr>
        <w:tc>
          <w:tcPr>
            <w:tcW w:w="1081"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2020</w:t>
            </w:r>
          </w:p>
        </w:tc>
        <w:tc>
          <w:tcPr>
            <w:tcW w:w="1351" w:type="dxa"/>
            <w:tcBorders>
              <w:top w:val="single" w:sz="4" w:space="0" w:color="000000"/>
              <w:left w:val="single" w:sz="4" w:space="0" w:color="000000"/>
              <w:bottom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833,792</w:t>
            </w:r>
          </w:p>
        </w:tc>
        <w:tc>
          <w:tcPr>
            <w:tcW w:w="135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87795,19</w:t>
            </w:r>
          </w:p>
        </w:tc>
        <w:tc>
          <w:tcPr>
            <w:tcW w:w="136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101463,80</w:t>
            </w:r>
          </w:p>
        </w:tc>
        <w:tc>
          <w:tcPr>
            <w:tcW w:w="135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8912,19</w:t>
            </w:r>
          </w:p>
        </w:tc>
        <w:tc>
          <w:tcPr>
            <w:tcW w:w="1361" w:type="dxa"/>
            <w:tcBorders>
              <w:top w:val="single" w:sz="4" w:space="0" w:color="000000"/>
              <w:left w:val="single" w:sz="4" w:space="0" w:color="000000"/>
              <w:bottom w:val="single" w:sz="4" w:space="0" w:color="000000"/>
              <w:right w:val="single" w:sz="6"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237456,60</w:t>
            </w:r>
          </w:p>
        </w:tc>
        <w:tc>
          <w:tcPr>
            <w:tcW w:w="1734" w:type="dxa"/>
            <w:tcBorders>
              <w:top w:val="single" w:sz="4" w:space="0" w:color="000000"/>
              <w:left w:val="single" w:sz="6"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color w:val="000000"/>
                <w:kern w:val="2"/>
                <w:shd w:val="clear" w:color="auto" w:fill="FFFFFF"/>
              </w:rPr>
              <w:t>436461,57</w:t>
            </w:r>
          </w:p>
        </w:tc>
      </w:tr>
    </w:tbl>
    <w:p w:rsidR="00D227E2" w:rsidRDefault="00934FC4">
      <w:pPr>
        <w:spacing w:after="0"/>
        <w:ind w:firstLine="510"/>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Загальне споживання пального у порівнянні 2007 та 2020 років зросло на 12,1 %.</w:t>
      </w:r>
    </w:p>
    <w:p w:rsidR="00D227E2" w:rsidRDefault="00934FC4">
      <w:pPr>
        <w:spacing w:after="0"/>
        <w:ind w:firstLine="510"/>
        <w:jc w:val="both"/>
        <w:rPr>
          <w:rFonts w:ascii="Times New Roman" w:eastAsia="NSimSun" w:hAnsi="Times New Roman" w:cs="Times New Roman"/>
          <w:kern w:val="2"/>
          <w:sz w:val="24"/>
          <w:szCs w:val="24"/>
          <w:lang w:eastAsia="zh-CN" w:bidi="hi-IN"/>
        </w:rPr>
      </w:pPr>
      <w:r>
        <w:rPr>
          <w:rFonts w:ascii="Times New Roman" w:eastAsia="NSimSun" w:hAnsi="Times New Roman" w:cs="Times New Roman"/>
          <w:noProof/>
          <w:kern w:val="2"/>
          <w:sz w:val="24"/>
          <w:szCs w:val="24"/>
          <w:lang w:eastAsia="uk-UA"/>
        </w:rPr>
        <w:drawing>
          <wp:anchor distT="0" distB="0" distL="0" distR="0" simplePos="0" relativeHeight="50" behindDoc="0" locked="0" layoutInCell="0" allowOverlap="1" wp14:anchorId="5AE19189" wp14:editId="1A990FCF">
            <wp:simplePos x="0" y="0"/>
            <wp:positionH relativeFrom="column">
              <wp:posOffset>1452245</wp:posOffset>
            </wp:positionH>
            <wp:positionV relativeFrom="paragraph">
              <wp:posOffset>121285</wp:posOffset>
            </wp:positionV>
            <wp:extent cx="3305810" cy="1934210"/>
            <wp:effectExtent l="0" t="0" r="0" b="0"/>
            <wp:wrapSquare wrapText="largest"/>
            <wp:docPr id="56" name="Об'єкт31"/>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anchor>
        </w:drawing>
      </w:r>
    </w:p>
    <w:p w:rsidR="00D227E2" w:rsidRDefault="00D227E2">
      <w:pPr>
        <w:spacing w:after="0"/>
        <w:ind w:firstLine="510"/>
        <w:jc w:val="both"/>
        <w:rPr>
          <w:rFonts w:ascii="Times New Roman" w:eastAsia="NSimSun" w:hAnsi="Times New Roman" w:cs="Times New Roman"/>
          <w:kern w:val="2"/>
          <w:sz w:val="24"/>
          <w:szCs w:val="24"/>
          <w:lang w:eastAsia="zh-CN" w:bidi="hi-IN"/>
        </w:rPr>
      </w:pPr>
    </w:p>
    <w:p w:rsidR="00D227E2" w:rsidRDefault="00D227E2">
      <w:pPr>
        <w:spacing w:after="0"/>
        <w:ind w:firstLine="510"/>
        <w:jc w:val="both"/>
        <w:rPr>
          <w:rFonts w:ascii="Times New Roman" w:eastAsia="NSimSun" w:hAnsi="Times New Roman" w:cs="Times New Roman"/>
          <w:kern w:val="2"/>
          <w:sz w:val="24"/>
          <w:szCs w:val="24"/>
          <w:lang w:eastAsia="zh-CN" w:bidi="hi-IN"/>
        </w:rPr>
      </w:pPr>
    </w:p>
    <w:p w:rsidR="00D227E2" w:rsidRDefault="00D227E2">
      <w:pPr>
        <w:spacing w:after="0"/>
        <w:ind w:firstLine="510"/>
        <w:jc w:val="both"/>
        <w:rPr>
          <w:rFonts w:ascii="Times New Roman" w:eastAsia="NSimSun" w:hAnsi="Times New Roman" w:cs="Times New Roman"/>
          <w:kern w:val="2"/>
          <w:sz w:val="24"/>
          <w:szCs w:val="24"/>
          <w:lang w:eastAsia="zh-CN" w:bidi="hi-IN"/>
        </w:rPr>
      </w:pPr>
    </w:p>
    <w:p w:rsidR="00D227E2" w:rsidRDefault="00D227E2">
      <w:pPr>
        <w:spacing w:after="0"/>
        <w:ind w:firstLine="510"/>
        <w:jc w:val="both"/>
        <w:rPr>
          <w:rFonts w:ascii="Times New Roman" w:eastAsia="NSimSun" w:hAnsi="Times New Roman" w:cs="Times New Roman"/>
          <w:kern w:val="2"/>
          <w:sz w:val="24"/>
          <w:szCs w:val="24"/>
          <w:lang w:eastAsia="zh-CN" w:bidi="hi-IN"/>
        </w:rPr>
      </w:pPr>
    </w:p>
    <w:p w:rsidR="00D227E2" w:rsidRDefault="00D227E2">
      <w:pPr>
        <w:spacing w:after="0"/>
        <w:ind w:firstLine="510"/>
        <w:jc w:val="both"/>
        <w:rPr>
          <w:rFonts w:ascii="Times New Roman" w:eastAsia="NSimSun" w:hAnsi="Times New Roman" w:cs="Times New Roman"/>
          <w:kern w:val="2"/>
          <w:sz w:val="24"/>
          <w:szCs w:val="24"/>
          <w:lang w:eastAsia="zh-CN" w:bidi="hi-IN"/>
        </w:rPr>
      </w:pPr>
    </w:p>
    <w:p w:rsidR="00D227E2" w:rsidRDefault="00D227E2">
      <w:pPr>
        <w:spacing w:after="0"/>
        <w:ind w:firstLine="510"/>
        <w:jc w:val="both"/>
        <w:rPr>
          <w:rFonts w:ascii="Times New Roman" w:eastAsia="NSimSun" w:hAnsi="Times New Roman" w:cs="Times New Roman"/>
          <w:kern w:val="2"/>
          <w:sz w:val="24"/>
          <w:szCs w:val="24"/>
          <w:lang w:eastAsia="zh-CN" w:bidi="hi-IN"/>
        </w:rPr>
      </w:pPr>
    </w:p>
    <w:p w:rsidR="00D227E2" w:rsidRDefault="00D227E2">
      <w:pPr>
        <w:spacing w:after="0"/>
        <w:ind w:firstLine="510"/>
        <w:jc w:val="center"/>
        <w:rPr>
          <w:rFonts w:ascii="Times New Roman" w:eastAsia="NSimSun" w:hAnsi="Times New Roman" w:cs="Times New Roman"/>
          <w:color w:val="000000"/>
          <w:kern w:val="2"/>
          <w:sz w:val="24"/>
          <w:szCs w:val="24"/>
          <w:shd w:val="clear" w:color="auto" w:fill="FFFFFF"/>
          <w:lang w:eastAsia="zh-CN" w:bidi="hi-IN"/>
        </w:rPr>
      </w:pPr>
    </w:p>
    <w:p w:rsidR="00D227E2" w:rsidRDefault="00D227E2">
      <w:pPr>
        <w:spacing w:after="0"/>
        <w:ind w:firstLine="510"/>
        <w:jc w:val="center"/>
        <w:rPr>
          <w:rFonts w:ascii="Times New Roman" w:eastAsia="NSimSun" w:hAnsi="Times New Roman" w:cs="Times New Roman"/>
          <w:color w:val="000000"/>
          <w:kern w:val="2"/>
          <w:sz w:val="24"/>
          <w:szCs w:val="24"/>
          <w:shd w:val="clear" w:color="auto" w:fill="FFFFFF"/>
          <w:lang w:eastAsia="zh-CN" w:bidi="hi-IN"/>
        </w:rPr>
      </w:pPr>
    </w:p>
    <w:p w:rsidR="00D227E2" w:rsidRDefault="00D227E2">
      <w:pPr>
        <w:spacing w:after="0"/>
        <w:ind w:firstLine="510"/>
        <w:jc w:val="center"/>
        <w:rPr>
          <w:rFonts w:ascii="Times New Roman" w:eastAsia="NSimSun" w:hAnsi="Times New Roman" w:cs="Times New Roman"/>
          <w:color w:val="000000"/>
          <w:kern w:val="2"/>
          <w:sz w:val="24"/>
          <w:szCs w:val="24"/>
          <w:shd w:val="clear" w:color="auto" w:fill="FFFFFF"/>
          <w:lang w:eastAsia="zh-CN" w:bidi="hi-IN"/>
        </w:rPr>
      </w:pPr>
    </w:p>
    <w:p w:rsidR="00D227E2" w:rsidRDefault="00D227E2">
      <w:pPr>
        <w:spacing w:after="0"/>
        <w:jc w:val="center"/>
        <w:rPr>
          <w:rFonts w:ascii="Times New Roman" w:eastAsia="NSimSun" w:hAnsi="Times New Roman" w:cs="Times New Roman"/>
          <w:color w:val="000000"/>
          <w:kern w:val="2"/>
          <w:sz w:val="24"/>
          <w:szCs w:val="24"/>
          <w:shd w:val="clear" w:color="auto" w:fill="FFFFFF"/>
          <w:lang w:eastAsia="zh-CN" w:bidi="hi-IN"/>
        </w:rPr>
      </w:pPr>
    </w:p>
    <w:p w:rsidR="00D227E2" w:rsidRDefault="00934FC4">
      <w:pPr>
        <w:spacing w:after="0"/>
        <w:jc w:val="center"/>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Рисунок 41. Споживання пального приватним та комерційним транспортом у м. Луцьку у 2007 та 2020 роках</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Структура споживання пального приватним та комерційним транспортом наведена на рисунку 42.</w:t>
      </w:r>
    </w:p>
    <w:p w:rsidR="00D227E2" w:rsidRDefault="00934FC4">
      <w:pPr>
        <w:spacing w:after="0"/>
        <w:jc w:val="both"/>
        <w:rPr>
          <w:rFonts w:ascii="Times New Roman" w:hAnsi="Times New Roman" w:cs="Times New Roman"/>
          <w:color w:val="000000"/>
          <w:shd w:val="clear" w:color="auto" w:fill="FFFFFF"/>
        </w:rPr>
      </w:pPr>
      <w:r>
        <w:rPr>
          <w:rFonts w:ascii="Times New Roman" w:hAnsi="Times New Roman" w:cs="Times New Roman"/>
          <w:noProof/>
          <w:color w:val="000000"/>
          <w:shd w:val="clear" w:color="auto" w:fill="FFFFFF"/>
          <w:lang w:eastAsia="uk-UA"/>
        </w:rPr>
        <w:drawing>
          <wp:anchor distT="0" distB="0" distL="0" distR="0" simplePos="0" relativeHeight="46" behindDoc="0" locked="0" layoutInCell="0" allowOverlap="1" wp14:anchorId="7D004645" wp14:editId="0E94CF9D">
            <wp:simplePos x="0" y="0"/>
            <wp:positionH relativeFrom="column">
              <wp:posOffset>3395980</wp:posOffset>
            </wp:positionH>
            <wp:positionV relativeFrom="paragraph">
              <wp:posOffset>130175</wp:posOffset>
            </wp:positionV>
            <wp:extent cx="2607310" cy="1466850"/>
            <wp:effectExtent l="0" t="0" r="0" b="0"/>
            <wp:wrapSquare wrapText="largest"/>
            <wp:docPr id="57" name="Об'єкт33" descr="діаграма"/>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anchor>
        </w:drawing>
      </w:r>
      <w:r>
        <w:rPr>
          <w:rFonts w:ascii="Times New Roman" w:hAnsi="Times New Roman" w:cs="Times New Roman"/>
          <w:noProof/>
          <w:color w:val="000000"/>
          <w:shd w:val="clear" w:color="auto" w:fill="FFFFFF"/>
          <w:lang w:eastAsia="uk-UA"/>
        </w:rPr>
        <w:drawing>
          <wp:anchor distT="0" distB="0" distL="0" distR="0" simplePos="0" relativeHeight="48" behindDoc="0" locked="0" layoutInCell="0" allowOverlap="1" wp14:anchorId="7DED67F6" wp14:editId="17BA55D6">
            <wp:simplePos x="0" y="0"/>
            <wp:positionH relativeFrom="column">
              <wp:posOffset>271780</wp:posOffset>
            </wp:positionH>
            <wp:positionV relativeFrom="paragraph">
              <wp:posOffset>128270</wp:posOffset>
            </wp:positionV>
            <wp:extent cx="2386965" cy="1343025"/>
            <wp:effectExtent l="0" t="0" r="0" b="0"/>
            <wp:wrapSquare wrapText="largest"/>
            <wp:docPr id="58" name="Об'єкт32"/>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anchor>
        </w:drawing>
      </w:r>
    </w:p>
    <w:p w:rsidR="00D227E2" w:rsidRDefault="00934FC4">
      <w:pPr>
        <w:spacing w:after="0"/>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 </w:t>
      </w:r>
    </w:p>
    <w:p w:rsidR="00D227E2" w:rsidRDefault="00D227E2">
      <w:pPr>
        <w:spacing w:after="0"/>
        <w:jc w:val="center"/>
        <w:rPr>
          <w:rFonts w:ascii="Times New Roman" w:hAnsi="Times New Roman" w:cs="Times New Roman"/>
          <w:shd w:val="clear" w:color="auto" w:fill="FFFFFF"/>
        </w:rPr>
      </w:pPr>
    </w:p>
    <w:p w:rsidR="00D227E2" w:rsidRDefault="00D227E2">
      <w:pPr>
        <w:spacing w:after="0"/>
        <w:jc w:val="center"/>
        <w:rPr>
          <w:rFonts w:ascii="Times New Roman" w:hAnsi="Times New Roman" w:cs="Times New Roman"/>
          <w:shd w:val="clear" w:color="auto" w:fill="FFFFFF"/>
        </w:rPr>
      </w:pPr>
    </w:p>
    <w:p w:rsidR="00D227E2" w:rsidRDefault="00D227E2">
      <w:pPr>
        <w:spacing w:after="0"/>
        <w:jc w:val="center"/>
        <w:rPr>
          <w:rFonts w:ascii="Times New Roman" w:hAnsi="Times New Roman" w:cs="Times New Roman"/>
          <w:shd w:val="clear" w:color="auto" w:fill="FFFFFF"/>
        </w:rPr>
      </w:pPr>
    </w:p>
    <w:p w:rsidR="00D227E2" w:rsidRDefault="00D227E2">
      <w:pPr>
        <w:spacing w:after="0"/>
        <w:jc w:val="center"/>
        <w:rPr>
          <w:rFonts w:ascii="Times New Roman" w:hAnsi="Times New Roman" w:cs="Times New Roman"/>
          <w:shd w:val="clear" w:color="auto" w:fill="FFFFFF"/>
        </w:rPr>
      </w:pPr>
    </w:p>
    <w:p w:rsidR="00D227E2" w:rsidRDefault="00D227E2">
      <w:pPr>
        <w:spacing w:after="0"/>
        <w:jc w:val="center"/>
        <w:rPr>
          <w:rFonts w:ascii="Times New Roman" w:hAnsi="Times New Roman" w:cs="Times New Roman"/>
          <w:shd w:val="clear" w:color="auto" w:fill="FFFFFF"/>
        </w:rPr>
      </w:pPr>
    </w:p>
    <w:p w:rsidR="00D227E2" w:rsidRDefault="00D227E2">
      <w:pPr>
        <w:spacing w:after="0"/>
        <w:jc w:val="center"/>
        <w:rPr>
          <w:rFonts w:ascii="Times New Roman" w:hAnsi="Times New Roman" w:cs="Times New Roman"/>
          <w:shd w:val="clear" w:color="auto" w:fill="FFFFFF"/>
        </w:rPr>
      </w:pPr>
    </w:p>
    <w:p w:rsidR="00D227E2" w:rsidRDefault="00D227E2">
      <w:pPr>
        <w:spacing w:after="0"/>
        <w:jc w:val="center"/>
        <w:rPr>
          <w:rFonts w:ascii="Times New Roman" w:hAnsi="Times New Roman" w:cs="Times New Roman"/>
          <w:shd w:val="clear" w:color="auto" w:fill="FFFFFF"/>
        </w:rPr>
      </w:pPr>
    </w:p>
    <w:p w:rsidR="00D227E2" w:rsidRDefault="00934FC4">
      <w:pPr>
        <w:spacing w:after="0"/>
        <w:jc w:val="center"/>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Рисунок 42. Структура споживання пального у 2007 та 2022 роках приватним та комерційним транспортом</w:t>
      </w:r>
    </w:p>
    <w:p w:rsidR="00D227E2" w:rsidRDefault="00934FC4">
      <w:pPr>
        <w:spacing w:after="0"/>
        <w:ind w:firstLine="510"/>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 xml:space="preserve">Як можна побачити на рисунку 42, споживання паливних ресурсів у порівнянні 2007 із 2020 роком змінилося практично по всіх видах пального, зокрема, електроенергія для приватного та комерційного транспорту у 2007 році не використовувалась (дані відсутні), тому у 2020 році споживання електроенергії збільшилось на 100 %, споживання бензину зменшилось на 6 %, споживання дизелю зменшилось на 8 %, споживання зрідженого газу </w:t>
      </w:r>
      <w:r>
        <w:rPr>
          <w:rFonts w:ascii="Times New Roman" w:eastAsia="NSimSun" w:hAnsi="Times New Roman" w:cs="Times New Roman"/>
          <w:color w:val="000000"/>
          <w:kern w:val="2"/>
          <w:sz w:val="24"/>
          <w:szCs w:val="24"/>
          <w:shd w:val="clear" w:color="auto" w:fill="FFFFFF"/>
          <w:lang w:eastAsia="zh-CN" w:bidi="hi-IN"/>
        </w:rPr>
        <w:lastRenderedPageBreak/>
        <w:t xml:space="preserve">зменшилось на 1 %, натомість споживання стисненого газу зросло аж на 13 %. Різниця показників 2007 та 2020 років пояснюється тим, що в Луцькій МТГ збільшується частка використання транспорту на електроенергії та стисненому газі. </w:t>
      </w:r>
    </w:p>
    <w:p w:rsidR="00D227E2" w:rsidRDefault="00D227E2">
      <w:pPr>
        <w:pStyle w:val="2"/>
        <w:keepNext w:val="0"/>
        <w:spacing w:before="0" w:after="0"/>
        <w:ind w:firstLine="510"/>
        <w:jc w:val="both"/>
        <w:rPr>
          <w:rFonts w:ascii="Times New Roman" w:eastAsia="NSimSun" w:hAnsi="Times New Roman" w:cs="Times New Roman"/>
          <w:kern w:val="2"/>
          <w:sz w:val="24"/>
          <w:szCs w:val="24"/>
          <w:lang w:eastAsia="zh-CN" w:bidi="hi-IN"/>
        </w:rPr>
      </w:pPr>
    </w:p>
    <w:p w:rsidR="00D227E2" w:rsidRDefault="00D227E2">
      <w:pPr>
        <w:pStyle w:val="a1"/>
        <w:spacing w:after="0"/>
        <w:ind w:firstLine="510"/>
        <w:jc w:val="both"/>
        <w:rPr>
          <w:rFonts w:ascii="Times New Roman" w:eastAsia="NSimSun" w:hAnsi="Times New Roman" w:cs="Times New Roman"/>
          <w:kern w:val="2"/>
          <w:sz w:val="24"/>
          <w:szCs w:val="24"/>
          <w:lang w:eastAsia="zh-CN" w:bidi="hi-IN"/>
        </w:rPr>
      </w:pPr>
    </w:p>
    <w:p w:rsidR="00D227E2" w:rsidRDefault="00934FC4">
      <w:pPr>
        <w:pStyle w:val="2"/>
        <w:keepNext w:val="0"/>
        <w:spacing w:before="0" w:after="0"/>
        <w:ind w:firstLine="510"/>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3.2.5.4. </w:t>
      </w:r>
      <w:r>
        <w:rPr>
          <w:rFonts w:ascii="Times New Roman" w:eastAsia="Times New Roman" w:hAnsi="Times New Roman" w:cs="Times New Roman"/>
          <w:color w:val="000000"/>
          <w:sz w:val="24"/>
          <w:szCs w:val="24"/>
          <w:lang w:eastAsia="uk-UA"/>
        </w:rPr>
        <w:t>Дорожня</w:t>
      </w:r>
      <w:r>
        <w:rPr>
          <w:rFonts w:ascii="Times New Roman" w:eastAsia="Times New Roman" w:hAnsi="Times New Roman" w:cs="Times New Roman"/>
          <w:color w:val="000000"/>
          <w:spacing w:val="-6"/>
          <w:sz w:val="24"/>
          <w:szCs w:val="24"/>
          <w:lang w:eastAsia="uk-UA"/>
        </w:rPr>
        <w:t> </w:t>
      </w:r>
      <w:r>
        <w:rPr>
          <w:rFonts w:ascii="Times New Roman" w:eastAsia="Times New Roman" w:hAnsi="Times New Roman" w:cs="Times New Roman"/>
          <w:color w:val="000000"/>
          <w:sz w:val="24"/>
          <w:szCs w:val="24"/>
          <w:lang w:eastAsia="uk-UA"/>
        </w:rPr>
        <w:t>інфраструктура</w:t>
      </w:r>
    </w:p>
    <w:p w:rsidR="00D227E2" w:rsidRDefault="00934FC4">
      <w:pPr>
        <w:spacing w:after="0"/>
        <w:ind w:firstLine="510"/>
        <w:jc w:val="both"/>
        <w:rPr>
          <w:rFonts w:ascii="Times New Roman" w:hAnsi="Times New Roman" w:cs="Times New Roman"/>
        </w:rPr>
      </w:pPr>
      <w:r>
        <w:rPr>
          <w:rFonts w:ascii="Times New Roman" w:eastAsia="Times New Roman" w:hAnsi="Times New Roman" w:cs="Times New Roman"/>
          <w:color w:val="000000"/>
          <w:sz w:val="24"/>
          <w:szCs w:val="24"/>
          <w:lang w:eastAsia="uk-UA"/>
        </w:rPr>
        <w:t>За інформацією департаменту містобудування, земельних ресурсів та реклами Луцької міської ради на даний час у Луцькій МТГ</w:t>
      </w:r>
      <w:r>
        <w:rPr>
          <w:rFonts w:ascii="Times New Roman" w:eastAsia="Times New Roman" w:hAnsi="Times New Roman" w:cs="Times New Roman"/>
          <w:color w:val="000000"/>
          <w:spacing w:val="2"/>
          <w:sz w:val="24"/>
          <w:szCs w:val="24"/>
          <w:lang w:eastAsia="uk-UA"/>
        </w:rPr>
        <w:t> </w:t>
      </w:r>
      <w:r>
        <w:rPr>
          <w:rFonts w:ascii="Times New Roman" w:eastAsia="Times New Roman" w:hAnsi="Times New Roman" w:cs="Times New Roman"/>
          <w:color w:val="000000"/>
          <w:sz w:val="24"/>
          <w:szCs w:val="24"/>
          <w:lang w:eastAsia="uk-UA"/>
        </w:rPr>
        <w:t>нараховується:</w:t>
      </w:r>
    </w:p>
    <w:p w:rsidR="00D227E2" w:rsidRDefault="00934FC4">
      <w:pPr>
        <w:numPr>
          <w:ilvl w:val="0"/>
          <w:numId w:val="13"/>
        </w:numPr>
        <w:spacing w:after="0"/>
        <w:jc w:val="both"/>
        <w:rPr>
          <w:rFonts w:ascii="Times New Roman" w:hAnsi="Times New Roman" w:cs="Times New Roman"/>
        </w:rPr>
      </w:pPr>
      <w:r>
        <w:rPr>
          <w:rFonts w:ascii="Times New Roman" w:eastAsia="Times New Roman" w:hAnsi="Times New Roman" w:cs="Times New Roman"/>
          <w:color w:val="000000"/>
          <w:sz w:val="24"/>
          <w:szCs w:val="24"/>
          <w:lang w:eastAsia="uk-UA"/>
        </w:rPr>
        <w:t>952</w:t>
      </w:r>
      <w:r>
        <w:rPr>
          <w:rFonts w:ascii="Times New Roman" w:eastAsia="Times New Roman" w:hAnsi="Times New Roman" w:cs="Times New Roman"/>
          <w:color w:val="000000"/>
          <w:spacing w:val="2"/>
          <w:sz w:val="24"/>
          <w:szCs w:val="24"/>
          <w:lang w:eastAsia="uk-UA"/>
        </w:rPr>
        <w:t> </w:t>
      </w:r>
      <w:r>
        <w:rPr>
          <w:rFonts w:ascii="Times New Roman" w:eastAsia="Times New Roman" w:hAnsi="Times New Roman" w:cs="Times New Roman"/>
          <w:color w:val="000000"/>
          <w:sz w:val="24"/>
          <w:szCs w:val="24"/>
          <w:lang w:eastAsia="uk-UA"/>
        </w:rPr>
        <w:t>вулиці (в т.ч. 511 – сільські населені пункти);</w:t>
      </w:r>
    </w:p>
    <w:p w:rsidR="00D227E2" w:rsidRDefault="00934FC4">
      <w:pPr>
        <w:numPr>
          <w:ilvl w:val="0"/>
          <w:numId w:val="13"/>
        </w:numPr>
        <w:spacing w:after="0"/>
        <w:jc w:val="both"/>
        <w:rPr>
          <w:rFonts w:ascii="Times New Roman" w:hAnsi="Times New Roman" w:cs="Times New Roman"/>
        </w:rPr>
      </w:pPr>
      <w:r>
        <w:rPr>
          <w:rFonts w:ascii="Times New Roman" w:eastAsia="Times New Roman" w:hAnsi="Times New Roman" w:cs="Times New Roman"/>
          <w:color w:val="000000"/>
          <w:sz w:val="24"/>
          <w:szCs w:val="24"/>
          <w:lang w:eastAsia="uk-UA"/>
        </w:rPr>
        <w:t>79 провулків (в т.ч. 39 сільські населені пункти);</w:t>
      </w:r>
    </w:p>
    <w:p w:rsidR="00D227E2" w:rsidRDefault="00934FC4">
      <w:pPr>
        <w:numPr>
          <w:ilvl w:val="0"/>
          <w:numId w:val="13"/>
        </w:numPr>
        <w:spacing w:after="0"/>
        <w:jc w:val="both"/>
        <w:rPr>
          <w:rFonts w:ascii="Times New Roman" w:hAnsi="Times New Roman" w:cs="Times New Roman"/>
        </w:rPr>
      </w:pPr>
      <w:r>
        <w:rPr>
          <w:rFonts w:ascii="Times New Roman" w:eastAsia="Times New Roman" w:hAnsi="Times New Roman" w:cs="Times New Roman"/>
          <w:color w:val="000000"/>
          <w:sz w:val="24"/>
          <w:szCs w:val="24"/>
          <w:lang w:eastAsia="uk-UA"/>
        </w:rPr>
        <w:t>7 проспектів.</w:t>
      </w:r>
    </w:p>
    <w:p w:rsidR="00D227E2" w:rsidRDefault="00934FC4">
      <w:pPr>
        <w:spacing w:after="0"/>
        <w:ind w:firstLine="510"/>
        <w:jc w:val="both"/>
        <w:rPr>
          <w:rFonts w:ascii="Times New Roman" w:hAnsi="Times New Roman" w:cs="Times New Roman"/>
        </w:rPr>
      </w:pPr>
      <w:r>
        <w:rPr>
          <w:rFonts w:ascii="Times New Roman" w:eastAsia="Times New Roman" w:hAnsi="Times New Roman" w:cs="Times New Roman"/>
          <w:color w:val="000000"/>
          <w:sz w:val="24"/>
          <w:szCs w:val="24"/>
          <w:lang w:eastAsia="uk-UA"/>
        </w:rPr>
        <w:t>Загальна протяжність автомобільних доріг з асфальтним покриттям у Луцьку становить 308,4 км, кількість автомобільних мостів – 22, з них 3 – шляхопроводи в т.ч. 1 – у сільській місцевості.  </w:t>
      </w:r>
    </w:p>
    <w:p w:rsidR="00D227E2" w:rsidRDefault="00D227E2">
      <w:pPr>
        <w:spacing w:after="0" w:line="240" w:lineRule="auto"/>
        <w:ind w:firstLine="567"/>
        <w:rPr>
          <w:rFonts w:ascii="Times New Roman" w:hAnsi="Times New Roman" w:cs="Times New Roman"/>
          <w:sz w:val="24"/>
          <w:szCs w:val="24"/>
        </w:rPr>
      </w:pPr>
    </w:p>
    <w:p w:rsidR="00D227E2" w:rsidRDefault="00934FC4">
      <w:pPr>
        <w:spacing w:after="0" w:line="240" w:lineRule="auto"/>
        <w:ind w:firstLine="567"/>
        <w:rPr>
          <w:rFonts w:ascii="Times New Roman" w:hAnsi="Times New Roman" w:cs="Times New Roman"/>
        </w:rPr>
      </w:pPr>
      <w:r>
        <w:rPr>
          <w:rFonts w:ascii="Times New Roman" w:hAnsi="Times New Roman" w:cs="Times New Roman"/>
          <w:b/>
          <w:bCs/>
          <w:sz w:val="24"/>
          <w:szCs w:val="24"/>
        </w:rPr>
        <w:t>3.2.5.5. Безбар’єрність</w:t>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sz w:val="24"/>
          <w:szCs w:val="24"/>
          <w:lang w:eastAsia="ru-RU"/>
        </w:rPr>
        <w:t>На виконання Національної стратегії зі створення безбар’єрного простору в Україні на період до 2030 року р</w:t>
      </w:r>
      <w:r>
        <w:rPr>
          <w:rFonts w:ascii="Times New Roman" w:eastAsia="NSimSun" w:hAnsi="Times New Roman" w:cs="Times New Roman"/>
          <w:color w:val="000000"/>
          <w:sz w:val="24"/>
          <w:szCs w:val="24"/>
          <w:lang w:eastAsia="uk-UA"/>
        </w:rPr>
        <w:t>озпорядженням міського голови Луцької міської ради від 08.08.2022 № 213 затверджено План заходів з реалізації стратегії зі створення безбар’єрного простору в Луцькій міській територіальній громаді на 2022-2024 роки.</w:t>
      </w:r>
    </w:p>
    <w:p w:rsidR="00D227E2" w:rsidRDefault="00934FC4">
      <w:pPr>
        <w:spacing w:after="0"/>
        <w:jc w:val="center"/>
        <w:rPr>
          <w:rFonts w:ascii="Times New Roman" w:hAnsi="Times New Roman" w:cs="Times New Roman"/>
        </w:rPr>
      </w:pPr>
      <w:r>
        <w:rPr>
          <w:noProof/>
          <w:lang w:eastAsia="uk-UA"/>
        </w:rPr>
        <w:drawing>
          <wp:inline distT="0" distB="0" distL="0" distR="0" wp14:anchorId="627BA3D2" wp14:editId="3C488828">
            <wp:extent cx="3215640" cy="1924050"/>
            <wp:effectExtent l="0" t="0" r="0" b="0"/>
            <wp:docPr id="59" name="Рисунок 60" descr="Майже 23 мільйони на три роки: як Луцьк хочуть зробити безбар’єр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60" descr="Майже 23 мільйони на три роки: як Луцьк хочуть зробити безбар’єрним"/>
                    <pic:cNvPicPr>
                      <a:picLocks noChangeAspect="1" noChangeArrowheads="1"/>
                    </pic:cNvPicPr>
                  </pic:nvPicPr>
                  <pic:blipFill>
                    <a:blip r:embed="rId81"/>
                    <a:stretch>
                      <a:fillRect/>
                    </a:stretch>
                  </pic:blipFill>
                  <pic:spPr bwMode="auto">
                    <a:xfrm>
                      <a:off x="0" y="0"/>
                      <a:ext cx="3215640" cy="1924050"/>
                    </a:xfrm>
                    <a:prstGeom prst="rect">
                      <a:avLst/>
                    </a:prstGeom>
                  </pic:spPr>
                </pic:pic>
              </a:graphicData>
            </a:graphic>
          </wp:inline>
        </w:drawing>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sz w:val="24"/>
          <w:szCs w:val="24"/>
          <w:lang w:eastAsia="uk-UA"/>
        </w:rPr>
        <w:t>В Луцькій МТГ департаментом містобудування, земельних ресурсів та реклами щорічно проводиться збір та узагальнення інформації наданої управителями об’єктів про проведення моніторингу та оцінки ступеня безбар’єрності.</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sz w:val="24"/>
          <w:szCs w:val="24"/>
          <w:lang w:eastAsia="uk-UA"/>
        </w:rPr>
        <w:t xml:space="preserve">Інформацію про проведений моніторинг та оцінку ступеня безбар’єрності типів об’єктів розміщено на геопорталі відкритих даних Луцької міської територіальної громади, інформаційна панель «Безбар’єрність» (http://geo.lutskrada.gov.ua/).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sz w:val="24"/>
          <w:szCs w:val="24"/>
          <w:lang w:eastAsia="uk-UA"/>
        </w:rPr>
        <w:t xml:space="preserve">З метою покращення безбар’єрного доступу до міського транспорту пріоритетом в організації пасажирських перевезень у м. Луцьку є залучення нових тролейбусів, пристосованих для перевезення пасажирів з числа маломобільних груп населення. На сьогодні у м. Луцьку в наявності 40 тролейбусів з низькою підлогою та апареллю.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sz w:val="24"/>
          <w:szCs w:val="24"/>
          <w:shd w:val="clear" w:color="auto" w:fill="FFFFFF"/>
          <w:lang w:eastAsia="uk-UA"/>
        </w:rPr>
        <w:t xml:space="preserve">Для маломобільних груп населення в приміщенні </w:t>
      </w:r>
      <w:r>
        <w:rPr>
          <w:rFonts w:ascii="Times New Roman" w:hAnsi="Times New Roman" w:cs="Times New Roman"/>
          <w:sz w:val="24"/>
          <w:szCs w:val="24"/>
          <w:shd w:val="clear" w:color="auto" w:fill="FFFFFF"/>
        </w:rPr>
        <w:t>Центру надання адміністративних послуг у м. Луцьку</w:t>
      </w:r>
      <w:r>
        <w:rPr>
          <w:rFonts w:ascii="Times New Roman" w:eastAsia="NSimSun" w:hAnsi="Times New Roman" w:cs="Times New Roman"/>
          <w:color w:val="000000"/>
          <w:sz w:val="24"/>
          <w:szCs w:val="24"/>
          <w:shd w:val="clear" w:color="auto" w:fill="FFFFFF"/>
          <w:lang w:eastAsia="uk-UA"/>
        </w:rPr>
        <w:t xml:space="preserve"> встановлено відповідні інформаційні знаки. У 2022 році додатково обладнано розбірним пандусом на сходовий марш до другого поверху та придбано крісло колісне, для забезпечення безперешкодного доступу осіб з інвалідністю.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sz w:val="24"/>
          <w:szCs w:val="24"/>
          <w:lang w:eastAsia="uk-UA"/>
        </w:rPr>
        <w:t xml:space="preserve">Окрім того, забезпечується різнобічне інформування та функціонує вільне робоче місце для відвідувачів із загальним доступом до адмінпослуг та порталу ДІЯ, адміністраторами </w:t>
      </w:r>
      <w:r>
        <w:rPr>
          <w:rFonts w:ascii="Times New Roman" w:eastAsia="NSimSun" w:hAnsi="Times New Roman" w:cs="Times New Roman"/>
          <w:color w:val="000000"/>
          <w:sz w:val="24"/>
          <w:szCs w:val="24"/>
          <w:lang w:eastAsia="uk-UA"/>
        </w:rPr>
        <w:lastRenderedPageBreak/>
        <w:t xml:space="preserve">надається консультативна та практична допомога відвідувачам у створенні власного цифрового підпису та особистого кабінету, або електронної поштової скриньки, завантаженні документів на порталі ДІЯ через мобільний додаток, отриманні послуг у застосунку ДІЯ, подачі документів на адміністративні послуги онлайн тощо.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sz w:val="24"/>
          <w:szCs w:val="24"/>
          <w:lang w:eastAsia="uk-UA"/>
        </w:rPr>
        <w:t>Заклади комунальних підприємств охорони здоров’я Луцької МТГ забезпечені швидкісним Інтернетом та засобами доступу до нього.</w:t>
      </w:r>
      <w:r>
        <w:rPr>
          <w:rFonts w:ascii="Times New Roman" w:hAnsi="Times New Roman" w:cs="Times New Roman"/>
          <w:sz w:val="24"/>
          <w:szCs w:val="24"/>
          <w:lang w:eastAsia="uk-UA"/>
        </w:rPr>
        <w:t xml:space="preserve"> </w:t>
      </w:r>
    </w:p>
    <w:p w:rsidR="00D227E2" w:rsidRDefault="00934FC4">
      <w:pPr>
        <w:spacing w:after="0"/>
        <w:jc w:val="center"/>
        <w:rPr>
          <w:rFonts w:ascii="Times New Roman" w:hAnsi="Times New Roman" w:cs="Times New Roman"/>
        </w:rPr>
      </w:pPr>
      <w:r>
        <w:rPr>
          <w:noProof/>
          <w:lang w:eastAsia="uk-UA"/>
        </w:rPr>
        <w:drawing>
          <wp:inline distT="0" distB="0" distL="0" distR="0" wp14:anchorId="459C2A57" wp14:editId="13113435">
            <wp:extent cx="2957195" cy="1971675"/>
            <wp:effectExtent l="0" t="0" r="0" b="0"/>
            <wp:docPr id="60" name="Рисунок 61" descr="Луцьк хочуть зробити безбар'єрним для людей з інвалідніст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61" descr="Луцьк хочуть зробити безбар'єрним для людей з інвалідністю ..."/>
                    <pic:cNvPicPr>
                      <a:picLocks noChangeAspect="1" noChangeArrowheads="1"/>
                    </pic:cNvPicPr>
                  </pic:nvPicPr>
                  <pic:blipFill>
                    <a:blip r:embed="rId82"/>
                    <a:stretch>
                      <a:fillRect/>
                    </a:stretch>
                  </pic:blipFill>
                  <pic:spPr bwMode="auto">
                    <a:xfrm>
                      <a:off x="0" y="0"/>
                      <a:ext cx="2957195" cy="1971675"/>
                    </a:xfrm>
                    <a:prstGeom prst="rect">
                      <a:avLst/>
                    </a:prstGeom>
                  </pic:spPr>
                </pic:pic>
              </a:graphicData>
            </a:graphic>
          </wp:inline>
        </w:drawing>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sz w:val="24"/>
          <w:szCs w:val="24"/>
          <w:lang w:eastAsia="uk-UA"/>
        </w:rPr>
        <w:t>Приміщення департаменту соціальної політики та територіального центру соціального обслуговування Луцької МТГ забезпечені належними умовами надання соціальних послуг та безперешкодного доступу маломобільних груп населення. Обслуговування осіб із вадами слуху здійснюється за допомогою онлайн перекладачів мобільної системи «Сервіс УТОГ».</w:t>
      </w:r>
    </w:p>
    <w:p w:rsidR="00D227E2" w:rsidRDefault="00934FC4">
      <w:pPr>
        <w:spacing w:after="0"/>
        <w:jc w:val="center"/>
        <w:rPr>
          <w:rFonts w:ascii="Times New Roman" w:hAnsi="Times New Roman" w:cs="Times New Roman"/>
        </w:rPr>
      </w:pPr>
      <w:r>
        <w:rPr>
          <w:noProof/>
          <w:lang w:eastAsia="uk-UA"/>
        </w:rPr>
        <w:drawing>
          <wp:inline distT="0" distB="0" distL="0" distR="0" wp14:anchorId="160C9E9D" wp14:editId="7D2D99D7">
            <wp:extent cx="2571750" cy="1854200"/>
            <wp:effectExtent l="0" t="0" r="0" b="0"/>
            <wp:docPr id="61" name="Зображення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Зображення6"/>
                    <pic:cNvPicPr>
                      <a:picLocks noChangeAspect="1" noChangeArrowheads="1"/>
                    </pic:cNvPicPr>
                  </pic:nvPicPr>
                  <pic:blipFill>
                    <a:blip r:embed="rId83"/>
                    <a:stretch>
                      <a:fillRect/>
                    </a:stretch>
                  </pic:blipFill>
                  <pic:spPr bwMode="auto">
                    <a:xfrm>
                      <a:off x="0" y="0"/>
                      <a:ext cx="2571750" cy="1854200"/>
                    </a:xfrm>
                    <a:prstGeom prst="rect">
                      <a:avLst/>
                    </a:prstGeom>
                  </pic:spPr>
                </pic:pic>
              </a:graphicData>
            </a:graphic>
          </wp:inline>
        </w:drawing>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color w:val="000000"/>
          <w:sz w:val="24"/>
          <w:szCs w:val="24"/>
          <w:lang w:eastAsia="uk-UA"/>
        </w:rPr>
        <w:t>Для спеціалістів департаменту соціальної політики проведено внутрішнє навчання на тему: «</w:t>
      </w:r>
      <w:r>
        <w:rPr>
          <w:rFonts w:ascii="Times New Roman" w:eastAsia="NSimSun" w:hAnsi="Times New Roman" w:cs="Times New Roman"/>
          <w:color w:val="000000"/>
          <w:sz w:val="24"/>
          <w:szCs w:val="24"/>
          <w:shd w:val="clear" w:color="auto" w:fill="FFFFFF"/>
          <w:lang w:eastAsia="uk-UA"/>
        </w:rPr>
        <w:t>Основні принципи етикету в спілкуванні з людьми з інвалідністю</w:t>
      </w:r>
      <w:r>
        <w:rPr>
          <w:rFonts w:ascii="Times New Roman" w:eastAsia="Times New Roman" w:hAnsi="Times New Roman" w:cs="Times New Roman"/>
          <w:color w:val="000000"/>
          <w:sz w:val="24"/>
          <w:szCs w:val="24"/>
          <w:lang w:eastAsia="uk-UA"/>
        </w:rPr>
        <w:t>». Під час навчання акцентувалась увага на етику спілкування та р</w:t>
      </w:r>
      <w:r>
        <w:rPr>
          <w:rFonts w:ascii="Times New Roman" w:eastAsia="Times New Roman" w:hAnsi="Times New Roman" w:cs="Times New Roman"/>
          <w:bCs/>
          <w:color w:val="000000"/>
          <w:sz w:val="24"/>
          <w:szCs w:val="24"/>
          <w:lang w:eastAsia="uk-UA"/>
        </w:rPr>
        <w:t>екомендації щодо взаємодії з людьми з інвалідністю</w:t>
      </w:r>
      <w:r>
        <w:rPr>
          <w:rFonts w:ascii="Times New Roman" w:eastAsia="Times New Roman" w:hAnsi="Times New Roman" w:cs="Times New Roman"/>
          <w:color w:val="000000"/>
          <w:sz w:val="24"/>
          <w:szCs w:val="24"/>
          <w:lang w:eastAsia="uk-UA"/>
        </w:rPr>
        <w:t xml:space="preserve">, правила шанобливого звертання, коректної комунікації, ознайомлено з онлайн ресурсом «Довідник безбар’єрності». </w:t>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sz w:val="24"/>
          <w:szCs w:val="24"/>
          <w:lang w:eastAsia="ru-RU"/>
        </w:rPr>
        <w:t xml:space="preserve">Щоб забезпечити доступність для осіб з інвалідністю та інших маломобільних груп населення в закладах культури Луцької МТГ також створені умови для безперешкодного доступу відповідно до вимог безбар’єрності. </w:t>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sz w:val="24"/>
          <w:szCs w:val="24"/>
          <w:lang w:eastAsia="ru-RU"/>
        </w:rPr>
        <w:t>У трьох осередках комунального закладу «Луцький міський центр фізичного здоров’я населення «Спорт для всіх» Луцької міської ради»: «Білий м’яч» (вул. Конякіна, 35), «Стріла» (бульвар Дружби народів, 13а), «Олімпія» (просп. Відродження, 39) облаштовано пандуси для зручного доступу маломобільних осіб.</w:t>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sz w:val="24"/>
          <w:szCs w:val="24"/>
          <w:lang w:eastAsia="ru-RU"/>
        </w:rPr>
        <w:t xml:space="preserve">На сайті Луцької міської ради в розділі «Жителю міста» позначено на мапі спортивні майданчики, споруди для загальної фізичної підготовки та спортивні школи https://www.lutskrada.gov.ua/pages/yardinfrastructure. Це зроблено з метою зручного пошуку та </w:t>
      </w:r>
      <w:r>
        <w:rPr>
          <w:rFonts w:ascii="Times New Roman" w:eastAsia="Times New Roman" w:hAnsi="Times New Roman" w:cs="Times New Roman"/>
          <w:sz w:val="24"/>
          <w:szCs w:val="24"/>
          <w:lang w:eastAsia="ru-RU"/>
        </w:rPr>
        <w:lastRenderedPageBreak/>
        <w:t xml:space="preserve">орієнтування щодо доступності спортивних закладів та їх розташування відповідно до місць проживання. </w:t>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sz w:val="24"/>
          <w:szCs w:val="24"/>
          <w:lang w:eastAsia="ru-RU"/>
        </w:rPr>
        <w:t>Управлінням туризму та промоції міста створено та встановлено бронзовий макет Луцького замку. Завдяки цьому у незрячих людей з’явилася можливість відчути руками і отримати уяву про архітектурну форму замку, а за допомогою шрифту Брайля самостійно прочитати коротку довідку про нього.</w:t>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sz w:val="24"/>
          <w:szCs w:val="24"/>
          <w:lang w:eastAsia="ru-RU"/>
        </w:rPr>
        <w:t xml:space="preserve">Крім цього, управління ініціювало видання туристичного путівника «Луцьк. Прогулянки містом» шрифтом Брайля, а пізніше його озвучили та видали аудіопутівник для лучан та гостей міста, що мають порушення зору. Це дало можливість не лише користуватись книжкою, але й слухати інформацію про місто з ґаджетів. </w:t>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sz w:val="24"/>
          <w:szCs w:val="24"/>
          <w:lang w:eastAsia="ru-RU"/>
        </w:rPr>
        <w:t>У 2022 році відбулося відкриття кар’єрного хабу «ВОНА хаб» в Луцьку для жінок, що постраждали від домашнього насильства або знаходяться у групі ризику. У хабі жінки можуть безкоштовно отримати індивідуальну конфіденційну консультацію кар’єрної радниці та допомогу на всіх етапах пошуку роботи або започаткування власного бізнесу, підтримку психологині проєкту, мають можливість пройти професійні курси, які допоможуть здобути нові знання, навички чи навіть професію. ВОНА хаб – проєкт, що реалізується UNFPA, Фондом ООН у галузі народонаселення в Україні, за фінансової підтримки Бюро гуманітарної допомоги USAID.</w:t>
      </w:r>
    </w:p>
    <w:p w:rsidR="00D227E2" w:rsidRDefault="00934FC4">
      <w:pPr>
        <w:spacing w:after="0"/>
        <w:jc w:val="center"/>
        <w:rPr>
          <w:rFonts w:ascii="Times New Roman" w:hAnsi="Times New Roman" w:cs="Times New Roman"/>
        </w:rPr>
      </w:pPr>
      <w:r>
        <w:rPr>
          <w:noProof/>
          <w:lang w:eastAsia="uk-UA"/>
        </w:rPr>
        <w:drawing>
          <wp:inline distT="0" distB="0" distL="0" distR="0" wp14:anchorId="5973BEC5" wp14:editId="486A7A89">
            <wp:extent cx="2729230" cy="1533525"/>
            <wp:effectExtent l="0" t="0" r="0" b="0"/>
            <wp:docPr id="62" name="Зображення9" descr="У Луцькій громаді люди з інвалідністю можуть скористатися спецавто (ФОТО,  ВІДЕО) – INVAK.INFO – інформаційне агентство – портал людей з інвалідністю  – Новини про події, акції і заходи у сфері інвалідного рух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Зображення9" descr="У Луцькій громаді люди з інвалідністю можуть скористатися спецавто (ФОТО,  ВІДЕО) – INVAK.INFO – інформаційне агентство – портал людей з інвалідністю  – Новини про події, акції і заходи у сфері інвалідного руху,"/>
                    <pic:cNvPicPr>
                      <a:picLocks noChangeAspect="1" noChangeArrowheads="1"/>
                    </pic:cNvPicPr>
                  </pic:nvPicPr>
                  <pic:blipFill>
                    <a:blip r:embed="rId84"/>
                    <a:stretch>
                      <a:fillRect/>
                    </a:stretch>
                  </pic:blipFill>
                  <pic:spPr bwMode="auto">
                    <a:xfrm>
                      <a:off x="0" y="0"/>
                      <a:ext cx="2729230" cy="1533525"/>
                    </a:xfrm>
                    <a:prstGeom prst="rect">
                      <a:avLst/>
                    </a:prstGeom>
                  </pic:spPr>
                </pic:pic>
              </a:graphicData>
            </a:graphic>
          </wp:inline>
        </w:drawing>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sz w:val="24"/>
          <w:szCs w:val="24"/>
          <w:lang w:eastAsia="ru-RU"/>
        </w:rPr>
        <w:t>В умовах воєнного стану, Луцькою міською радою продовжується впровадження заходів з реалізації Національної стратегії із створення безбар’єрного простору в Україні на період до 2030 року за тими напрямками, які можливо виконувати за даних обставин.</w:t>
      </w:r>
    </w:p>
    <w:p w:rsidR="00D227E2" w:rsidRDefault="00D227E2">
      <w:pPr>
        <w:spacing w:after="0"/>
        <w:ind w:firstLine="567"/>
        <w:jc w:val="both"/>
        <w:rPr>
          <w:rFonts w:ascii="Times New Roman" w:eastAsia="NSimSun" w:hAnsi="Times New Roman" w:cs="Times New Roman"/>
          <w:color w:val="000000"/>
          <w:kern w:val="2"/>
          <w:sz w:val="24"/>
          <w:szCs w:val="24"/>
          <w:shd w:val="clear" w:color="auto" w:fill="FFFFFF"/>
          <w:lang w:eastAsia="zh-CN" w:bidi="hi-IN"/>
        </w:rPr>
      </w:pPr>
    </w:p>
    <w:p w:rsidR="00D227E2" w:rsidRDefault="00934FC4">
      <w:pPr>
        <w:spacing w:after="0"/>
        <w:ind w:firstLine="567"/>
        <w:rPr>
          <w:rFonts w:ascii="Times New Roman" w:hAnsi="Times New Roman" w:cs="Times New Roman"/>
        </w:rPr>
      </w:pPr>
      <w:r>
        <w:rPr>
          <w:rFonts w:ascii="Times New Roman" w:hAnsi="Times New Roman" w:cs="Times New Roman"/>
          <w:b/>
          <w:bCs/>
          <w:sz w:val="24"/>
          <w:szCs w:val="24"/>
        </w:rPr>
        <w:t>3.2.5.6. Велосипедна інфраструктура</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30.07.2021 № 15/59 ухвалено рішення міської ради «Про затвердження Концепції розвитку велосипедної інфраструктури Луцької міської територіальної громади на 2021-2030 роки» (далі – Концепція), де зокрема описана схема велосипедних шляхів Луцької МТГ.</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Відповідно до схеми велосипедних шляхів Луцької МТГ загальна протяжність після реалізації Концепції складе орієнтовно 160 км.</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 xml:space="preserve">Відчутних позитивних змін у розвитку транспортної системи громади очікується досягти при збільшенні використання велосипедного та інших видів легкого персонального транспорту до 10-15 % від загального числа користувачів громадського транспорту в наступні 10 років. Зараз цей показник складає орієнтовно 1-2 %. Для досягнення такого результату потрібно здійснити ряд заходів управлінського, інфраструктурного та інформаційного характеру. </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Менеджмент</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 xml:space="preserve">1. Інтегрувати схему велосипедних шляхів та маршрутів до загального транспортного планування, планів стратегічного розвитку (Стратегія розвитку громади, Стратегія розвитку </w:t>
      </w:r>
      <w:r>
        <w:rPr>
          <w:rFonts w:ascii="Times New Roman" w:hAnsi="Times New Roman" w:cs="Times New Roman"/>
          <w:sz w:val="24"/>
          <w:szCs w:val="24"/>
        </w:rPr>
        <w:lastRenderedPageBreak/>
        <w:t xml:space="preserve">громадського транспорту та транспортної інфраструктури Луцької міської територіальної громади до 2025 р., Комплексної системи (схеми) організації дорожнього руху у м. Луцьку, Плани зонування територій, Програми соціально-економічного розвитку громади тощо). </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2. Враховуючи документи перелічені у п. 1 розробити План сталої міської мобільності терміном на 10 років.</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 xml:space="preserve">2. Призначити координатора з питань розвитку велосипедної інфраструктури Луцької міської територіальної громади (посадова особа органу місцевого самоврядування з повною зайнятістю або радник міського голови). </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3. Забезпечити контроль за виконанням положень Концепції під час розробки проектів будівництва, їх реалізації та після здачі в експлуатацію.</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4. Спростити механізм отримання дозволів на встановлення велосипедних парковок. Стимулювати суб’єктів господарювання споруджувати велопарковки біля місць ведення господарської діяльності.</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 xml:space="preserve">5. </w:t>
      </w:r>
      <w:bookmarkStart w:id="7" w:name="_Hlk78454816"/>
      <w:r>
        <w:rPr>
          <w:rFonts w:ascii="Times New Roman" w:hAnsi="Times New Roman" w:cs="Times New Roman"/>
          <w:sz w:val="24"/>
          <w:szCs w:val="24"/>
        </w:rPr>
        <w:t>Здійснювати постійний моніторинг дорожньо-транспортних пригод за участю велотранспорту та інших видів легкого персонального транспорту і враховувати результати аналізу при створенні чи корегуванні об’єктів велосипедної інфраструктури</w:t>
      </w:r>
      <w:bookmarkEnd w:id="7"/>
      <w:r>
        <w:rPr>
          <w:rFonts w:ascii="Times New Roman" w:hAnsi="Times New Roman" w:cs="Times New Roman"/>
          <w:sz w:val="24"/>
          <w:szCs w:val="24"/>
        </w:rPr>
        <w:t>.</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Інфраструктура</w:t>
      </w:r>
    </w:p>
    <w:p w:rsidR="00D227E2" w:rsidRDefault="00934FC4">
      <w:pPr>
        <w:numPr>
          <w:ilvl w:val="0"/>
          <w:numId w:val="30"/>
        </w:numPr>
        <w:tabs>
          <w:tab w:val="clear" w:pos="720"/>
          <w:tab w:val="left" w:pos="960"/>
        </w:tabs>
        <w:spacing w:after="0"/>
        <w:ind w:left="0" w:firstLine="567"/>
        <w:jc w:val="both"/>
        <w:rPr>
          <w:rFonts w:ascii="Times New Roman" w:hAnsi="Times New Roman" w:cs="Times New Roman"/>
        </w:rPr>
      </w:pPr>
      <w:r>
        <w:rPr>
          <w:rFonts w:ascii="Times New Roman" w:hAnsi="Times New Roman" w:cs="Times New Roman"/>
          <w:sz w:val="24"/>
          <w:szCs w:val="24"/>
        </w:rPr>
        <w:t xml:space="preserve">Розробити схему велосипедних шляхів громади. </w:t>
      </w:r>
    </w:p>
    <w:p w:rsidR="00D227E2" w:rsidRDefault="00934FC4">
      <w:pPr>
        <w:numPr>
          <w:ilvl w:val="0"/>
          <w:numId w:val="30"/>
        </w:numPr>
        <w:tabs>
          <w:tab w:val="clear" w:pos="720"/>
          <w:tab w:val="left" w:pos="960"/>
        </w:tabs>
        <w:spacing w:after="0"/>
        <w:ind w:left="0" w:firstLine="567"/>
        <w:jc w:val="both"/>
        <w:rPr>
          <w:rFonts w:ascii="Times New Roman" w:hAnsi="Times New Roman" w:cs="Times New Roman"/>
        </w:rPr>
      </w:pPr>
      <w:r>
        <w:rPr>
          <w:rFonts w:ascii="Times New Roman" w:hAnsi="Times New Roman" w:cs="Times New Roman"/>
          <w:sz w:val="24"/>
          <w:szCs w:val="24"/>
        </w:rPr>
        <w:t xml:space="preserve">Розробити детальний план облаштування велосипедної інфраструктури в межах міста Луцька та населених пунктах громади. </w:t>
      </w:r>
    </w:p>
    <w:p w:rsidR="00D227E2" w:rsidRDefault="00934FC4">
      <w:pPr>
        <w:numPr>
          <w:ilvl w:val="0"/>
          <w:numId w:val="30"/>
        </w:numPr>
        <w:tabs>
          <w:tab w:val="clear" w:pos="720"/>
          <w:tab w:val="left" w:pos="960"/>
        </w:tabs>
        <w:spacing w:after="0"/>
        <w:ind w:left="0" w:firstLine="567"/>
        <w:jc w:val="both"/>
        <w:rPr>
          <w:rFonts w:ascii="Times New Roman" w:hAnsi="Times New Roman" w:cs="Times New Roman"/>
        </w:rPr>
      </w:pPr>
      <w:r>
        <w:rPr>
          <w:rFonts w:ascii="Times New Roman" w:hAnsi="Times New Roman" w:cs="Times New Roman"/>
          <w:sz w:val="24"/>
          <w:szCs w:val="24"/>
        </w:rPr>
        <w:t xml:space="preserve">З’єднати велосипедними маршрутами усі мікрорайони міста та забезпечити об’єднання в єдину мережу в межах територіальної громади. </w:t>
      </w:r>
    </w:p>
    <w:p w:rsidR="00D227E2" w:rsidRDefault="00934FC4">
      <w:pPr>
        <w:numPr>
          <w:ilvl w:val="0"/>
          <w:numId w:val="30"/>
        </w:numPr>
        <w:tabs>
          <w:tab w:val="clear" w:pos="720"/>
          <w:tab w:val="left" w:pos="960"/>
        </w:tabs>
        <w:spacing w:after="0"/>
        <w:ind w:left="0" w:firstLine="567"/>
        <w:jc w:val="both"/>
        <w:rPr>
          <w:rFonts w:ascii="Times New Roman" w:hAnsi="Times New Roman" w:cs="Times New Roman"/>
        </w:rPr>
      </w:pPr>
      <w:r>
        <w:rPr>
          <w:rFonts w:ascii="Times New Roman" w:hAnsi="Times New Roman" w:cs="Times New Roman"/>
          <w:sz w:val="24"/>
          <w:szCs w:val="24"/>
        </w:rPr>
        <w:t>Інтегрувати інфраструктуру велосипедного та інших видів легкого персонального транспорту з інфраструктурою громадського транспорту громади.</w:t>
      </w:r>
    </w:p>
    <w:p w:rsidR="00D227E2" w:rsidRDefault="00934FC4">
      <w:pPr>
        <w:numPr>
          <w:ilvl w:val="0"/>
          <w:numId w:val="30"/>
        </w:numPr>
        <w:tabs>
          <w:tab w:val="clear" w:pos="720"/>
          <w:tab w:val="left" w:pos="960"/>
        </w:tabs>
        <w:spacing w:after="0"/>
        <w:ind w:left="0" w:firstLine="567"/>
        <w:jc w:val="both"/>
        <w:rPr>
          <w:rFonts w:ascii="Times New Roman" w:hAnsi="Times New Roman" w:cs="Times New Roman"/>
        </w:rPr>
      </w:pPr>
      <w:r>
        <w:rPr>
          <w:rFonts w:ascii="Times New Roman" w:hAnsi="Times New Roman" w:cs="Times New Roman"/>
          <w:sz w:val="24"/>
          <w:szCs w:val="24"/>
        </w:rPr>
        <w:t>Популяризація</w:t>
      </w:r>
    </w:p>
    <w:p w:rsidR="00D227E2" w:rsidRDefault="00934FC4">
      <w:pPr>
        <w:numPr>
          <w:ilvl w:val="0"/>
          <w:numId w:val="30"/>
        </w:numPr>
        <w:tabs>
          <w:tab w:val="clear" w:pos="720"/>
          <w:tab w:val="left" w:pos="960"/>
        </w:tabs>
        <w:spacing w:after="0"/>
        <w:ind w:left="0" w:firstLine="567"/>
        <w:jc w:val="both"/>
        <w:rPr>
          <w:rFonts w:ascii="Times New Roman" w:hAnsi="Times New Roman" w:cs="Times New Roman"/>
        </w:rPr>
      </w:pPr>
      <w:r>
        <w:rPr>
          <w:rFonts w:ascii="Times New Roman" w:hAnsi="Times New Roman" w:cs="Times New Roman"/>
          <w:sz w:val="24"/>
          <w:szCs w:val="24"/>
        </w:rPr>
        <w:t xml:space="preserve">Підтримати традицію проведення масових велопробігів під час відзначення Всеукраїнського Велодня, Дня Незалежності України та інших великих свят. </w:t>
      </w:r>
    </w:p>
    <w:p w:rsidR="00D227E2" w:rsidRDefault="00934FC4">
      <w:pPr>
        <w:numPr>
          <w:ilvl w:val="0"/>
          <w:numId w:val="30"/>
        </w:numPr>
        <w:tabs>
          <w:tab w:val="clear" w:pos="720"/>
          <w:tab w:val="left" w:pos="960"/>
        </w:tabs>
        <w:spacing w:after="0"/>
        <w:ind w:left="0" w:firstLine="567"/>
        <w:jc w:val="both"/>
        <w:rPr>
          <w:rFonts w:ascii="Times New Roman" w:hAnsi="Times New Roman" w:cs="Times New Roman"/>
        </w:rPr>
      </w:pPr>
      <w:r>
        <w:rPr>
          <w:rFonts w:ascii="Times New Roman" w:hAnsi="Times New Roman" w:cs="Times New Roman"/>
          <w:sz w:val="24"/>
          <w:szCs w:val="24"/>
        </w:rPr>
        <w:t xml:space="preserve">Створити електронну карту велосипедної та супутньої інфраструктури – шляхів (маршрутів) руху, пунктів прокату (шерингу), велосипедних парковок, пунктів продажу та обслуговування тощо.  </w:t>
      </w:r>
    </w:p>
    <w:p w:rsidR="00D227E2" w:rsidRDefault="00934FC4">
      <w:pPr>
        <w:numPr>
          <w:ilvl w:val="0"/>
          <w:numId w:val="30"/>
        </w:numPr>
        <w:tabs>
          <w:tab w:val="clear" w:pos="720"/>
          <w:tab w:val="left" w:pos="960"/>
        </w:tabs>
        <w:spacing w:after="0"/>
        <w:ind w:left="0" w:firstLine="567"/>
        <w:jc w:val="both"/>
        <w:rPr>
          <w:rFonts w:ascii="Times New Roman" w:hAnsi="Times New Roman" w:cs="Times New Roman"/>
        </w:rPr>
      </w:pPr>
      <w:r>
        <w:rPr>
          <w:rFonts w:ascii="Times New Roman" w:hAnsi="Times New Roman" w:cs="Times New Roman"/>
          <w:sz w:val="24"/>
          <w:szCs w:val="24"/>
        </w:rPr>
        <w:t>Забезпечити маркування велосипедних маршрутів та забезпечити їх оснащення відповідними вказівниками.</w:t>
      </w:r>
    </w:p>
    <w:p w:rsidR="00D227E2" w:rsidRDefault="00934FC4">
      <w:pPr>
        <w:numPr>
          <w:ilvl w:val="0"/>
          <w:numId w:val="30"/>
        </w:numPr>
        <w:tabs>
          <w:tab w:val="clear" w:pos="720"/>
          <w:tab w:val="left" w:pos="960"/>
        </w:tabs>
        <w:spacing w:after="0"/>
        <w:ind w:left="0" w:firstLine="567"/>
        <w:jc w:val="both"/>
        <w:rPr>
          <w:rFonts w:ascii="Times New Roman" w:hAnsi="Times New Roman" w:cs="Times New Roman"/>
        </w:rPr>
      </w:pPr>
      <w:r>
        <w:rPr>
          <w:rFonts w:ascii="Times New Roman" w:hAnsi="Times New Roman" w:cs="Times New Roman"/>
          <w:sz w:val="24"/>
          <w:szCs w:val="24"/>
        </w:rPr>
        <w:t xml:space="preserve">Розробити відеоматеріали з рекомендаціями для різних категорій велосипедистів та користувачів інших видів легкого персонального транспорту щодо безпечного пересування вулицями громади. </w:t>
      </w:r>
    </w:p>
    <w:p w:rsidR="00D227E2" w:rsidRDefault="00934FC4">
      <w:pPr>
        <w:numPr>
          <w:ilvl w:val="0"/>
          <w:numId w:val="30"/>
        </w:numPr>
        <w:tabs>
          <w:tab w:val="clear" w:pos="720"/>
          <w:tab w:val="left" w:pos="960"/>
        </w:tabs>
        <w:spacing w:after="0"/>
        <w:ind w:left="0" w:firstLine="567"/>
        <w:jc w:val="both"/>
        <w:rPr>
          <w:rFonts w:ascii="Times New Roman" w:hAnsi="Times New Roman" w:cs="Times New Roman"/>
        </w:rPr>
      </w:pPr>
      <w:r>
        <w:rPr>
          <w:rFonts w:ascii="Times New Roman" w:hAnsi="Times New Roman" w:cs="Times New Roman"/>
          <w:sz w:val="24"/>
          <w:szCs w:val="24"/>
        </w:rPr>
        <w:t xml:space="preserve">Здійснювати заходи з прямої соціальної реклами велосипеда як екологічного засобу пересування з залученням відомих публічних осіб. </w:t>
      </w:r>
    </w:p>
    <w:p w:rsidR="00D227E2" w:rsidRDefault="00934FC4">
      <w:pPr>
        <w:numPr>
          <w:ilvl w:val="0"/>
          <w:numId w:val="30"/>
        </w:numPr>
        <w:tabs>
          <w:tab w:val="clear" w:pos="720"/>
          <w:tab w:val="left" w:pos="960"/>
        </w:tabs>
        <w:spacing w:after="0"/>
        <w:ind w:left="0" w:firstLine="567"/>
        <w:jc w:val="both"/>
        <w:rPr>
          <w:rFonts w:ascii="Times New Roman" w:hAnsi="Times New Roman" w:cs="Times New Roman"/>
        </w:rPr>
      </w:pPr>
      <w:r>
        <w:rPr>
          <w:rFonts w:ascii="Times New Roman" w:hAnsi="Times New Roman" w:cs="Times New Roman"/>
          <w:sz w:val="24"/>
          <w:szCs w:val="24"/>
        </w:rPr>
        <w:t>Започаткувати постійнодіючі гуртки у школах міста з вивченням правил дорожнього руху, безпеки руху на велосипедах та інших видах легкого персонального транспорту.</w:t>
      </w:r>
    </w:p>
    <w:p w:rsidR="00D227E2" w:rsidRDefault="00934FC4">
      <w:pPr>
        <w:numPr>
          <w:ilvl w:val="0"/>
          <w:numId w:val="30"/>
        </w:numPr>
        <w:tabs>
          <w:tab w:val="clear" w:pos="720"/>
          <w:tab w:val="left" w:pos="960"/>
        </w:tabs>
        <w:spacing w:after="0"/>
        <w:ind w:left="0" w:firstLine="567"/>
        <w:jc w:val="both"/>
        <w:rPr>
          <w:rFonts w:ascii="Times New Roman" w:hAnsi="Times New Roman" w:cs="Times New Roman"/>
        </w:rPr>
      </w:pPr>
      <w:r>
        <w:rPr>
          <w:rFonts w:ascii="Times New Roman" w:hAnsi="Times New Roman" w:cs="Times New Roman"/>
          <w:sz w:val="24"/>
          <w:szCs w:val="24"/>
        </w:rPr>
        <w:t>Організувати співпрацю з Європейською велосипедною фундацією та іншими велосипедними організаціями України.</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Реалізація Концепції вирішить наступні нагальні питання:</w:t>
      </w:r>
    </w:p>
    <w:p w:rsidR="00D227E2" w:rsidRDefault="00934FC4">
      <w:pPr>
        <w:numPr>
          <w:ilvl w:val="0"/>
          <w:numId w:val="15"/>
        </w:numPr>
        <w:tabs>
          <w:tab w:val="clear" w:pos="720"/>
          <w:tab w:val="left" w:pos="900"/>
        </w:tabs>
        <w:spacing w:after="0"/>
        <w:ind w:left="0" w:firstLine="567"/>
        <w:jc w:val="both"/>
        <w:rPr>
          <w:rFonts w:ascii="Times New Roman" w:hAnsi="Times New Roman" w:cs="Times New Roman"/>
        </w:rPr>
      </w:pPr>
      <w:r>
        <w:rPr>
          <w:rFonts w:ascii="Times New Roman" w:hAnsi="Times New Roman" w:cs="Times New Roman"/>
          <w:sz w:val="24"/>
          <w:szCs w:val="24"/>
          <w:shd w:val="clear" w:color="auto" w:fill="FFFFFF"/>
        </w:rPr>
        <w:lastRenderedPageBreak/>
        <w:t>покращення екологічного стану громади (велосипеди та інші засоби легкого персонального транспорту (електросамокати, гіроскутери, моноколеса) – найекологічніші види транспорту, які не здійснюють шкідливого впливу на довкілля (викиди, шуми тощо));</w:t>
      </w:r>
    </w:p>
    <w:p w:rsidR="00D227E2" w:rsidRDefault="00934FC4">
      <w:pPr>
        <w:numPr>
          <w:ilvl w:val="0"/>
          <w:numId w:val="15"/>
        </w:numPr>
        <w:tabs>
          <w:tab w:val="clear" w:pos="720"/>
          <w:tab w:val="left" w:pos="900"/>
        </w:tabs>
        <w:spacing w:after="0"/>
        <w:ind w:left="0" w:firstLine="567"/>
        <w:jc w:val="both"/>
        <w:rPr>
          <w:rFonts w:ascii="Times New Roman" w:hAnsi="Times New Roman" w:cs="Times New Roman"/>
        </w:rPr>
      </w:pPr>
      <w:r>
        <w:rPr>
          <w:rFonts w:ascii="Times New Roman" w:hAnsi="Times New Roman" w:cs="Times New Roman"/>
          <w:sz w:val="24"/>
          <w:szCs w:val="24"/>
          <w:shd w:val="clear" w:color="auto" w:fill="FFFFFF"/>
        </w:rPr>
        <w:t>покращення здоров’я мешканців;</w:t>
      </w:r>
    </w:p>
    <w:p w:rsidR="00D227E2" w:rsidRDefault="00934FC4">
      <w:pPr>
        <w:numPr>
          <w:ilvl w:val="0"/>
          <w:numId w:val="15"/>
        </w:numPr>
        <w:tabs>
          <w:tab w:val="clear" w:pos="720"/>
          <w:tab w:val="left" w:pos="900"/>
        </w:tabs>
        <w:spacing w:after="0"/>
        <w:ind w:left="0" w:firstLine="567"/>
        <w:jc w:val="both"/>
        <w:rPr>
          <w:rFonts w:ascii="Times New Roman" w:hAnsi="Times New Roman" w:cs="Times New Roman"/>
        </w:rPr>
      </w:pPr>
      <w:r>
        <w:rPr>
          <w:rFonts w:ascii="Times New Roman" w:hAnsi="Times New Roman" w:cs="Times New Roman"/>
          <w:sz w:val="24"/>
          <w:szCs w:val="24"/>
          <w:shd w:val="clear" w:color="auto" w:fill="FFFFFF"/>
        </w:rPr>
        <w:t xml:space="preserve">зменшення витрат на медичне обслуговування та лікування; </w:t>
      </w:r>
    </w:p>
    <w:p w:rsidR="00D227E2" w:rsidRDefault="00934FC4">
      <w:pPr>
        <w:numPr>
          <w:ilvl w:val="0"/>
          <w:numId w:val="15"/>
        </w:numPr>
        <w:tabs>
          <w:tab w:val="clear" w:pos="720"/>
          <w:tab w:val="left" w:pos="900"/>
        </w:tabs>
        <w:spacing w:after="0"/>
        <w:ind w:left="0" w:firstLine="567"/>
        <w:jc w:val="both"/>
        <w:rPr>
          <w:rFonts w:ascii="Times New Roman" w:hAnsi="Times New Roman" w:cs="Times New Roman"/>
        </w:rPr>
      </w:pPr>
      <w:r>
        <w:rPr>
          <w:rFonts w:ascii="Times New Roman" w:hAnsi="Times New Roman" w:cs="Times New Roman"/>
          <w:sz w:val="24"/>
          <w:szCs w:val="24"/>
          <w:shd w:val="clear" w:color="auto" w:fill="FFFFFF"/>
        </w:rPr>
        <w:t xml:space="preserve">безпека та комфорт на вулицях міста; </w:t>
      </w:r>
    </w:p>
    <w:p w:rsidR="00D227E2" w:rsidRDefault="00934FC4">
      <w:pPr>
        <w:numPr>
          <w:ilvl w:val="0"/>
          <w:numId w:val="15"/>
        </w:numPr>
        <w:tabs>
          <w:tab w:val="clear" w:pos="720"/>
          <w:tab w:val="left" w:pos="900"/>
        </w:tabs>
        <w:spacing w:after="0"/>
        <w:ind w:left="0" w:firstLine="567"/>
        <w:jc w:val="both"/>
        <w:rPr>
          <w:rFonts w:ascii="Times New Roman" w:hAnsi="Times New Roman" w:cs="Times New Roman"/>
        </w:rPr>
      </w:pPr>
      <w:r>
        <w:rPr>
          <w:rFonts w:ascii="Times New Roman" w:hAnsi="Times New Roman" w:cs="Times New Roman"/>
          <w:sz w:val="24"/>
          <w:szCs w:val="24"/>
          <w:shd w:val="clear" w:color="auto" w:fill="FFFFFF"/>
        </w:rPr>
        <w:t>економічний розвиток та зростання добробуту населення (облаштування та обслуговування велосипедної інфраструктури на одного користувача значно дешевше ніж автомобільної, наявність велосипедної інфраструктури в громаді є ознакою комфорту і добробуту, що може стати позитивним сигналом для потенційних інвесторів, інфраструктура велосипедного транспорту сприяє створенню додаткових підприємств для її обслуговування, зменшення витрат на пальне спрямує фінансові ресурси на інші потреби мешканців);</w:t>
      </w:r>
    </w:p>
    <w:p w:rsidR="00D227E2" w:rsidRDefault="00934FC4">
      <w:pPr>
        <w:numPr>
          <w:ilvl w:val="0"/>
          <w:numId w:val="15"/>
        </w:numPr>
        <w:tabs>
          <w:tab w:val="clear" w:pos="720"/>
          <w:tab w:val="left" w:pos="900"/>
        </w:tabs>
        <w:spacing w:after="0"/>
        <w:ind w:left="0" w:firstLine="567"/>
        <w:jc w:val="both"/>
        <w:rPr>
          <w:rFonts w:ascii="Times New Roman" w:hAnsi="Times New Roman" w:cs="Times New Roman"/>
        </w:rPr>
      </w:pPr>
      <w:r>
        <w:rPr>
          <w:rFonts w:ascii="Times New Roman" w:hAnsi="Times New Roman" w:cs="Times New Roman"/>
          <w:sz w:val="24"/>
          <w:szCs w:val="24"/>
          <w:shd w:val="clear" w:color="auto" w:fill="FFFFFF"/>
        </w:rPr>
        <w:t xml:space="preserve">соціальна інтеграція – особиста мобільність (велосипед та інші засоби легкого персонального транспорту можуть стати вагомим об’єднуючим фактором для громади, оскільки вони є економічно доступними більшості категорій населення); </w:t>
      </w:r>
    </w:p>
    <w:p w:rsidR="00D227E2" w:rsidRDefault="00934FC4">
      <w:pPr>
        <w:numPr>
          <w:ilvl w:val="0"/>
          <w:numId w:val="15"/>
        </w:numPr>
        <w:tabs>
          <w:tab w:val="clear" w:pos="720"/>
          <w:tab w:val="left" w:pos="900"/>
        </w:tabs>
        <w:spacing w:after="0"/>
        <w:ind w:left="0" w:firstLine="567"/>
        <w:jc w:val="both"/>
        <w:rPr>
          <w:rFonts w:ascii="Times New Roman" w:hAnsi="Times New Roman" w:cs="Times New Roman"/>
        </w:rPr>
      </w:pPr>
      <w:r>
        <w:rPr>
          <w:rFonts w:ascii="Times New Roman" w:hAnsi="Times New Roman" w:cs="Times New Roman"/>
          <w:sz w:val="24"/>
          <w:szCs w:val="24"/>
          <w:shd w:val="clear" w:color="auto" w:fill="FFFFFF"/>
        </w:rPr>
        <w:t>підвищення туристичної привабливості – одна з вагомих ознак, яка супроводжує розвиток велосипедної інфраструктури (доведеним фактом є те, що дороги, на яких облаштовані велосипедні смуги чи доріжки є більш привабливими з точки зору благоустрою та організації руху, велосипед та електросамокат чи інший вид легкого персонального транспорту може бути окремим засобом пересування туристів).</w:t>
      </w:r>
    </w:p>
    <w:p w:rsidR="00D227E2" w:rsidRDefault="00D227E2">
      <w:pPr>
        <w:tabs>
          <w:tab w:val="left" w:pos="900"/>
        </w:tabs>
        <w:spacing w:after="0"/>
        <w:ind w:left="567"/>
        <w:jc w:val="both"/>
        <w:rPr>
          <w:rFonts w:ascii="Times New Roman" w:hAnsi="Times New Roman" w:cs="Times New Roman"/>
          <w:sz w:val="24"/>
          <w:szCs w:val="24"/>
          <w:shd w:val="clear" w:color="auto" w:fill="FFFFFF"/>
        </w:rPr>
      </w:pPr>
    </w:p>
    <w:p w:rsidR="00D227E2" w:rsidRDefault="00934FC4">
      <w:pPr>
        <w:spacing w:after="0"/>
        <w:ind w:firstLine="567"/>
        <w:rPr>
          <w:rFonts w:ascii="Times New Roman" w:hAnsi="Times New Roman" w:cs="Times New Roman"/>
        </w:rPr>
      </w:pPr>
      <w:r>
        <w:rPr>
          <w:rFonts w:ascii="Times New Roman" w:eastAsia="NSimSun" w:hAnsi="Times New Roman" w:cs="Times New Roman"/>
          <w:b/>
          <w:bCs/>
          <w:color w:val="000000"/>
          <w:kern w:val="2"/>
          <w:sz w:val="24"/>
          <w:szCs w:val="24"/>
          <w:shd w:val="clear" w:color="auto" w:fill="FFFFFF"/>
          <w:lang w:eastAsia="zh-CN" w:bidi="hi-IN"/>
        </w:rPr>
        <w:t>3.3. Потенціал для використання відновлювальних джерел енергії</w:t>
      </w:r>
    </w:p>
    <w:p w:rsidR="00D227E2" w:rsidRDefault="00934FC4">
      <w:pPr>
        <w:widowControl w:val="0"/>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Підвищення самозабезпечення </w:t>
      </w:r>
      <w:r>
        <w:rPr>
          <w:rFonts w:ascii="Times New Roman" w:eastAsia="NSimSun" w:hAnsi="Times New Roman" w:cs="Times New Roman"/>
          <w:kern w:val="2"/>
          <w:sz w:val="24"/>
          <w:szCs w:val="24"/>
          <w:shd w:val="clear" w:color="auto" w:fill="FFFFFF"/>
          <w:lang w:eastAsia="zh-CN" w:bidi="hi-IN"/>
        </w:rPr>
        <w:t xml:space="preserve">Луцької МТГ </w:t>
      </w:r>
      <w:r>
        <w:rPr>
          <w:rFonts w:ascii="Times New Roman" w:eastAsia="NSimSun" w:hAnsi="Times New Roman" w:cs="Times New Roman"/>
          <w:kern w:val="2"/>
          <w:sz w:val="24"/>
          <w:szCs w:val="24"/>
          <w:lang w:eastAsia="zh-CN" w:bidi="hi-IN"/>
        </w:rPr>
        <w:t>за рахунок впровадження технологій з використанням відновлювальних джерел енергії та альтернативних видів палива значною мірою відповідає необхідності зменшення залежності громади від використання викопних видів палива.</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Для задоволення потреб громади пропонується звернути увагу на наступні сучасні технології:</w:t>
      </w:r>
    </w:p>
    <w:p w:rsidR="00D227E2" w:rsidRDefault="00934FC4">
      <w:pPr>
        <w:numPr>
          <w:ilvl w:val="0"/>
          <w:numId w:val="14"/>
        </w:numPr>
        <w:tabs>
          <w:tab w:val="left" w:pos="0"/>
          <w:tab w:val="left" w:pos="851"/>
        </w:tabs>
        <w:spacing w:after="0"/>
        <w:ind w:left="0" w:firstLine="567"/>
        <w:contextualSpacing/>
        <w:jc w:val="both"/>
        <w:rPr>
          <w:rFonts w:ascii="Times New Roman" w:hAnsi="Times New Roman" w:cs="Times New Roman"/>
        </w:rPr>
      </w:pPr>
      <w:r>
        <w:rPr>
          <w:rFonts w:ascii="Times New Roman" w:eastAsia="Microsoft Sans Serif" w:hAnsi="Times New Roman" w:cs="Times New Roman"/>
          <w:kern w:val="2"/>
          <w:sz w:val="24"/>
          <w:szCs w:val="24"/>
        </w:rPr>
        <w:t>біопаливо;</w:t>
      </w:r>
    </w:p>
    <w:p w:rsidR="00D227E2" w:rsidRDefault="00934FC4">
      <w:pPr>
        <w:numPr>
          <w:ilvl w:val="0"/>
          <w:numId w:val="14"/>
        </w:numPr>
        <w:tabs>
          <w:tab w:val="left" w:pos="0"/>
          <w:tab w:val="left" w:pos="851"/>
        </w:tabs>
        <w:spacing w:after="0"/>
        <w:ind w:left="0" w:firstLine="567"/>
        <w:contextualSpacing/>
        <w:jc w:val="both"/>
        <w:rPr>
          <w:rFonts w:ascii="Times New Roman" w:hAnsi="Times New Roman" w:cs="Times New Roman"/>
        </w:rPr>
      </w:pPr>
      <w:r>
        <w:rPr>
          <w:rFonts w:ascii="Times New Roman" w:eastAsia="Microsoft Sans Serif" w:hAnsi="Times New Roman" w:cs="Times New Roman"/>
          <w:kern w:val="2"/>
          <w:sz w:val="24"/>
          <w:szCs w:val="24"/>
        </w:rPr>
        <w:t>сонячна енергетика;</w:t>
      </w:r>
    </w:p>
    <w:p w:rsidR="00D227E2" w:rsidRDefault="00934FC4">
      <w:pPr>
        <w:numPr>
          <w:ilvl w:val="0"/>
          <w:numId w:val="14"/>
        </w:numPr>
        <w:tabs>
          <w:tab w:val="left" w:pos="0"/>
          <w:tab w:val="left" w:pos="851"/>
        </w:tabs>
        <w:spacing w:after="0"/>
        <w:ind w:left="0" w:firstLine="567"/>
        <w:contextualSpacing/>
        <w:jc w:val="both"/>
        <w:rPr>
          <w:rFonts w:ascii="Times New Roman" w:hAnsi="Times New Roman" w:cs="Times New Roman"/>
        </w:rPr>
      </w:pPr>
      <w:r>
        <w:rPr>
          <w:rFonts w:ascii="Times New Roman" w:eastAsia="Microsoft Sans Serif" w:hAnsi="Times New Roman" w:cs="Times New Roman"/>
          <w:kern w:val="2"/>
          <w:sz w:val="24"/>
          <w:szCs w:val="24"/>
        </w:rPr>
        <w:t>вітрова енергетика;</w:t>
      </w:r>
    </w:p>
    <w:p w:rsidR="00D227E2" w:rsidRDefault="00934FC4">
      <w:pPr>
        <w:numPr>
          <w:ilvl w:val="0"/>
          <w:numId w:val="14"/>
        </w:numPr>
        <w:tabs>
          <w:tab w:val="left" w:pos="0"/>
          <w:tab w:val="left" w:pos="851"/>
        </w:tabs>
        <w:spacing w:after="0"/>
        <w:ind w:left="0" w:firstLine="567"/>
        <w:contextualSpacing/>
        <w:jc w:val="both"/>
        <w:rPr>
          <w:rFonts w:ascii="Times New Roman" w:hAnsi="Times New Roman" w:cs="Times New Roman"/>
        </w:rPr>
      </w:pPr>
      <w:r>
        <w:rPr>
          <w:rFonts w:ascii="Times New Roman" w:eastAsia="Microsoft Sans Serif" w:hAnsi="Times New Roman" w:cs="Times New Roman"/>
          <w:kern w:val="2"/>
          <w:sz w:val="24"/>
          <w:szCs w:val="24"/>
        </w:rPr>
        <w:t>теплові насоси та вторинна енергія;</w:t>
      </w:r>
    </w:p>
    <w:p w:rsidR="00D227E2" w:rsidRDefault="00934FC4">
      <w:pPr>
        <w:numPr>
          <w:ilvl w:val="0"/>
          <w:numId w:val="14"/>
        </w:numPr>
        <w:tabs>
          <w:tab w:val="left" w:pos="0"/>
          <w:tab w:val="left" w:pos="851"/>
        </w:tabs>
        <w:spacing w:after="0"/>
        <w:ind w:left="0" w:firstLine="567"/>
        <w:contextualSpacing/>
        <w:jc w:val="both"/>
        <w:rPr>
          <w:rFonts w:ascii="Times New Roman" w:hAnsi="Times New Roman" w:cs="Times New Roman"/>
        </w:rPr>
      </w:pPr>
      <w:r>
        <w:rPr>
          <w:rFonts w:ascii="Times New Roman" w:eastAsia="Microsoft Sans Serif" w:hAnsi="Times New Roman" w:cs="Times New Roman"/>
          <w:kern w:val="2"/>
          <w:sz w:val="24"/>
          <w:szCs w:val="24"/>
        </w:rPr>
        <w:t>використання ВДЕ в транспорті</w:t>
      </w:r>
    </w:p>
    <w:p w:rsidR="00D227E2" w:rsidRDefault="00934FC4">
      <w:pPr>
        <w:numPr>
          <w:ilvl w:val="0"/>
          <w:numId w:val="14"/>
        </w:numPr>
        <w:tabs>
          <w:tab w:val="left" w:pos="0"/>
          <w:tab w:val="left" w:pos="851"/>
        </w:tabs>
        <w:spacing w:after="0"/>
        <w:ind w:left="0" w:firstLine="567"/>
        <w:contextualSpacing/>
        <w:jc w:val="both"/>
        <w:rPr>
          <w:rFonts w:ascii="Times New Roman" w:hAnsi="Times New Roman" w:cs="Times New Roman"/>
        </w:rPr>
      </w:pPr>
      <w:r>
        <w:rPr>
          <w:rFonts w:ascii="Times New Roman" w:eastAsia="Microsoft Sans Serif" w:hAnsi="Times New Roman" w:cs="Times New Roman"/>
          <w:kern w:val="2"/>
          <w:sz w:val="24"/>
          <w:szCs w:val="24"/>
        </w:rPr>
        <w:t>біогазові станції.</w:t>
      </w:r>
    </w:p>
    <w:p w:rsidR="00D227E2" w:rsidRDefault="00934FC4">
      <w:pPr>
        <w:widowControl w:val="0"/>
        <w:spacing w:after="0"/>
        <w:ind w:firstLine="567"/>
        <w:jc w:val="both"/>
        <w:rPr>
          <w:rFonts w:ascii="Times New Roman" w:hAnsi="Times New Roman" w:cs="Times New Roman"/>
        </w:rPr>
      </w:pPr>
      <w:r>
        <w:rPr>
          <w:rFonts w:ascii="Times New Roman" w:eastAsia="NSimSun" w:hAnsi="Times New Roman" w:cs="Times New Roman"/>
          <w:kern w:val="2"/>
          <w:sz w:val="24"/>
          <w:szCs w:val="24"/>
          <w:u w:val="single"/>
          <w:lang w:eastAsia="zh-CN" w:bidi="hi-IN"/>
        </w:rPr>
        <w:t>Біопаливо</w:t>
      </w:r>
    </w:p>
    <w:p w:rsidR="00D227E2" w:rsidRDefault="00934FC4">
      <w:pPr>
        <w:widowControl w:val="0"/>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Біоенергетичні технології, які забезпечують потреби опалення, можуть бути когенераційними, генерувати водночас як тепло, так і електроенергію. Відновлюваними джерелами енергії з біопалива є деревина (дрова, пелети, тріска), відходи промислового та сільськогосподарського виробництв, біогаз, енергетичні рослини. Паливо з твердих побутових відходів (RDF – refuse-derived fuel, SRF – solid recovered fuel) не є відновлюваним джерелом енергії, але переробка сміття і виробництво енергії з біогазу на сміттєзвалищах є важливим елементом циркуляційної економіки і повинно розглядатися, як потенційне джерело енергії.</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shd w:val="clear" w:color="auto" w:fill="FFFFFF"/>
          <w:lang w:eastAsia="zh-CN" w:bidi="hi-IN"/>
        </w:rPr>
        <w:t xml:space="preserve">Наша громада знаходиться на території Волинського полісся та має в своєму складі такі підприємства, що здійснюють діяльність у лісовому господарстві: ДП «Волинський </w:t>
      </w:r>
      <w:r>
        <w:rPr>
          <w:rFonts w:ascii="Times New Roman" w:eastAsia="NSimSun" w:hAnsi="Times New Roman" w:cs="Times New Roman"/>
          <w:kern w:val="2"/>
          <w:sz w:val="24"/>
          <w:szCs w:val="24"/>
          <w:shd w:val="clear" w:color="auto" w:fill="FFFFFF"/>
          <w:lang w:eastAsia="zh-CN" w:bidi="hi-IN"/>
        </w:rPr>
        <w:lastRenderedPageBreak/>
        <w:t>військовий лісгосп», ДП «Ківерцівське лісове господарство» та КП «Парки та сквери м. Луцька». Загальна площа лісового фонду вказаних підприємств</w:t>
      </w:r>
      <w:r>
        <w:rPr>
          <w:rFonts w:ascii="Times New Roman" w:eastAsia="NSimSun" w:hAnsi="Times New Roman" w:cs="Times New Roman"/>
          <w:kern w:val="2"/>
          <w:sz w:val="24"/>
          <w:szCs w:val="24"/>
          <w:lang w:eastAsia="zh-CN" w:bidi="hi-IN"/>
        </w:rPr>
        <w:t xml:space="preserve"> станом на 2023 рік складає понад 3,44 тис. га. Місцевими відновлювальними ресурсами для Луцької МТГ у першу чергу є деревне паливо – дрова, щепа, відходи лісового та деревообробного господарства, відходи від обрізання деревних насаджень. </w:t>
      </w:r>
    </w:p>
    <w:p w:rsidR="00D227E2" w:rsidRDefault="00934FC4">
      <w:pPr>
        <w:widowControl w:val="0"/>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 xml:space="preserve">Волинь має найбагатші в Україні поклади торфу. Торф хоч і не є відновлювальним видом палива, все ж використовується, як альтернативне паливо. </w:t>
      </w:r>
    </w:p>
    <w:p w:rsidR="00D227E2" w:rsidRDefault="00934FC4">
      <w:pPr>
        <w:widowControl w:val="0"/>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Торф, як альтернативне паливо – паливна корисна копалина, продукт накопичення, неповного розпаду, біохімічного та фізико-хімічного перетворення залишків вищих болотних рослин в болотах і мілководних прісних озерах. Торф є першою стадією перетворення рослинних решток у вугілля.</w:t>
      </w:r>
    </w:p>
    <w:p w:rsidR="00D227E2" w:rsidRDefault="00934FC4">
      <w:pPr>
        <w:widowControl w:val="0"/>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Згідно з геологічними даними, 21 % усіх запасів цієї копалини в Україні – саме в надрах Волинської області. Видобувають і переробляють його два підприємства – комунальне «Волиньприродресурс» і державне «Волиньторф».</w:t>
      </w:r>
    </w:p>
    <w:p w:rsidR="00D227E2" w:rsidRDefault="00934FC4">
      <w:pPr>
        <w:widowControl w:val="0"/>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Паливо виготовляють на заводах у Маневичах та селі Прилісне Камінь-Каширського району.</w:t>
      </w:r>
      <w:r>
        <w:rPr>
          <w:rFonts w:ascii="Times New Roman" w:eastAsia="NSimSun" w:hAnsi="Times New Roman" w:cs="Times New Roman"/>
          <w:kern w:val="2"/>
          <w:sz w:val="24"/>
          <w:szCs w:val="24"/>
          <w:lang w:eastAsia="zh-CN" w:bidi="hi-IN"/>
        </w:rPr>
        <w:t xml:space="preserve"> </w:t>
      </w:r>
    </w:p>
    <w:p w:rsidR="00D227E2" w:rsidRDefault="00934FC4">
      <w:pPr>
        <w:widowControl w:val="0"/>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На території Луцької МТГ потенційними споживачами торфу є муніципальні будівлі, третинний сектор, приватні будівлі житлового сектору та промисловість. Торф, як альтернативне паливо використовується у муніципальних будівлях починаючи </w:t>
      </w:r>
      <w:r>
        <w:rPr>
          <w:rFonts w:ascii="Times New Roman" w:eastAsia="NSimSun" w:hAnsi="Times New Roman" w:cs="Times New Roman"/>
          <w:color w:val="000000"/>
          <w:kern w:val="2"/>
          <w:sz w:val="24"/>
          <w:szCs w:val="24"/>
          <w:shd w:val="clear" w:color="auto" w:fill="FFFFFF"/>
          <w:lang w:eastAsia="zh-CN" w:bidi="hi-IN"/>
        </w:rPr>
        <w:t xml:space="preserve">з 2021 року (відповідно у 2021 році споживання склало 419,0 тонн та у 2022 році 181,5 тонн). </w:t>
      </w:r>
    </w:p>
    <w:p w:rsidR="00D227E2" w:rsidRDefault="00934FC4">
      <w:pPr>
        <w:widowControl w:val="0"/>
        <w:spacing w:after="0"/>
        <w:ind w:firstLine="567"/>
        <w:jc w:val="both"/>
        <w:rPr>
          <w:rFonts w:ascii="Times New Roman" w:hAnsi="Times New Roman" w:cs="Times New Roman"/>
        </w:rPr>
      </w:pPr>
      <w:r>
        <w:rPr>
          <w:rFonts w:ascii="Times New Roman" w:eastAsia="NSimSun" w:hAnsi="Times New Roman" w:cs="Times New Roman"/>
          <w:kern w:val="2"/>
          <w:sz w:val="24"/>
          <w:szCs w:val="24"/>
          <w:u w:val="single"/>
          <w:lang w:eastAsia="zh-CN" w:bidi="hi-IN"/>
        </w:rPr>
        <w:t>Сонячна енергетика</w:t>
      </w:r>
    </w:p>
    <w:p w:rsidR="00D227E2" w:rsidRDefault="00934FC4">
      <w:pPr>
        <w:widowControl w:val="0"/>
        <w:spacing w:after="0"/>
        <w:ind w:firstLine="567"/>
        <w:jc w:val="both"/>
        <w:rPr>
          <w:rFonts w:ascii="Times New Roman" w:hAnsi="Times New Roman" w:cs="Times New Roman"/>
        </w:rPr>
      </w:pPr>
      <w:r>
        <w:rPr>
          <w:rFonts w:ascii="Times New Roman" w:eastAsia="NSimSun" w:hAnsi="Times New Roman" w:cs="Times New Roman"/>
          <w:kern w:val="2"/>
          <w:sz w:val="24"/>
          <w:szCs w:val="24"/>
          <w:shd w:val="clear" w:color="auto" w:fill="FFFFFF"/>
          <w:lang w:eastAsia="zh-CN" w:bidi="hi-IN"/>
        </w:rPr>
        <w:t>Незважаючи на те, що Луцька МТГ знаходиться на північному заході України, ще одним</w:t>
      </w:r>
      <w:r>
        <w:rPr>
          <w:rFonts w:ascii="Times New Roman" w:eastAsia="NSimSun" w:hAnsi="Times New Roman" w:cs="Times New Roman"/>
          <w:color w:val="FF0000"/>
          <w:kern w:val="2"/>
          <w:sz w:val="24"/>
          <w:szCs w:val="24"/>
          <w:shd w:val="clear" w:color="auto" w:fill="FFFFFF"/>
          <w:lang w:eastAsia="zh-CN" w:bidi="hi-IN"/>
        </w:rPr>
        <w:t xml:space="preserve"> </w:t>
      </w:r>
      <w:r>
        <w:rPr>
          <w:rFonts w:ascii="Times New Roman" w:eastAsia="NSimSun" w:hAnsi="Times New Roman" w:cs="Times New Roman"/>
          <w:kern w:val="2"/>
          <w:sz w:val="24"/>
          <w:szCs w:val="24"/>
          <w:shd w:val="clear" w:color="auto" w:fill="FFFFFF"/>
          <w:lang w:eastAsia="zh-CN" w:bidi="hi-IN"/>
        </w:rPr>
        <w:t>потужним та безпечним видом відновлювальної енергії зі значним потенціалом до використання є сонячне випромінювання. Побудова сонячних станцій та введення в побутову експлуатацію геліосистем та геліоколекторів надає можливості для виробництва електроенергії та нагрівання води в системах опалення та гарячого водопостачання.</w:t>
      </w:r>
    </w:p>
    <w:p w:rsidR="00D227E2" w:rsidRDefault="00934FC4">
      <w:pPr>
        <w:widowControl w:val="0"/>
        <w:spacing w:after="0"/>
        <w:ind w:firstLine="567"/>
        <w:jc w:val="both"/>
        <w:rPr>
          <w:rFonts w:ascii="Times New Roman" w:hAnsi="Times New Roman" w:cs="Times New Roman"/>
        </w:rPr>
      </w:pPr>
      <w:r>
        <w:rPr>
          <w:rFonts w:ascii="Times New Roman" w:eastAsia="NSimSun" w:hAnsi="Times New Roman" w:cs="Times New Roman"/>
          <w:kern w:val="2"/>
          <w:sz w:val="24"/>
          <w:szCs w:val="24"/>
          <w:shd w:val="clear" w:color="auto" w:fill="FFFFFF"/>
          <w:lang w:eastAsia="zh-CN" w:bidi="hi-IN"/>
        </w:rPr>
        <w:t>У Луцькій МТГ існують можливості встановлення сонячних станцій як на поверхні землі на придатних ділянках промислової зони, на приватних ділянках, так і на покрівлях гром</w:t>
      </w:r>
      <w:r>
        <w:rPr>
          <w:rFonts w:ascii="Times New Roman" w:eastAsia="NSimSun" w:hAnsi="Times New Roman" w:cs="Times New Roman"/>
          <w:kern w:val="2"/>
          <w:sz w:val="24"/>
          <w:szCs w:val="24"/>
          <w:lang w:eastAsia="zh-CN" w:bidi="hi-IN"/>
        </w:rPr>
        <w:t>адських та житлових будинків.</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В таблиці 64 наведено інформацію щодо кількості СЕС діючих на території Луцької міської територіальної громади, їх сумарну встановлену потужність та обсяги електроенергії СЕС, що надані у загальну мережу, за наступними формами.</w:t>
      </w:r>
    </w:p>
    <w:p w:rsidR="00D227E2" w:rsidRDefault="00934FC4">
      <w:pPr>
        <w:spacing w:after="0" w:line="240" w:lineRule="auto"/>
        <w:ind w:firstLine="567"/>
        <w:jc w:val="center"/>
        <w:rPr>
          <w:rFonts w:ascii="Times New Roman" w:hAnsi="Times New Roman" w:cs="Times New Roman"/>
        </w:rPr>
      </w:pPr>
      <w:r>
        <w:rPr>
          <w:rFonts w:ascii="Times New Roman" w:eastAsia="NSimSun" w:hAnsi="Times New Roman" w:cs="Times New Roman"/>
          <w:color w:val="000000"/>
          <w:kern w:val="2"/>
          <w:sz w:val="24"/>
          <w:szCs w:val="24"/>
          <w:lang w:eastAsia="zh-CN" w:bidi="hi-IN"/>
        </w:rPr>
        <w:t>Таблиця 64.  Інформація щодо кількості СЕС діючих на території Луцької міської територіальної громади</w:t>
      </w:r>
    </w:p>
    <w:tbl>
      <w:tblPr>
        <w:tblW w:w="9588" w:type="dxa"/>
        <w:tblInd w:w="287" w:type="dxa"/>
        <w:tblLayout w:type="fixed"/>
        <w:tblLook w:val="04A0" w:firstRow="1" w:lastRow="0" w:firstColumn="1" w:lastColumn="0" w:noHBand="0" w:noVBand="1"/>
      </w:tblPr>
      <w:tblGrid>
        <w:gridCol w:w="418"/>
        <w:gridCol w:w="5267"/>
        <w:gridCol w:w="1950"/>
        <w:gridCol w:w="1953"/>
      </w:tblGrid>
      <w:tr w:rsidR="00D227E2">
        <w:tc>
          <w:tcPr>
            <w:tcW w:w="418" w:type="dxa"/>
            <w:tcBorders>
              <w:top w:val="single" w:sz="2" w:space="0" w:color="000000"/>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w:t>
            </w:r>
          </w:p>
        </w:tc>
        <w:tc>
          <w:tcPr>
            <w:tcW w:w="5266" w:type="dxa"/>
            <w:tcBorders>
              <w:top w:val="single" w:sz="2" w:space="0" w:color="000000"/>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Показник</w:t>
            </w:r>
          </w:p>
        </w:tc>
        <w:tc>
          <w:tcPr>
            <w:tcW w:w="1950" w:type="dxa"/>
            <w:tcBorders>
              <w:top w:val="single" w:sz="2" w:space="0" w:color="000000"/>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2020</w:t>
            </w:r>
          </w:p>
        </w:tc>
        <w:tc>
          <w:tcPr>
            <w:tcW w:w="1953" w:type="dxa"/>
            <w:tcBorders>
              <w:top w:val="single" w:sz="2" w:space="0" w:color="000000"/>
              <w:left w:val="single" w:sz="2" w:space="0" w:color="000000"/>
              <w:bottom w:val="single" w:sz="2" w:space="0" w:color="000000"/>
              <w:right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2022</w:t>
            </w:r>
          </w:p>
        </w:tc>
      </w:tr>
      <w:tr w:rsidR="00D227E2">
        <w:tc>
          <w:tcPr>
            <w:tcW w:w="418"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1</w:t>
            </w:r>
          </w:p>
        </w:tc>
        <w:tc>
          <w:tcPr>
            <w:tcW w:w="5266" w:type="dxa"/>
            <w:tcBorders>
              <w:left w:val="single" w:sz="2" w:space="0" w:color="000000"/>
              <w:bottom w:val="single" w:sz="2"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color w:val="000000"/>
              </w:rPr>
              <w:t>Кількість сонячних станцій приватних домогосподарств (од.)</w:t>
            </w:r>
          </w:p>
        </w:tc>
        <w:tc>
          <w:tcPr>
            <w:tcW w:w="1950"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133</w:t>
            </w:r>
          </w:p>
        </w:tc>
        <w:tc>
          <w:tcPr>
            <w:tcW w:w="1953" w:type="dxa"/>
            <w:tcBorders>
              <w:left w:val="single" w:sz="2" w:space="0" w:color="000000"/>
              <w:bottom w:val="single" w:sz="2" w:space="0" w:color="000000"/>
              <w:right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146</w:t>
            </w:r>
          </w:p>
        </w:tc>
      </w:tr>
      <w:tr w:rsidR="00D227E2">
        <w:tc>
          <w:tcPr>
            <w:tcW w:w="418"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2</w:t>
            </w:r>
          </w:p>
        </w:tc>
        <w:tc>
          <w:tcPr>
            <w:tcW w:w="5266" w:type="dxa"/>
            <w:tcBorders>
              <w:left w:val="single" w:sz="2" w:space="0" w:color="000000"/>
              <w:bottom w:val="single" w:sz="2"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color w:val="000000"/>
              </w:rPr>
              <w:t>Кількість комерційних сонячних станцій (під управлінням юридичних осіб) (од.)</w:t>
            </w:r>
          </w:p>
        </w:tc>
        <w:tc>
          <w:tcPr>
            <w:tcW w:w="1950"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1</w:t>
            </w:r>
          </w:p>
        </w:tc>
        <w:tc>
          <w:tcPr>
            <w:tcW w:w="1953" w:type="dxa"/>
            <w:tcBorders>
              <w:left w:val="single" w:sz="2" w:space="0" w:color="000000"/>
              <w:bottom w:val="single" w:sz="2" w:space="0" w:color="000000"/>
              <w:right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1</w:t>
            </w:r>
          </w:p>
        </w:tc>
      </w:tr>
      <w:tr w:rsidR="00D227E2">
        <w:tc>
          <w:tcPr>
            <w:tcW w:w="418"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3</w:t>
            </w:r>
          </w:p>
        </w:tc>
        <w:tc>
          <w:tcPr>
            <w:tcW w:w="5266" w:type="dxa"/>
            <w:tcBorders>
              <w:left w:val="single" w:sz="2" w:space="0" w:color="000000"/>
              <w:bottom w:val="single" w:sz="2"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color w:val="000000"/>
              </w:rPr>
              <w:t>Сумарна встановлена потужність генерації СЕС, МВт</w:t>
            </w:r>
          </w:p>
        </w:tc>
        <w:tc>
          <w:tcPr>
            <w:tcW w:w="1950"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3,611</w:t>
            </w:r>
          </w:p>
        </w:tc>
        <w:tc>
          <w:tcPr>
            <w:tcW w:w="1953" w:type="dxa"/>
            <w:tcBorders>
              <w:left w:val="single" w:sz="2" w:space="0" w:color="000000"/>
              <w:bottom w:val="single" w:sz="2" w:space="0" w:color="000000"/>
              <w:right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3,946</w:t>
            </w:r>
          </w:p>
        </w:tc>
      </w:tr>
      <w:tr w:rsidR="00D227E2">
        <w:tc>
          <w:tcPr>
            <w:tcW w:w="418"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4</w:t>
            </w:r>
          </w:p>
        </w:tc>
        <w:tc>
          <w:tcPr>
            <w:tcW w:w="5266" w:type="dxa"/>
            <w:tcBorders>
              <w:left w:val="single" w:sz="2" w:space="0" w:color="000000"/>
              <w:bottom w:val="single" w:sz="2" w:space="0" w:color="000000"/>
            </w:tcBorders>
          </w:tcPr>
          <w:p w:rsidR="00D227E2" w:rsidRDefault="00934FC4">
            <w:pPr>
              <w:widowControl w:val="0"/>
              <w:spacing w:after="0" w:line="240" w:lineRule="auto"/>
              <w:rPr>
                <w:rFonts w:ascii="Times New Roman" w:hAnsi="Times New Roman" w:cs="Times New Roman"/>
              </w:rPr>
            </w:pPr>
            <w:r>
              <w:rPr>
                <w:rFonts w:ascii="Times New Roman" w:hAnsi="Times New Roman" w:cs="Times New Roman"/>
                <w:color w:val="000000"/>
              </w:rPr>
              <w:t>Сумарний річний обсяг електроенергії СЕС, що наданий у загальну мережу, МВт.год.</w:t>
            </w:r>
          </w:p>
        </w:tc>
        <w:tc>
          <w:tcPr>
            <w:tcW w:w="1950" w:type="dxa"/>
            <w:tcBorders>
              <w:left w:val="single" w:sz="2" w:space="0" w:color="000000"/>
              <w:bottom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4554,086</w:t>
            </w:r>
          </w:p>
        </w:tc>
        <w:tc>
          <w:tcPr>
            <w:tcW w:w="1953" w:type="dxa"/>
            <w:tcBorders>
              <w:left w:val="single" w:sz="2" w:space="0" w:color="000000"/>
              <w:bottom w:val="single" w:sz="2" w:space="0" w:color="000000"/>
              <w:right w:val="single" w:sz="2"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color w:val="000000"/>
              </w:rPr>
              <w:t>5077,597</w:t>
            </w:r>
          </w:p>
        </w:tc>
      </w:tr>
    </w:tbl>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Зважаючи на існуючи тенденції щодо розповсюдження використання СЕС, можна спрогнозувати збільшення встановлених СЕС на території громади та зростання сумарного річного обсягу електроенергії виробленої за допомогою СЕС.</w:t>
      </w:r>
    </w:p>
    <w:p w:rsidR="00974240" w:rsidRDefault="00974240">
      <w:pPr>
        <w:spacing w:after="0"/>
        <w:ind w:firstLine="567"/>
        <w:jc w:val="both"/>
        <w:rPr>
          <w:rFonts w:ascii="Times New Roman" w:eastAsia="NSimSun" w:hAnsi="Times New Roman" w:cs="Times New Roman"/>
          <w:kern w:val="2"/>
          <w:sz w:val="24"/>
          <w:szCs w:val="24"/>
          <w:u w:val="single"/>
          <w:lang w:eastAsia="zh-CN" w:bidi="hi-IN"/>
        </w:rPr>
      </w:pP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u w:val="single"/>
          <w:lang w:eastAsia="zh-CN" w:bidi="hi-IN"/>
        </w:rPr>
        <w:lastRenderedPageBreak/>
        <w:t>Вітрова енергетика</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З</w:t>
      </w:r>
      <w:r>
        <w:rPr>
          <w:rFonts w:ascii="Times New Roman" w:eastAsia="NSimSun" w:hAnsi="Times New Roman" w:cs="Times New Roman"/>
          <w:kern w:val="2"/>
          <w:sz w:val="24"/>
          <w:szCs w:val="24"/>
          <w:shd w:val="clear" w:color="auto" w:fill="FFFFFF"/>
          <w:lang w:eastAsia="zh-CN" w:bidi="hi-IN"/>
        </w:rPr>
        <w:t>гідно з результами дослідження потенціал Луцької МТГ для вітрової енергетики оцінюється, як незначний на період до 2030 року. Генерація нерівномірна впродовж року і не приваблює інвесторів комерційних ВЕС великої потужності. Проте після 2030 року потенціал вітрової генерації зростатиме згідно з очікуваннями посилення вітрів впродовж року внаслідок зміни клімату. Також за десятиріччя очікується здешевлення вітрогенеруючих технологій та росту їх ефективності.</w:t>
      </w:r>
    </w:p>
    <w:p w:rsidR="00D227E2" w:rsidRDefault="00934FC4">
      <w:pPr>
        <w:widowControl w:val="0"/>
        <w:spacing w:after="0"/>
        <w:ind w:firstLine="567"/>
        <w:jc w:val="both"/>
        <w:rPr>
          <w:rFonts w:ascii="Times New Roman" w:hAnsi="Times New Roman" w:cs="Times New Roman"/>
        </w:rPr>
      </w:pPr>
      <w:r>
        <w:rPr>
          <w:rFonts w:ascii="Times New Roman" w:eastAsia="NSimSun" w:hAnsi="Times New Roman" w:cs="Times New Roman"/>
          <w:kern w:val="2"/>
          <w:sz w:val="24"/>
          <w:szCs w:val="24"/>
          <w:shd w:val="clear" w:color="auto" w:fill="FFFFFF"/>
          <w:lang w:eastAsia="zh-CN" w:bidi="hi-IN"/>
        </w:rPr>
        <w:t>На відміну від СЕС вітрові електростанції потребу</w:t>
      </w:r>
      <w:r>
        <w:rPr>
          <w:rFonts w:ascii="Times New Roman" w:eastAsia="NSimSun" w:hAnsi="Times New Roman" w:cs="Times New Roman"/>
          <w:kern w:val="2"/>
          <w:sz w:val="24"/>
          <w:szCs w:val="24"/>
          <w:lang w:eastAsia="zh-CN" w:bidi="hi-IN"/>
        </w:rPr>
        <w:t>ють суттєво менше земельної площі для безпосереднього розміщення вітрогенеруючих установок (близько 500 м</w:t>
      </w:r>
      <w:r>
        <w:rPr>
          <w:rFonts w:ascii="Times New Roman" w:eastAsia="NSimSun" w:hAnsi="Times New Roman" w:cs="Times New Roman"/>
          <w:kern w:val="2"/>
          <w:sz w:val="24"/>
          <w:szCs w:val="24"/>
          <w:vertAlign w:val="superscript"/>
          <w:lang w:eastAsia="zh-CN" w:bidi="hi-IN"/>
        </w:rPr>
        <w:t>2</w:t>
      </w:r>
      <w:r>
        <w:rPr>
          <w:rFonts w:ascii="Times New Roman" w:eastAsia="NSimSun" w:hAnsi="Times New Roman" w:cs="Times New Roman"/>
          <w:kern w:val="2"/>
          <w:sz w:val="24"/>
          <w:szCs w:val="24"/>
          <w:lang w:eastAsia="zh-CN" w:bidi="hi-IN"/>
        </w:rPr>
        <w:t xml:space="preserve"> на одну установку), хоча й можуть простягатися на багато кілометрів. Завдяки цьому ділянки для площадок вітрогенераторів та прокладання електричних мереж можуть знаходитися посеред ділянок з іншим цільовим призначенням, наприклад, для вирощування сільськогосподарської продукції.</w:t>
      </w:r>
    </w:p>
    <w:p w:rsidR="00D227E2" w:rsidRDefault="00934FC4">
      <w:pPr>
        <w:widowControl w:val="0"/>
        <w:spacing w:after="0"/>
        <w:ind w:firstLine="709"/>
        <w:jc w:val="both"/>
        <w:rPr>
          <w:rFonts w:ascii="Times New Roman" w:hAnsi="Times New Roman" w:cs="Times New Roman"/>
        </w:rPr>
      </w:pPr>
      <w:r>
        <w:rPr>
          <w:rFonts w:ascii="Times New Roman" w:eastAsia="NSimSun" w:hAnsi="Times New Roman" w:cs="Times New Roman"/>
          <w:kern w:val="2"/>
          <w:sz w:val="24"/>
          <w:szCs w:val="24"/>
          <w:u w:val="single"/>
          <w:lang w:eastAsia="zh-CN" w:bidi="hi-IN"/>
        </w:rPr>
        <w:t>Теплові насоси та вторинна енергія</w:t>
      </w:r>
    </w:p>
    <w:p w:rsidR="00D227E2" w:rsidRDefault="00934FC4">
      <w:pPr>
        <w:widowControl w:val="0"/>
        <w:spacing w:after="0"/>
        <w:ind w:firstLine="709"/>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Одним із варіантів вирішення проблем стабільного теплопостачання може стати використання низькопотенційної енергії природного та техногенного походження через впровадження теплових насосів, які «забираючи» з ґрунту, повітря, води озера чи річки низькопотенційну теплоту, перетворюють її в енергію здатну нагрівати воду для обігріву приміщень і гарячого водопостачання. </w:t>
      </w:r>
    </w:p>
    <w:p w:rsidR="00D227E2" w:rsidRDefault="00934FC4">
      <w:pPr>
        <w:widowControl w:val="0"/>
        <w:spacing w:after="0"/>
        <w:ind w:firstLine="624"/>
        <w:jc w:val="both"/>
        <w:rPr>
          <w:rFonts w:ascii="Times New Roman" w:hAnsi="Times New Roman" w:cs="Times New Roman"/>
        </w:rPr>
      </w:pPr>
      <w:r>
        <w:rPr>
          <w:rFonts w:ascii="Times New Roman" w:eastAsia="NSimSun" w:hAnsi="Times New Roman" w:cs="Times New Roman"/>
          <w:kern w:val="2"/>
          <w:sz w:val="24"/>
          <w:szCs w:val="24"/>
          <w:lang w:eastAsia="zh-CN" w:bidi="hi-IN"/>
        </w:rPr>
        <w:t>Крім того, джерелами низькопотенційної скидної теплоти техногенного походження є вентиляційні викиди та охолоджуюча вода технологічного та енергетичного обладнання підприємств, промислові, комунально-побутові стоки. Досвід провідних країн засвідчує, що найбільш ефективним є використання теплової енергії стічних вод.</w:t>
      </w:r>
    </w:p>
    <w:p w:rsidR="00D227E2" w:rsidRDefault="00934FC4">
      <w:pPr>
        <w:widowControl w:val="0"/>
        <w:spacing w:after="0"/>
        <w:ind w:firstLine="567"/>
        <w:jc w:val="both"/>
        <w:rPr>
          <w:rFonts w:ascii="Times New Roman" w:hAnsi="Times New Roman" w:cs="Times New Roman"/>
        </w:rPr>
      </w:pPr>
      <w:r>
        <w:rPr>
          <w:noProof/>
          <w:lang w:eastAsia="uk-UA"/>
        </w:rPr>
        <w:drawing>
          <wp:anchor distT="0" distB="0" distL="0" distR="0" simplePos="0" relativeHeight="86" behindDoc="0" locked="0" layoutInCell="0" allowOverlap="1" wp14:anchorId="37EBB3FC" wp14:editId="686498B2">
            <wp:simplePos x="0" y="0"/>
            <wp:positionH relativeFrom="column">
              <wp:posOffset>3053715</wp:posOffset>
            </wp:positionH>
            <wp:positionV relativeFrom="paragraph">
              <wp:posOffset>1210310</wp:posOffset>
            </wp:positionV>
            <wp:extent cx="2999740" cy="1771650"/>
            <wp:effectExtent l="0" t="0" r="0" b="0"/>
            <wp:wrapSquare wrapText="largest"/>
            <wp:docPr id="63" name="Зображення2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Зображення2 Copy 2"/>
                    <pic:cNvPicPr>
                      <a:picLocks noChangeAspect="1" noChangeArrowheads="1"/>
                    </pic:cNvPicPr>
                  </pic:nvPicPr>
                  <pic:blipFill>
                    <a:blip r:embed="rId85"/>
                    <a:stretch>
                      <a:fillRect/>
                    </a:stretch>
                  </pic:blipFill>
                  <pic:spPr bwMode="auto">
                    <a:xfrm>
                      <a:off x="0" y="0"/>
                      <a:ext cx="2999740" cy="1771650"/>
                    </a:xfrm>
                    <a:prstGeom prst="rect">
                      <a:avLst/>
                    </a:prstGeom>
                  </pic:spPr>
                </pic:pic>
              </a:graphicData>
            </a:graphic>
          </wp:anchor>
        </w:drawing>
      </w:r>
      <w:r>
        <w:rPr>
          <w:noProof/>
          <w:lang w:eastAsia="uk-UA"/>
        </w:rPr>
        <w:drawing>
          <wp:anchor distT="0" distB="0" distL="0" distR="0" simplePos="0" relativeHeight="88" behindDoc="0" locked="0" layoutInCell="0" allowOverlap="1" wp14:anchorId="7642CFCF" wp14:editId="7C2B2EA8">
            <wp:simplePos x="0" y="0"/>
            <wp:positionH relativeFrom="column">
              <wp:posOffset>158115</wp:posOffset>
            </wp:positionH>
            <wp:positionV relativeFrom="paragraph">
              <wp:posOffset>1210310</wp:posOffset>
            </wp:positionV>
            <wp:extent cx="2893060" cy="1771650"/>
            <wp:effectExtent l="0" t="0" r="0" b="0"/>
            <wp:wrapSquare wrapText="largest"/>
            <wp:docPr id="64" name="Зображення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Зображення1 Copy 2"/>
                    <pic:cNvPicPr>
                      <a:picLocks noChangeAspect="1" noChangeArrowheads="1"/>
                    </pic:cNvPicPr>
                  </pic:nvPicPr>
                  <pic:blipFill>
                    <a:blip r:embed="rId86"/>
                    <a:stretch>
                      <a:fillRect/>
                    </a:stretch>
                  </pic:blipFill>
                  <pic:spPr bwMode="auto">
                    <a:xfrm>
                      <a:off x="0" y="0"/>
                      <a:ext cx="2893060" cy="1771650"/>
                    </a:xfrm>
                    <a:prstGeom prst="rect">
                      <a:avLst/>
                    </a:prstGeom>
                  </pic:spPr>
                </pic:pic>
              </a:graphicData>
            </a:graphic>
          </wp:anchor>
        </w:drawing>
      </w:r>
      <w:r>
        <w:rPr>
          <w:rFonts w:ascii="Times New Roman" w:eastAsia="NSimSun" w:hAnsi="Times New Roman" w:cs="Times New Roman"/>
          <w:kern w:val="2"/>
          <w:sz w:val="24"/>
          <w:szCs w:val="24"/>
          <w:shd w:val="clear" w:color="auto" w:fill="FFFFFF"/>
          <w:lang w:eastAsia="zh-CN" w:bidi="hi-IN"/>
        </w:rPr>
        <w:t>Одним із позитивних прикладів використання теплових насосів є встановлення у 2016 році в Луцькій МТГ в  центральному басейні за адресою: просп. Президента Грушевського, 2а, що належить КЗ «Спеціалізована дитячо-юнацька спортивна школа олімпійського резерву плавання Луцької міської ради» 3 теплові насоси «MYCOND» MCU030 (рисунок 43), потужністю 96 МВт, витрати міського бюджету громади склали 1,5 млн грн. У 2022 році вироблено 58752 Гкал (орієнтовна економія енергоресурсів щороку становить понад 50 %).</w:t>
      </w:r>
    </w:p>
    <w:p w:rsidR="00D227E2" w:rsidRDefault="00934FC4">
      <w:pPr>
        <w:widowControl w:val="0"/>
        <w:spacing w:after="0"/>
        <w:jc w:val="center"/>
        <w:rPr>
          <w:rFonts w:ascii="Times New Roman" w:hAnsi="Times New Roman" w:cs="Times New Roman"/>
        </w:rPr>
      </w:pPr>
      <w:r>
        <w:rPr>
          <w:rFonts w:ascii="Times New Roman" w:eastAsia="NSimSun" w:hAnsi="Times New Roman" w:cs="Times New Roman"/>
          <w:kern w:val="2"/>
          <w:lang w:eastAsia="zh-CN" w:bidi="hi-IN"/>
        </w:rPr>
        <w:t xml:space="preserve">Рисунок 43. Встановлені теплові насоси в центральному басейні </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shd w:val="clear" w:color="auto" w:fill="FFFFFF"/>
        </w:rPr>
        <w:t>У 18 закладах освіти Луцької міської територіальної громади протягом 2023-2024 років передбачено встановлення теплових насосів системи «повітря – вода» для систем ТП та ГВП. Встановлення здійснюється в рамках ЕСКО-контрактів.</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 xml:space="preserve">Перспективним в Луцьку у найближчому майбутньому є також встановлення теплових насосів у житловому фонді. Зокрема, в наявності є розроблені пілотні Попередні техніко-економічні обґрунтування «Встановлення теплового насосу в центральному тепловому </w:t>
      </w:r>
      <w:r>
        <w:rPr>
          <w:rFonts w:ascii="Times New Roman" w:hAnsi="Times New Roman" w:cs="Times New Roman"/>
          <w:sz w:val="24"/>
          <w:szCs w:val="24"/>
        </w:rPr>
        <w:lastRenderedPageBreak/>
        <w:t xml:space="preserve">пункті за адресою м. Луцьк, вул. Задворецька, 15», якими передбачено встановлення теплових насосів типу «повітря-вода» сумарною тепловою потужністю 210 кВт. </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Також передбачено встановлення теплових насосів для ЦТП (теплообмінники, призначені для відбору теплової енергії із зовнішнього середовища (повітря), розміщуються на даху будівлі ЦТП, а теплообмінники, що передають теплову енергію воді – всередині теплоакумулюючих баків).</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shd w:val="clear" w:color="auto" w:fill="FFFFFF"/>
        </w:rPr>
        <w:t>Разом з цим, практикується переведення частини виробництва теплової енергії для ГВП у будівлях, які забезпечуються тепловою енергією від ЦТП, що є економічно доцільним за умови ринкових тарифів на газ та електричну енергію. Потужність теплового насосу і об’єм теплоакумулюючих баків було прийнято таким чином, щоб забезпечити безперебійну роботу теплового насосу, що дає можливість мінімізувати строки окупності проєкту. Об’єм баків вибирався з огляду на можливість їх розміщення всередині існуючої будівлі ЦТП. Впровадження цього проєкту, згідно з розрахунками, дозволяє замістити для ЦТП орієнтовно 44 % поточного споживання теплової енергії на ГВП в опалювальний період, та орієнтовно 74 % в неопалювальний.</w:t>
      </w:r>
    </w:p>
    <w:p w:rsidR="00D227E2" w:rsidRDefault="00934FC4">
      <w:pPr>
        <w:widowControl w:val="0"/>
        <w:spacing w:after="0"/>
        <w:ind w:firstLine="567"/>
        <w:jc w:val="both"/>
        <w:rPr>
          <w:rFonts w:ascii="Times New Roman" w:hAnsi="Times New Roman" w:cs="Times New Roman"/>
        </w:rPr>
      </w:pPr>
      <w:r>
        <w:rPr>
          <w:rFonts w:ascii="Times New Roman" w:eastAsia="NSimSun" w:hAnsi="Times New Roman" w:cs="Times New Roman"/>
          <w:kern w:val="2"/>
          <w:sz w:val="24"/>
          <w:szCs w:val="24"/>
          <w:u w:val="single"/>
          <w:shd w:val="clear" w:color="auto" w:fill="FFFFFF"/>
          <w:lang w:eastAsia="zh-CN" w:bidi="hi-IN"/>
        </w:rPr>
        <w:t>Використання ВДЕ в транспорті</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shd w:val="clear" w:color="auto" w:fill="FFFFFF"/>
          <w:lang w:eastAsia="zh-CN" w:bidi="hi-IN"/>
        </w:rPr>
        <w:t>Для досягнення кліматичної нейтральності до 2050 року, не можна ігнорувати зростаючу кількість транспорту. В планах подальшого розвитку транспортної інфраструктури Луцької МТГ передбачено збільшення кількості громадського транспорту та обмеження використання особистого в межах завантажених автошляхів на території громади. Адже в секторі громадського транспорту значно легше запровадити перехід на ВДЕ.</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Сьогодні на території громади переважно використовуються автомобілі з двигуном внутрішнього згоряння, що споживають бензин, дизель і скраплений нафтовий газ або стиснений природний газ. Частка перевезень легковими електромобілями та електробусами не перевищує 15 %. Проте, транспорт на електродвигунах поступово витісняє інші види автомобільного транспорту. З цього можна зробити висновок, що до 2050 року доля електротранспорту значно збільшиться.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Декарбонізація у сфері транспорту відбувається за рахунок витіснення авто з двигуном внутрішнього згоряння електричними авто, електробусами та вантажівками на біопаливі. Електромобілі володіють майже втричі вищою ефективністю перетворення енергії, ніж вдосконалені авто з двигунами внутрішнього згоряння. Щільність енергії в їх акумуляторах, а відповідно – і дальність руху на одній зарядці в майбутньому буде суттєво зростати (хоча для переміщень в межах невеликого міста це не є визначальним фактором), тому електричний транспорт з акумуляторними батареями зможе задовольнити зростаючі потреби громади. За таких припущень, загальне споживання енергії в секторі транспорту зменшиться на 35-40 %.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u w:val="single"/>
          <w:shd w:val="clear" w:color="auto" w:fill="FFFFFF"/>
          <w:lang w:eastAsia="zh-CN" w:bidi="hi-IN"/>
        </w:rPr>
        <w:t>Біогазові станції</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Громада має декілька варіантів для використання біогазових станцій з метою виробництва електроенергії та біогазу - це біогазові станції на полігоні ТПВ, на міських очисних спорудах та на агропромислових господарствах громади.</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Станція дегазації на полігоні ТПВ</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Основна частина побутових відходів Луцька та навколишніх старостинських округів вивозиться на полігон ТПВ у с. Брище, що знаходиться у північній частині громади, за 11 кілометрів від Луцька. Площа полігону ТПВ становить понад 86 га.</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 xml:space="preserve">З 2017 року на полігоні ТПВ в с. Брище працює станція дегазації від компанії ТОВ «Кліар енерджі». Загальна потужність станції складе 330 кВт/год (таблиця 65).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lastRenderedPageBreak/>
        <w:t xml:space="preserve">З маси сміття під час розкладання органічних відходів утворюються вогненебезпечний газ метан та інші дуже шкідливі гази. Але завдяки станції дегазації звалищний газ, замість того, щоб потрапляти в навколишнє середовище утилізується у двигуні внутрішнього згорання. На станції встановлено австрійське обладнання Jenbacher, яке використовується в біогазових проєктах по всій Європі.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По всій площі полігону ТПВ розташовані 109 вертикальних свердловин, спеціальний роторний насос викачує газ з тіла полігону та подає в когенераційну установку в якій газопоршньовий двигун споживає звалищний газ та обертає генератор, генератор виробляє «зелену» електроенергію, який трансформується в комплектній підстанції з 0,4 кВ на напругу 10 кВ та віддається за зеленим тарифом в об’єднану електроенергетичну систему України, така потужність установки заживлює самостійно усіх абонентів на даному приєднанні.</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 xml:space="preserve">Станція сприяє скороченню шкідливих викидів у атмосферу, запобігає виникненню пожеж на полігоні, покращує екологічний стан, зменшує неприємний запах (адже споживається сірка разом з газом), генерується електроенергія, є можливість продукування теплової енергії, а найважливіше – це заміщення природного газу та зменшення енергозалежності нашої країни. </w:t>
      </w:r>
    </w:p>
    <w:p w:rsidR="00D227E2" w:rsidRDefault="00934FC4">
      <w:pPr>
        <w:spacing w:after="0"/>
        <w:ind w:firstLine="567"/>
        <w:jc w:val="center"/>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Таблиця 65. Показники біогазової станції на полігоні ТПВ с. Брище</w:t>
      </w:r>
    </w:p>
    <w:tbl>
      <w:tblPr>
        <w:tblW w:w="5000" w:type="pct"/>
        <w:tblInd w:w="28" w:type="dxa"/>
        <w:tblLayout w:type="fixed"/>
        <w:tblCellMar>
          <w:top w:w="28" w:type="dxa"/>
          <w:left w:w="28" w:type="dxa"/>
          <w:bottom w:w="28" w:type="dxa"/>
          <w:right w:w="28" w:type="dxa"/>
        </w:tblCellMar>
        <w:tblLook w:val="0000" w:firstRow="0" w:lastRow="0" w:firstColumn="0" w:lastColumn="0" w:noHBand="0" w:noVBand="0"/>
      </w:tblPr>
      <w:tblGrid>
        <w:gridCol w:w="4846"/>
        <w:gridCol w:w="4848"/>
      </w:tblGrid>
      <w:tr w:rsidR="00D227E2">
        <w:tc>
          <w:tcPr>
            <w:tcW w:w="4818" w:type="dxa"/>
            <w:tcBorders>
              <w:top w:val="single" w:sz="2" w:space="0" w:color="000000"/>
              <w:left w:val="single" w:sz="2" w:space="0" w:color="000000"/>
              <w:bottom w:val="single" w:sz="2" w:space="0" w:color="000000"/>
            </w:tcBorders>
          </w:tcPr>
          <w:p w:rsidR="00D227E2" w:rsidRDefault="00934FC4">
            <w:pPr>
              <w:widowControl w:val="0"/>
              <w:suppressLineNumbers/>
              <w:spacing w:after="0"/>
              <w:jc w:val="center"/>
              <w:rPr>
                <w:rFonts w:ascii="Times New Roman" w:hAnsi="Times New Roman" w:cs="Times New Roman"/>
              </w:rPr>
            </w:pPr>
            <w:r>
              <w:rPr>
                <w:rFonts w:ascii="Times New Roman" w:eastAsia="NSimSun" w:hAnsi="Times New Roman" w:cs="Times New Roman"/>
                <w:kern w:val="2"/>
                <w:lang w:eastAsia="zh-CN" w:bidi="hi-IN"/>
              </w:rPr>
              <w:t>Характеристика біогазової станції</w:t>
            </w:r>
          </w:p>
        </w:tc>
        <w:tc>
          <w:tcPr>
            <w:tcW w:w="4819" w:type="dxa"/>
            <w:tcBorders>
              <w:top w:val="single" w:sz="2" w:space="0" w:color="000000"/>
              <w:left w:val="single" w:sz="2" w:space="0" w:color="000000"/>
              <w:bottom w:val="single" w:sz="2" w:space="0" w:color="000000"/>
              <w:right w:val="single" w:sz="2" w:space="0" w:color="000000"/>
            </w:tcBorders>
          </w:tcPr>
          <w:p w:rsidR="00D227E2" w:rsidRDefault="00934FC4">
            <w:pPr>
              <w:widowControl w:val="0"/>
              <w:suppressLineNumbers/>
              <w:spacing w:after="0"/>
              <w:jc w:val="center"/>
              <w:rPr>
                <w:rFonts w:ascii="Times New Roman" w:hAnsi="Times New Roman" w:cs="Times New Roman"/>
              </w:rPr>
            </w:pPr>
            <w:r>
              <w:rPr>
                <w:rFonts w:ascii="Times New Roman" w:eastAsia="NSimSun" w:hAnsi="Times New Roman" w:cs="Times New Roman"/>
                <w:kern w:val="2"/>
                <w:lang w:eastAsia="zh-CN" w:bidi="hi-IN"/>
              </w:rPr>
              <w:t>Показники</w:t>
            </w:r>
          </w:p>
        </w:tc>
      </w:tr>
      <w:tr w:rsidR="00D227E2">
        <w:tc>
          <w:tcPr>
            <w:tcW w:w="4818" w:type="dxa"/>
            <w:tcBorders>
              <w:left w:val="single" w:sz="2" w:space="0" w:color="000000"/>
              <w:bottom w:val="single" w:sz="2" w:space="0" w:color="000000"/>
            </w:tcBorders>
          </w:tcPr>
          <w:p w:rsidR="00D227E2" w:rsidRDefault="00934FC4">
            <w:pPr>
              <w:widowControl w:val="0"/>
              <w:spacing w:after="0"/>
              <w:jc w:val="both"/>
              <w:rPr>
                <w:rFonts w:ascii="Times New Roman" w:hAnsi="Times New Roman" w:cs="Times New Roman"/>
              </w:rPr>
            </w:pPr>
            <w:r>
              <w:rPr>
                <w:rFonts w:ascii="Times New Roman" w:eastAsia="NSimSun" w:hAnsi="Times New Roman" w:cs="Times New Roman"/>
                <w:color w:val="000000"/>
                <w:kern w:val="2"/>
                <w:shd w:val="clear" w:color="auto" w:fill="FFFFFF"/>
                <w:lang w:eastAsia="zh-CN" w:bidi="hi-IN"/>
              </w:rPr>
              <w:t>Потужність станції становить</w:t>
            </w:r>
          </w:p>
        </w:tc>
        <w:tc>
          <w:tcPr>
            <w:tcW w:w="4819" w:type="dxa"/>
            <w:tcBorders>
              <w:left w:val="single" w:sz="2" w:space="0" w:color="000000"/>
              <w:bottom w:val="single" w:sz="2" w:space="0" w:color="000000"/>
              <w:right w:val="single" w:sz="2" w:space="0" w:color="000000"/>
            </w:tcBorders>
          </w:tcPr>
          <w:p w:rsidR="00D227E2" w:rsidRDefault="00934FC4">
            <w:pPr>
              <w:widowControl w:val="0"/>
              <w:suppressLineNumbers/>
              <w:spacing w:after="0"/>
              <w:jc w:val="center"/>
              <w:rPr>
                <w:rFonts w:ascii="Times New Roman" w:hAnsi="Times New Roman" w:cs="Times New Roman"/>
              </w:rPr>
            </w:pPr>
            <w:r>
              <w:rPr>
                <w:rFonts w:ascii="Times New Roman" w:eastAsia="NSimSun" w:hAnsi="Times New Roman" w:cs="Times New Roman"/>
                <w:kern w:val="2"/>
                <w:lang w:eastAsia="zh-CN" w:bidi="hi-IN"/>
              </w:rPr>
              <w:t>330 кВт/год</w:t>
            </w:r>
          </w:p>
        </w:tc>
      </w:tr>
      <w:tr w:rsidR="00D227E2">
        <w:tc>
          <w:tcPr>
            <w:tcW w:w="4818" w:type="dxa"/>
            <w:tcBorders>
              <w:left w:val="single" w:sz="2" w:space="0" w:color="000000"/>
              <w:bottom w:val="single" w:sz="2" w:space="0" w:color="000000"/>
            </w:tcBorders>
          </w:tcPr>
          <w:p w:rsidR="00D227E2" w:rsidRDefault="00934FC4">
            <w:pPr>
              <w:widowControl w:val="0"/>
              <w:spacing w:after="0"/>
              <w:jc w:val="both"/>
              <w:rPr>
                <w:rFonts w:ascii="Times New Roman" w:hAnsi="Times New Roman" w:cs="Times New Roman"/>
              </w:rPr>
            </w:pPr>
            <w:r>
              <w:rPr>
                <w:rFonts w:ascii="Times New Roman" w:eastAsia="NSimSun" w:hAnsi="Times New Roman" w:cs="Times New Roman"/>
                <w:color w:val="000000"/>
                <w:kern w:val="2"/>
                <w:shd w:val="clear" w:color="auto" w:fill="FFFFFF"/>
                <w:lang w:eastAsia="zh-CN" w:bidi="hi-IN"/>
              </w:rPr>
              <w:t>За 2020 рік добуто газу</w:t>
            </w:r>
          </w:p>
        </w:tc>
        <w:tc>
          <w:tcPr>
            <w:tcW w:w="4819" w:type="dxa"/>
            <w:tcBorders>
              <w:left w:val="single" w:sz="2" w:space="0" w:color="000000"/>
              <w:bottom w:val="single" w:sz="2" w:space="0" w:color="000000"/>
              <w:right w:val="single" w:sz="2" w:space="0" w:color="000000"/>
            </w:tcBorders>
          </w:tcPr>
          <w:p w:rsidR="00D227E2" w:rsidRDefault="00934FC4">
            <w:pPr>
              <w:widowControl w:val="0"/>
              <w:suppressLineNumbers/>
              <w:spacing w:after="0"/>
              <w:jc w:val="center"/>
              <w:rPr>
                <w:rFonts w:ascii="Times New Roman" w:hAnsi="Times New Roman" w:cs="Times New Roman"/>
              </w:rPr>
            </w:pPr>
            <w:r>
              <w:rPr>
                <w:rFonts w:ascii="Times New Roman" w:eastAsia="NSimSun" w:hAnsi="Times New Roman" w:cs="Times New Roman"/>
                <w:kern w:val="2"/>
                <w:lang w:eastAsia="zh-CN" w:bidi="hi-IN"/>
              </w:rPr>
              <w:t>1194816 м</w:t>
            </w:r>
            <w:r>
              <w:rPr>
                <w:rFonts w:ascii="Times New Roman" w:eastAsia="NSimSun" w:hAnsi="Times New Roman" w:cs="Times New Roman"/>
                <w:kern w:val="2"/>
                <w:vertAlign w:val="superscript"/>
                <w:lang w:eastAsia="zh-CN" w:bidi="hi-IN"/>
              </w:rPr>
              <w:t>3</w:t>
            </w:r>
          </w:p>
        </w:tc>
      </w:tr>
      <w:tr w:rsidR="00D227E2">
        <w:tc>
          <w:tcPr>
            <w:tcW w:w="4818" w:type="dxa"/>
            <w:tcBorders>
              <w:left w:val="single" w:sz="2" w:space="0" w:color="000000"/>
              <w:bottom w:val="single" w:sz="2" w:space="0" w:color="000000"/>
            </w:tcBorders>
          </w:tcPr>
          <w:p w:rsidR="00D227E2" w:rsidRDefault="00934FC4">
            <w:pPr>
              <w:widowControl w:val="0"/>
              <w:spacing w:after="0"/>
              <w:jc w:val="both"/>
              <w:rPr>
                <w:rFonts w:ascii="Times New Roman" w:hAnsi="Times New Roman" w:cs="Times New Roman"/>
              </w:rPr>
            </w:pPr>
            <w:r>
              <w:rPr>
                <w:rFonts w:ascii="Times New Roman" w:eastAsia="NSimSun" w:hAnsi="Times New Roman" w:cs="Times New Roman"/>
                <w:color w:val="000000"/>
                <w:kern w:val="2"/>
                <w:shd w:val="clear" w:color="auto" w:fill="FFFFFF"/>
                <w:lang w:eastAsia="zh-CN" w:bidi="hi-IN"/>
              </w:rPr>
              <w:t>За 2020 рік вироблено електроенергії</w:t>
            </w:r>
          </w:p>
        </w:tc>
        <w:tc>
          <w:tcPr>
            <w:tcW w:w="4819" w:type="dxa"/>
            <w:tcBorders>
              <w:left w:val="single" w:sz="2" w:space="0" w:color="000000"/>
              <w:bottom w:val="single" w:sz="2" w:space="0" w:color="000000"/>
              <w:right w:val="single" w:sz="2" w:space="0" w:color="000000"/>
            </w:tcBorders>
          </w:tcPr>
          <w:p w:rsidR="00D227E2" w:rsidRDefault="00934FC4">
            <w:pPr>
              <w:widowControl w:val="0"/>
              <w:suppressLineNumbers/>
              <w:spacing w:after="0"/>
              <w:jc w:val="center"/>
              <w:rPr>
                <w:rFonts w:ascii="Times New Roman" w:hAnsi="Times New Roman" w:cs="Times New Roman"/>
              </w:rPr>
            </w:pPr>
            <w:r>
              <w:rPr>
                <w:rFonts w:ascii="Times New Roman" w:eastAsia="NSimSun" w:hAnsi="Times New Roman" w:cs="Times New Roman"/>
                <w:kern w:val="2"/>
                <w:lang w:eastAsia="zh-CN" w:bidi="hi-IN"/>
              </w:rPr>
              <w:t>17701,7 МВт.год</w:t>
            </w:r>
          </w:p>
        </w:tc>
      </w:tr>
    </w:tbl>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 xml:space="preserve">Біогазова установка на очисних спорудах </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shd w:val="clear" w:color="auto" w:fill="FFFFFF"/>
        </w:rPr>
        <w:t xml:space="preserve">З метою вдосконалення та модернізації міських очисних споруд, як одного з пріоритетних завдань Луцької МТГ, планується на очисних спорудах КП «Луцькводоканал» у найближчій час розробити проєкт встановлення біогазової установки для компенсації власного споживання електричної енергії з комплексом для виробництва з осаду стічних вод добрива органічного «LWC». </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Біогазова установка на цьому мулі може виробити біогазу з концентрацією метану (СН4) від 1 724 000 Нм</w:t>
      </w:r>
      <w:r>
        <w:rPr>
          <w:rFonts w:ascii="Times New Roman" w:hAnsi="Times New Roman" w:cs="Times New Roman"/>
          <w:sz w:val="24"/>
          <w:szCs w:val="24"/>
          <w:vertAlign w:val="superscript"/>
        </w:rPr>
        <w:t>3</w:t>
      </w:r>
      <w:r>
        <w:rPr>
          <w:rFonts w:ascii="Times New Roman" w:hAnsi="Times New Roman" w:cs="Times New Roman"/>
          <w:sz w:val="24"/>
          <w:szCs w:val="24"/>
        </w:rPr>
        <w:t>/рік  до 2 950 400 Нм</w:t>
      </w:r>
      <w:r>
        <w:rPr>
          <w:rFonts w:ascii="Times New Roman" w:hAnsi="Times New Roman" w:cs="Times New Roman"/>
          <w:sz w:val="24"/>
          <w:szCs w:val="24"/>
          <w:vertAlign w:val="superscript"/>
        </w:rPr>
        <w:t>3</w:t>
      </w:r>
      <w:r>
        <w:rPr>
          <w:rFonts w:ascii="Times New Roman" w:hAnsi="Times New Roman" w:cs="Times New Roman"/>
          <w:sz w:val="24"/>
          <w:szCs w:val="24"/>
        </w:rPr>
        <w:t>/рік, який може бути використаний в когенераційній установці електричною потужністю від 500 кВт до 850 кВт.</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Отриманий біогаз буде спалюватись в газових двигунах з електричними генераторами. В процесі когенерації понад 40 % спалюваної енергії буде перетворюватись в електричну.</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 xml:space="preserve">Споживання електричної енергії об’єктом становить близько 20 тис. кВт.год/добу. Графік навантаження стабільний. </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Виробництво електричної енергії даною установкою покриває понад 80 % від споживання об’єкта. Економія буде становити понад 5670 тис. кВт.год/рік. Використання біогазової установки зменшить викиди СО</w:t>
      </w:r>
      <w:r>
        <w:rPr>
          <w:rFonts w:ascii="Times New Roman" w:hAnsi="Times New Roman" w:cs="Times New Roman"/>
          <w:sz w:val="24"/>
          <w:szCs w:val="24"/>
          <w:vertAlign w:val="subscript"/>
        </w:rPr>
        <w:t>2</w:t>
      </w:r>
      <w:r>
        <w:rPr>
          <w:rFonts w:ascii="Times New Roman" w:hAnsi="Times New Roman" w:cs="Times New Roman"/>
          <w:sz w:val="24"/>
          <w:szCs w:val="24"/>
        </w:rPr>
        <w:t xml:space="preserve"> на 2 331 т/рік.</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Відповідно теплова енергія, що утвориться при роботі газотурбінної установки буде спрямовуватись на виробництво органічного добрива згідно технічних умов.</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 xml:space="preserve">Відведена земельна ділянка дозволяє встановити біогазову установку, крім того, на об’єкті є вільні споруди які можуть бути використані для цих цілей. </w:t>
      </w:r>
    </w:p>
    <w:p w:rsidR="00D227E2" w:rsidRDefault="00934FC4">
      <w:pPr>
        <w:spacing w:after="0"/>
        <w:ind w:firstLine="567"/>
        <w:jc w:val="both"/>
        <w:rPr>
          <w:rFonts w:ascii="Times New Roman" w:eastAsia="NSimSun" w:hAnsi="Times New Roman" w:cs="Times New Roman"/>
          <w:color w:val="000000"/>
          <w:kern w:val="2"/>
          <w:sz w:val="24"/>
          <w:szCs w:val="24"/>
          <w:shd w:val="clear" w:color="auto" w:fill="FFFFFF"/>
          <w:lang w:eastAsia="zh-CN" w:bidi="hi-IN"/>
        </w:rPr>
      </w:pPr>
      <w:r>
        <w:rPr>
          <w:rFonts w:ascii="Times New Roman" w:eastAsia="NSimSun" w:hAnsi="Times New Roman" w:cs="Times New Roman"/>
          <w:color w:val="000000"/>
          <w:kern w:val="2"/>
          <w:sz w:val="24"/>
          <w:szCs w:val="24"/>
          <w:shd w:val="clear" w:color="auto" w:fill="FFFFFF"/>
          <w:lang w:eastAsia="zh-CN" w:bidi="hi-IN"/>
        </w:rPr>
        <w:t xml:space="preserve">Також слід зауважити, що після об’єднання у громаді активно функціонують агропідприємства, фермерські та приватні селянські господарства, які займаються вирощуванням зернових, бобових та олійних культур, ягідників, розведенням великої рогатої худоби, молочарством, овочівництвом та бджолярством. Встановлення біогазових установок </w:t>
      </w:r>
      <w:r>
        <w:rPr>
          <w:rFonts w:ascii="Times New Roman" w:eastAsia="NSimSun" w:hAnsi="Times New Roman" w:cs="Times New Roman"/>
          <w:color w:val="000000"/>
          <w:kern w:val="2"/>
          <w:sz w:val="24"/>
          <w:szCs w:val="24"/>
          <w:shd w:val="clear" w:color="auto" w:fill="FFFFFF"/>
          <w:lang w:eastAsia="zh-CN" w:bidi="hi-IN"/>
        </w:rPr>
        <w:lastRenderedPageBreak/>
        <w:t>розглядається в т.ч. для зменшення накопичення відходів та викидів CO</w:t>
      </w:r>
      <w:r>
        <w:rPr>
          <w:rFonts w:ascii="Times New Roman" w:eastAsia="NSimSun" w:hAnsi="Times New Roman" w:cs="Times New Roman"/>
          <w:color w:val="000000"/>
          <w:kern w:val="2"/>
          <w:sz w:val="24"/>
          <w:szCs w:val="24"/>
          <w:shd w:val="clear" w:color="auto" w:fill="FFFFFF"/>
          <w:vertAlign w:val="subscript"/>
          <w:lang w:eastAsia="zh-CN" w:bidi="hi-IN"/>
        </w:rPr>
        <w:t>2</w:t>
      </w:r>
      <w:r>
        <w:rPr>
          <w:rFonts w:ascii="Times New Roman" w:eastAsia="NSimSun" w:hAnsi="Times New Roman" w:cs="Times New Roman"/>
          <w:color w:val="000000"/>
          <w:kern w:val="2"/>
          <w:sz w:val="24"/>
          <w:szCs w:val="24"/>
          <w:shd w:val="clear" w:color="auto" w:fill="FFFFFF"/>
          <w:lang w:eastAsia="zh-CN" w:bidi="hi-IN"/>
        </w:rPr>
        <w:t xml:space="preserve"> у навколишнє середовище агропідприємствами.</w:t>
      </w:r>
    </w:p>
    <w:p w:rsidR="00974240" w:rsidRDefault="00974240">
      <w:pPr>
        <w:spacing w:after="0"/>
        <w:ind w:firstLine="567"/>
        <w:jc w:val="both"/>
        <w:rPr>
          <w:rFonts w:ascii="Times New Roman" w:hAnsi="Times New Roman" w:cs="Times New Roman"/>
        </w:rPr>
      </w:pPr>
    </w:p>
    <w:p w:rsidR="00D227E2" w:rsidRDefault="00D227E2">
      <w:pPr>
        <w:tabs>
          <w:tab w:val="left" w:pos="900"/>
        </w:tabs>
        <w:spacing w:after="0"/>
        <w:ind w:left="567"/>
        <w:jc w:val="both"/>
        <w:rPr>
          <w:rFonts w:ascii="Times New Roman" w:hAnsi="Times New Roman" w:cs="Times New Roman"/>
        </w:rPr>
      </w:pP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b/>
          <w:bCs/>
          <w:kern w:val="2"/>
          <w:sz w:val="24"/>
          <w:szCs w:val="24"/>
          <w:lang w:eastAsia="zh-CN" w:bidi="hi-IN"/>
        </w:rPr>
        <w:t>РОЗДІЛ 4. БАЗОВИЙ КАДАСТР ВИКИДІВ</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У базовому кадастрі викидів (БКВ) зведені дані щодо обсягів </w:t>
      </w:r>
      <w:r>
        <w:rPr>
          <w:rFonts w:ascii="Times New Roman" w:hAnsi="Times New Roman" w:cs="Times New Roman"/>
          <w:color w:val="000000"/>
          <w:sz w:val="24"/>
          <w:szCs w:val="24"/>
          <w:lang w:eastAsia="ru-RU"/>
        </w:rPr>
        <w:t>СО</w:t>
      </w:r>
      <w:r>
        <w:rPr>
          <w:rFonts w:ascii="Times New Roman" w:hAnsi="Times New Roman" w:cs="Times New Roman"/>
          <w:color w:val="000000"/>
          <w:sz w:val="24"/>
          <w:szCs w:val="24"/>
          <w:vertAlign w:val="subscript"/>
          <w:lang w:eastAsia="ru-RU"/>
        </w:rPr>
        <w:t>2</w:t>
      </w:r>
      <w:r>
        <w:rPr>
          <w:rFonts w:ascii="Times New Roman" w:eastAsia="NSimSun" w:hAnsi="Times New Roman" w:cs="Times New Roman"/>
          <w:kern w:val="2"/>
          <w:sz w:val="24"/>
          <w:szCs w:val="24"/>
          <w:lang w:eastAsia="zh-CN" w:bidi="hi-IN"/>
        </w:rPr>
        <w:t xml:space="preserve">, які надходять у атмосферу в результаті енергоспоживання на території громади у базовому році. БКВ дозволяє визначити головні антропогенні джерела викидів </w:t>
      </w:r>
      <w:r>
        <w:rPr>
          <w:rFonts w:ascii="Times New Roman" w:hAnsi="Times New Roman" w:cs="Times New Roman"/>
          <w:color w:val="000000"/>
          <w:sz w:val="24"/>
          <w:szCs w:val="24"/>
          <w:lang w:eastAsia="ru-RU"/>
        </w:rPr>
        <w:t>СО</w:t>
      </w:r>
      <w:r>
        <w:rPr>
          <w:rFonts w:ascii="Times New Roman" w:hAnsi="Times New Roman" w:cs="Times New Roman"/>
          <w:color w:val="000000"/>
          <w:sz w:val="24"/>
          <w:szCs w:val="24"/>
          <w:vertAlign w:val="subscript"/>
          <w:lang w:eastAsia="ru-RU"/>
        </w:rPr>
        <w:t>2</w:t>
      </w:r>
      <w:r>
        <w:rPr>
          <w:rFonts w:ascii="Times New Roman" w:eastAsia="NSimSun" w:hAnsi="Times New Roman" w:cs="Times New Roman"/>
          <w:kern w:val="2"/>
          <w:sz w:val="24"/>
          <w:szCs w:val="24"/>
          <w:lang w:eastAsia="zh-CN" w:bidi="hi-IN"/>
        </w:rPr>
        <w:t xml:space="preserve"> та визначити основні напрямки для виконання заходів спрямованих на зменшення викидів </w:t>
      </w:r>
      <w:r>
        <w:rPr>
          <w:rFonts w:ascii="Times New Roman" w:hAnsi="Times New Roman" w:cs="Times New Roman"/>
          <w:color w:val="000000"/>
          <w:sz w:val="24"/>
          <w:szCs w:val="24"/>
          <w:lang w:eastAsia="ru-RU"/>
        </w:rPr>
        <w:t>СО</w:t>
      </w:r>
      <w:r>
        <w:rPr>
          <w:rFonts w:ascii="Times New Roman" w:hAnsi="Times New Roman" w:cs="Times New Roman"/>
          <w:color w:val="000000"/>
          <w:sz w:val="24"/>
          <w:szCs w:val="24"/>
          <w:vertAlign w:val="subscript"/>
          <w:lang w:eastAsia="ru-RU"/>
        </w:rPr>
        <w:t>2</w:t>
      </w:r>
      <w:r>
        <w:rPr>
          <w:rFonts w:ascii="Times New Roman" w:eastAsia="NSimSun" w:hAnsi="Times New Roman" w:cs="Times New Roman"/>
          <w:kern w:val="2"/>
          <w:sz w:val="24"/>
          <w:szCs w:val="24"/>
          <w:lang w:eastAsia="zh-CN" w:bidi="hi-IN"/>
        </w:rPr>
        <w:t xml:space="preserve">. </w:t>
      </w: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b/>
          <w:bCs/>
          <w:kern w:val="2"/>
          <w:sz w:val="24"/>
          <w:szCs w:val="24"/>
          <w:lang w:eastAsia="zh-CN" w:bidi="hi-IN"/>
        </w:rPr>
        <w:t>4.1. Визначення базового року</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 xml:space="preserve">Базовий рік – це рік, у порівнянні з яким буде оцінюватись скорочення викидів </w:t>
      </w:r>
      <w:r>
        <w:rPr>
          <w:rFonts w:ascii="Times New Roman" w:hAnsi="Times New Roman" w:cs="Times New Roman"/>
          <w:color w:val="000000"/>
          <w:sz w:val="24"/>
          <w:szCs w:val="24"/>
          <w:shd w:val="clear" w:color="auto" w:fill="FFFFFF"/>
          <w:lang w:eastAsia="ru-RU"/>
        </w:rPr>
        <w:t>СО</w:t>
      </w:r>
      <w:r>
        <w:rPr>
          <w:rFonts w:ascii="Times New Roman" w:hAnsi="Times New Roman" w:cs="Times New Roman"/>
          <w:color w:val="000000"/>
          <w:sz w:val="24"/>
          <w:szCs w:val="24"/>
          <w:shd w:val="clear" w:color="auto" w:fill="FFFFFF"/>
          <w:vertAlign w:val="subscript"/>
          <w:lang w:eastAsia="ru-RU"/>
        </w:rPr>
        <w:t>2</w:t>
      </w:r>
      <w:r>
        <w:rPr>
          <w:rFonts w:ascii="Times New Roman" w:eastAsia="NSimSun" w:hAnsi="Times New Roman" w:cs="Times New Roman"/>
          <w:color w:val="000000"/>
          <w:kern w:val="2"/>
          <w:sz w:val="24"/>
          <w:szCs w:val="24"/>
          <w:shd w:val="clear" w:color="auto" w:fill="FFFFFF"/>
          <w:lang w:eastAsia="zh-CN" w:bidi="hi-IN"/>
        </w:rPr>
        <w:t xml:space="preserve"> під час моніторингу відповідно до положень «Угоди мерів» до кінцевої оцінки у 2030 та 2050 роках.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За результатами аналізу, що було проведено при складанні «Плану дій зі сталого енергетичного розвитку м. Луцька на 2012-2025 роки» базовим роком для здійснення оцінювання рівня викидів </w:t>
      </w:r>
      <w:r>
        <w:rPr>
          <w:rFonts w:ascii="Times New Roman" w:hAnsi="Times New Roman" w:cs="Times New Roman"/>
          <w:color w:val="000000"/>
          <w:sz w:val="24"/>
          <w:szCs w:val="24"/>
          <w:lang w:eastAsia="ru-RU"/>
        </w:rPr>
        <w:t>СО</w:t>
      </w:r>
      <w:r>
        <w:rPr>
          <w:rFonts w:ascii="Times New Roman" w:hAnsi="Times New Roman" w:cs="Times New Roman"/>
          <w:color w:val="000000"/>
          <w:sz w:val="24"/>
          <w:szCs w:val="24"/>
          <w:vertAlign w:val="subscript"/>
          <w:lang w:eastAsia="ru-RU"/>
        </w:rPr>
        <w:t>2</w:t>
      </w:r>
      <w:r>
        <w:rPr>
          <w:rFonts w:ascii="Times New Roman" w:eastAsia="NSimSun" w:hAnsi="Times New Roman" w:cs="Times New Roman"/>
          <w:kern w:val="2"/>
          <w:sz w:val="24"/>
          <w:szCs w:val="24"/>
          <w:lang w:eastAsia="zh-CN" w:bidi="hi-IN"/>
        </w:rPr>
        <w:t xml:space="preserve"> обрано 2007 рік.</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Для подальшого оцінювання рівня скорочення викидів </w:t>
      </w:r>
      <w:r>
        <w:rPr>
          <w:rFonts w:ascii="Times New Roman" w:hAnsi="Times New Roman" w:cs="Times New Roman"/>
          <w:color w:val="000000"/>
          <w:sz w:val="24"/>
          <w:szCs w:val="24"/>
          <w:lang w:eastAsia="ru-RU"/>
        </w:rPr>
        <w:t>СО</w:t>
      </w:r>
      <w:r>
        <w:rPr>
          <w:rFonts w:ascii="Times New Roman" w:hAnsi="Times New Roman" w:cs="Times New Roman"/>
          <w:color w:val="000000"/>
          <w:sz w:val="24"/>
          <w:szCs w:val="24"/>
          <w:vertAlign w:val="subscript"/>
          <w:lang w:eastAsia="ru-RU"/>
        </w:rPr>
        <w:t>2</w:t>
      </w:r>
      <w:r>
        <w:rPr>
          <w:rFonts w:ascii="Times New Roman" w:eastAsia="NSimSun" w:hAnsi="Times New Roman" w:cs="Times New Roman"/>
          <w:kern w:val="2"/>
          <w:sz w:val="24"/>
          <w:szCs w:val="24"/>
          <w:lang w:eastAsia="zh-CN" w:bidi="hi-IN"/>
        </w:rPr>
        <w:t xml:space="preserve"> в рамках «Плану дій сталого енергетичного розвитку та клімату Луцької міської територіальної громади до 2050 року» буде використовуватися 2007 рік, як базовий.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Враховуючи те, що Луцька МТГ сформована в результаті приєднання навколишніх сільських територій у 2019-2020 роках, статистика фактичного енергоспоживання для сільських територій буде розрахована пропорційно до кількості наявного населення, кількості домогосподарств та опалювальних площ.</w:t>
      </w: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b/>
          <w:bCs/>
          <w:kern w:val="2"/>
          <w:sz w:val="24"/>
          <w:szCs w:val="24"/>
          <w:lang w:eastAsia="zh-CN" w:bidi="hi-IN"/>
        </w:rPr>
        <w:t>4.2. Визначення секторів базового кадастру викидів (БКВ)</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Методикою, що надана «Угодою мерів» та Об’єднаним дослідницьким центром (Joint Research Centre – JRC) передбачений перелік ключових секторів діяльності (пов’язаних з енергоспоживанням та інше), що є обов’язковими для включення до розрахунку кадастру викидів.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З метою оптимізації результатів від пріоритетних дій та заходів, направлених на зниження викидів </w:t>
      </w:r>
      <w:r>
        <w:rPr>
          <w:rFonts w:ascii="Times New Roman" w:hAnsi="Times New Roman" w:cs="Times New Roman"/>
          <w:color w:val="000000"/>
          <w:sz w:val="24"/>
          <w:szCs w:val="24"/>
          <w:lang w:eastAsia="ru-RU"/>
        </w:rPr>
        <w:t>СО</w:t>
      </w:r>
      <w:r>
        <w:rPr>
          <w:rFonts w:ascii="Times New Roman" w:hAnsi="Times New Roman" w:cs="Times New Roman"/>
          <w:color w:val="000000"/>
          <w:sz w:val="24"/>
          <w:szCs w:val="24"/>
          <w:vertAlign w:val="subscript"/>
          <w:lang w:eastAsia="ru-RU"/>
        </w:rPr>
        <w:t>2</w:t>
      </w:r>
      <w:r>
        <w:rPr>
          <w:rFonts w:ascii="Times New Roman" w:eastAsia="NSimSun" w:hAnsi="Times New Roman" w:cs="Times New Roman"/>
          <w:kern w:val="2"/>
          <w:sz w:val="24"/>
          <w:szCs w:val="24"/>
          <w:lang w:eastAsia="zh-CN" w:bidi="hi-IN"/>
        </w:rPr>
        <w:t xml:space="preserve">, необхідно врахувати місцеві умови та майбутні перспективи розвитку Луцької МТГ.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Основними критеріями для обрання рекомендованих секторів до включення в БКВ є:</w:t>
      </w:r>
    </w:p>
    <w:p w:rsidR="00D227E2" w:rsidRDefault="00934FC4">
      <w:pPr>
        <w:numPr>
          <w:ilvl w:val="0"/>
          <w:numId w:val="31"/>
        </w:numPr>
        <w:tabs>
          <w:tab w:val="clear" w:pos="720"/>
          <w:tab w:val="left" w:pos="960"/>
        </w:tabs>
        <w:spacing w:after="0"/>
        <w:ind w:left="0" w:firstLine="567"/>
        <w:jc w:val="both"/>
        <w:rPr>
          <w:rFonts w:ascii="Times New Roman" w:hAnsi="Times New Roman" w:cs="Times New Roman"/>
        </w:rPr>
      </w:pPr>
      <w:r>
        <w:rPr>
          <w:rFonts w:ascii="Times New Roman" w:eastAsia="Times New Roman" w:hAnsi="Times New Roman" w:cs="Times New Roman"/>
          <w:kern w:val="2"/>
          <w:sz w:val="24"/>
          <w:szCs w:val="24"/>
        </w:rPr>
        <w:t>важливість для міської громади (соціальна важливість);</w:t>
      </w:r>
    </w:p>
    <w:p w:rsidR="00D227E2" w:rsidRDefault="00934FC4">
      <w:pPr>
        <w:numPr>
          <w:ilvl w:val="0"/>
          <w:numId w:val="31"/>
        </w:numPr>
        <w:tabs>
          <w:tab w:val="clear" w:pos="720"/>
          <w:tab w:val="left" w:pos="960"/>
        </w:tabs>
        <w:spacing w:after="0"/>
        <w:ind w:left="0" w:firstLine="567"/>
        <w:jc w:val="both"/>
        <w:rPr>
          <w:rFonts w:ascii="Times New Roman" w:hAnsi="Times New Roman" w:cs="Times New Roman"/>
        </w:rPr>
      </w:pPr>
      <w:r>
        <w:rPr>
          <w:rFonts w:ascii="Times New Roman" w:eastAsia="Times New Roman" w:hAnsi="Times New Roman" w:cs="Times New Roman"/>
          <w:kern w:val="2"/>
          <w:sz w:val="24"/>
          <w:szCs w:val="24"/>
        </w:rPr>
        <w:t>розмір витрат з бюджету Луцької міської територіальної громади (фінансова складова);</w:t>
      </w:r>
    </w:p>
    <w:p w:rsidR="00D227E2" w:rsidRDefault="00934FC4">
      <w:pPr>
        <w:numPr>
          <w:ilvl w:val="0"/>
          <w:numId w:val="31"/>
        </w:numPr>
        <w:tabs>
          <w:tab w:val="clear" w:pos="720"/>
          <w:tab w:val="left" w:pos="960"/>
        </w:tabs>
        <w:spacing w:after="0"/>
        <w:ind w:left="0" w:firstLine="567"/>
        <w:jc w:val="both"/>
        <w:rPr>
          <w:rFonts w:ascii="Times New Roman" w:hAnsi="Times New Roman" w:cs="Times New Roman"/>
        </w:rPr>
      </w:pPr>
      <w:r>
        <w:rPr>
          <w:rFonts w:ascii="Times New Roman" w:eastAsia="Times New Roman" w:hAnsi="Times New Roman" w:cs="Times New Roman"/>
          <w:kern w:val="2"/>
          <w:sz w:val="24"/>
          <w:szCs w:val="24"/>
        </w:rPr>
        <w:t>наявність запланованих проєктів у сфері енергозбереження;</w:t>
      </w:r>
    </w:p>
    <w:p w:rsidR="00D227E2" w:rsidRDefault="00934FC4">
      <w:pPr>
        <w:numPr>
          <w:ilvl w:val="0"/>
          <w:numId w:val="31"/>
        </w:numPr>
        <w:tabs>
          <w:tab w:val="clear" w:pos="720"/>
          <w:tab w:val="left" w:pos="960"/>
        </w:tabs>
        <w:spacing w:after="0"/>
        <w:ind w:left="0" w:firstLine="567"/>
        <w:jc w:val="both"/>
        <w:rPr>
          <w:rFonts w:ascii="Times New Roman" w:hAnsi="Times New Roman" w:cs="Times New Roman"/>
        </w:rPr>
      </w:pPr>
      <w:r>
        <w:rPr>
          <w:rFonts w:ascii="Times New Roman" w:eastAsia="Times New Roman" w:hAnsi="Times New Roman" w:cs="Times New Roman"/>
          <w:kern w:val="2"/>
          <w:sz w:val="24"/>
          <w:szCs w:val="24"/>
        </w:rPr>
        <w:t>регуляторний вплив міської влади на сектор;</w:t>
      </w:r>
    </w:p>
    <w:p w:rsidR="00D227E2" w:rsidRDefault="00934FC4">
      <w:pPr>
        <w:numPr>
          <w:ilvl w:val="0"/>
          <w:numId w:val="31"/>
        </w:numPr>
        <w:tabs>
          <w:tab w:val="clear" w:pos="720"/>
          <w:tab w:val="left" w:pos="960"/>
        </w:tabs>
        <w:spacing w:after="0"/>
        <w:ind w:left="0" w:firstLine="567"/>
        <w:jc w:val="both"/>
        <w:rPr>
          <w:rFonts w:ascii="Times New Roman" w:hAnsi="Times New Roman" w:cs="Times New Roman"/>
        </w:rPr>
      </w:pPr>
      <w:r>
        <w:rPr>
          <w:rFonts w:ascii="Times New Roman" w:eastAsia="Times New Roman" w:hAnsi="Times New Roman" w:cs="Times New Roman"/>
          <w:kern w:val="2"/>
          <w:sz w:val="24"/>
          <w:szCs w:val="24"/>
        </w:rPr>
        <w:t>можливість контролю над витратами енергії у секторі з боку міської влади.</w:t>
      </w:r>
    </w:p>
    <w:p w:rsidR="00D227E2" w:rsidRDefault="00934FC4">
      <w:pPr>
        <w:tabs>
          <w:tab w:val="left" w:pos="709"/>
        </w:tabs>
        <w:spacing w:after="0"/>
        <w:ind w:firstLine="567"/>
        <w:jc w:val="both"/>
        <w:rPr>
          <w:rFonts w:ascii="Times New Roman" w:hAnsi="Times New Roman" w:cs="Times New Roman"/>
          <w:sz w:val="24"/>
          <w:szCs w:val="24"/>
        </w:rPr>
      </w:pPr>
      <w:r>
        <w:rPr>
          <w:rFonts w:ascii="Times New Roman" w:hAnsi="Times New Roman" w:cs="Times New Roman"/>
          <w:sz w:val="24"/>
          <w:szCs w:val="24"/>
        </w:rPr>
        <w:t>Розподіл кінцевих споживачів за секторами відбувається наступним чином:</w:t>
      </w:r>
    </w:p>
    <w:p w:rsidR="00D227E2" w:rsidRPr="009B31AB" w:rsidRDefault="00934FC4">
      <w:pPr>
        <w:pStyle w:val="28"/>
        <w:numPr>
          <w:ilvl w:val="0"/>
          <w:numId w:val="40"/>
        </w:numPr>
        <w:tabs>
          <w:tab w:val="left" w:pos="0"/>
          <w:tab w:val="left" w:pos="851"/>
        </w:tabs>
        <w:ind w:left="0" w:firstLine="567"/>
        <w:jc w:val="both"/>
        <w:rPr>
          <w:lang w:val="uk-UA"/>
        </w:rPr>
      </w:pPr>
      <w:r w:rsidRPr="009B31AB">
        <w:rPr>
          <w:lang w:val="uk-UA"/>
        </w:rPr>
        <w:t xml:space="preserve">Муніципальні будівлі, обладнання/об'єкти – будівлі, обладнання та об’єкти, що знаходяться у власності установ, організацій та підприємств, які належать громаді. Таким чином крім муніципальних будівель, в цей сектор включені також об’єкти КП «Луцькводоканал», та інших комунальних підприємств (крім системи зовнішнього </w:t>
      </w:r>
      <w:r w:rsidRPr="009B31AB">
        <w:rPr>
          <w:lang w:val="uk-UA"/>
        </w:rPr>
        <w:lastRenderedPageBreak/>
        <w:t>освітлення, системи централізованого теплопостачання і електротранспорту, які розглядаються окремо).</w:t>
      </w:r>
    </w:p>
    <w:p w:rsidR="00D227E2" w:rsidRPr="009B31AB" w:rsidRDefault="00934FC4">
      <w:pPr>
        <w:pStyle w:val="28"/>
        <w:numPr>
          <w:ilvl w:val="0"/>
          <w:numId w:val="40"/>
        </w:numPr>
        <w:tabs>
          <w:tab w:val="left" w:pos="0"/>
          <w:tab w:val="left" w:pos="851"/>
        </w:tabs>
        <w:ind w:left="0" w:firstLine="567"/>
        <w:jc w:val="both"/>
        <w:rPr>
          <w:lang w:val="uk-UA"/>
        </w:rPr>
      </w:pPr>
      <w:r w:rsidRPr="009B31AB">
        <w:rPr>
          <w:lang w:val="uk-UA"/>
        </w:rPr>
        <w:t>Муніципальне освітлення – об’єкти системи зовнішнього освітлення Луцької МТГ,</w:t>
      </w:r>
    </w:p>
    <w:p w:rsidR="00D227E2" w:rsidRDefault="00934FC4">
      <w:pPr>
        <w:pStyle w:val="28"/>
        <w:numPr>
          <w:ilvl w:val="0"/>
          <w:numId w:val="40"/>
        </w:numPr>
        <w:tabs>
          <w:tab w:val="left" w:pos="0"/>
          <w:tab w:val="left" w:pos="851"/>
        </w:tabs>
        <w:ind w:left="0" w:firstLine="567"/>
        <w:jc w:val="both"/>
      </w:pPr>
      <w:r w:rsidRPr="009B31AB">
        <w:rPr>
          <w:lang w:val="uk-UA"/>
        </w:rPr>
        <w:t xml:space="preserve">Житлові будинки – всі житлові будівлі, крім тих, що належать громаді. </w:t>
      </w:r>
      <w:r>
        <w:t>В цьому секторі розглядаються як багатоквартирні житлові будинки так і приватні житлові будинки (приватні домогосподарства).</w:t>
      </w:r>
    </w:p>
    <w:p w:rsidR="00D227E2" w:rsidRDefault="00934FC4">
      <w:pPr>
        <w:pStyle w:val="28"/>
        <w:numPr>
          <w:ilvl w:val="0"/>
          <w:numId w:val="40"/>
        </w:numPr>
        <w:tabs>
          <w:tab w:val="left" w:pos="0"/>
          <w:tab w:val="left" w:pos="851"/>
        </w:tabs>
        <w:ind w:left="0" w:firstLine="567"/>
        <w:jc w:val="both"/>
      </w:pPr>
      <w:r>
        <w:t>Третинні будівлі, обладнання/об'єкти – будівлі та об’єкти комерції, банків, релігійних установ, а також такі, що знаходяться на балансі державних, обласних та районних установ і підприємств.</w:t>
      </w:r>
    </w:p>
    <w:p w:rsidR="00D227E2" w:rsidRDefault="00934FC4">
      <w:pPr>
        <w:pStyle w:val="28"/>
        <w:numPr>
          <w:ilvl w:val="0"/>
          <w:numId w:val="40"/>
        </w:numPr>
        <w:tabs>
          <w:tab w:val="left" w:pos="0"/>
          <w:tab w:val="left" w:pos="851"/>
        </w:tabs>
        <w:ind w:left="0" w:firstLine="567"/>
        <w:jc w:val="both"/>
      </w:pPr>
      <w:r>
        <w:t>Промисловість (не СТВ) – будівлі, об’єкти/обладнання промисловості, що не долучена до системи торгівлі викидами парникових газів. Через складність поділу промисловості на групи «СТВ» та «не СТВ», найчастіше вважаються об’єктами промисловості не СТВ такі, що мають річний обсяг енергоспоживання не більше 20 тис. МВт.год..</w:t>
      </w:r>
    </w:p>
    <w:p w:rsidR="00D227E2" w:rsidRDefault="00934FC4">
      <w:pPr>
        <w:pStyle w:val="28"/>
        <w:numPr>
          <w:ilvl w:val="0"/>
          <w:numId w:val="40"/>
        </w:numPr>
        <w:tabs>
          <w:tab w:val="left" w:pos="0"/>
          <w:tab w:val="left" w:pos="851"/>
        </w:tabs>
        <w:ind w:left="0" w:firstLine="567"/>
        <w:jc w:val="both"/>
      </w:pPr>
      <w:r>
        <w:t>Муніципальний транспорт – автотранспорт, що належить установам і підприємствам громади, крім транспорту, що здійснює перевезення громадського транспорту (дивись опис сектору «Громадський транспорт»).</w:t>
      </w:r>
    </w:p>
    <w:p w:rsidR="00D227E2" w:rsidRDefault="00934FC4">
      <w:pPr>
        <w:pStyle w:val="28"/>
        <w:numPr>
          <w:ilvl w:val="0"/>
          <w:numId w:val="40"/>
        </w:numPr>
        <w:tabs>
          <w:tab w:val="left" w:pos="0"/>
          <w:tab w:val="left" w:pos="851"/>
        </w:tabs>
        <w:ind w:left="0" w:firstLine="567"/>
        <w:jc w:val="both"/>
      </w:pPr>
      <w:r>
        <w:t>Громадський транспорт – автотранспорт, що здійснює перевезення пасажирів на міських та приміських маршрутах в межах громади (міські, приміські та міжміські автобуси, а також тролейбуси і трамваї). В цей сектор входить як транспорт приватних перевізників, так і транспортний парк, що належить громаді.</w:t>
      </w:r>
    </w:p>
    <w:p w:rsidR="00D227E2" w:rsidRDefault="00934FC4">
      <w:pPr>
        <w:pStyle w:val="28"/>
        <w:numPr>
          <w:ilvl w:val="0"/>
          <w:numId w:val="40"/>
        </w:numPr>
        <w:tabs>
          <w:tab w:val="left" w:pos="0"/>
          <w:tab w:val="left" w:pos="851"/>
        </w:tabs>
        <w:ind w:left="0" w:firstLine="567"/>
        <w:jc w:val="both"/>
      </w:pPr>
      <w:r>
        <w:t>Приватний та комерційний транспорт – автотранспортні засоби, що належить приватним власникам та не використовується для здійснення перевезень громадського транспорту. В цей сектор можуть входити наприклад такі типи автотранспорту – мотоцикли, автомобілі, автобуси, вантажний транспорт, спецтехніка.</w:t>
      </w:r>
    </w:p>
    <w:p w:rsidR="00D227E2" w:rsidRDefault="00934FC4">
      <w:pPr>
        <w:pStyle w:val="28"/>
        <w:numPr>
          <w:ilvl w:val="0"/>
          <w:numId w:val="40"/>
        </w:numPr>
        <w:tabs>
          <w:tab w:val="left" w:pos="0"/>
          <w:tab w:val="left" w:pos="851"/>
        </w:tabs>
        <w:ind w:left="0" w:firstLine="567"/>
        <w:jc w:val="both"/>
      </w:pPr>
      <w:r>
        <w:t>Сільське, лісове, рибне господарство – об’єкти енергоспоживання сільського, лісового та рибного господарства (крім транспорту).</w:t>
      </w:r>
    </w:p>
    <w:p w:rsidR="00D227E2" w:rsidRDefault="00934FC4">
      <w:pPr>
        <w:tabs>
          <w:tab w:val="left" w:pos="709"/>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Варто зауважити, що всі об’єкти генерації енергії не включаються до складу кінцевих споживачів, оскільки не є кінцевими споживачами. Таким чином – в перелік секторів БКВ не включаються об’єкти системи теплопостачання, електростанції, ТЕЦ, ГЕС тощо. </w:t>
      </w:r>
    </w:p>
    <w:p w:rsidR="00D227E2" w:rsidRDefault="00934FC4">
      <w:pPr>
        <w:tabs>
          <w:tab w:val="left" w:pos="709"/>
        </w:tabs>
        <w:spacing w:after="0"/>
        <w:ind w:firstLine="567"/>
        <w:jc w:val="both"/>
        <w:rPr>
          <w:rFonts w:ascii="Times New Roman" w:hAnsi="Times New Roman" w:cs="Times New Roman"/>
          <w:sz w:val="24"/>
          <w:szCs w:val="24"/>
        </w:rPr>
      </w:pPr>
      <w:r>
        <w:rPr>
          <w:rFonts w:ascii="Times New Roman" w:hAnsi="Times New Roman" w:cs="Times New Roman"/>
          <w:sz w:val="24"/>
          <w:szCs w:val="24"/>
        </w:rPr>
        <w:t>Об’єкти, що мають неенергетичні викиди парникових газів, показуються у відповідному секторі «Сектори, не пов’язані з енергетикою». В них розглядаються сміттєзвалища, очисні споруди, каналізаційні колектори тощо.</w:t>
      </w:r>
    </w:p>
    <w:p w:rsidR="00D227E2" w:rsidRDefault="00934FC4">
      <w:pPr>
        <w:tabs>
          <w:tab w:val="left" w:pos="709"/>
        </w:tabs>
        <w:spacing w:after="0"/>
        <w:ind w:firstLine="567"/>
        <w:jc w:val="center"/>
        <w:rPr>
          <w:rFonts w:ascii="Times New Roman" w:hAnsi="Times New Roman" w:cs="Times New Roman"/>
          <w:sz w:val="24"/>
          <w:szCs w:val="24"/>
        </w:rPr>
      </w:pPr>
      <w:r>
        <w:rPr>
          <w:rFonts w:ascii="Times New Roman" w:eastAsia="NSimSun" w:hAnsi="Times New Roman" w:cs="Times New Roman"/>
          <w:kern w:val="2"/>
          <w:sz w:val="24"/>
          <w:szCs w:val="24"/>
          <w:lang w:eastAsia="zh-CN" w:bidi="hi-IN"/>
        </w:rPr>
        <w:t>Таблиця 66. Обрані сектори кінцевих споживачів енергоресурсів до включення у БКВ</w:t>
      </w:r>
    </w:p>
    <w:tbl>
      <w:tblPr>
        <w:tblW w:w="9497" w:type="dxa"/>
        <w:tblInd w:w="250" w:type="dxa"/>
        <w:tblLayout w:type="fixed"/>
        <w:tblLook w:val="04A0" w:firstRow="1" w:lastRow="0" w:firstColumn="1" w:lastColumn="0" w:noHBand="0" w:noVBand="1"/>
      </w:tblPr>
      <w:tblGrid>
        <w:gridCol w:w="4078"/>
        <w:gridCol w:w="1321"/>
        <w:gridCol w:w="4098"/>
      </w:tblGrid>
      <w:tr w:rsidR="00D227E2">
        <w:trPr>
          <w:cantSplit/>
          <w:trHeight w:val="322"/>
        </w:trPr>
        <w:tc>
          <w:tcPr>
            <w:tcW w:w="40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lang w:eastAsia="uk-UA"/>
              </w:rPr>
              <w:t>Сектори кінцевих споживачів енергоресурсів</w:t>
            </w:r>
          </w:p>
        </w:tc>
        <w:tc>
          <w:tcPr>
            <w:tcW w:w="132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lang w:eastAsia="uk-UA"/>
              </w:rPr>
              <w:t>Ключові сектори</w:t>
            </w:r>
          </w:p>
        </w:tc>
        <w:tc>
          <w:tcPr>
            <w:tcW w:w="40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lang w:eastAsia="uk-UA"/>
              </w:rPr>
              <w:t>Обрані сектори кінцевих споживачів</w:t>
            </w:r>
          </w:p>
        </w:tc>
      </w:tr>
      <w:tr w:rsidR="00D227E2">
        <w:trPr>
          <w:cantSplit/>
          <w:trHeight w:val="322"/>
        </w:trPr>
        <w:tc>
          <w:tcPr>
            <w:tcW w:w="4078"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widowControl w:val="0"/>
              <w:spacing w:after="0" w:line="240" w:lineRule="auto"/>
              <w:rPr>
                <w:rFonts w:ascii="Times New Roman" w:eastAsia="Times New Roman" w:hAnsi="Times New Roman" w:cs="Times New Roman"/>
                <w:lang w:eastAsia="uk-UA"/>
              </w:rPr>
            </w:pPr>
          </w:p>
        </w:tc>
        <w:tc>
          <w:tcPr>
            <w:tcW w:w="1321"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widowControl w:val="0"/>
              <w:spacing w:after="0" w:line="240" w:lineRule="auto"/>
              <w:rPr>
                <w:rFonts w:ascii="Times New Roman" w:eastAsia="Times New Roman" w:hAnsi="Times New Roman" w:cs="Times New Roman"/>
                <w:lang w:eastAsia="uk-UA"/>
              </w:rPr>
            </w:pPr>
          </w:p>
        </w:tc>
        <w:tc>
          <w:tcPr>
            <w:tcW w:w="4098"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widowControl w:val="0"/>
              <w:spacing w:after="0" w:line="240" w:lineRule="auto"/>
              <w:rPr>
                <w:rFonts w:ascii="Times New Roman" w:eastAsia="Times New Roman" w:hAnsi="Times New Roman" w:cs="Times New Roman"/>
                <w:lang w:eastAsia="uk-UA"/>
              </w:rPr>
            </w:pPr>
          </w:p>
        </w:tc>
      </w:tr>
      <w:tr w:rsidR="00D227E2">
        <w:trPr>
          <w:cantSplit/>
          <w:trHeight w:val="322"/>
        </w:trPr>
        <w:tc>
          <w:tcPr>
            <w:tcW w:w="4078"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widowControl w:val="0"/>
              <w:spacing w:after="0" w:line="240" w:lineRule="auto"/>
              <w:rPr>
                <w:rFonts w:ascii="Times New Roman" w:eastAsia="Times New Roman" w:hAnsi="Times New Roman" w:cs="Times New Roman"/>
                <w:lang w:eastAsia="uk-UA"/>
              </w:rPr>
            </w:pPr>
          </w:p>
        </w:tc>
        <w:tc>
          <w:tcPr>
            <w:tcW w:w="1321"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widowControl w:val="0"/>
              <w:spacing w:after="0" w:line="240" w:lineRule="auto"/>
              <w:rPr>
                <w:rFonts w:ascii="Times New Roman" w:eastAsia="Times New Roman" w:hAnsi="Times New Roman" w:cs="Times New Roman"/>
                <w:lang w:eastAsia="uk-UA"/>
              </w:rPr>
            </w:pPr>
          </w:p>
        </w:tc>
        <w:tc>
          <w:tcPr>
            <w:tcW w:w="4098"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widowControl w:val="0"/>
              <w:spacing w:after="0" w:line="240" w:lineRule="auto"/>
              <w:rPr>
                <w:rFonts w:ascii="Times New Roman" w:eastAsia="Times New Roman" w:hAnsi="Times New Roman" w:cs="Times New Roman"/>
                <w:lang w:eastAsia="uk-UA"/>
              </w:rPr>
            </w:pPr>
          </w:p>
        </w:tc>
      </w:tr>
      <w:tr w:rsidR="00D227E2">
        <w:trPr>
          <w:cantSplit/>
          <w:trHeight w:val="315"/>
        </w:trPr>
        <w:tc>
          <w:tcPr>
            <w:tcW w:w="4078" w:type="dxa"/>
            <w:tcBorders>
              <w:top w:val="single" w:sz="4" w:space="0" w:color="000000"/>
              <w:left w:val="single" w:sz="4" w:space="0" w:color="000000"/>
              <w:bottom w:val="single" w:sz="4" w:space="0" w:color="000000"/>
              <w:right w:val="single" w:sz="4" w:space="0" w:color="000000"/>
            </w:tcBorders>
            <w:shd w:val="clear" w:color="FFFFCC" w:fill="F2F2F2"/>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lang w:eastAsia="uk-UA"/>
              </w:rPr>
              <w:t>Будівлі, обладнання/об'єкти</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27E2" w:rsidRDefault="00D227E2">
            <w:pPr>
              <w:widowControl w:val="0"/>
              <w:spacing w:after="0" w:line="240" w:lineRule="auto"/>
              <w:rPr>
                <w:rFonts w:ascii="Times New Roman" w:eastAsia="NSimSun" w:hAnsi="Times New Roman" w:cs="Times New Roman"/>
                <w:kern w:val="2"/>
                <w:lang w:eastAsia="zh-CN" w:bidi="hi-IN"/>
              </w:rPr>
            </w:pPr>
          </w:p>
        </w:tc>
        <w:tc>
          <w:tcPr>
            <w:tcW w:w="4098" w:type="dxa"/>
            <w:tcBorders>
              <w:top w:val="single" w:sz="4" w:space="0" w:color="000000"/>
              <w:left w:val="single" w:sz="4" w:space="0" w:color="000000"/>
              <w:bottom w:val="single" w:sz="4" w:space="0" w:color="000000"/>
              <w:right w:val="single" w:sz="4" w:space="0" w:color="000000"/>
            </w:tcBorders>
            <w:shd w:val="clear" w:color="FFFFCC" w:fill="F2F2F2"/>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lang w:eastAsia="uk-UA"/>
              </w:rPr>
              <w:t>Будівлі, обладнання/об'єкти</w:t>
            </w:r>
          </w:p>
        </w:tc>
      </w:tr>
      <w:tr w:rsidR="00D227E2">
        <w:trPr>
          <w:cantSplit/>
          <w:trHeight w:val="274"/>
        </w:trPr>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rPr>
                <w:rFonts w:ascii="Times New Roman" w:hAnsi="Times New Roman" w:cs="Times New Roman"/>
              </w:rPr>
            </w:pPr>
            <w:r>
              <w:rPr>
                <w:rFonts w:ascii="Times New Roman" w:eastAsia="Times New Roman" w:hAnsi="Times New Roman" w:cs="Times New Roman"/>
                <w:lang w:eastAsia="uk-UA"/>
              </w:rPr>
              <w:t>Муніципальні будівлі, обладнання/об'єкти</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rPr>
                <w:rFonts w:ascii="Times New Roman" w:hAnsi="Times New Roman" w:cs="Times New Roman"/>
              </w:rPr>
            </w:pPr>
            <w:r>
              <w:rPr>
                <w:rFonts w:ascii="Times New Roman" w:eastAsia="NSimSun" w:hAnsi="Times New Roman" w:cs="Times New Roman"/>
                <w:kern w:val="2"/>
                <w:lang w:eastAsia="zh-CN" w:bidi="hi-IN"/>
              </w:rPr>
              <w:t>Ключовий</w:t>
            </w:r>
          </w:p>
          <w:p w:rsidR="00D227E2" w:rsidRDefault="00D227E2">
            <w:pPr>
              <w:widowControl w:val="0"/>
              <w:spacing w:after="0" w:line="240" w:lineRule="auto"/>
              <w:rPr>
                <w:rFonts w:ascii="Times New Roman" w:eastAsia="NSimSun" w:hAnsi="Times New Roman" w:cs="Times New Roman"/>
                <w:kern w:val="2"/>
                <w:lang w:eastAsia="zh-CN" w:bidi="hi-IN"/>
              </w:rPr>
            </w:pPr>
          </w:p>
        </w:tc>
        <w:tc>
          <w:tcPr>
            <w:tcW w:w="4098"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D227E2" w:rsidRDefault="00934FC4">
            <w:pPr>
              <w:widowControl w:val="0"/>
              <w:spacing w:after="0" w:line="240" w:lineRule="auto"/>
              <w:rPr>
                <w:rFonts w:ascii="Times New Roman" w:hAnsi="Times New Roman" w:cs="Times New Roman"/>
              </w:rPr>
            </w:pPr>
            <w:r>
              <w:rPr>
                <w:rFonts w:ascii="Times New Roman" w:eastAsia="Times New Roman" w:hAnsi="Times New Roman" w:cs="Times New Roman"/>
                <w:color w:val="000000"/>
                <w:lang w:eastAsia="uk-UA"/>
              </w:rPr>
              <w:t>Муніципальні будівлі, обладнання/об'єкти</w:t>
            </w:r>
          </w:p>
        </w:tc>
      </w:tr>
      <w:tr w:rsidR="00D227E2">
        <w:trPr>
          <w:cantSplit/>
          <w:trHeight w:val="315"/>
        </w:trPr>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rPr>
                <w:rFonts w:ascii="Times New Roman" w:hAnsi="Times New Roman" w:cs="Times New Roman"/>
              </w:rPr>
            </w:pPr>
            <w:r>
              <w:rPr>
                <w:rFonts w:ascii="Times New Roman" w:eastAsia="Times New Roman" w:hAnsi="Times New Roman" w:cs="Times New Roman"/>
                <w:lang w:eastAsia="uk-UA"/>
              </w:rPr>
              <w:t>Третинні будівлі, обладнання/об'єкти</w:t>
            </w:r>
          </w:p>
        </w:tc>
        <w:tc>
          <w:tcPr>
            <w:tcW w:w="132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NSimSun" w:hAnsi="Times New Roman" w:cs="Times New Roman"/>
                <w:kern w:val="2"/>
                <w:lang w:eastAsia="zh-CN" w:bidi="hi-IN"/>
              </w:rPr>
              <w:t>Ключовий</w:t>
            </w:r>
          </w:p>
        </w:tc>
        <w:tc>
          <w:tcPr>
            <w:tcW w:w="4098"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bottom"/>
          </w:tcPr>
          <w:p w:rsidR="00D227E2" w:rsidRDefault="00934FC4">
            <w:pPr>
              <w:widowControl w:val="0"/>
              <w:spacing w:after="0" w:line="240" w:lineRule="auto"/>
              <w:rPr>
                <w:rFonts w:ascii="Times New Roman" w:hAnsi="Times New Roman" w:cs="Times New Roman"/>
              </w:rPr>
            </w:pPr>
            <w:r>
              <w:rPr>
                <w:rFonts w:ascii="Times New Roman" w:eastAsia="Times New Roman" w:hAnsi="Times New Roman" w:cs="Times New Roman"/>
                <w:color w:val="000000"/>
                <w:lang w:eastAsia="uk-UA"/>
              </w:rPr>
              <w:t>Третинні будівлі, обладнання/об'єкти</w:t>
            </w:r>
          </w:p>
        </w:tc>
      </w:tr>
      <w:tr w:rsidR="00D227E2">
        <w:trPr>
          <w:cantSplit/>
          <w:trHeight w:val="315"/>
        </w:trPr>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rPr>
                <w:rFonts w:ascii="Times New Roman" w:hAnsi="Times New Roman" w:cs="Times New Roman"/>
              </w:rPr>
            </w:pPr>
            <w:r>
              <w:rPr>
                <w:rFonts w:ascii="Times New Roman" w:eastAsia="Times New Roman" w:hAnsi="Times New Roman" w:cs="Times New Roman"/>
                <w:lang w:eastAsia="uk-UA"/>
              </w:rPr>
              <w:t>Житлові будинки</w:t>
            </w:r>
          </w:p>
        </w:tc>
        <w:tc>
          <w:tcPr>
            <w:tcW w:w="132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NSimSun" w:hAnsi="Times New Roman" w:cs="Times New Roman"/>
                <w:kern w:val="2"/>
                <w:lang w:eastAsia="zh-CN" w:bidi="hi-IN"/>
              </w:rPr>
              <w:t>Ключовий</w:t>
            </w:r>
          </w:p>
        </w:tc>
        <w:tc>
          <w:tcPr>
            <w:tcW w:w="4098"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bottom"/>
          </w:tcPr>
          <w:p w:rsidR="00D227E2" w:rsidRDefault="00934FC4">
            <w:pPr>
              <w:widowControl w:val="0"/>
              <w:spacing w:after="0" w:line="240" w:lineRule="auto"/>
              <w:rPr>
                <w:rFonts w:ascii="Times New Roman" w:hAnsi="Times New Roman" w:cs="Times New Roman"/>
              </w:rPr>
            </w:pPr>
            <w:r>
              <w:rPr>
                <w:rFonts w:ascii="Times New Roman" w:eastAsia="Times New Roman" w:hAnsi="Times New Roman" w:cs="Times New Roman"/>
                <w:color w:val="000000"/>
                <w:lang w:eastAsia="uk-UA"/>
              </w:rPr>
              <w:t>Житлові будинки</w:t>
            </w:r>
          </w:p>
        </w:tc>
      </w:tr>
      <w:tr w:rsidR="00D227E2">
        <w:trPr>
          <w:cantSplit/>
          <w:trHeight w:val="315"/>
        </w:trPr>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rPr>
                <w:rFonts w:ascii="Times New Roman" w:hAnsi="Times New Roman" w:cs="Times New Roman"/>
              </w:rPr>
            </w:pPr>
            <w:r>
              <w:rPr>
                <w:rFonts w:ascii="Times New Roman" w:eastAsia="Times New Roman" w:hAnsi="Times New Roman" w:cs="Times New Roman"/>
                <w:lang w:eastAsia="uk-UA"/>
              </w:rPr>
              <w:t>Муніципальне освітлення</w:t>
            </w:r>
          </w:p>
        </w:tc>
        <w:tc>
          <w:tcPr>
            <w:tcW w:w="132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NSimSun" w:hAnsi="Times New Roman" w:cs="Times New Roman"/>
                <w:kern w:val="2"/>
                <w:lang w:eastAsia="zh-CN" w:bidi="hi-IN"/>
              </w:rPr>
              <w:t>Ключовий</w:t>
            </w:r>
          </w:p>
        </w:tc>
        <w:tc>
          <w:tcPr>
            <w:tcW w:w="4098"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bottom"/>
          </w:tcPr>
          <w:p w:rsidR="00D227E2" w:rsidRDefault="00934FC4">
            <w:pPr>
              <w:widowControl w:val="0"/>
              <w:spacing w:after="0" w:line="240" w:lineRule="auto"/>
              <w:rPr>
                <w:rFonts w:ascii="Times New Roman" w:hAnsi="Times New Roman" w:cs="Times New Roman"/>
              </w:rPr>
            </w:pPr>
            <w:r>
              <w:rPr>
                <w:rFonts w:ascii="Times New Roman" w:eastAsia="Times New Roman" w:hAnsi="Times New Roman" w:cs="Times New Roman"/>
                <w:color w:val="000000"/>
                <w:lang w:eastAsia="uk-UA"/>
              </w:rPr>
              <w:t>Муніципальне освітлення</w:t>
            </w:r>
          </w:p>
        </w:tc>
      </w:tr>
      <w:tr w:rsidR="00D227E2">
        <w:trPr>
          <w:cantSplit/>
          <w:trHeight w:val="315"/>
        </w:trPr>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rPr>
                <w:rFonts w:ascii="Times New Roman" w:hAnsi="Times New Roman" w:cs="Times New Roman"/>
              </w:rPr>
            </w:pPr>
            <w:r>
              <w:rPr>
                <w:rFonts w:ascii="Times New Roman" w:eastAsia="Times New Roman" w:hAnsi="Times New Roman" w:cs="Times New Roman"/>
                <w:lang w:eastAsia="uk-UA"/>
              </w:rPr>
              <w:t>Промисловість (не СТВ)</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27E2" w:rsidRDefault="00D227E2">
            <w:pPr>
              <w:widowControl w:val="0"/>
              <w:spacing w:after="0" w:line="240" w:lineRule="auto"/>
              <w:rPr>
                <w:rFonts w:ascii="Times New Roman" w:eastAsia="NSimSun" w:hAnsi="Times New Roman" w:cs="Times New Roman"/>
                <w:kern w:val="2"/>
                <w:lang w:eastAsia="zh-CN" w:bidi="hi-IN"/>
              </w:rPr>
            </w:pPr>
          </w:p>
        </w:tc>
        <w:tc>
          <w:tcPr>
            <w:tcW w:w="40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27E2" w:rsidRDefault="00934FC4">
            <w:pPr>
              <w:widowControl w:val="0"/>
              <w:spacing w:after="0" w:line="240" w:lineRule="auto"/>
              <w:rPr>
                <w:rFonts w:ascii="Times New Roman" w:hAnsi="Times New Roman" w:cs="Times New Roman"/>
              </w:rPr>
            </w:pPr>
            <w:r>
              <w:rPr>
                <w:rFonts w:ascii="Times New Roman" w:eastAsia="Times New Roman" w:hAnsi="Times New Roman" w:cs="Times New Roman"/>
                <w:color w:val="000000"/>
                <w:lang w:eastAsia="uk-UA"/>
              </w:rPr>
              <w:t>-</w:t>
            </w:r>
          </w:p>
        </w:tc>
      </w:tr>
      <w:tr w:rsidR="00D227E2">
        <w:trPr>
          <w:cantSplit/>
          <w:trHeight w:val="315"/>
        </w:trPr>
        <w:tc>
          <w:tcPr>
            <w:tcW w:w="4078" w:type="dxa"/>
            <w:tcBorders>
              <w:top w:val="single" w:sz="4" w:space="0" w:color="000000"/>
              <w:left w:val="single" w:sz="4" w:space="0" w:color="000000"/>
              <w:bottom w:val="single" w:sz="4" w:space="0" w:color="000000"/>
              <w:right w:val="single" w:sz="4" w:space="0" w:color="000000"/>
            </w:tcBorders>
            <w:shd w:val="clear" w:color="FFFFCC" w:fill="F2F2F2"/>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lang w:eastAsia="uk-UA"/>
              </w:rPr>
              <w:t>Транспорт</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Ключовий</w:t>
            </w:r>
          </w:p>
        </w:tc>
        <w:tc>
          <w:tcPr>
            <w:tcW w:w="4098" w:type="dxa"/>
            <w:tcBorders>
              <w:top w:val="single" w:sz="4" w:space="0" w:color="000000"/>
              <w:left w:val="single" w:sz="4" w:space="0" w:color="000000"/>
              <w:bottom w:val="single" w:sz="4" w:space="0" w:color="000000"/>
              <w:right w:val="single" w:sz="4" w:space="0" w:color="000000"/>
            </w:tcBorders>
            <w:shd w:val="clear" w:color="FFFFCC" w:fill="F2F2F2"/>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lang w:eastAsia="uk-UA"/>
              </w:rPr>
              <w:t>Транспорт</w:t>
            </w:r>
          </w:p>
        </w:tc>
      </w:tr>
      <w:tr w:rsidR="00D227E2">
        <w:trPr>
          <w:cantSplit/>
          <w:trHeight w:val="315"/>
        </w:trPr>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rPr>
                <w:rFonts w:ascii="Times New Roman" w:hAnsi="Times New Roman" w:cs="Times New Roman"/>
              </w:rPr>
            </w:pPr>
            <w:r>
              <w:rPr>
                <w:rFonts w:ascii="Times New Roman" w:eastAsia="Times New Roman" w:hAnsi="Times New Roman" w:cs="Times New Roman"/>
                <w:lang w:eastAsia="uk-UA"/>
              </w:rPr>
              <w:t>Муніципальний транспорт</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27E2" w:rsidRDefault="00D227E2">
            <w:pPr>
              <w:widowControl w:val="0"/>
              <w:spacing w:after="0" w:line="240" w:lineRule="auto"/>
              <w:rPr>
                <w:rFonts w:ascii="Times New Roman" w:eastAsia="NSimSun" w:hAnsi="Times New Roman" w:cs="Times New Roman"/>
                <w:kern w:val="2"/>
                <w:lang w:eastAsia="zh-CN" w:bidi="hi-IN"/>
              </w:rPr>
            </w:pPr>
          </w:p>
        </w:tc>
        <w:tc>
          <w:tcPr>
            <w:tcW w:w="4098"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bottom"/>
          </w:tcPr>
          <w:p w:rsidR="00D227E2" w:rsidRDefault="00934FC4">
            <w:pPr>
              <w:widowControl w:val="0"/>
              <w:spacing w:after="0" w:line="240" w:lineRule="auto"/>
              <w:rPr>
                <w:rFonts w:ascii="Times New Roman" w:hAnsi="Times New Roman" w:cs="Times New Roman"/>
              </w:rPr>
            </w:pPr>
            <w:r>
              <w:rPr>
                <w:rFonts w:ascii="Times New Roman" w:eastAsia="Times New Roman" w:hAnsi="Times New Roman" w:cs="Times New Roman"/>
                <w:color w:val="000000"/>
                <w:lang w:eastAsia="uk-UA"/>
              </w:rPr>
              <w:t>Муніципальний транспорт</w:t>
            </w:r>
          </w:p>
        </w:tc>
      </w:tr>
      <w:tr w:rsidR="00D227E2">
        <w:trPr>
          <w:cantSplit/>
          <w:trHeight w:val="315"/>
        </w:trPr>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rPr>
                <w:rFonts w:ascii="Times New Roman" w:hAnsi="Times New Roman" w:cs="Times New Roman"/>
              </w:rPr>
            </w:pPr>
            <w:r>
              <w:rPr>
                <w:rFonts w:ascii="Times New Roman" w:eastAsia="Times New Roman" w:hAnsi="Times New Roman" w:cs="Times New Roman"/>
                <w:lang w:eastAsia="uk-UA"/>
              </w:rPr>
              <w:t>Громадський транспорт</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27E2" w:rsidRDefault="00D227E2">
            <w:pPr>
              <w:widowControl w:val="0"/>
              <w:spacing w:after="0" w:line="240" w:lineRule="auto"/>
              <w:rPr>
                <w:rFonts w:ascii="Times New Roman" w:eastAsia="NSimSun" w:hAnsi="Times New Roman" w:cs="Times New Roman"/>
                <w:kern w:val="2"/>
                <w:lang w:eastAsia="zh-CN" w:bidi="hi-IN"/>
              </w:rPr>
            </w:pPr>
          </w:p>
        </w:tc>
        <w:tc>
          <w:tcPr>
            <w:tcW w:w="4098"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bottom"/>
          </w:tcPr>
          <w:p w:rsidR="00D227E2" w:rsidRDefault="00934FC4">
            <w:pPr>
              <w:widowControl w:val="0"/>
              <w:spacing w:after="0" w:line="240" w:lineRule="auto"/>
              <w:rPr>
                <w:rFonts w:ascii="Times New Roman" w:hAnsi="Times New Roman" w:cs="Times New Roman"/>
              </w:rPr>
            </w:pPr>
            <w:r>
              <w:rPr>
                <w:rFonts w:ascii="Times New Roman" w:eastAsia="Times New Roman" w:hAnsi="Times New Roman" w:cs="Times New Roman"/>
                <w:color w:val="000000"/>
                <w:lang w:eastAsia="uk-UA"/>
              </w:rPr>
              <w:t>Громадський транспорт</w:t>
            </w:r>
          </w:p>
        </w:tc>
      </w:tr>
      <w:tr w:rsidR="00D227E2">
        <w:trPr>
          <w:cantSplit/>
          <w:trHeight w:val="315"/>
        </w:trPr>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rPr>
                <w:rFonts w:ascii="Times New Roman" w:hAnsi="Times New Roman" w:cs="Times New Roman"/>
              </w:rPr>
            </w:pPr>
            <w:r>
              <w:rPr>
                <w:rFonts w:ascii="Times New Roman" w:eastAsia="Times New Roman" w:hAnsi="Times New Roman" w:cs="Times New Roman"/>
                <w:lang w:eastAsia="uk-UA"/>
              </w:rPr>
              <w:t>Приватний та комерційний транспорт</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27E2" w:rsidRDefault="00D227E2">
            <w:pPr>
              <w:widowControl w:val="0"/>
              <w:spacing w:after="0" w:line="240" w:lineRule="auto"/>
              <w:rPr>
                <w:rFonts w:ascii="Times New Roman" w:eastAsia="NSimSun" w:hAnsi="Times New Roman" w:cs="Times New Roman"/>
                <w:kern w:val="2"/>
                <w:lang w:eastAsia="zh-CN" w:bidi="hi-IN"/>
              </w:rPr>
            </w:pPr>
          </w:p>
        </w:tc>
        <w:tc>
          <w:tcPr>
            <w:tcW w:w="4098"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bottom"/>
          </w:tcPr>
          <w:p w:rsidR="00D227E2" w:rsidRDefault="00934FC4">
            <w:pPr>
              <w:widowControl w:val="0"/>
              <w:spacing w:after="0" w:line="240" w:lineRule="auto"/>
              <w:rPr>
                <w:rFonts w:ascii="Times New Roman" w:hAnsi="Times New Roman" w:cs="Times New Roman"/>
              </w:rPr>
            </w:pPr>
            <w:r>
              <w:rPr>
                <w:rFonts w:ascii="Times New Roman" w:eastAsia="Times New Roman" w:hAnsi="Times New Roman" w:cs="Times New Roman"/>
                <w:color w:val="000000"/>
                <w:lang w:eastAsia="uk-UA"/>
              </w:rPr>
              <w:t>Приватний та комерційний транспорт</w:t>
            </w:r>
          </w:p>
        </w:tc>
      </w:tr>
      <w:tr w:rsidR="00D227E2">
        <w:trPr>
          <w:cantSplit/>
          <w:trHeight w:val="315"/>
        </w:trPr>
        <w:tc>
          <w:tcPr>
            <w:tcW w:w="4078" w:type="dxa"/>
            <w:tcBorders>
              <w:top w:val="single" w:sz="4" w:space="0" w:color="000000"/>
              <w:left w:val="single" w:sz="4" w:space="0" w:color="000000"/>
              <w:bottom w:val="single" w:sz="4" w:space="0" w:color="000000"/>
              <w:right w:val="single" w:sz="4" w:space="0" w:color="000000"/>
            </w:tcBorders>
            <w:shd w:val="clear" w:color="FFFFCC" w:fill="F2F2F2"/>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lang w:eastAsia="uk-UA"/>
              </w:rPr>
              <w:lastRenderedPageBreak/>
              <w:t>Інше</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27E2" w:rsidRDefault="00D227E2">
            <w:pPr>
              <w:widowControl w:val="0"/>
              <w:spacing w:after="0" w:line="240" w:lineRule="auto"/>
              <w:rPr>
                <w:rFonts w:ascii="Times New Roman" w:eastAsia="NSimSun" w:hAnsi="Times New Roman" w:cs="Times New Roman"/>
                <w:kern w:val="2"/>
                <w:lang w:eastAsia="zh-CN" w:bidi="hi-IN"/>
              </w:rPr>
            </w:pPr>
          </w:p>
        </w:tc>
        <w:tc>
          <w:tcPr>
            <w:tcW w:w="4098" w:type="dxa"/>
            <w:tcBorders>
              <w:top w:val="single" w:sz="4" w:space="0" w:color="000000"/>
              <w:left w:val="single" w:sz="4" w:space="0" w:color="000000"/>
              <w:bottom w:val="single" w:sz="4" w:space="0" w:color="000000"/>
              <w:right w:val="single" w:sz="4" w:space="0" w:color="000000"/>
            </w:tcBorders>
            <w:shd w:val="clear" w:color="FFFFCC" w:fill="F2F2F2"/>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lang w:eastAsia="uk-UA"/>
              </w:rPr>
              <w:t>Інше</w:t>
            </w:r>
          </w:p>
        </w:tc>
      </w:tr>
      <w:tr w:rsidR="00D227E2">
        <w:trPr>
          <w:cantSplit/>
          <w:trHeight w:val="315"/>
        </w:trPr>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rPr>
                <w:rFonts w:ascii="Times New Roman" w:hAnsi="Times New Roman" w:cs="Times New Roman"/>
              </w:rPr>
            </w:pPr>
            <w:r>
              <w:rPr>
                <w:rFonts w:ascii="Times New Roman" w:eastAsia="Times New Roman" w:hAnsi="Times New Roman" w:cs="Times New Roman"/>
                <w:lang w:eastAsia="uk-UA"/>
              </w:rPr>
              <w:t>Сільське, лісове, рибне господарство</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27E2" w:rsidRDefault="00D227E2">
            <w:pPr>
              <w:widowControl w:val="0"/>
              <w:spacing w:after="0" w:line="240" w:lineRule="auto"/>
              <w:rPr>
                <w:rFonts w:ascii="Times New Roman" w:eastAsia="NSimSun" w:hAnsi="Times New Roman" w:cs="Times New Roman"/>
                <w:kern w:val="2"/>
                <w:lang w:eastAsia="zh-CN" w:bidi="hi-IN"/>
              </w:rPr>
            </w:pPr>
          </w:p>
        </w:tc>
        <w:tc>
          <w:tcPr>
            <w:tcW w:w="40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27E2" w:rsidRDefault="00934FC4">
            <w:pPr>
              <w:widowControl w:val="0"/>
              <w:spacing w:after="0" w:line="240" w:lineRule="auto"/>
              <w:rPr>
                <w:rFonts w:ascii="Times New Roman" w:hAnsi="Times New Roman" w:cs="Times New Roman"/>
              </w:rPr>
            </w:pPr>
            <w:r>
              <w:rPr>
                <w:rFonts w:ascii="Times New Roman" w:eastAsia="Times New Roman" w:hAnsi="Times New Roman" w:cs="Times New Roman"/>
                <w:color w:val="000000"/>
                <w:lang w:eastAsia="uk-UA"/>
              </w:rPr>
              <w:t>-</w:t>
            </w:r>
          </w:p>
        </w:tc>
      </w:tr>
      <w:tr w:rsidR="00D227E2">
        <w:trPr>
          <w:cantSplit/>
          <w:trHeight w:val="630"/>
        </w:trPr>
        <w:tc>
          <w:tcPr>
            <w:tcW w:w="4078" w:type="dxa"/>
            <w:tcBorders>
              <w:top w:val="single" w:sz="4" w:space="0" w:color="000000"/>
              <w:left w:val="single" w:sz="4" w:space="0" w:color="000000"/>
              <w:bottom w:val="single" w:sz="4" w:space="0" w:color="000000"/>
              <w:right w:val="single" w:sz="4" w:space="0" w:color="000000"/>
            </w:tcBorders>
            <w:shd w:val="clear" w:color="FFFFCC" w:fill="F2F2F2"/>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lang w:eastAsia="uk-UA"/>
              </w:rPr>
              <w:t>Сектори, що не пов'язані з енергетикою</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27E2" w:rsidRDefault="00D227E2">
            <w:pPr>
              <w:widowControl w:val="0"/>
              <w:spacing w:after="0" w:line="240" w:lineRule="auto"/>
              <w:rPr>
                <w:rFonts w:ascii="Times New Roman" w:eastAsia="NSimSun" w:hAnsi="Times New Roman" w:cs="Times New Roman"/>
                <w:kern w:val="2"/>
                <w:lang w:eastAsia="zh-CN" w:bidi="hi-IN"/>
              </w:rPr>
            </w:pPr>
          </w:p>
        </w:tc>
        <w:tc>
          <w:tcPr>
            <w:tcW w:w="4098" w:type="dxa"/>
            <w:tcBorders>
              <w:top w:val="single" w:sz="4" w:space="0" w:color="000000"/>
              <w:left w:val="single" w:sz="4" w:space="0" w:color="000000"/>
              <w:bottom w:val="single" w:sz="4" w:space="0" w:color="000000"/>
              <w:right w:val="single" w:sz="4" w:space="0" w:color="000000"/>
            </w:tcBorders>
            <w:shd w:val="clear" w:color="FFFFCC" w:fill="F2F2F2"/>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lang w:eastAsia="uk-UA"/>
              </w:rPr>
              <w:t>Сектори, що не пов'язані з енергетикою</w:t>
            </w:r>
          </w:p>
        </w:tc>
      </w:tr>
      <w:tr w:rsidR="00D227E2">
        <w:trPr>
          <w:cantSplit/>
          <w:trHeight w:val="315"/>
        </w:trPr>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rPr>
                <w:rFonts w:ascii="Times New Roman" w:hAnsi="Times New Roman" w:cs="Times New Roman"/>
              </w:rPr>
            </w:pPr>
            <w:r>
              <w:rPr>
                <w:rFonts w:ascii="Times New Roman" w:eastAsia="Times New Roman" w:hAnsi="Times New Roman" w:cs="Times New Roman"/>
                <w:lang w:eastAsia="uk-UA"/>
              </w:rPr>
              <w:t>Управління відходами</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27E2" w:rsidRDefault="00D227E2">
            <w:pPr>
              <w:widowControl w:val="0"/>
              <w:spacing w:after="0" w:line="240" w:lineRule="auto"/>
              <w:rPr>
                <w:rFonts w:ascii="Times New Roman" w:eastAsia="NSimSun" w:hAnsi="Times New Roman" w:cs="Times New Roman"/>
                <w:kern w:val="2"/>
                <w:lang w:eastAsia="zh-CN" w:bidi="hi-IN"/>
              </w:rPr>
            </w:pPr>
          </w:p>
        </w:tc>
        <w:tc>
          <w:tcPr>
            <w:tcW w:w="4098"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bottom"/>
          </w:tcPr>
          <w:p w:rsidR="00D227E2" w:rsidRDefault="00934FC4">
            <w:pPr>
              <w:widowControl w:val="0"/>
              <w:spacing w:after="0" w:line="240" w:lineRule="auto"/>
              <w:rPr>
                <w:rFonts w:ascii="Times New Roman" w:hAnsi="Times New Roman" w:cs="Times New Roman"/>
              </w:rPr>
            </w:pPr>
            <w:r>
              <w:rPr>
                <w:rFonts w:ascii="Times New Roman" w:eastAsia="Times New Roman" w:hAnsi="Times New Roman" w:cs="Times New Roman"/>
                <w:color w:val="000000"/>
                <w:lang w:eastAsia="uk-UA"/>
              </w:rPr>
              <w:t>Управління відходами</w:t>
            </w:r>
          </w:p>
        </w:tc>
      </w:tr>
      <w:tr w:rsidR="00D227E2">
        <w:trPr>
          <w:cantSplit/>
          <w:trHeight w:val="315"/>
        </w:trPr>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rPr>
                <w:rFonts w:ascii="Times New Roman" w:hAnsi="Times New Roman" w:cs="Times New Roman"/>
              </w:rPr>
            </w:pPr>
            <w:r>
              <w:rPr>
                <w:rFonts w:ascii="Times New Roman" w:eastAsia="Times New Roman" w:hAnsi="Times New Roman" w:cs="Times New Roman"/>
                <w:lang w:eastAsia="uk-UA"/>
              </w:rPr>
              <w:t>Очищення та скидання стічних вод</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27E2" w:rsidRDefault="00D227E2">
            <w:pPr>
              <w:widowControl w:val="0"/>
              <w:spacing w:after="0" w:line="240" w:lineRule="auto"/>
              <w:rPr>
                <w:rFonts w:ascii="Times New Roman" w:eastAsia="NSimSun" w:hAnsi="Times New Roman" w:cs="Times New Roman"/>
                <w:kern w:val="2"/>
                <w:lang w:eastAsia="zh-CN" w:bidi="hi-IN"/>
              </w:rPr>
            </w:pPr>
          </w:p>
        </w:tc>
        <w:tc>
          <w:tcPr>
            <w:tcW w:w="4098"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bottom"/>
          </w:tcPr>
          <w:p w:rsidR="00D227E2" w:rsidRDefault="00934FC4">
            <w:pPr>
              <w:widowControl w:val="0"/>
              <w:spacing w:after="0" w:line="240" w:lineRule="auto"/>
              <w:rPr>
                <w:rFonts w:ascii="Times New Roman" w:hAnsi="Times New Roman" w:cs="Times New Roman"/>
              </w:rPr>
            </w:pPr>
            <w:r>
              <w:rPr>
                <w:rFonts w:ascii="Times New Roman" w:eastAsia="Times New Roman" w:hAnsi="Times New Roman" w:cs="Times New Roman"/>
                <w:color w:val="000000"/>
                <w:lang w:eastAsia="uk-UA"/>
              </w:rPr>
              <w:t>Очищення та скидання стічних вод</w:t>
            </w:r>
          </w:p>
        </w:tc>
      </w:tr>
      <w:tr w:rsidR="00D227E2">
        <w:trPr>
          <w:cantSplit/>
          <w:trHeight w:val="315"/>
        </w:trPr>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rPr>
                <w:rFonts w:ascii="Times New Roman" w:hAnsi="Times New Roman" w:cs="Times New Roman"/>
              </w:rPr>
            </w:pPr>
            <w:r>
              <w:rPr>
                <w:rFonts w:ascii="Times New Roman" w:eastAsia="Times New Roman" w:hAnsi="Times New Roman" w:cs="Times New Roman"/>
                <w:lang w:eastAsia="uk-UA"/>
              </w:rPr>
              <w:t>Інші неенергетичні джерела</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27E2" w:rsidRDefault="00D227E2">
            <w:pPr>
              <w:widowControl w:val="0"/>
              <w:spacing w:after="0" w:line="240" w:lineRule="auto"/>
              <w:rPr>
                <w:rFonts w:ascii="Times New Roman" w:eastAsia="NSimSun" w:hAnsi="Times New Roman" w:cs="Times New Roman"/>
                <w:kern w:val="2"/>
                <w:lang w:eastAsia="zh-CN" w:bidi="hi-IN"/>
              </w:rPr>
            </w:pPr>
          </w:p>
        </w:tc>
        <w:tc>
          <w:tcPr>
            <w:tcW w:w="40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rPr>
                <w:rFonts w:ascii="Times New Roman" w:hAnsi="Times New Roman" w:cs="Times New Roman"/>
              </w:rPr>
            </w:pPr>
            <w:r>
              <w:rPr>
                <w:rFonts w:ascii="Times New Roman" w:eastAsia="Times New Roman" w:hAnsi="Times New Roman" w:cs="Times New Roman"/>
                <w:lang w:eastAsia="uk-UA"/>
              </w:rPr>
              <w:t>-</w:t>
            </w:r>
          </w:p>
        </w:tc>
      </w:tr>
    </w:tbl>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Сектори, які не були обрані до кадастру викидів кінцевих споживачів виключені з наступних причин:</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1) не має впливу на сектор з боку муніципалітету;</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2) не має запланованих проєктів.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Для всіх обраних секторів до розрахунку Базового кадастру викидів виконуються перелічені вище критерії соціальної важливості для громади міста та наявності впливу міської влади, наявності значного впливу на бюджет міської територіальної громади, передбачені дії та заходи для зменшення викидів </w:t>
      </w:r>
      <w:r>
        <w:rPr>
          <w:rFonts w:ascii="Times New Roman" w:hAnsi="Times New Roman" w:cs="Times New Roman"/>
          <w:color w:val="000000"/>
          <w:sz w:val="24"/>
          <w:szCs w:val="24"/>
          <w:lang w:eastAsia="ru-RU"/>
        </w:rPr>
        <w:t>СО</w:t>
      </w:r>
      <w:r>
        <w:rPr>
          <w:rFonts w:ascii="Times New Roman" w:hAnsi="Times New Roman" w:cs="Times New Roman"/>
          <w:color w:val="000000"/>
          <w:sz w:val="24"/>
          <w:szCs w:val="24"/>
          <w:vertAlign w:val="subscript"/>
          <w:lang w:eastAsia="ru-RU"/>
        </w:rPr>
        <w:t>2</w:t>
      </w:r>
      <w:r>
        <w:rPr>
          <w:rFonts w:ascii="Times New Roman" w:eastAsia="NSimSun" w:hAnsi="Times New Roman" w:cs="Times New Roman"/>
          <w:kern w:val="2"/>
          <w:sz w:val="24"/>
          <w:szCs w:val="24"/>
          <w:lang w:eastAsia="zh-CN" w:bidi="hi-IN"/>
        </w:rPr>
        <w:t>.</w:t>
      </w:r>
    </w:p>
    <w:p w:rsidR="00D227E2" w:rsidRDefault="00D227E2">
      <w:pPr>
        <w:spacing w:after="0"/>
        <w:jc w:val="both"/>
        <w:rPr>
          <w:rFonts w:ascii="Times New Roman" w:eastAsia="NSimSun" w:hAnsi="Times New Roman" w:cs="Times New Roman"/>
          <w:kern w:val="2"/>
          <w:sz w:val="24"/>
          <w:szCs w:val="24"/>
          <w:lang w:eastAsia="zh-CN" w:bidi="hi-IN"/>
        </w:rPr>
      </w:pP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b/>
          <w:bCs/>
          <w:kern w:val="2"/>
          <w:sz w:val="24"/>
          <w:szCs w:val="24"/>
          <w:lang w:eastAsia="zh-CN" w:bidi="hi-IN"/>
        </w:rPr>
        <w:t>4.3. Обрання системи вимірювання викидів парникових газів</w:t>
      </w:r>
    </w:p>
    <w:p w:rsidR="00D227E2" w:rsidRDefault="00934FC4">
      <w:pPr>
        <w:pStyle w:val="a1"/>
        <w:spacing w:after="0"/>
        <w:ind w:firstLine="567"/>
        <w:jc w:val="both"/>
        <w:rPr>
          <w:rFonts w:ascii="Times New Roman" w:hAnsi="Times New Roman" w:cs="Times New Roman"/>
        </w:rPr>
      </w:pPr>
      <w:bookmarkStart w:id="8" w:name="docs-internal-guid-898e178d-7fff-2eb2-3f"/>
      <w:bookmarkEnd w:id="8"/>
      <w:r>
        <w:rPr>
          <w:rFonts w:ascii="Times New Roman" w:hAnsi="Times New Roman" w:cs="Times New Roman"/>
          <w:sz w:val="24"/>
          <w:szCs w:val="24"/>
          <w:shd w:val="clear" w:color="auto" w:fill="FFFFFF"/>
        </w:rPr>
        <w:t>Суть усіх стандартних коефіцієнтів викидів полягає в відносній оцінці вмісту вуглецю (СО</w:t>
      </w:r>
      <w:r>
        <w:rPr>
          <w:rFonts w:ascii="Times New Roman" w:hAnsi="Times New Roman" w:cs="Times New Roman"/>
          <w:sz w:val="24"/>
          <w:szCs w:val="24"/>
          <w:shd w:val="clear" w:color="auto" w:fill="FFFFFF"/>
          <w:vertAlign w:val="subscript"/>
        </w:rPr>
        <w:t>2</w:t>
      </w:r>
      <w:r>
        <w:rPr>
          <w:rFonts w:ascii="Times New Roman" w:hAnsi="Times New Roman" w:cs="Times New Roman"/>
          <w:sz w:val="24"/>
          <w:szCs w:val="24"/>
          <w:shd w:val="clear" w:color="auto" w:fill="FFFFFF"/>
        </w:rPr>
        <w:t>), як найбільш активного парникового газу,  в кожному виді палива.</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sz w:val="24"/>
          <w:szCs w:val="24"/>
          <w:shd w:val="clear" w:color="auto" w:fill="FFFFFF"/>
        </w:rPr>
        <w:t>Відповідно до методичних рекомендацій, що подані в  посібнику «Як розробити План дій зі сталого енергетичного розвитку та клімату в країнах Східного партнерства» (2018 р.), для розрахунку викидів можна використовувати два підходи. </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sz w:val="24"/>
          <w:szCs w:val="24"/>
          <w:shd w:val="clear" w:color="auto" w:fill="FFFFFF"/>
        </w:rPr>
        <w:t>Перший базується на оцінці кількості викидів при спалюванні палива під час енергоспоживання. В залежності від виду палива, для аналізу використовуються коефіцієнти викидів, які легко обчислити. Цей метод запропонований Міжурядовою групою експертів з питань змін клімату, тому часто позначається абревіатурою МГЕЗК.</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sz w:val="24"/>
          <w:szCs w:val="24"/>
          <w:shd w:val="clear" w:color="auto" w:fill="FFFFFF"/>
        </w:rPr>
        <w:t>Другий підхід, так звана «методика оцінки життєвого циклу» (ОЖЦ), передбачає дослідження та кількісний аналіз не лише викидів від кінцевого спалювання палива, але також інших викидів, що можуть виникати у виробничих процесах в усіх ланцюгах поставок. Останні прослідкувати та підтвердити дуже складно.</w:t>
      </w:r>
    </w:p>
    <w:p w:rsidR="00D227E2" w:rsidRDefault="00934FC4">
      <w:pPr>
        <w:pStyle w:val="a1"/>
        <w:spacing w:after="0"/>
        <w:ind w:firstLine="567"/>
        <w:jc w:val="both"/>
        <w:rPr>
          <w:rFonts w:ascii="Times New Roman" w:hAnsi="Times New Roman" w:cs="Times New Roman"/>
        </w:rPr>
      </w:pPr>
      <w:bookmarkStart w:id="9" w:name="docs-internal-guid-c33571b8-7fff-453a-19"/>
      <w:bookmarkEnd w:id="9"/>
      <w:r>
        <w:rPr>
          <w:rFonts w:ascii="Times New Roman" w:eastAsia="NSimSun" w:hAnsi="Times New Roman" w:cs="Times New Roman"/>
          <w:kern w:val="2"/>
          <w:sz w:val="24"/>
          <w:szCs w:val="24"/>
          <w:shd w:val="clear" w:color="auto" w:fill="FFFFFF"/>
          <w:lang w:eastAsia="zh-CN" w:bidi="hi-IN"/>
        </w:rPr>
        <w:t>Виходячи з браку інформації для розрахунку ОЖЦ, беремо для використання систему коефіцієнтів методики МГЕЗК.</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shd w:val="clear" w:color="auto" w:fill="FFFFFF"/>
          <w:lang w:eastAsia="zh-CN" w:bidi="hi-IN"/>
        </w:rPr>
        <w:t>Більшість викидів парникових газів складає вуглекислий газ (</w:t>
      </w:r>
      <w:r>
        <w:rPr>
          <w:rFonts w:ascii="Times New Roman" w:hAnsi="Times New Roman" w:cs="Times New Roman"/>
          <w:color w:val="000000"/>
          <w:sz w:val="24"/>
          <w:szCs w:val="24"/>
          <w:shd w:val="clear" w:color="auto" w:fill="FFFFFF"/>
          <w:lang w:eastAsia="ru-RU"/>
        </w:rPr>
        <w:t>СО</w:t>
      </w:r>
      <w:r>
        <w:rPr>
          <w:rFonts w:ascii="Times New Roman" w:hAnsi="Times New Roman" w:cs="Times New Roman"/>
          <w:color w:val="000000"/>
          <w:sz w:val="24"/>
          <w:szCs w:val="24"/>
          <w:shd w:val="clear" w:color="auto" w:fill="FFFFFF"/>
          <w:vertAlign w:val="subscript"/>
          <w:lang w:eastAsia="ru-RU"/>
        </w:rPr>
        <w:t>2</w:t>
      </w:r>
      <w:r>
        <w:rPr>
          <w:rFonts w:ascii="Times New Roman" w:hAnsi="Times New Roman" w:cs="Times New Roman"/>
          <w:color w:val="000000"/>
          <w:sz w:val="24"/>
          <w:szCs w:val="24"/>
          <w:shd w:val="clear" w:color="auto" w:fill="FFFFFF"/>
          <w:lang w:eastAsia="ru-RU"/>
        </w:rPr>
        <w:t>)</w:t>
      </w:r>
      <w:r>
        <w:rPr>
          <w:rFonts w:ascii="Times New Roman" w:eastAsia="NSimSun" w:hAnsi="Times New Roman" w:cs="Times New Roman"/>
          <w:kern w:val="2"/>
          <w:sz w:val="24"/>
          <w:szCs w:val="24"/>
          <w:shd w:val="clear" w:color="auto" w:fill="FFFFFF"/>
          <w:lang w:eastAsia="zh-CN" w:bidi="hi-IN"/>
        </w:rPr>
        <w:t>. Врахування викидів метану (CH</w:t>
      </w:r>
      <w:r>
        <w:rPr>
          <w:rFonts w:ascii="Times New Roman" w:eastAsia="NSimSun" w:hAnsi="Times New Roman" w:cs="Times New Roman"/>
          <w:kern w:val="2"/>
          <w:sz w:val="24"/>
          <w:szCs w:val="24"/>
          <w:shd w:val="clear" w:color="auto" w:fill="FFFFFF"/>
          <w:vertAlign w:val="subscript"/>
          <w:lang w:eastAsia="zh-CN" w:bidi="hi-IN"/>
        </w:rPr>
        <w:t>4</w:t>
      </w:r>
      <w:r>
        <w:rPr>
          <w:rFonts w:ascii="Times New Roman" w:eastAsia="NSimSun" w:hAnsi="Times New Roman" w:cs="Times New Roman"/>
          <w:kern w:val="2"/>
          <w:sz w:val="24"/>
          <w:szCs w:val="24"/>
          <w:shd w:val="clear" w:color="auto" w:fill="FFFFFF"/>
          <w:lang w:eastAsia="zh-CN" w:bidi="hi-IN"/>
        </w:rPr>
        <w:t>) та оксиду азоту (N</w:t>
      </w:r>
      <w:r>
        <w:rPr>
          <w:rFonts w:ascii="Times New Roman" w:eastAsia="NSimSun" w:hAnsi="Times New Roman" w:cs="Times New Roman"/>
          <w:kern w:val="2"/>
          <w:sz w:val="24"/>
          <w:szCs w:val="24"/>
          <w:shd w:val="clear" w:color="auto" w:fill="FFFFFF"/>
          <w:vertAlign w:val="subscript"/>
          <w:lang w:eastAsia="zh-CN" w:bidi="hi-IN"/>
        </w:rPr>
        <w:t>2</w:t>
      </w:r>
      <w:r>
        <w:rPr>
          <w:rFonts w:ascii="Times New Roman" w:eastAsia="NSimSun" w:hAnsi="Times New Roman" w:cs="Times New Roman"/>
          <w:kern w:val="2"/>
          <w:sz w:val="24"/>
          <w:szCs w:val="24"/>
          <w:shd w:val="clear" w:color="auto" w:fill="FFFFFF"/>
          <w:lang w:eastAsia="zh-CN" w:bidi="hi-IN"/>
        </w:rPr>
        <w:t>O) не є важливими для житлового та транспортного секторів. Але для діяльності, що пов’язана з будівництвом біогазових станцій для сільського господарства та роботою установок для генерації електроенергії від спалювання звалищного газу, кількість викидів розраховується з врахуванням CH4 та N</w:t>
      </w:r>
      <w:r>
        <w:rPr>
          <w:rFonts w:ascii="Times New Roman" w:eastAsia="NSimSun" w:hAnsi="Times New Roman" w:cs="Times New Roman"/>
          <w:kern w:val="2"/>
          <w:sz w:val="24"/>
          <w:szCs w:val="24"/>
          <w:shd w:val="clear" w:color="auto" w:fill="FFFFFF"/>
          <w:vertAlign w:val="subscript"/>
          <w:lang w:eastAsia="zh-CN" w:bidi="hi-IN"/>
        </w:rPr>
        <w:t>2</w:t>
      </w:r>
      <w:r>
        <w:rPr>
          <w:rFonts w:ascii="Times New Roman" w:eastAsia="NSimSun" w:hAnsi="Times New Roman" w:cs="Times New Roman"/>
          <w:kern w:val="2"/>
          <w:sz w:val="24"/>
          <w:szCs w:val="24"/>
          <w:shd w:val="clear" w:color="auto" w:fill="FFFFFF"/>
          <w:lang w:eastAsia="zh-CN" w:bidi="hi-IN"/>
        </w:rPr>
        <w:t xml:space="preserve">O. Тому наша оцінка викидів буде виконуватися в одиницях «тонни </w:t>
      </w:r>
      <w:r>
        <w:rPr>
          <w:rFonts w:ascii="Times New Roman" w:hAnsi="Times New Roman" w:cs="Times New Roman"/>
          <w:color w:val="000000"/>
          <w:sz w:val="24"/>
          <w:szCs w:val="24"/>
          <w:shd w:val="clear" w:color="auto" w:fill="FFFFFF"/>
          <w:lang w:eastAsia="ru-RU"/>
        </w:rPr>
        <w:t>СО</w:t>
      </w:r>
      <w:r>
        <w:rPr>
          <w:rFonts w:ascii="Times New Roman" w:hAnsi="Times New Roman" w:cs="Times New Roman"/>
          <w:color w:val="000000"/>
          <w:sz w:val="24"/>
          <w:szCs w:val="24"/>
          <w:shd w:val="clear" w:color="auto" w:fill="FFFFFF"/>
          <w:vertAlign w:val="subscript"/>
          <w:lang w:eastAsia="ru-RU"/>
        </w:rPr>
        <w:t>2</w:t>
      </w:r>
      <w:r>
        <w:rPr>
          <w:rFonts w:ascii="Times New Roman" w:eastAsia="NSimSun" w:hAnsi="Times New Roman" w:cs="Times New Roman"/>
          <w:kern w:val="2"/>
          <w:sz w:val="24"/>
          <w:szCs w:val="24"/>
          <w:shd w:val="clear" w:color="auto" w:fill="FFFFFF"/>
          <w:lang w:eastAsia="zh-CN" w:bidi="hi-IN"/>
        </w:rPr>
        <w:t xml:space="preserve"> еквіваленту» (скорочено т. </w:t>
      </w:r>
      <w:r>
        <w:rPr>
          <w:rFonts w:ascii="Times New Roman" w:hAnsi="Times New Roman" w:cs="Times New Roman"/>
          <w:color w:val="000000"/>
          <w:sz w:val="24"/>
          <w:szCs w:val="24"/>
          <w:shd w:val="clear" w:color="auto" w:fill="FFFFFF"/>
          <w:lang w:eastAsia="ru-RU"/>
        </w:rPr>
        <w:t>СО</w:t>
      </w:r>
      <w:r>
        <w:rPr>
          <w:rFonts w:ascii="Times New Roman" w:hAnsi="Times New Roman" w:cs="Times New Roman"/>
          <w:color w:val="000000"/>
          <w:sz w:val="24"/>
          <w:szCs w:val="24"/>
          <w:shd w:val="clear" w:color="auto" w:fill="FFFFFF"/>
          <w:vertAlign w:val="subscript"/>
          <w:lang w:eastAsia="ru-RU"/>
        </w:rPr>
        <w:t>2</w:t>
      </w:r>
      <w:r>
        <w:rPr>
          <w:rFonts w:ascii="Times New Roman" w:eastAsia="NSimSun" w:hAnsi="Times New Roman" w:cs="Times New Roman"/>
          <w:kern w:val="2"/>
          <w:sz w:val="24"/>
          <w:szCs w:val="24"/>
          <w:shd w:val="clear" w:color="auto" w:fill="FFFFFF"/>
          <w:lang w:eastAsia="zh-CN" w:bidi="hi-IN"/>
        </w:rPr>
        <w:t xml:space="preserve"> </w:t>
      </w:r>
      <w:r>
        <w:rPr>
          <w:rFonts w:ascii="Times New Roman" w:eastAsia="NSimSun" w:hAnsi="Times New Roman" w:cs="Times New Roman"/>
          <w:kern w:val="2"/>
          <w:sz w:val="24"/>
          <w:szCs w:val="24"/>
          <w:shd w:val="clear" w:color="auto" w:fill="FFFFFF"/>
          <w:vertAlign w:val="subscript"/>
          <w:lang w:eastAsia="zh-CN" w:bidi="hi-IN"/>
        </w:rPr>
        <w:t>екв.</w:t>
      </w:r>
      <w:r>
        <w:rPr>
          <w:rFonts w:ascii="Times New Roman" w:eastAsia="NSimSun" w:hAnsi="Times New Roman" w:cs="Times New Roman"/>
          <w:kern w:val="2"/>
          <w:sz w:val="24"/>
          <w:szCs w:val="24"/>
          <w:shd w:val="clear" w:color="auto" w:fill="FFFFFF"/>
          <w:lang w:eastAsia="zh-CN" w:bidi="hi-IN"/>
        </w:rPr>
        <w:t xml:space="preserve">), </w:t>
      </w:r>
      <w:bookmarkStart w:id="10" w:name="docs-internal-guid-e4a32fa0-7fff-3d1c-15"/>
      <w:bookmarkEnd w:id="10"/>
      <w:r>
        <w:rPr>
          <w:rFonts w:ascii="Times New Roman" w:eastAsia="NSimSun" w:hAnsi="Times New Roman" w:cs="Times New Roman"/>
          <w:kern w:val="2"/>
          <w:sz w:val="24"/>
          <w:szCs w:val="24"/>
          <w:shd w:val="clear" w:color="auto" w:fill="FFFFFF"/>
          <w:lang w:eastAsia="zh-CN" w:bidi="hi-IN"/>
        </w:rPr>
        <w:t>які вказують на кількість вуглекислого газу, яка має такий самий потенціал глобального потепління (ПГП), як і інший парниковий газ.</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shd w:val="clear" w:color="auto" w:fill="FFFFFF"/>
          <w:lang w:eastAsia="zh-CN" w:bidi="hi-IN"/>
        </w:rPr>
        <w:t>Таким чином, обсяг викидів парникових газів (</w:t>
      </w:r>
      <w:r>
        <w:rPr>
          <w:rFonts w:ascii="Times New Roman" w:hAnsi="Times New Roman" w:cs="Times New Roman"/>
          <w:color w:val="000000"/>
          <w:sz w:val="24"/>
          <w:szCs w:val="24"/>
          <w:shd w:val="clear" w:color="auto" w:fill="FFFFFF"/>
          <w:lang w:eastAsia="ru-RU"/>
        </w:rPr>
        <w:t>СО</w:t>
      </w:r>
      <w:r>
        <w:rPr>
          <w:rFonts w:ascii="Times New Roman" w:hAnsi="Times New Roman" w:cs="Times New Roman"/>
          <w:color w:val="000000"/>
          <w:sz w:val="24"/>
          <w:szCs w:val="24"/>
          <w:shd w:val="clear" w:color="auto" w:fill="FFFFFF"/>
          <w:vertAlign w:val="subscript"/>
          <w:lang w:eastAsia="ru-RU"/>
        </w:rPr>
        <w:t xml:space="preserve">2 </w:t>
      </w:r>
      <w:r>
        <w:rPr>
          <w:rFonts w:ascii="Times New Roman" w:eastAsia="NSimSun" w:hAnsi="Times New Roman" w:cs="Times New Roman"/>
          <w:kern w:val="2"/>
          <w:sz w:val="24"/>
          <w:szCs w:val="24"/>
          <w:shd w:val="clear" w:color="auto" w:fill="FFFFFF"/>
          <w:vertAlign w:val="subscript"/>
          <w:lang w:eastAsia="zh-CN" w:bidi="hi-IN"/>
        </w:rPr>
        <w:t>екв.</w:t>
      </w:r>
      <w:r>
        <w:rPr>
          <w:rFonts w:ascii="Times New Roman" w:eastAsia="NSimSun" w:hAnsi="Times New Roman" w:cs="Times New Roman"/>
          <w:kern w:val="2"/>
          <w:sz w:val="24"/>
          <w:szCs w:val="24"/>
          <w:shd w:val="clear" w:color="auto" w:fill="FFFFFF"/>
          <w:lang w:eastAsia="zh-CN" w:bidi="hi-IN"/>
        </w:rPr>
        <w:t xml:space="preserve">) визначається шляхом перемноження обсягів спожитих енергоресурсів, що переведені в МВт.год., на визначений для кожного виду енергоресурсу коефіцієнт викидів </w:t>
      </w:r>
      <w:r>
        <w:rPr>
          <w:rFonts w:ascii="Times New Roman" w:hAnsi="Times New Roman" w:cs="Times New Roman"/>
          <w:color w:val="000000"/>
          <w:sz w:val="24"/>
          <w:szCs w:val="24"/>
          <w:shd w:val="clear" w:color="auto" w:fill="FFFFFF"/>
          <w:lang w:eastAsia="ru-RU"/>
        </w:rPr>
        <w:t>СО</w:t>
      </w:r>
      <w:r>
        <w:rPr>
          <w:rFonts w:ascii="Times New Roman" w:hAnsi="Times New Roman" w:cs="Times New Roman"/>
          <w:color w:val="000000"/>
          <w:sz w:val="24"/>
          <w:szCs w:val="24"/>
          <w:shd w:val="clear" w:color="auto" w:fill="FFFFFF"/>
          <w:vertAlign w:val="subscript"/>
          <w:lang w:eastAsia="ru-RU"/>
        </w:rPr>
        <w:t>2</w:t>
      </w:r>
      <w:r>
        <w:rPr>
          <w:rFonts w:ascii="Times New Roman" w:eastAsia="NSimSun" w:hAnsi="Times New Roman" w:cs="Times New Roman"/>
          <w:kern w:val="2"/>
          <w:sz w:val="24"/>
          <w:szCs w:val="24"/>
          <w:shd w:val="clear" w:color="auto" w:fill="FFFFFF"/>
          <w:lang w:eastAsia="zh-CN" w:bidi="hi-IN"/>
        </w:rPr>
        <w:t xml:space="preserve"> </w:t>
      </w:r>
      <w:r>
        <w:rPr>
          <w:rFonts w:ascii="Times New Roman" w:eastAsia="NSimSun" w:hAnsi="Times New Roman" w:cs="Times New Roman"/>
          <w:kern w:val="2"/>
          <w:sz w:val="24"/>
          <w:szCs w:val="24"/>
          <w:shd w:val="clear" w:color="auto" w:fill="FFFFFF"/>
          <w:vertAlign w:val="subscript"/>
          <w:lang w:eastAsia="zh-CN" w:bidi="hi-IN"/>
        </w:rPr>
        <w:t>екв</w:t>
      </w:r>
      <w:r>
        <w:rPr>
          <w:rFonts w:ascii="Times New Roman" w:eastAsia="NSimSun" w:hAnsi="Times New Roman" w:cs="Times New Roman"/>
          <w:kern w:val="2"/>
          <w:sz w:val="24"/>
          <w:szCs w:val="24"/>
          <w:shd w:val="clear" w:color="auto" w:fill="FFFFFF"/>
          <w:lang w:eastAsia="zh-CN" w:bidi="hi-IN"/>
        </w:rPr>
        <w:t>..</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Таблиці, що використовуються далі для розрахунку обсягів викидів </w:t>
      </w:r>
      <w:r>
        <w:rPr>
          <w:rFonts w:ascii="Times New Roman" w:hAnsi="Times New Roman" w:cs="Times New Roman"/>
          <w:color w:val="000000"/>
          <w:sz w:val="24"/>
          <w:szCs w:val="24"/>
          <w:lang w:eastAsia="ru-RU"/>
        </w:rPr>
        <w:t>СО</w:t>
      </w:r>
      <w:r>
        <w:rPr>
          <w:rFonts w:ascii="Times New Roman" w:hAnsi="Times New Roman" w:cs="Times New Roman"/>
          <w:color w:val="000000"/>
          <w:sz w:val="24"/>
          <w:szCs w:val="24"/>
          <w:vertAlign w:val="subscript"/>
          <w:lang w:eastAsia="ru-RU"/>
        </w:rPr>
        <w:t>2 екв.</w:t>
      </w:r>
      <w:r>
        <w:rPr>
          <w:rFonts w:ascii="Times New Roman" w:eastAsia="NSimSun" w:hAnsi="Times New Roman" w:cs="Times New Roman"/>
          <w:kern w:val="2"/>
          <w:sz w:val="24"/>
          <w:szCs w:val="24"/>
          <w:lang w:eastAsia="zh-CN" w:bidi="hi-IN"/>
        </w:rPr>
        <w:t>, наведені нижче.</w:t>
      </w:r>
    </w:p>
    <w:p w:rsidR="00934FC4" w:rsidRDefault="00934FC4">
      <w:pPr>
        <w:spacing w:after="0"/>
        <w:ind w:firstLine="567"/>
        <w:jc w:val="center"/>
        <w:rPr>
          <w:rFonts w:ascii="Times New Roman" w:eastAsia="NSimSun" w:hAnsi="Times New Roman" w:cs="Times New Roman"/>
          <w:kern w:val="2"/>
          <w:sz w:val="24"/>
          <w:szCs w:val="24"/>
          <w:lang w:eastAsia="zh-CN" w:bidi="hi-IN"/>
        </w:rPr>
      </w:pPr>
    </w:p>
    <w:p w:rsidR="00934FC4" w:rsidRDefault="00934FC4">
      <w:pPr>
        <w:spacing w:after="0"/>
        <w:ind w:firstLine="567"/>
        <w:jc w:val="center"/>
        <w:rPr>
          <w:rFonts w:ascii="Times New Roman" w:eastAsia="NSimSun" w:hAnsi="Times New Roman" w:cs="Times New Roman"/>
          <w:kern w:val="2"/>
          <w:sz w:val="24"/>
          <w:szCs w:val="24"/>
          <w:lang w:eastAsia="zh-CN" w:bidi="hi-IN"/>
        </w:rPr>
      </w:pPr>
    </w:p>
    <w:p w:rsidR="00D227E2" w:rsidRDefault="00934FC4">
      <w:pPr>
        <w:spacing w:after="0"/>
        <w:ind w:firstLine="567"/>
        <w:jc w:val="center"/>
        <w:rPr>
          <w:rFonts w:ascii="Times New Roman" w:hAnsi="Times New Roman" w:cs="Times New Roman"/>
        </w:rPr>
      </w:pPr>
      <w:r>
        <w:rPr>
          <w:rFonts w:ascii="Times New Roman" w:eastAsia="NSimSun" w:hAnsi="Times New Roman" w:cs="Times New Roman"/>
          <w:kern w:val="2"/>
          <w:sz w:val="24"/>
          <w:szCs w:val="24"/>
          <w:lang w:eastAsia="zh-CN" w:bidi="hi-IN"/>
        </w:rPr>
        <w:t>Таблиця 67. Таблиця переведення з натуральних одиниць в МВт.год</w:t>
      </w:r>
    </w:p>
    <w:tbl>
      <w:tblPr>
        <w:tblW w:w="9640" w:type="dxa"/>
        <w:tblInd w:w="29" w:type="dxa"/>
        <w:tblLayout w:type="fixed"/>
        <w:tblCellMar>
          <w:left w:w="10" w:type="dxa"/>
          <w:right w:w="10" w:type="dxa"/>
        </w:tblCellMar>
        <w:tblLook w:val="01E0" w:firstRow="1" w:lastRow="1" w:firstColumn="1" w:lastColumn="1" w:noHBand="0" w:noVBand="0"/>
      </w:tblPr>
      <w:tblGrid>
        <w:gridCol w:w="3820"/>
        <w:gridCol w:w="3140"/>
        <w:gridCol w:w="2680"/>
      </w:tblGrid>
      <w:tr w:rsidR="00D227E2">
        <w:tc>
          <w:tcPr>
            <w:tcW w:w="3820"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Енергоресурс</w:t>
            </w:r>
          </w:p>
        </w:tc>
        <w:tc>
          <w:tcPr>
            <w:tcW w:w="3140"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Натуральний показник</w:t>
            </w:r>
          </w:p>
        </w:tc>
        <w:tc>
          <w:tcPr>
            <w:tcW w:w="2680"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Значення в МВт.год</w:t>
            </w:r>
          </w:p>
        </w:tc>
      </w:tr>
      <w:tr w:rsidR="00D227E2">
        <w:trPr>
          <w:trHeight w:val="330"/>
        </w:trPr>
        <w:tc>
          <w:tcPr>
            <w:tcW w:w="3820"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eastAsia="Times New Roman" w:hAnsi="Times New Roman" w:cs="Times New Roman"/>
                <w:kern w:val="2"/>
              </w:rPr>
              <w:t>Теплова енергія</w:t>
            </w:r>
          </w:p>
        </w:tc>
        <w:tc>
          <w:tcPr>
            <w:tcW w:w="3140"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1Гкал</w:t>
            </w:r>
          </w:p>
        </w:tc>
        <w:tc>
          <w:tcPr>
            <w:tcW w:w="2680"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1,163</w:t>
            </w:r>
          </w:p>
        </w:tc>
      </w:tr>
      <w:tr w:rsidR="00D227E2">
        <w:trPr>
          <w:trHeight w:val="221"/>
        </w:trPr>
        <w:tc>
          <w:tcPr>
            <w:tcW w:w="3820"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eastAsia="Times New Roman" w:hAnsi="Times New Roman" w:cs="Times New Roman"/>
                <w:kern w:val="2"/>
              </w:rPr>
              <w:t>Природний газ</w:t>
            </w:r>
          </w:p>
        </w:tc>
        <w:tc>
          <w:tcPr>
            <w:tcW w:w="3140"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1000 м3</w:t>
            </w:r>
          </w:p>
        </w:tc>
        <w:tc>
          <w:tcPr>
            <w:tcW w:w="2680"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9,432</w:t>
            </w:r>
          </w:p>
        </w:tc>
      </w:tr>
      <w:tr w:rsidR="00D227E2">
        <w:trPr>
          <w:trHeight w:val="226"/>
        </w:trPr>
        <w:tc>
          <w:tcPr>
            <w:tcW w:w="3820"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eastAsia="Times New Roman" w:hAnsi="Times New Roman" w:cs="Times New Roman"/>
                <w:kern w:val="2"/>
              </w:rPr>
              <w:t>Природний газ (стиснений)</w:t>
            </w:r>
          </w:p>
        </w:tc>
        <w:tc>
          <w:tcPr>
            <w:tcW w:w="3140"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1000 м3</w:t>
            </w:r>
          </w:p>
        </w:tc>
        <w:tc>
          <w:tcPr>
            <w:tcW w:w="2680"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9,451</w:t>
            </w:r>
          </w:p>
        </w:tc>
      </w:tr>
      <w:tr w:rsidR="00D227E2">
        <w:trPr>
          <w:trHeight w:val="248"/>
        </w:trPr>
        <w:tc>
          <w:tcPr>
            <w:tcW w:w="3820"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eastAsia="Times New Roman" w:hAnsi="Times New Roman" w:cs="Times New Roman"/>
                <w:kern w:val="2"/>
              </w:rPr>
              <w:t>Газ (скраплений) пропан-бутан – LPG</w:t>
            </w:r>
          </w:p>
        </w:tc>
        <w:tc>
          <w:tcPr>
            <w:tcW w:w="3140"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м3</w:t>
            </w:r>
          </w:p>
        </w:tc>
        <w:tc>
          <w:tcPr>
            <w:tcW w:w="2680"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7,415</w:t>
            </w:r>
          </w:p>
        </w:tc>
      </w:tr>
      <w:tr w:rsidR="00D227E2">
        <w:trPr>
          <w:trHeight w:val="330"/>
        </w:trPr>
        <w:tc>
          <w:tcPr>
            <w:tcW w:w="3820"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eastAsia="Times New Roman" w:hAnsi="Times New Roman" w:cs="Times New Roman"/>
                <w:kern w:val="2"/>
              </w:rPr>
              <w:t>Бензин</w:t>
            </w:r>
          </w:p>
        </w:tc>
        <w:tc>
          <w:tcPr>
            <w:tcW w:w="3140"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1т</w:t>
            </w:r>
          </w:p>
        </w:tc>
        <w:tc>
          <w:tcPr>
            <w:tcW w:w="2680"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12,432</w:t>
            </w:r>
          </w:p>
        </w:tc>
      </w:tr>
      <w:tr w:rsidR="00D227E2">
        <w:trPr>
          <w:trHeight w:val="327"/>
        </w:trPr>
        <w:tc>
          <w:tcPr>
            <w:tcW w:w="3820"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eastAsia="Times New Roman" w:hAnsi="Times New Roman" w:cs="Times New Roman"/>
                <w:kern w:val="2"/>
              </w:rPr>
              <w:t>Дизель</w:t>
            </w:r>
          </w:p>
        </w:tc>
        <w:tc>
          <w:tcPr>
            <w:tcW w:w="3140"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1т</w:t>
            </w:r>
          </w:p>
        </w:tc>
        <w:tc>
          <w:tcPr>
            <w:tcW w:w="2680"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11,765</w:t>
            </w:r>
          </w:p>
        </w:tc>
      </w:tr>
      <w:tr w:rsidR="00D227E2">
        <w:trPr>
          <w:trHeight w:val="272"/>
        </w:trPr>
        <w:tc>
          <w:tcPr>
            <w:tcW w:w="3820"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eastAsia="Times New Roman" w:hAnsi="Times New Roman" w:cs="Times New Roman"/>
                <w:kern w:val="2"/>
              </w:rPr>
              <w:t>Мазут</w:t>
            </w:r>
          </w:p>
        </w:tc>
        <w:tc>
          <w:tcPr>
            <w:tcW w:w="3140"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1т</w:t>
            </w:r>
          </w:p>
        </w:tc>
        <w:tc>
          <w:tcPr>
            <w:tcW w:w="2680"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11,874</w:t>
            </w:r>
          </w:p>
        </w:tc>
      </w:tr>
      <w:tr w:rsidR="00D227E2">
        <w:trPr>
          <w:trHeight w:val="330"/>
        </w:trPr>
        <w:tc>
          <w:tcPr>
            <w:tcW w:w="3820"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eastAsia="Times New Roman" w:hAnsi="Times New Roman" w:cs="Times New Roman"/>
                <w:kern w:val="2"/>
              </w:rPr>
              <w:t>Вугілля (буре)</w:t>
            </w:r>
          </w:p>
        </w:tc>
        <w:tc>
          <w:tcPr>
            <w:tcW w:w="3140"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1т</w:t>
            </w:r>
          </w:p>
        </w:tc>
        <w:tc>
          <w:tcPr>
            <w:tcW w:w="2680"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5,8</w:t>
            </w:r>
          </w:p>
        </w:tc>
      </w:tr>
      <w:tr w:rsidR="00D227E2">
        <w:trPr>
          <w:trHeight w:val="196"/>
        </w:trPr>
        <w:tc>
          <w:tcPr>
            <w:tcW w:w="3820"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eastAsia="Times New Roman" w:hAnsi="Times New Roman" w:cs="Times New Roman"/>
                <w:kern w:val="2"/>
              </w:rPr>
              <w:t>Деревина (Щепа)</w:t>
            </w:r>
          </w:p>
        </w:tc>
        <w:tc>
          <w:tcPr>
            <w:tcW w:w="3140"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1т</w:t>
            </w:r>
          </w:p>
        </w:tc>
        <w:tc>
          <w:tcPr>
            <w:tcW w:w="2680"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4,123</w:t>
            </w:r>
          </w:p>
        </w:tc>
      </w:tr>
    </w:tbl>
    <w:p w:rsidR="00D227E2" w:rsidRDefault="00D227E2">
      <w:pPr>
        <w:spacing w:after="0"/>
        <w:ind w:firstLine="567"/>
        <w:jc w:val="center"/>
        <w:rPr>
          <w:rFonts w:ascii="Times New Roman" w:eastAsia="NSimSun" w:hAnsi="Times New Roman" w:cs="Times New Roman"/>
          <w:kern w:val="2"/>
          <w:sz w:val="24"/>
          <w:szCs w:val="24"/>
          <w:lang w:eastAsia="zh-CN" w:bidi="hi-IN"/>
        </w:rPr>
      </w:pPr>
    </w:p>
    <w:p w:rsidR="00D227E2" w:rsidRDefault="00934FC4">
      <w:pPr>
        <w:spacing w:after="0"/>
        <w:ind w:firstLine="567"/>
        <w:jc w:val="center"/>
        <w:rPr>
          <w:rFonts w:ascii="Times New Roman" w:hAnsi="Times New Roman" w:cs="Times New Roman"/>
        </w:rPr>
      </w:pPr>
      <w:r>
        <w:rPr>
          <w:rFonts w:ascii="Times New Roman" w:eastAsia="NSimSun" w:hAnsi="Times New Roman" w:cs="Times New Roman"/>
          <w:kern w:val="2"/>
          <w:sz w:val="24"/>
          <w:szCs w:val="24"/>
          <w:lang w:eastAsia="zh-CN" w:bidi="hi-IN"/>
        </w:rPr>
        <w:t xml:space="preserve">Таблиця 68. Таблиця коефіцієнтів </w:t>
      </w:r>
      <w:r>
        <w:rPr>
          <w:rFonts w:ascii="Times New Roman" w:hAnsi="Times New Roman" w:cs="Times New Roman"/>
          <w:color w:val="000000"/>
          <w:sz w:val="24"/>
          <w:szCs w:val="24"/>
          <w:lang w:eastAsia="ru-RU"/>
        </w:rPr>
        <w:t>СО</w:t>
      </w:r>
      <w:r>
        <w:rPr>
          <w:rFonts w:ascii="Times New Roman" w:hAnsi="Times New Roman" w:cs="Times New Roman"/>
          <w:color w:val="000000"/>
          <w:sz w:val="24"/>
          <w:szCs w:val="24"/>
          <w:vertAlign w:val="subscript"/>
          <w:lang w:eastAsia="ru-RU"/>
        </w:rPr>
        <w:t>2</w:t>
      </w:r>
      <w:r>
        <w:rPr>
          <w:rFonts w:ascii="Times New Roman" w:eastAsia="NSimSun" w:hAnsi="Times New Roman" w:cs="Times New Roman"/>
          <w:kern w:val="2"/>
          <w:sz w:val="24"/>
          <w:szCs w:val="24"/>
          <w:lang w:eastAsia="zh-CN" w:bidi="hi-IN"/>
        </w:rPr>
        <w:t xml:space="preserve"> </w:t>
      </w:r>
      <w:r>
        <w:rPr>
          <w:rFonts w:ascii="Times New Roman" w:eastAsia="NSimSun" w:hAnsi="Times New Roman" w:cs="Times New Roman"/>
          <w:kern w:val="2"/>
          <w:sz w:val="24"/>
          <w:szCs w:val="24"/>
          <w:vertAlign w:val="subscript"/>
          <w:lang w:eastAsia="zh-CN" w:bidi="hi-IN"/>
        </w:rPr>
        <w:t>екв.</w:t>
      </w:r>
      <w:r>
        <w:rPr>
          <w:rFonts w:ascii="Times New Roman" w:eastAsia="NSimSun" w:hAnsi="Times New Roman" w:cs="Times New Roman"/>
          <w:kern w:val="2"/>
          <w:sz w:val="24"/>
          <w:szCs w:val="24"/>
          <w:lang w:eastAsia="zh-CN" w:bidi="hi-IN"/>
        </w:rPr>
        <w:t xml:space="preserve"> (МГЕЗК)</w:t>
      </w:r>
    </w:p>
    <w:tbl>
      <w:tblPr>
        <w:tblW w:w="9640" w:type="dxa"/>
        <w:tblInd w:w="9" w:type="dxa"/>
        <w:tblLayout w:type="fixed"/>
        <w:tblCellMar>
          <w:left w:w="10" w:type="dxa"/>
          <w:right w:w="10" w:type="dxa"/>
        </w:tblCellMar>
        <w:tblLook w:val="01E0" w:firstRow="1" w:lastRow="1" w:firstColumn="1" w:lastColumn="1" w:noHBand="0" w:noVBand="0"/>
      </w:tblPr>
      <w:tblGrid>
        <w:gridCol w:w="5813"/>
        <w:gridCol w:w="3827"/>
      </w:tblGrid>
      <w:tr w:rsidR="00D227E2">
        <w:trPr>
          <w:trHeight w:val="508"/>
        </w:trPr>
        <w:tc>
          <w:tcPr>
            <w:tcW w:w="5812"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Енергоресурс</w:t>
            </w:r>
          </w:p>
        </w:tc>
        <w:tc>
          <w:tcPr>
            <w:tcW w:w="3827"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Коефіцієнт</w:t>
            </w:r>
          </w:p>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 xml:space="preserve">викидів </w:t>
            </w:r>
            <w:r>
              <w:rPr>
                <w:rFonts w:ascii="Times New Roman" w:hAnsi="Times New Roman" w:cs="Times New Roman"/>
                <w:color w:val="000000"/>
                <w:lang w:eastAsia="ru-RU"/>
              </w:rPr>
              <w:t>СО</w:t>
            </w:r>
            <w:r>
              <w:rPr>
                <w:rFonts w:ascii="Times New Roman" w:hAnsi="Times New Roman" w:cs="Times New Roman"/>
                <w:color w:val="000000"/>
                <w:vertAlign w:val="subscript"/>
                <w:lang w:eastAsia="ru-RU"/>
              </w:rPr>
              <w:t>2</w:t>
            </w:r>
            <w:r>
              <w:rPr>
                <w:rFonts w:ascii="Times New Roman" w:eastAsia="Times New Roman" w:hAnsi="Times New Roman" w:cs="Times New Roman"/>
                <w:kern w:val="2"/>
              </w:rPr>
              <w:t xml:space="preserve"> </w:t>
            </w:r>
            <w:r>
              <w:rPr>
                <w:rFonts w:ascii="Times New Roman" w:eastAsia="Times New Roman" w:hAnsi="Times New Roman" w:cs="Times New Roman"/>
                <w:kern w:val="2"/>
                <w:vertAlign w:val="subscript"/>
              </w:rPr>
              <w:t>екв.</w:t>
            </w:r>
            <w:r>
              <w:rPr>
                <w:rFonts w:ascii="Times New Roman" w:eastAsia="Times New Roman" w:hAnsi="Times New Roman" w:cs="Times New Roman"/>
                <w:kern w:val="2"/>
              </w:rPr>
              <w:t>, тонн/МВт.год</w:t>
            </w:r>
          </w:p>
        </w:tc>
      </w:tr>
      <w:tr w:rsidR="00D227E2">
        <w:trPr>
          <w:trHeight w:val="330"/>
        </w:trPr>
        <w:tc>
          <w:tcPr>
            <w:tcW w:w="5812"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eastAsia="Times New Roman" w:hAnsi="Times New Roman" w:cs="Times New Roman"/>
                <w:color w:val="000000"/>
                <w:kern w:val="2"/>
              </w:rPr>
              <w:t>Електроенергія (2007р.)</w:t>
            </w:r>
          </w:p>
        </w:tc>
        <w:tc>
          <w:tcPr>
            <w:tcW w:w="3827"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rPr>
              <w:t>0,635</w:t>
            </w:r>
          </w:p>
        </w:tc>
      </w:tr>
      <w:tr w:rsidR="00D227E2">
        <w:trPr>
          <w:trHeight w:val="330"/>
        </w:trPr>
        <w:tc>
          <w:tcPr>
            <w:tcW w:w="5812"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eastAsia="Times New Roman" w:hAnsi="Times New Roman" w:cs="Times New Roman"/>
                <w:color w:val="000000"/>
                <w:kern w:val="2"/>
              </w:rPr>
              <w:t>Теплова енергія (2007р.)</w:t>
            </w:r>
          </w:p>
        </w:tc>
        <w:tc>
          <w:tcPr>
            <w:tcW w:w="3827"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rPr>
              <w:t>0,298</w:t>
            </w:r>
          </w:p>
        </w:tc>
      </w:tr>
      <w:tr w:rsidR="00D227E2">
        <w:trPr>
          <w:trHeight w:val="330"/>
        </w:trPr>
        <w:tc>
          <w:tcPr>
            <w:tcW w:w="5812"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both"/>
              <w:rPr>
                <w:rFonts w:ascii="Times New Roman" w:eastAsia="Times New Roman" w:hAnsi="Times New Roman" w:cs="Times New Roman"/>
                <w:color w:val="000000"/>
                <w:kern w:val="2"/>
              </w:rPr>
            </w:pPr>
            <w:r>
              <w:rPr>
                <w:rFonts w:ascii="Times New Roman" w:eastAsia="Times New Roman" w:hAnsi="Times New Roman" w:cs="Times New Roman"/>
                <w:color w:val="000000"/>
                <w:kern w:val="2"/>
              </w:rPr>
              <w:t>Теплова енергія (2020р.)</w:t>
            </w:r>
          </w:p>
        </w:tc>
        <w:tc>
          <w:tcPr>
            <w:tcW w:w="3827"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eastAsia="Times New Roman" w:hAnsi="Times New Roman" w:cs="Times New Roman"/>
                <w:color w:val="000000"/>
                <w:kern w:val="2"/>
                <w:shd w:val="clear" w:color="auto" w:fill="FFFFFF"/>
              </w:rPr>
            </w:pPr>
            <w:r>
              <w:rPr>
                <w:rFonts w:ascii="Times New Roman" w:eastAsia="Times New Roman" w:hAnsi="Times New Roman" w:cs="Times New Roman"/>
                <w:color w:val="000000"/>
                <w:kern w:val="2"/>
                <w:shd w:val="clear" w:color="auto" w:fill="FFFFFF"/>
              </w:rPr>
              <w:t>0,295</w:t>
            </w:r>
          </w:p>
        </w:tc>
      </w:tr>
      <w:tr w:rsidR="00D227E2">
        <w:trPr>
          <w:trHeight w:val="330"/>
        </w:trPr>
        <w:tc>
          <w:tcPr>
            <w:tcW w:w="5812"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eastAsia="Times New Roman" w:hAnsi="Times New Roman" w:cs="Times New Roman"/>
                <w:kern w:val="2"/>
              </w:rPr>
              <w:t>Природний газ</w:t>
            </w:r>
          </w:p>
        </w:tc>
        <w:tc>
          <w:tcPr>
            <w:tcW w:w="3827"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rPr>
              <w:t>0,202</w:t>
            </w:r>
          </w:p>
        </w:tc>
      </w:tr>
      <w:tr w:rsidR="00D227E2">
        <w:trPr>
          <w:trHeight w:val="330"/>
        </w:trPr>
        <w:tc>
          <w:tcPr>
            <w:tcW w:w="5812"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eastAsia="Times New Roman" w:hAnsi="Times New Roman" w:cs="Times New Roman"/>
                <w:kern w:val="2"/>
              </w:rPr>
              <w:t>Газ (стиснений) – CNG</w:t>
            </w:r>
          </w:p>
        </w:tc>
        <w:tc>
          <w:tcPr>
            <w:tcW w:w="3827"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rPr>
              <w:t>0,231</w:t>
            </w:r>
          </w:p>
        </w:tc>
      </w:tr>
      <w:tr w:rsidR="00D227E2">
        <w:trPr>
          <w:trHeight w:val="327"/>
        </w:trPr>
        <w:tc>
          <w:tcPr>
            <w:tcW w:w="5812"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eastAsia="Times New Roman" w:hAnsi="Times New Roman" w:cs="Times New Roman"/>
                <w:kern w:val="2"/>
              </w:rPr>
              <w:t>Газ (скраплений) Пропан-бутан – LPG</w:t>
            </w:r>
          </w:p>
        </w:tc>
        <w:tc>
          <w:tcPr>
            <w:tcW w:w="3827"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rPr>
              <w:t>0,227</w:t>
            </w:r>
          </w:p>
        </w:tc>
      </w:tr>
      <w:tr w:rsidR="00D227E2">
        <w:trPr>
          <w:trHeight w:val="330"/>
        </w:trPr>
        <w:tc>
          <w:tcPr>
            <w:tcW w:w="5812"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eastAsia="Times New Roman" w:hAnsi="Times New Roman" w:cs="Times New Roman"/>
                <w:kern w:val="2"/>
              </w:rPr>
              <w:t>Бензин</w:t>
            </w:r>
          </w:p>
        </w:tc>
        <w:tc>
          <w:tcPr>
            <w:tcW w:w="3827"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rPr>
              <w:t>0,250</w:t>
            </w:r>
          </w:p>
        </w:tc>
      </w:tr>
      <w:tr w:rsidR="00D227E2">
        <w:trPr>
          <w:trHeight w:val="330"/>
        </w:trPr>
        <w:tc>
          <w:tcPr>
            <w:tcW w:w="5812"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eastAsia="Times New Roman" w:hAnsi="Times New Roman" w:cs="Times New Roman"/>
                <w:kern w:val="2"/>
              </w:rPr>
              <w:t>Дизель</w:t>
            </w:r>
          </w:p>
        </w:tc>
        <w:tc>
          <w:tcPr>
            <w:tcW w:w="3827" w:type="dxa"/>
            <w:tcBorders>
              <w:top w:val="single" w:sz="8" w:space="0" w:color="000000"/>
              <w:left w:val="single" w:sz="8" w:space="0" w:color="000000"/>
              <w:bottom w:val="single" w:sz="8"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rPr>
              <w:t>0,268</w:t>
            </w:r>
          </w:p>
        </w:tc>
      </w:tr>
      <w:tr w:rsidR="00D227E2">
        <w:trPr>
          <w:trHeight w:val="330"/>
        </w:trPr>
        <w:tc>
          <w:tcPr>
            <w:tcW w:w="5812" w:type="dxa"/>
            <w:tcBorders>
              <w:top w:val="single" w:sz="8" w:space="0" w:color="000000"/>
              <w:left w:val="single" w:sz="8" w:space="0" w:color="000000"/>
              <w:bottom w:val="single" w:sz="4" w:space="0" w:color="000000"/>
              <w:right w:val="single" w:sz="8" w:space="0" w:color="000000"/>
            </w:tcBorders>
          </w:tcPr>
          <w:p w:rsidR="00D227E2" w:rsidRDefault="00934FC4">
            <w:pPr>
              <w:widowControl w:val="0"/>
              <w:spacing w:after="0" w:line="240" w:lineRule="auto"/>
              <w:jc w:val="both"/>
              <w:rPr>
                <w:rFonts w:ascii="Times New Roman" w:hAnsi="Times New Roman" w:cs="Times New Roman"/>
              </w:rPr>
            </w:pPr>
            <w:r>
              <w:rPr>
                <w:rFonts w:ascii="Times New Roman" w:eastAsia="Times New Roman" w:hAnsi="Times New Roman" w:cs="Times New Roman"/>
                <w:kern w:val="2"/>
              </w:rPr>
              <w:t>Вугілля (буре)</w:t>
            </w:r>
          </w:p>
        </w:tc>
        <w:tc>
          <w:tcPr>
            <w:tcW w:w="3827" w:type="dxa"/>
            <w:tcBorders>
              <w:top w:val="single" w:sz="8" w:space="0" w:color="000000"/>
              <w:left w:val="single" w:sz="8" w:space="0" w:color="000000"/>
              <w:bottom w:val="single" w:sz="4" w:space="0" w:color="000000"/>
              <w:right w:val="single" w:sz="8"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kern w:val="2"/>
                <w:shd w:val="clear" w:color="auto" w:fill="FFFFFF"/>
              </w:rPr>
              <w:t>0,365</w:t>
            </w:r>
          </w:p>
        </w:tc>
      </w:tr>
      <w:tr w:rsidR="00D227E2">
        <w:trPr>
          <w:trHeight w:val="330"/>
        </w:trPr>
        <w:tc>
          <w:tcPr>
            <w:tcW w:w="5812"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jc w:val="both"/>
              <w:rPr>
                <w:rFonts w:ascii="Times New Roman" w:hAnsi="Times New Roman" w:cs="Times New Roman"/>
              </w:rPr>
            </w:pPr>
            <w:r>
              <w:rPr>
                <w:rFonts w:ascii="Times New Roman" w:eastAsia="Times New Roman" w:hAnsi="Times New Roman" w:cs="Times New Roman"/>
                <w:kern w:val="2"/>
              </w:rPr>
              <w:t>Деревина (відновлюване джерело)</w:t>
            </w:r>
          </w:p>
        </w:tc>
        <w:tc>
          <w:tcPr>
            <w:tcW w:w="382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jc w:val="center"/>
              <w:rPr>
                <w:rFonts w:ascii="Times New Roman" w:hAnsi="Times New Roman" w:cs="Times New Roman"/>
              </w:rPr>
            </w:pPr>
            <w:r>
              <w:rPr>
                <w:rFonts w:ascii="Times New Roman" w:eastAsia="Times New Roman" w:hAnsi="Times New Roman" w:cs="Times New Roman"/>
                <w:color w:val="000000"/>
                <w:kern w:val="2"/>
                <w:shd w:val="clear" w:color="auto" w:fill="FFFFFF"/>
              </w:rPr>
              <w:t>0,007</w:t>
            </w:r>
          </w:p>
        </w:tc>
      </w:tr>
    </w:tbl>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Підтвердження відновлюваності деревини</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Для Луцької МТГ характерна лісиста волога місцевість, болотиста та густа річкова система. У Луцьку та навколишніх громадах багато зелених зон, парків, лісів, які забезпечують поглинання вільного вуглецевого газу.</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 xml:space="preserve">Загальна площа лісового фонду Луцької МТГ станом на 2023 рік складає понад 3,44 тис. га або 9 % від загальної площі громади. Місцевими відновлювальними ресурсами для Луцької МТГ у першу чергу є деревне паливо – дрова, щепа, відходи лісового та деревообробного господарства, відходи від обрізання деревних насаджень.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Річні об’єми деревини, що вирубується (в тому числі і для потреб опалення), є меншими ніж загальний річний приріст об’єму деревини у лісових господарствах Луцької МТГ, що підтверджується даними про запаси деревини.</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 xml:space="preserve">Деревина – це відновлюваний енергетичний ресурс. Коефіцієнт </w:t>
      </w:r>
      <w:r>
        <w:rPr>
          <w:rFonts w:ascii="Times New Roman" w:hAnsi="Times New Roman" w:cs="Times New Roman"/>
          <w:color w:val="000000"/>
          <w:sz w:val="24"/>
          <w:szCs w:val="24"/>
          <w:shd w:val="clear" w:color="auto" w:fill="FFFFFF"/>
          <w:lang w:eastAsia="ru-RU"/>
        </w:rPr>
        <w:t>СО</w:t>
      </w:r>
      <w:r>
        <w:rPr>
          <w:rFonts w:ascii="Times New Roman" w:hAnsi="Times New Roman" w:cs="Times New Roman"/>
          <w:color w:val="000000"/>
          <w:sz w:val="24"/>
          <w:szCs w:val="24"/>
          <w:shd w:val="clear" w:color="auto" w:fill="FFFFFF"/>
          <w:vertAlign w:val="subscript"/>
          <w:lang w:eastAsia="ru-RU"/>
        </w:rPr>
        <w:t>2</w:t>
      </w:r>
      <w:r>
        <w:rPr>
          <w:rFonts w:ascii="Times New Roman" w:eastAsia="NSimSun" w:hAnsi="Times New Roman" w:cs="Times New Roman"/>
          <w:color w:val="000000"/>
          <w:kern w:val="2"/>
          <w:sz w:val="24"/>
          <w:szCs w:val="24"/>
          <w:shd w:val="clear" w:color="auto" w:fill="FFFFFF"/>
          <w:lang w:eastAsia="zh-CN" w:bidi="hi-IN"/>
        </w:rPr>
        <w:t xml:space="preserve"> </w:t>
      </w:r>
      <w:r>
        <w:rPr>
          <w:rFonts w:ascii="Times New Roman" w:eastAsia="NSimSun" w:hAnsi="Times New Roman" w:cs="Times New Roman"/>
          <w:color w:val="000000"/>
          <w:kern w:val="2"/>
          <w:sz w:val="24"/>
          <w:szCs w:val="24"/>
          <w:shd w:val="clear" w:color="auto" w:fill="FFFFFF"/>
          <w:vertAlign w:val="subscript"/>
          <w:lang w:eastAsia="zh-CN" w:bidi="hi-IN"/>
        </w:rPr>
        <w:t>екв.</w:t>
      </w:r>
      <w:r>
        <w:rPr>
          <w:rFonts w:ascii="Times New Roman" w:eastAsia="NSimSun" w:hAnsi="Times New Roman" w:cs="Times New Roman"/>
          <w:color w:val="000000"/>
          <w:kern w:val="2"/>
          <w:sz w:val="24"/>
          <w:szCs w:val="24"/>
          <w:shd w:val="clear" w:color="auto" w:fill="FFFFFF"/>
          <w:lang w:eastAsia="zh-CN" w:bidi="hi-IN"/>
        </w:rPr>
        <w:t xml:space="preserve"> для деревини встановлюється «0,007», відповідно до таблиці 68.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shd w:val="clear" w:color="auto" w:fill="FFFFFF"/>
          <w:lang w:eastAsia="zh-CN" w:bidi="hi-IN"/>
        </w:rPr>
        <w:t xml:space="preserve">Коефіцієнт </w:t>
      </w:r>
      <w:r>
        <w:rPr>
          <w:rFonts w:ascii="Times New Roman" w:hAnsi="Times New Roman" w:cs="Times New Roman"/>
          <w:color w:val="000000"/>
          <w:sz w:val="24"/>
          <w:szCs w:val="24"/>
          <w:shd w:val="clear" w:color="auto" w:fill="FFFFFF"/>
          <w:lang w:eastAsia="ru-RU"/>
        </w:rPr>
        <w:t>СО</w:t>
      </w:r>
      <w:r>
        <w:rPr>
          <w:rFonts w:ascii="Times New Roman" w:hAnsi="Times New Roman" w:cs="Times New Roman"/>
          <w:color w:val="000000"/>
          <w:sz w:val="24"/>
          <w:szCs w:val="24"/>
          <w:shd w:val="clear" w:color="auto" w:fill="FFFFFF"/>
          <w:vertAlign w:val="subscript"/>
          <w:lang w:eastAsia="ru-RU"/>
        </w:rPr>
        <w:t>2</w:t>
      </w:r>
      <w:r>
        <w:rPr>
          <w:rFonts w:ascii="Times New Roman" w:eastAsia="NSimSun" w:hAnsi="Times New Roman" w:cs="Times New Roman"/>
          <w:kern w:val="2"/>
          <w:sz w:val="24"/>
          <w:szCs w:val="24"/>
          <w:shd w:val="clear" w:color="auto" w:fill="FFFFFF"/>
          <w:lang w:eastAsia="zh-CN" w:bidi="hi-IN"/>
        </w:rPr>
        <w:t xml:space="preserve"> </w:t>
      </w:r>
      <w:r>
        <w:rPr>
          <w:rFonts w:ascii="Times New Roman" w:eastAsia="NSimSun" w:hAnsi="Times New Roman" w:cs="Times New Roman"/>
          <w:kern w:val="2"/>
          <w:sz w:val="24"/>
          <w:szCs w:val="24"/>
          <w:shd w:val="clear" w:color="auto" w:fill="FFFFFF"/>
          <w:vertAlign w:val="subscript"/>
          <w:lang w:eastAsia="zh-CN" w:bidi="hi-IN"/>
        </w:rPr>
        <w:t>екв.</w:t>
      </w:r>
      <w:r>
        <w:rPr>
          <w:rFonts w:ascii="Times New Roman" w:eastAsia="NSimSun" w:hAnsi="Times New Roman" w:cs="Times New Roman"/>
          <w:kern w:val="2"/>
          <w:sz w:val="24"/>
          <w:szCs w:val="24"/>
          <w:shd w:val="clear" w:color="auto" w:fill="FFFFFF"/>
          <w:lang w:eastAsia="zh-CN" w:bidi="hi-IN"/>
        </w:rPr>
        <w:t xml:space="preserve"> для тепла.</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shd w:val="clear" w:color="auto" w:fill="FFFFFF"/>
          <w:lang w:eastAsia="zh-CN" w:bidi="hi-IN"/>
        </w:rPr>
        <w:t xml:space="preserve">Під час розробки БКВ також окремо розраховується один з основних показників – коефіцієнт викидів </w:t>
      </w:r>
      <w:r>
        <w:rPr>
          <w:rFonts w:ascii="Times New Roman" w:hAnsi="Times New Roman" w:cs="Times New Roman"/>
          <w:color w:val="000000"/>
          <w:sz w:val="24"/>
          <w:szCs w:val="24"/>
          <w:shd w:val="clear" w:color="auto" w:fill="FFFFFF"/>
          <w:lang w:eastAsia="ru-RU"/>
        </w:rPr>
        <w:t>СО</w:t>
      </w:r>
      <w:r>
        <w:rPr>
          <w:rFonts w:ascii="Times New Roman" w:hAnsi="Times New Roman" w:cs="Times New Roman"/>
          <w:color w:val="000000"/>
          <w:sz w:val="24"/>
          <w:szCs w:val="24"/>
          <w:shd w:val="clear" w:color="auto" w:fill="FFFFFF"/>
          <w:vertAlign w:val="subscript"/>
          <w:lang w:eastAsia="ru-RU"/>
        </w:rPr>
        <w:t>2</w:t>
      </w:r>
      <w:r>
        <w:rPr>
          <w:rFonts w:ascii="Times New Roman" w:eastAsia="NSimSun" w:hAnsi="Times New Roman" w:cs="Times New Roman"/>
          <w:kern w:val="2"/>
          <w:sz w:val="24"/>
          <w:szCs w:val="24"/>
          <w:shd w:val="clear" w:color="auto" w:fill="FFFFFF"/>
          <w:lang w:eastAsia="zh-CN" w:bidi="hi-IN"/>
        </w:rPr>
        <w:t xml:space="preserve"> </w:t>
      </w:r>
      <w:r>
        <w:rPr>
          <w:rFonts w:ascii="Times New Roman" w:eastAsia="NSimSun" w:hAnsi="Times New Roman" w:cs="Times New Roman"/>
          <w:kern w:val="2"/>
          <w:sz w:val="24"/>
          <w:szCs w:val="24"/>
          <w:shd w:val="clear" w:color="auto" w:fill="FFFFFF"/>
          <w:vertAlign w:val="subscript"/>
          <w:lang w:eastAsia="zh-CN" w:bidi="hi-IN"/>
        </w:rPr>
        <w:t>екв.</w:t>
      </w:r>
      <w:r>
        <w:rPr>
          <w:rFonts w:ascii="Times New Roman" w:eastAsia="NSimSun" w:hAnsi="Times New Roman" w:cs="Times New Roman"/>
          <w:kern w:val="2"/>
          <w:sz w:val="24"/>
          <w:szCs w:val="24"/>
          <w:shd w:val="clear" w:color="auto" w:fill="FFFFFF"/>
          <w:lang w:eastAsia="zh-CN" w:bidi="hi-IN"/>
        </w:rPr>
        <w:t xml:space="preserve"> для виробленого тепла.</w:t>
      </w:r>
    </w:p>
    <w:p w:rsidR="00D227E2" w:rsidRDefault="00D227E2">
      <w:pPr>
        <w:spacing w:after="0"/>
        <w:jc w:val="center"/>
        <w:rPr>
          <w:rFonts w:ascii="Times New Roman" w:eastAsia="NSimSun" w:hAnsi="Times New Roman" w:cs="Times New Roman"/>
          <w:kern w:val="2"/>
          <w:sz w:val="24"/>
          <w:szCs w:val="24"/>
          <w:shd w:val="clear" w:color="auto" w:fill="FFFFFF"/>
          <w:lang w:eastAsia="zh-CN" w:bidi="hi-IN"/>
        </w:rPr>
      </w:pPr>
    </w:p>
    <w:p w:rsidR="00D227E2" w:rsidRDefault="00D227E2">
      <w:pPr>
        <w:spacing w:after="0"/>
        <w:jc w:val="center"/>
        <w:rPr>
          <w:rFonts w:ascii="Times New Roman" w:eastAsia="NSimSun" w:hAnsi="Times New Roman" w:cs="Times New Roman"/>
          <w:kern w:val="2"/>
          <w:sz w:val="24"/>
          <w:szCs w:val="24"/>
          <w:shd w:val="clear" w:color="auto" w:fill="FFFFFF"/>
          <w:lang w:eastAsia="zh-CN" w:bidi="hi-IN"/>
        </w:rPr>
      </w:pPr>
    </w:p>
    <w:p w:rsidR="00D227E2" w:rsidRDefault="00934FC4">
      <w:pPr>
        <w:spacing w:after="0"/>
        <w:jc w:val="center"/>
        <w:rPr>
          <w:rFonts w:ascii="Times New Roman" w:hAnsi="Times New Roman" w:cs="Times New Roman"/>
        </w:rPr>
      </w:pPr>
      <w:r>
        <w:rPr>
          <w:rFonts w:ascii="Times New Roman" w:eastAsia="NSimSun" w:hAnsi="Times New Roman" w:cs="Times New Roman"/>
          <w:kern w:val="2"/>
          <w:sz w:val="24"/>
          <w:szCs w:val="24"/>
          <w:shd w:val="clear" w:color="auto" w:fill="FFFFFF"/>
          <w:lang w:eastAsia="zh-CN" w:bidi="hi-IN"/>
        </w:rPr>
        <w:lastRenderedPageBreak/>
        <w:t xml:space="preserve">Таблиця 69. Розрахунок коефіцієнта </w:t>
      </w:r>
      <w:r>
        <w:rPr>
          <w:rFonts w:ascii="Times New Roman" w:hAnsi="Times New Roman" w:cs="Times New Roman"/>
          <w:color w:val="000000"/>
          <w:sz w:val="24"/>
          <w:szCs w:val="24"/>
          <w:shd w:val="clear" w:color="auto" w:fill="FFFFFF"/>
          <w:lang w:eastAsia="ru-RU"/>
        </w:rPr>
        <w:t>СО</w:t>
      </w:r>
      <w:r>
        <w:rPr>
          <w:rFonts w:ascii="Times New Roman" w:hAnsi="Times New Roman" w:cs="Times New Roman"/>
          <w:color w:val="000000"/>
          <w:sz w:val="24"/>
          <w:szCs w:val="24"/>
          <w:shd w:val="clear" w:color="auto" w:fill="FFFFFF"/>
          <w:vertAlign w:val="subscript"/>
          <w:lang w:eastAsia="ru-RU"/>
        </w:rPr>
        <w:t>2</w:t>
      </w:r>
      <w:r>
        <w:rPr>
          <w:rFonts w:ascii="Times New Roman" w:eastAsia="NSimSun" w:hAnsi="Times New Roman" w:cs="Times New Roman"/>
          <w:kern w:val="2"/>
          <w:sz w:val="24"/>
          <w:szCs w:val="24"/>
          <w:shd w:val="clear" w:color="auto" w:fill="FFFFFF"/>
          <w:lang w:eastAsia="zh-CN" w:bidi="hi-IN"/>
        </w:rPr>
        <w:t xml:space="preserve"> </w:t>
      </w:r>
      <w:r>
        <w:rPr>
          <w:rFonts w:ascii="Times New Roman" w:eastAsia="NSimSun" w:hAnsi="Times New Roman" w:cs="Times New Roman"/>
          <w:kern w:val="2"/>
          <w:sz w:val="24"/>
          <w:szCs w:val="24"/>
          <w:shd w:val="clear" w:color="auto" w:fill="FFFFFF"/>
          <w:vertAlign w:val="subscript"/>
          <w:lang w:eastAsia="zh-CN" w:bidi="hi-IN"/>
        </w:rPr>
        <w:t>екв.</w:t>
      </w:r>
      <w:r>
        <w:rPr>
          <w:rFonts w:ascii="Times New Roman" w:eastAsia="NSimSun" w:hAnsi="Times New Roman" w:cs="Times New Roman"/>
          <w:kern w:val="2"/>
          <w:sz w:val="24"/>
          <w:szCs w:val="24"/>
          <w:shd w:val="clear" w:color="auto" w:fill="FFFFFF"/>
          <w:lang w:eastAsia="zh-CN" w:bidi="hi-IN"/>
        </w:rPr>
        <w:t xml:space="preserve"> для тепла в базовому 2007 році</w:t>
      </w:r>
    </w:p>
    <w:tbl>
      <w:tblPr>
        <w:tblW w:w="9772" w:type="dxa"/>
        <w:tblInd w:w="14" w:type="dxa"/>
        <w:tblLayout w:type="fixed"/>
        <w:tblCellMar>
          <w:left w:w="5" w:type="dxa"/>
          <w:right w:w="5" w:type="dxa"/>
        </w:tblCellMar>
        <w:tblLook w:val="01E0" w:firstRow="1" w:lastRow="1" w:firstColumn="1" w:lastColumn="1" w:noHBand="0" w:noVBand="0"/>
      </w:tblPr>
      <w:tblGrid>
        <w:gridCol w:w="856"/>
        <w:gridCol w:w="1116"/>
        <w:gridCol w:w="1126"/>
        <w:gridCol w:w="1446"/>
        <w:gridCol w:w="1543"/>
        <w:gridCol w:w="1285"/>
        <w:gridCol w:w="858"/>
        <w:gridCol w:w="692"/>
        <w:gridCol w:w="850"/>
      </w:tblGrid>
      <w:tr w:rsidR="00D227E2">
        <w:trPr>
          <w:trHeight w:val="340"/>
        </w:trPr>
        <w:tc>
          <w:tcPr>
            <w:tcW w:w="855" w:type="dxa"/>
            <w:vMerge w:val="restart"/>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Тепло, що надано</w:t>
            </w:r>
          </w:p>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кінцевому</w:t>
            </w:r>
          </w:p>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споживачу (Гкал)</w:t>
            </w:r>
          </w:p>
        </w:tc>
        <w:tc>
          <w:tcPr>
            <w:tcW w:w="2242" w:type="dxa"/>
            <w:gridSpan w:val="2"/>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Енергетичне паливо</w:t>
            </w:r>
          </w:p>
        </w:tc>
        <w:tc>
          <w:tcPr>
            <w:tcW w:w="1446" w:type="dxa"/>
            <w:vMerge w:val="restart"/>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Витрати</w:t>
            </w:r>
          </w:p>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енергетичних ресурсів на 1 Гкал, що</w:t>
            </w:r>
          </w:p>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надана</w:t>
            </w:r>
          </w:p>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споживачу, в натуральних одиницях</w:t>
            </w:r>
          </w:p>
        </w:tc>
        <w:tc>
          <w:tcPr>
            <w:tcW w:w="1543" w:type="dxa"/>
            <w:vMerge w:val="restart"/>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Витрати</w:t>
            </w:r>
          </w:p>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енергетичних ресурсів на 1 Гкал, що надана</w:t>
            </w:r>
          </w:p>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споживачу, в МВт.год.</w:t>
            </w:r>
          </w:p>
        </w:tc>
        <w:tc>
          <w:tcPr>
            <w:tcW w:w="1285" w:type="dxa"/>
            <w:vMerge w:val="restart"/>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 xml:space="preserve">Коефіцієнт викидів </w:t>
            </w:r>
            <w:r>
              <w:rPr>
                <w:rFonts w:ascii="Times New Roman" w:hAnsi="Times New Roman" w:cs="Times New Roman"/>
                <w:color w:val="000000"/>
                <w:shd w:val="clear" w:color="auto" w:fill="FFFFFF"/>
                <w:lang w:eastAsia="ru-RU"/>
              </w:rPr>
              <w:t>СО</w:t>
            </w:r>
            <w:r>
              <w:rPr>
                <w:rFonts w:ascii="Times New Roman" w:hAnsi="Times New Roman" w:cs="Times New Roman"/>
                <w:color w:val="000000"/>
                <w:shd w:val="clear" w:color="auto" w:fill="FFFFFF"/>
                <w:vertAlign w:val="subscript"/>
                <w:lang w:eastAsia="ru-RU"/>
              </w:rPr>
              <w:t>2</w:t>
            </w:r>
            <w:r>
              <w:rPr>
                <w:rFonts w:ascii="Times New Roman" w:eastAsia="Times New Roman" w:hAnsi="Times New Roman" w:cs="Times New Roman"/>
                <w:kern w:val="2"/>
                <w:shd w:val="clear" w:color="auto" w:fill="FFFFFF"/>
              </w:rPr>
              <w:t xml:space="preserve"> </w:t>
            </w:r>
            <w:r>
              <w:rPr>
                <w:rFonts w:ascii="Times New Roman" w:eastAsia="Times New Roman" w:hAnsi="Times New Roman" w:cs="Times New Roman"/>
                <w:kern w:val="2"/>
                <w:shd w:val="clear" w:color="auto" w:fill="FFFFFF"/>
                <w:vertAlign w:val="subscript"/>
              </w:rPr>
              <w:t>екв.</w:t>
            </w:r>
            <w:r>
              <w:rPr>
                <w:rFonts w:ascii="Times New Roman" w:eastAsia="Times New Roman" w:hAnsi="Times New Roman" w:cs="Times New Roman"/>
                <w:kern w:val="2"/>
                <w:shd w:val="clear" w:color="auto" w:fill="FFFFFF"/>
              </w:rPr>
              <w:t xml:space="preserve"> (т)</w:t>
            </w:r>
          </w:p>
        </w:tc>
        <w:tc>
          <w:tcPr>
            <w:tcW w:w="858" w:type="dxa"/>
            <w:vMerge w:val="restart"/>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 xml:space="preserve">Викиди </w:t>
            </w:r>
            <w:r>
              <w:rPr>
                <w:rFonts w:ascii="Times New Roman" w:hAnsi="Times New Roman" w:cs="Times New Roman"/>
                <w:color w:val="000000"/>
                <w:shd w:val="clear" w:color="auto" w:fill="FFFFFF"/>
                <w:lang w:eastAsia="ru-RU"/>
              </w:rPr>
              <w:t>СО</w:t>
            </w:r>
            <w:r>
              <w:rPr>
                <w:rFonts w:ascii="Times New Roman" w:hAnsi="Times New Roman" w:cs="Times New Roman"/>
                <w:color w:val="000000"/>
                <w:shd w:val="clear" w:color="auto" w:fill="FFFFFF"/>
                <w:vertAlign w:val="subscript"/>
                <w:lang w:eastAsia="ru-RU"/>
              </w:rPr>
              <w:t>2</w:t>
            </w:r>
          </w:p>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 xml:space="preserve"> </w:t>
            </w:r>
            <w:r>
              <w:rPr>
                <w:rFonts w:ascii="Times New Roman" w:eastAsia="Times New Roman" w:hAnsi="Times New Roman" w:cs="Times New Roman"/>
                <w:kern w:val="2"/>
                <w:shd w:val="clear" w:color="auto" w:fill="FFFFFF"/>
                <w:vertAlign w:val="subscript"/>
              </w:rPr>
              <w:t>екв.</w:t>
            </w:r>
            <w:r>
              <w:rPr>
                <w:rFonts w:ascii="Times New Roman" w:eastAsia="Times New Roman" w:hAnsi="Times New Roman" w:cs="Times New Roman"/>
                <w:kern w:val="2"/>
                <w:shd w:val="clear" w:color="auto" w:fill="FFFFFF"/>
              </w:rPr>
              <w:t>,(т)</w:t>
            </w:r>
          </w:p>
        </w:tc>
        <w:tc>
          <w:tcPr>
            <w:tcW w:w="692" w:type="dxa"/>
            <w:vMerge w:val="restart"/>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Сума викидів на 1 Гкал (т)</w:t>
            </w:r>
          </w:p>
        </w:tc>
        <w:tc>
          <w:tcPr>
            <w:tcW w:w="850" w:type="dxa"/>
            <w:vMerge w:val="restart"/>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Сума викидів на 1 МВт</w:t>
            </w:r>
          </w:p>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тепла, (т</w:t>
            </w:r>
            <w:r>
              <w:rPr>
                <w:rFonts w:ascii="Times New Roman" w:eastAsia="Times New Roman" w:hAnsi="Times New Roman" w:cs="Times New Roman"/>
                <w:b/>
                <w:kern w:val="2"/>
                <w:shd w:val="clear" w:color="auto" w:fill="FFFFFF"/>
              </w:rPr>
              <w:t>)</w:t>
            </w:r>
          </w:p>
        </w:tc>
      </w:tr>
      <w:tr w:rsidR="00D227E2">
        <w:trPr>
          <w:trHeight w:val="1648"/>
        </w:trPr>
        <w:tc>
          <w:tcPr>
            <w:tcW w:w="855" w:type="dxa"/>
            <w:vMerge/>
            <w:tcBorders>
              <w:left w:val="single" w:sz="4" w:space="0" w:color="000000"/>
              <w:bottom w:val="single" w:sz="4" w:space="0" w:color="000000"/>
              <w:right w:val="single" w:sz="4" w:space="0" w:color="000000"/>
            </w:tcBorders>
          </w:tcPr>
          <w:p w:rsidR="00D227E2" w:rsidRDefault="00D227E2">
            <w:pPr>
              <w:widowControl w:val="0"/>
              <w:spacing w:after="0" w:line="240" w:lineRule="auto"/>
              <w:jc w:val="both"/>
              <w:rPr>
                <w:rFonts w:ascii="Times New Roman" w:eastAsia="NSimSun" w:hAnsi="Times New Roman" w:cs="Times New Roman"/>
                <w:kern w:val="2"/>
                <w:shd w:val="clear" w:color="auto" w:fill="FFFFFF"/>
                <w:lang w:eastAsia="zh-CN" w:bidi="hi-IN"/>
              </w:rPr>
            </w:pPr>
          </w:p>
        </w:tc>
        <w:tc>
          <w:tcPr>
            <w:tcW w:w="111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Назва</w:t>
            </w:r>
          </w:p>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енергетичного палива</w:t>
            </w:r>
          </w:p>
        </w:tc>
        <w:tc>
          <w:tcPr>
            <w:tcW w:w="112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Кількість спожитого палива</w:t>
            </w:r>
          </w:p>
        </w:tc>
        <w:tc>
          <w:tcPr>
            <w:tcW w:w="1446" w:type="dxa"/>
            <w:vMerge/>
            <w:tcBorders>
              <w:left w:val="single" w:sz="4" w:space="0" w:color="000000"/>
              <w:bottom w:val="single" w:sz="4" w:space="0" w:color="000000"/>
              <w:right w:val="single" w:sz="4" w:space="0" w:color="000000"/>
            </w:tcBorders>
          </w:tcPr>
          <w:p w:rsidR="00D227E2" w:rsidRDefault="00D227E2">
            <w:pPr>
              <w:widowControl w:val="0"/>
              <w:spacing w:after="0" w:line="240" w:lineRule="auto"/>
              <w:jc w:val="both"/>
              <w:rPr>
                <w:rFonts w:ascii="Times New Roman" w:eastAsia="NSimSun" w:hAnsi="Times New Roman" w:cs="Times New Roman"/>
                <w:kern w:val="2"/>
                <w:shd w:val="clear" w:color="auto" w:fill="FFFFFF"/>
                <w:lang w:eastAsia="zh-CN" w:bidi="hi-IN"/>
              </w:rPr>
            </w:pPr>
          </w:p>
        </w:tc>
        <w:tc>
          <w:tcPr>
            <w:tcW w:w="1543" w:type="dxa"/>
            <w:vMerge/>
            <w:tcBorders>
              <w:left w:val="single" w:sz="4" w:space="0" w:color="000000"/>
              <w:bottom w:val="single" w:sz="4" w:space="0" w:color="000000"/>
              <w:right w:val="single" w:sz="4" w:space="0" w:color="000000"/>
            </w:tcBorders>
          </w:tcPr>
          <w:p w:rsidR="00D227E2" w:rsidRDefault="00D227E2">
            <w:pPr>
              <w:widowControl w:val="0"/>
              <w:spacing w:after="0" w:line="240" w:lineRule="auto"/>
              <w:jc w:val="both"/>
              <w:rPr>
                <w:rFonts w:ascii="Times New Roman" w:eastAsia="NSimSun" w:hAnsi="Times New Roman" w:cs="Times New Roman"/>
                <w:kern w:val="2"/>
                <w:shd w:val="clear" w:color="auto" w:fill="FFFFFF"/>
                <w:lang w:eastAsia="zh-CN" w:bidi="hi-IN"/>
              </w:rPr>
            </w:pPr>
          </w:p>
        </w:tc>
        <w:tc>
          <w:tcPr>
            <w:tcW w:w="1285"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jc w:val="both"/>
              <w:rPr>
                <w:rFonts w:ascii="Times New Roman" w:eastAsia="NSimSun" w:hAnsi="Times New Roman" w:cs="Times New Roman"/>
                <w:kern w:val="2"/>
                <w:shd w:val="clear" w:color="auto" w:fill="FFFFFF"/>
                <w:lang w:eastAsia="zh-CN" w:bidi="hi-IN"/>
              </w:rPr>
            </w:pPr>
          </w:p>
        </w:tc>
        <w:tc>
          <w:tcPr>
            <w:tcW w:w="858" w:type="dxa"/>
            <w:vMerge/>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jc w:val="both"/>
              <w:rPr>
                <w:rFonts w:ascii="Times New Roman" w:eastAsia="NSimSun" w:hAnsi="Times New Roman" w:cs="Times New Roman"/>
                <w:kern w:val="2"/>
                <w:shd w:val="clear" w:color="auto" w:fill="FFFFFF"/>
                <w:lang w:eastAsia="zh-CN" w:bidi="hi-IN"/>
              </w:rPr>
            </w:pPr>
          </w:p>
        </w:tc>
        <w:tc>
          <w:tcPr>
            <w:tcW w:w="692" w:type="dxa"/>
            <w:vMerge/>
            <w:tcBorders>
              <w:left w:val="single" w:sz="4" w:space="0" w:color="000000"/>
              <w:bottom w:val="single" w:sz="4" w:space="0" w:color="000000"/>
              <w:right w:val="single" w:sz="4" w:space="0" w:color="000000"/>
            </w:tcBorders>
          </w:tcPr>
          <w:p w:rsidR="00D227E2" w:rsidRDefault="00D227E2">
            <w:pPr>
              <w:widowControl w:val="0"/>
              <w:spacing w:after="0" w:line="240" w:lineRule="auto"/>
              <w:jc w:val="both"/>
              <w:rPr>
                <w:rFonts w:ascii="Times New Roman" w:eastAsia="NSimSun" w:hAnsi="Times New Roman" w:cs="Times New Roman"/>
                <w:kern w:val="2"/>
                <w:shd w:val="clear" w:color="auto" w:fill="FFFFFF"/>
                <w:lang w:eastAsia="zh-CN" w:bidi="hi-IN"/>
              </w:rPr>
            </w:pPr>
          </w:p>
        </w:tc>
        <w:tc>
          <w:tcPr>
            <w:tcW w:w="850" w:type="dxa"/>
            <w:vMerge/>
            <w:tcBorders>
              <w:left w:val="single" w:sz="4" w:space="0" w:color="000000"/>
              <w:bottom w:val="single" w:sz="4" w:space="0" w:color="000000"/>
              <w:right w:val="single" w:sz="4" w:space="0" w:color="000000"/>
            </w:tcBorders>
          </w:tcPr>
          <w:p w:rsidR="00D227E2" w:rsidRDefault="00D227E2">
            <w:pPr>
              <w:widowControl w:val="0"/>
              <w:spacing w:after="0" w:line="240" w:lineRule="auto"/>
              <w:jc w:val="both"/>
              <w:rPr>
                <w:rFonts w:ascii="Times New Roman" w:eastAsia="NSimSun" w:hAnsi="Times New Roman" w:cs="Times New Roman"/>
                <w:kern w:val="2"/>
                <w:shd w:val="clear" w:color="auto" w:fill="FFFFFF"/>
                <w:lang w:eastAsia="zh-CN" w:bidi="hi-IN"/>
              </w:rPr>
            </w:pPr>
          </w:p>
        </w:tc>
      </w:tr>
      <w:tr w:rsidR="00D227E2">
        <w:trPr>
          <w:trHeight w:val="330"/>
        </w:trPr>
        <w:tc>
          <w:tcPr>
            <w:tcW w:w="9771" w:type="dxa"/>
            <w:gridSpan w:val="9"/>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Розрахунок для базового 2007 року</w:t>
            </w:r>
          </w:p>
        </w:tc>
      </w:tr>
      <w:tr w:rsidR="00D227E2">
        <w:trPr>
          <w:trHeight w:val="207"/>
        </w:trPr>
        <w:tc>
          <w:tcPr>
            <w:tcW w:w="855" w:type="dxa"/>
            <w:vMerge w:val="restart"/>
            <w:tcBorders>
              <w:top w:val="single" w:sz="4" w:space="0" w:color="000000"/>
              <w:left w:val="single" w:sz="4" w:space="0" w:color="000000"/>
              <w:bottom w:val="single" w:sz="4" w:space="0" w:color="000000"/>
              <w:right w:val="single" w:sz="4" w:space="0" w:color="000000"/>
            </w:tcBorders>
          </w:tcPr>
          <w:p w:rsidR="00D227E2" w:rsidRDefault="00D227E2">
            <w:pPr>
              <w:widowControl w:val="0"/>
              <w:spacing w:after="0" w:line="240" w:lineRule="auto"/>
              <w:jc w:val="center"/>
              <w:rPr>
                <w:rFonts w:ascii="Times New Roman" w:eastAsia="Times New Roman" w:hAnsi="Times New Roman" w:cs="Times New Roman"/>
                <w:kern w:val="2"/>
                <w:sz w:val="20"/>
                <w:szCs w:val="20"/>
                <w:shd w:val="clear" w:color="auto" w:fill="FFFFFF"/>
              </w:rPr>
            </w:pPr>
          </w:p>
          <w:p w:rsidR="00D227E2" w:rsidRDefault="00D227E2">
            <w:pPr>
              <w:widowControl w:val="0"/>
              <w:spacing w:after="0" w:line="240" w:lineRule="auto"/>
              <w:jc w:val="center"/>
              <w:rPr>
                <w:rFonts w:ascii="Times New Roman" w:eastAsia="Times New Roman" w:hAnsi="Times New Roman" w:cs="Times New Roman"/>
                <w:kern w:val="2"/>
                <w:sz w:val="20"/>
                <w:szCs w:val="20"/>
                <w:shd w:val="clear" w:color="auto" w:fill="FFFFFF"/>
              </w:rPr>
            </w:pPr>
          </w:p>
          <w:p w:rsidR="00D227E2" w:rsidRDefault="00934FC4">
            <w:pPr>
              <w:widowControl w:val="0"/>
              <w:spacing w:after="0" w:line="240" w:lineRule="auto"/>
              <w:jc w:val="center"/>
              <w:rPr>
                <w:rFonts w:ascii="Times New Roman" w:hAnsi="Times New Roman" w:cs="Times New Roman"/>
                <w:sz w:val="20"/>
                <w:szCs w:val="20"/>
              </w:rPr>
            </w:pPr>
            <w:r>
              <w:rPr>
                <w:rFonts w:ascii="Times New Roman" w:eastAsia="Times New Roman" w:hAnsi="Times New Roman" w:cs="Times New Roman"/>
                <w:kern w:val="2"/>
                <w:sz w:val="20"/>
                <w:szCs w:val="20"/>
                <w:shd w:val="clear" w:color="auto" w:fill="FFFFFF"/>
              </w:rPr>
              <w:t>620800</w:t>
            </w:r>
          </w:p>
        </w:tc>
        <w:tc>
          <w:tcPr>
            <w:tcW w:w="1116"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sz w:val="20"/>
                <w:szCs w:val="20"/>
              </w:rPr>
            </w:pPr>
            <w:r>
              <w:rPr>
                <w:rFonts w:ascii="Times New Roman" w:eastAsia="Times New Roman" w:hAnsi="Times New Roman" w:cs="Times New Roman"/>
                <w:kern w:val="2"/>
                <w:sz w:val="20"/>
                <w:szCs w:val="20"/>
                <w:shd w:val="clear" w:color="auto" w:fill="FFFFFF"/>
              </w:rPr>
              <w:t>газ, тис.м</w:t>
            </w:r>
            <w:r>
              <w:rPr>
                <w:rFonts w:ascii="Times New Roman" w:eastAsia="Times New Roman" w:hAnsi="Times New Roman" w:cs="Times New Roman"/>
                <w:kern w:val="2"/>
                <w:sz w:val="20"/>
                <w:szCs w:val="20"/>
                <w:shd w:val="clear" w:color="auto" w:fill="FFFFFF"/>
                <w:vertAlign w:val="superscript"/>
              </w:rPr>
              <w:t>3</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sz w:val="20"/>
                <w:szCs w:val="20"/>
              </w:rPr>
            </w:pPr>
            <w:r>
              <w:rPr>
                <w:rFonts w:ascii="Times New Roman" w:eastAsia="Times New Roman" w:hAnsi="Times New Roman" w:cs="Times New Roman"/>
                <w:kern w:val="2"/>
                <w:sz w:val="20"/>
                <w:szCs w:val="20"/>
                <w:shd w:val="clear" w:color="auto" w:fill="FFFFFF"/>
              </w:rPr>
              <w:t>105159,0187</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sz w:val="20"/>
                <w:szCs w:val="20"/>
              </w:rPr>
            </w:pPr>
            <w:r>
              <w:rPr>
                <w:rFonts w:ascii="Times New Roman" w:eastAsia="Times New Roman" w:hAnsi="Times New Roman" w:cs="Times New Roman"/>
                <w:kern w:val="2"/>
                <w:sz w:val="20"/>
                <w:szCs w:val="20"/>
                <w:shd w:val="clear" w:color="auto" w:fill="FFFFFF"/>
              </w:rPr>
              <w:t>169,4</w:t>
            </w:r>
          </w:p>
        </w:tc>
        <w:tc>
          <w:tcPr>
            <w:tcW w:w="1543"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sz w:val="20"/>
                <w:szCs w:val="20"/>
              </w:rPr>
            </w:pPr>
            <w:r>
              <w:rPr>
                <w:rFonts w:ascii="Times New Roman" w:eastAsia="Times New Roman" w:hAnsi="Times New Roman" w:cs="Times New Roman"/>
                <w:kern w:val="2"/>
                <w:sz w:val="20"/>
                <w:szCs w:val="20"/>
                <w:shd w:val="clear" w:color="auto" w:fill="FFFFFF"/>
              </w:rPr>
              <w:t>1,60</w:t>
            </w:r>
          </w:p>
        </w:tc>
        <w:tc>
          <w:tcPr>
            <w:tcW w:w="128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sz w:val="20"/>
                <w:szCs w:val="20"/>
              </w:rPr>
            </w:pPr>
            <w:r>
              <w:rPr>
                <w:rFonts w:ascii="Times New Roman" w:eastAsia="Times New Roman" w:hAnsi="Times New Roman" w:cs="Times New Roman"/>
                <w:kern w:val="2"/>
                <w:sz w:val="20"/>
                <w:szCs w:val="20"/>
                <w:shd w:val="clear" w:color="auto" w:fill="FFFFFF"/>
              </w:rPr>
              <w:t>0,202</w:t>
            </w:r>
          </w:p>
        </w:tc>
        <w:tc>
          <w:tcPr>
            <w:tcW w:w="858"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sz w:val="20"/>
                <w:szCs w:val="20"/>
              </w:rPr>
            </w:pPr>
            <w:r>
              <w:rPr>
                <w:rFonts w:ascii="Times New Roman" w:eastAsia="Times New Roman" w:hAnsi="Times New Roman" w:cs="Times New Roman"/>
                <w:kern w:val="2"/>
                <w:sz w:val="20"/>
                <w:szCs w:val="20"/>
                <w:shd w:val="clear" w:color="auto" w:fill="FFFFFF"/>
              </w:rPr>
              <w:t>0,323</w:t>
            </w:r>
          </w:p>
        </w:tc>
        <w:tc>
          <w:tcPr>
            <w:tcW w:w="6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sz w:val="20"/>
                <w:szCs w:val="20"/>
              </w:rPr>
            </w:pPr>
            <w:r>
              <w:rPr>
                <w:rFonts w:ascii="Times New Roman" w:eastAsia="Times New Roman" w:hAnsi="Times New Roman" w:cs="Times New Roman"/>
                <w:kern w:val="2"/>
                <w:sz w:val="20"/>
                <w:szCs w:val="20"/>
                <w:shd w:val="clear" w:color="auto" w:fill="FFFFFF"/>
              </w:rPr>
              <w:t>0,347</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sz w:val="20"/>
                <w:szCs w:val="20"/>
              </w:rPr>
            </w:pPr>
            <w:r>
              <w:rPr>
                <w:rFonts w:ascii="Times New Roman" w:eastAsia="Times New Roman" w:hAnsi="Times New Roman" w:cs="Times New Roman"/>
                <w:kern w:val="2"/>
                <w:sz w:val="20"/>
                <w:szCs w:val="20"/>
                <w:shd w:val="clear" w:color="auto" w:fill="FFFFFF"/>
              </w:rPr>
              <w:t>0,298</w:t>
            </w:r>
          </w:p>
        </w:tc>
      </w:tr>
      <w:tr w:rsidR="00D227E2">
        <w:trPr>
          <w:trHeight w:val="308"/>
        </w:trPr>
        <w:tc>
          <w:tcPr>
            <w:tcW w:w="855" w:type="dxa"/>
            <w:vMerge/>
            <w:tcBorders>
              <w:left w:val="single" w:sz="4" w:space="0" w:color="000000"/>
              <w:bottom w:val="single" w:sz="4" w:space="0" w:color="000000"/>
              <w:right w:val="single" w:sz="4" w:space="0" w:color="000000"/>
            </w:tcBorders>
          </w:tcPr>
          <w:p w:rsidR="00D227E2" w:rsidRDefault="00D227E2">
            <w:pPr>
              <w:widowControl w:val="0"/>
              <w:spacing w:after="0" w:line="240" w:lineRule="auto"/>
              <w:jc w:val="both"/>
              <w:rPr>
                <w:rFonts w:ascii="Times New Roman" w:eastAsia="NSimSun" w:hAnsi="Times New Roman" w:cs="Times New Roman"/>
                <w:kern w:val="2"/>
                <w:sz w:val="20"/>
                <w:szCs w:val="20"/>
                <w:shd w:val="clear" w:color="auto" w:fill="FFFFFF"/>
                <w:lang w:eastAsia="zh-CN" w:bidi="hi-IN"/>
              </w:rPr>
            </w:pPr>
          </w:p>
        </w:tc>
        <w:tc>
          <w:tcPr>
            <w:tcW w:w="111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sz w:val="20"/>
                <w:szCs w:val="20"/>
              </w:rPr>
            </w:pPr>
            <w:r>
              <w:rPr>
                <w:rFonts w:ascii="Times New Roman" w:eastAsia="Times New Roman" w:hAnsi="Times New Roman" w:cs="Times New Roman"/>
                <w:kern w:val="2"/>
                <w:sz w:val="20"/>
                <w:szCs w:val="20"/>
                <w:shd w:val="clear" w:color="auto" w:fill="FFFFFF"/>
              </w:rPr>
              <w:t>е/е (МВт.год)</w:t>
            </w:r>
          </w:p>
        </w:tc>
        <w:tc>
          <w:tcPr>
            <w:tcW w:w="112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sz w:val="20"/>
                <w:szCs w:val="20"/>
              </w:rPr>
            </w:pPr>
            <w:r>
              <w:rPr>
                <w:rFonts w:ascii="Times New Roman" w:eastAsia="Times New Roman" w:hAnsi="Times New Roman" w:cs="Times New Roman"/>
                <w:kern w:val="2"/>
                <w:sz w:val="20"/>
                <w:szCs w:val="20"/>
                <w:shd w:val="clear" w:color="auto" w:fill="FFFFFF"/>
              </w:rPr>
              <w:t>24657,4</w:t>
            </w:r>
          </w:p>
        </w:tc>
        <w:tc>
          <w:tcPr>
            <w:tcW w:w="14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sz w:val="20"/>
                <w:szCs w:val="20"/>
              </w:rPr>
            </w:pPr>
            <w:r>
              <w:rPr>
                <w:rFonts w:ascii="Times New Roman" w:eastAsia="Times New Roman" w:hAnsi="Times New Roman" w:cs="Times New Roman"/>
                <w:kern w:val="2"/>
                <w:sz w:val="20"/>
                <w:szCs w:val="20"/>
                <w:shd w:val="clear" w:color="auto" w:fill="FFFFFF"/>
              </w:rPr>
              <w:t>0,040</w:t>
            </w:r>
          </w:p>
        </w:tc>
        <w:tc>
          <w:tcPr>
            <w:tcW w:w="154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sz w:val="20"/>
                <w:szCs w:val="20"/>
              </w:rPr>
            </w:pPr>
            <w:r>
              <w:rPr>
                <w:rFonts w:ascii="Times New Roman" w:eastAsia="Times New Roman" w:hAnsi="Times New Roman" w:cs="Times New Roman"/>
                <w:kern w:val="2"/>
                <w:sz w:val="20"/>
                <w:szCs w:val="20"/>
                <w:shd w:val="clear" w:color="auto" w:fill="FFFFFF"/>
              </w:rPr>
              <w:t>0,040</w:t>
            </w:r>
          </w:p>
        </w:tc>
        <w:tc>
          <w:tcPr>
            <w:tcW w:w="128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sz w:val="20"/>
                <w:szCs w:val="20"/>
              </w:rPr>
            </w:pPr>
            <w:r>
              <w:rPr>
                <w:rFonts w:ascii="Times New Roman" w:eastAsia="Times New Roman" w:hAnsi="Times New Roman" w:cs="Times New Roman"/>
                <w:kern w:val="2"/>
                <w:sz w:val="20"/>
                <w:szCs w:val="20"/>
                <w:shd w:val="clear" w:color="auto" w:fill="FFFFFF"/>
              </w:rPr>
              <w:t>0,614</w:t>
            </w:r>
          </w:p>
        </w:tc>
        <w:tc>
          <w:tcPr>
            <w:tcW w:w="85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sz w:val="20"/>
                <w:szCs w:val="20"/>
              </w:rPr>
            </w:pPr>
            <w:r>
              <w:rPr>
                <w:rFonts w:ascii="Times New Roman" w:eastAsia="Times New Roman" w:hAnsi="Times New Roman" w:cs="Times New Roman"/>
                <w:kern w:val="2"/>
                <w:sz w:val="20"/>
                <w:szCs w:val="20"/>
                <w:shd w:val="clear" w:color="auto" w:fill="FFFFFF"/>
              </w:rPr>
              <w:t>0,024</w:t>
            </w:r>
          </w:p>
        </w:tc>
        <w:tc>
          <w:tcPr>
            <w:tcW w:w="692" w:type="dxa"/>
            <w:vMerge/>
            <w:tcBorders>
              <w:left w:val="single" w:sz="4" w:space="0" w:color="000000"/>
              <w:bottom w:val="single" w:sz="4" w:space="0" w:color="000000"/>
              <w:right w:val="single" w:sz="4" w:space="0" w:color="000000"/>
            </w:tcBorders>
          </w:tcPr>
          <w:p w:rsidR="00D227E2" w:rsidRDefault="00D227E2">
            <w:pPr>
              <w:widowControl w:val="0"/>
              <w:spacing w:after="0" w:line="240" w:lineRule="auto"/>
              <w:jc w:val="both"/>
              <w:rPr>
                <w:rFonts w:ascii="Times New Roman" w:eastAsia="NSimSun" w:hAnsi="Times New Roman" w:cs="Times New Roman"/>
                <w:kern w:val="2"/>
                <w:sz w:val="20"/>
                <w:szCs w:val="20"/>
                <w:shd w:val="clear" w:color="auto" w:fill="FFFFFF"/>
                <w:lang w:eastAsia="zh-CN" w:bidi="hi-IN"/>
              </w:rPr>
            </w:pPr>
          </w:p>
        </w:tc>
        <w:tc>
          <w:tcPr>
            <w:tcW w:w="850" w:type="dxa"/>
            <w:vMerge/>
            <w:tcBorders>
              <w:left w:val="single" w:sz="4" w:space="0" w:color="000000"/>
              <w:bottom w:val="single" w:sz="4" w:space="0" w:color="000000"/>
              <w:right w:val="single" w:sz="4" w:space="0" w:color="000000"/>
            </w:tcBorders>
          </w:tcPr>
          <w:p w:rsidR="00D227E2" w:rsidRDefault="00D227E2">
            <w:pPr>
              <w:widowControl w:val="0"/>
              <w:spacing w:after="0" w:line="240" w:lineRule="auto"/>
              <w:jc w:val="both"/>
              <w:rPr>
                <w:rFonts w:ascii="Times New Roman" w:eastAsia="NSimSun" w:hAnsi="Times New Roman" w:cs="Times New Roman"/>
                <w:kern w:val="2"/>
                <w:sz w:val="20"/>
                <w:szCs w:val="20"/>
                <w:shd w:val="clear" w:color="auto" w:fill="FFFFFF"/>
                <w:lang w:eastAsia="zh-CN" w:bidi="hi-IN"/>
              </w:rPr>
            </w:pPr>
          </w:p>
        </w:tc>
      </w:tr>
      <w:tr w:rsidR="00D227E2">
        <w:trPr>
          <w:trHeight w:val="134"/>
        </w:trPr>
        <w:tc>
          <w:tcPr>
            <w:tcW w:w="855" w:type="dxa"/>
            <w:vMerge/>
            <w:tcBorders>
              <w:left w:val="single" w:sz="4" w:space="0" w:color="000000"/>
              <w:bottom w:val="single" w:sz="4" w:space="0" w:color="000000"/>
              <w:right w:val="single" w:sz="4" w:space="0" w:color="000000"/>
            </w:tcBorders>
          </w:tcPr>
          <w:p w:rsidR="00D227E2" w:rsidRDefault="00D227E2">
            <w:pPr>
              <w:widowControl w:val="0"/>
              <w:spacing w:after="0" w:line="240" w:lineRule="auto"/>
              <w:jc w:val="both"/>
              <w:rPr>
                <w:rFonts w:ascii="Times New Roman" w:eastAsia="NSimSun" w:hAnsi="Times New Roman" w:cs="Times New Roman"/>
                <w:kern w:val="2"/>
                <w:sz w:val="20"/>
                <w:szCs w:val="20"/>
                <w:shd w:val="clear" w:color="auto" w:fill="FFFFFF"/>
                <w:lang w:eastAsia="zh-CN" w:bidi="hi-IN"/>
              </w:rPr>
            </w:pPr>
          </w:p>
        </w:tc>
        <w:tc>
          <w:tcPr>
            <w:tcW w:w="111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дрова (т)</w:t>
            </w:r>
          </w:p>
        </w:tc>
        <w:tc>
          <w:tcPr>
            <w:tcW w:w="112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sz w:val="20"/>
                <w:szCs w:val="20"/>
              </w:rPr>
            </w:pPr>
            <w:r>
              <w:rPr>
                <w:rFonts w:ascii="Times New Roman" w:eastAsia="Times New Roman" w:hAnsi="Times New Roman" w:cs="Times New Roman"/>
                <w:kern w:val="2"/>
                <w:sz w:val="20"/>
                <w:szCs w:val="20"/>
                <w:shd w:val="clear" w:color="auto" w:fill="FFFFFF"/>
              </w:rPr>
              <w:t>0,00</w:t>
            </w:r>
          </w:p>
        </w:tc>
        <w:tc>
          <w:tcPr>
            <w:tcW w:w="14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sz w:val="20"/>
                <w:szCs w:val="20"/>
              </w:rPr>
            </w:pPr>
            <w:r>
              <w:rPr>
                <w:rFonts w:ascii="Times New Roman" w:eastAsia="Times New Roman" w:hAnsi="Times New Roman" w:cs="Times New Roman"/>
                <w:kern w:val="2"/>
                <w:sz w:val="20"/>
                <w:szCs w:val="20"/>
                <w:shd w:val="clear" w:color="auto" w:fill="FFFFFF"/>
              </w:rPr>
              <w:t>0,00</w:t>
            </w:r>
          </w:p>
        </w:tc>
        <w:tc>
          <w:tcPr>
            <w:tcW w:w="154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sz w:val="20"/>
                <w:szCs w:val="20"/>
              </w:rPr>
            </w:pPr>
            <w:r>
              <w:rPr>
                <w:rFonts w:ascii="Times New Roman" w:eastAsia="Times New Roman" w:hAnsi="Times New Roman" w:cs="Times New Roman"/>
                <w:kern w:val="2"/>
                <w:sz w:val="20"/>
                <w:szCs w:val="20"/>
                <w:shd w:val="clear" w:color="auto" w:fill="FFFFFF"/>
              </w:rPr>
              <w:t>0,00</w:t>
            </w:r>
          </w:p>
        </w:tc>
        <w:tc>
          <w:tcPr>
            <w:tcW w:w="128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sz w:val="20"/>
                <w:szCs w:val="20"/>
              </w:rPr>
            </w:pPr>
            <w:r>
              <w:rPr>
                <w:rFonts w:ascii="Times New Roman" w:eastAsia="Times New Roman" w:hAnsi="Times New Roman" w:cs="Times New Roman"/>
                <w:kern w:val="2"/>
                <w:sz w:val="20"/>
                <w:szCs w:val="20"/>
                <w:shd w:val="clear" w:color="auto" w:fill="FFFFFF"/>
              </w:rPr>
              <w:t>0,007</w:t>
            </w:r>
          </w:p>
        </w:tc>
        <w:tc>
          <w:tcPr>
            <w:tcW w:w="85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sz w:val="20"/>
                <w:szCs w:val="20"/>
              </w:rPr>
            </w:pPr>
            <w:r>
              <w:rPr>
                <w:rFonts w:ascii="Times New Roman" w:eastAsia="Times New Roman" w:hAnsi="Times New Roman" w:cs="Times New Roman"/>
                <w:kern w:val="2"/>
                <w:sz w:val="20"/>
                <w:szCs w:val="20"/>
                <w:shd w:val="clear" w:color="auto" w:fill="FFFFFF"/>
              </w:rPr>
              <w:t>0,00</w:t>
            </w:r>
          </w:p>
        </w:tc>
        <w:tc>
          <w:tcPr>
            <w:tcW w:w="692" w:type="dxa"/>
            <w:vMerge/>
            <w:tcBorders>
              <w:left w:val="single" w:sz="4" w:space="0" w:color="000000"/>
              <w:bottom w:val="single" w:sz="4" w:space="0" w:color="000000"/>
              <w:right w:val="single" w:sz="4" w:space="0" w:color="000000"/>
            </w:tcBorders>
          </w:tcPr>
          <w:p w:rsidR="00D227E2" w:rsidRDefault="00D227E2">
            <w:pPr>
              <w:widowControl w:val="0"/>
              <w:spacing w:after="0" w:line="240" w:lineRule="auto"/>
              <w:jc w:val="both"/>
              <w:rPr>
                <w:rFonts w:ascii="Times New Roman" w:eastAsia="NSimSun" w:hAnsi="Times New Roman" w:cs="Times New Roman"/>
                <w:kern w:val="2"/>
                <w:sz w:val="20"/>
                <w:szCs w:val="20"/>
                <w:shd w:val="clear" w:color="auto" w:fill="FFFFFF"/>
                <w:lang w:eastAsia="zh-CN" w:bidi="hi-IN"/>
              </w:rPr>
            </w:pPr>
          </w:p>
        </w:tc>
        <w:tc>
          <w:tcPr>
            <w:tcW w:w="850" w:type="dxa"/>
            <w:vMerge/>
            <w:tcBorders>
              <w:left w:val="single" w:sz="4" w:space="0" w:color="000000"/>
              <w:bottom w:val="single" w:sz="4" w:space="0" w:color="000000"/>
              <w:right w:val="single" w:sz="4" w:space="0" w:color="000000"/>
            </w:tcBorders>
          </w:tcPr>
          <w:p w:rsidR="00D227E2" w:rsidRDefault="00D227E2">
            <w:pPr>
              <w:widowControl w:val="0"/>
              <w:spacing w:after="0" w:line="240" w:lineRule="auto"/>
              <w:jc w:val="both"/>
              <w:rPr>
                <w:rFonts w:ascii="Times New Roman" w:eastAsia="NSimSun" w:hAnsi="Times New Roman" w:cs="Times New Roman"/>
                <w:kern w:val="2"/>
                <w:sz w:val="20"/>
                <w:szCs w:val="20"/>
                <w:shd w:val="clear" w:color="auto" w:fill="FFFFFF"/>
                <w:lang w:eastAsia="zh-CN" w:bidi="hi-IN"/>
              </w:rPr>
            </w:pPr>
          </w:p>
        </w:tc>
      </w:tr>
      <w:tr w:rsidR="00D227E2">
        <w:trPr>
          <w:trHeight w:val="152"/>
        </w:trPr>
        <w:tc>
          <w:tcPr>
            <w:tcW w:w="855" w:type="dxa"/>
            <w:vMerge/>
            <w:tcBorders>
              <w:left w:val="single" w:sz="4" w:space="0" w:color="000000"/>
              <w:bottom w:val="single" w:sz="4" w:space="0" w:color="000000"/>
              <w:right w:val="single" w:sz="4" w:space="0" w:color="000000"/>
            </w:tcBorders>
          </w:tcPr>
          <w:p w:rsidR="00D227E2" w:rsidRDefault="00D227E2">
            <w:pPr>
              <w:widowControl w:val="0"/>
              <w:spacing w:after="0" w:line="240" w:lineRule="auto"/>
              <w:jc w:val="both"/>
              <w:rPr>
                <w:rFonts w:ascii="Times New Roman" w:eastAsia="NSimSun" w:hAnsi="Times New Roman" w:cs="Times New Roman"/>
                <w:kern w:val="2"/>
                <w:sz w:val="20"/>
                <w:szCs w:val="20"/>
                <w:shd w:val="clear" w:color="auto" w:fill="FFFFFF"/>
                <w:lang w:eastAsia="zh-CN" w:bidi="hi-IN"/>
              </w:rPr>
            </w:pPr>
          </w:p>
        </w:tc>
        <w:tc>
          <w:tcPr>
            <w:tcW w:w="111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sz w:val="20"/>
                <w:szCs w:val="20"/>
              </w:rPr>
            </w:pPr>
            <w:r>
              <w:rPr>
                <w:rFonts w:ascii="Times New Roman" w:eastAsia="Times New Roman" w:hAnsi="Times New Roman" w:cs="Times New Roman"/>
                <w:kern w:val="2"/>
                <w:sz w:val="20"/>
                <w:szCs w:val="20"/>
                <w:shd w:val="clear" w:color="auto" w:fill="FFFFFF"/>
              </w:rPr>
              <w:t>вугілля (т)</w:t>
            </w:r>
          </w:p>
        </w:tc>
        <w:tc>
          <w:tcPr>
            <w:tcW w:w="112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sz w:val="20"/>
                <w:szCs w:val="20"/>
              </w:rPr>
            </w:pPr>
            <w:r>
              <w:rPr>
                <w:rFonts w:ascii="Times New Roman" w:eastAsia="Times New Roman" w:hAnsi="Times New Roman" w:cs="Times New Roman"/>
                <w:kern w:val="2"/>
                <w:sz w:val="20"/>
                <w:szCs w:val="20"/>
                <w:shd w:val="clear" w:color="auto" w:fill="FFFFFF"/>
              </w:rPr>
              <w:t>0,00</w:t>
            </w:r>
          </w:p>
        </w:tc>
        <w:tc>
          <w:tcPr>
            <w:tcW w:w="144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sz w:val="20"/>
                <w:szCs w:val="20"/>
              </w:rPr>
            </w:pPr>
            <w:r>
              <w:rPr>
                <w:rFonts w:ascii="Times New Roman" w:eastAsia="Times New Roman" w:hAnsi="Times New Roman" w:cs="Times New Roman"/>
                <w:kern w:val="2"/>
                <w:sz w:val="20"/>
                <w:szCs w:val="20"/>
                <w:shd w:val="clear" w:color="auto" w:fill="FFFFFF"/>
              </w:rPr>
              <w:t>0,00</w:t>
            </w:r>
          </w:p>
        </w:tc>
        <w:tc>
          <w:tcPr>
            <w:tcW w:w="1543"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sz w:val="20"/>
                <w:szCs w:val="20"/>
              </w:rPr>
            </w:pPr>
            <w:r>
              <w:rPr>
                <w:rFonts w:ascii="Times New Roman" w:eastAsia="Times New Roman" w:hAnsi="Times New Roman" w:cs="Times New Roman"/>
                <w:kern w:val="2"/>
                <w:sz w:val="20"/>
                <w:szCs w:val="20"/>
                <w:shd w:val="clear" w:color="auto" w:fill="FFFFFF"/>
              </w:rPr>
              <w:t>0,00</w:t>
            </w:r>
          </w:p>
        </w:tc>
        <w:tc>
          <w:tcPr>
            <w:tcW w:w="1285"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sz w:val="20"/>
                <w:szCs w:val="20"/>
              </w:rPr>
            </w:pPr>
            <w:r>
              <w:rPr>
                <w:rFonts w:ascii="Times New Roman" w:eastAsia="Times New Roman" w:hAnsi="Times New Roman" w:cs="Times New Roman"/>
                <w:kern w:val="2"/>
                <w:sz w:val="20"/>
                <w:szCs w:val="20"/>
                <w:shd w:val="clear" w:color="auto" w:fill="FFFFFF"/>
              </w:rPr>
              <w:t>0,365</w:t>
            </w:r>
          </w:p>
        </w:tc>
        <w:tc>
          <w:tcPr>
            <w:tcW w:w="858"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sz w:val="20"/>
                <w:szCs w:val="20"/>
              </w:rPr>
            </w:pPr>
            <w:r>
              <w:rPr>
                <w:rFonts w:ascii="Times New Roman" w:eastAsia="Times New Roman" w:hAnsi="Times New Roman" w:cs="Times New Roman"/>
                <w:kern w:val="2"/>
                <w:sz w:val="20"/>
                <w:szCs w:val="20"/>
                <w:shd w:val="clear" w:color="auto" w:fill="FFFFFF"/>
              </w:rPr>
              <w:t>0,00</w:t>
            </w:r>
          </w:p>
        </w:tc>
        <w:tc>
          <w:tcPr>
            <w:tcW w:w="692" w:type="dxa"/>
            <w:vMerge/>
            <w:tcBorders>
              <w:left w:val="single" w:sz="4" w:space="0" w:color="000000"/>
              <w:bottom w:val="single" w:sz="4" w:space="0" w:color="000000"/>
              <w:right w:val="single" w:sz="4" w:space="0" w:color="000000"/>
            </w:tcBorders>
          </w:tcPr>
          <w:p w:rsidR="00D227E2" w:rsidRDefault="00D227E2">
            <w:pPr>
              <w:widowControl w:val="0"/>
              <w:spacing w:after="0" w:line="240" w:lineRule="auto"/>
              <w:jc w:val="both"/>
              <w:rPr>
                <w:rFonts w:ascii="Times New Roman" w:eastAsia="NSimSun" w:hAnsi="Times New Roman" w:cs="Times New Roman"/>
                <w:kern w:val="2"/>
                <w:sz w:val="20"/>
                <w:szCs w:val="20"/>
                <w:shd w:val="clear" w:color="auto" w:fill="FFFFFF"/>
                <w:lang w:eastAsia="zh-CN" w:bidi="hi-IN"/>
              </w:rPr>
            </w:pPr>
          </w:p>
        </w:tc>
        <w:tc>
          <w:tcPr>
            <w:tcW w:w="850" w:type="dxa"/>
            <w:vMerge/>
            <w:tcBorders>
              <w:left w:val="single" w:sz="4" w:space="0" w:color="000000"/>
              <w:bottom w:val="single" w:sz="4" w:space="0" w:color="000000"/>
              <w:right w:val="single" w:sz="4" w:space="0" w:color="000000"/>
            </w:tcBorders>
          </w:tcPr>
          <w:p w:rsidR="00D227E2" w:rsidRDefault="00D227E2">
            <w:pPr>
              <w:widowControl w:val="0"/>
              <w:spacing w:after="0" w:line="240" w:lineRule="auto"/>
              <w:jc w:val="both"/>
              <w:rPr>
                <w:rFonts w:ascii="Times New Roman" w:eastAsia="NSimSun" w:hAnsi="Times New Roman" w:cs="Times New Roman"/>
                <w:kern w:val="2"/>
                <w:sz w:val="20"/>
                <w:szCs w:val="20"/>
                <w:shd w:val="clear" w:color="auto" w:fill="FFFFFF"/>
                <w:lang w:eastAsia="zh-CN" w:bidi="hi-IN"/>
              </w:rPr>
            </w:pPr>
          </w:p>
        </w:tc>
      </w:tr>
    </w:tbl>
    <w:p w:rsidR="00D227E2" w:rsidRDefault="00D227E2">
      <w:pPr>
        <w:spacing w:after="0" w:line="240" w:lineRule="auto"/>
        <w:ind w:firstLine="510"/>
        <w:jc w:val="both"/>
        <w:rPr>
          <w:rFonts w:ascii="Times New Roman" w:eastAsia="NSimSun" w:hAnsi="Times New Roman" w:cs="Times New Roman"/>
          <w:kern w:val="2"/>
          <w:sz w:val="20"/>
          <w:szCs w:val="20"/>
          <w:shd w:val="clear" w:color="auto" w:fill="FFFFFF"/>
          <w:lang w:eastAsia="zh-CN" w:bidi="hi-IN"/>
        </w:rPr>
      </w:pPr>
    </w:p>
    <w:p w:rsidR="00D227E2" w:rsidRDefault="00934FC4">
      <w:pPr>
        <w:spacing w:after="0" w:line="240" w:lineRule="auto"/>
        <w:ind w:firstLine="510"/>
        <w:jc w:val="both"/>
        <w:rPr>
          <w:rFonts w:ascii="Times New Roman" w:hAnsi="Times New Roman" w:cs="Times New Roman"/>
        </w:rPr>
        <w:sectPr w:rsidR="00D227E2">
          <w:headerReference w:type="even" r:id="rId87"/>
          <w:headerReference w:type="default" r:id="rId88"/>
          <w:footerReference w:type="even" r:id="rId89"/>
          <w:footerReference w:type="default" r:id="rId90"/>
          <w:headerReference w:type="first" r:id="rId91"/>
          <w:pgSz w:w="11906" w:h="16838"/>
          <w:pgMar w:top="1134" w:right="567" w:bottom="1334" w:left="1701" w:header="0" w:footer="0" w:gutter="0"/>
          <w:pgNumType w:start="2"/>
          <w:cols w:space="720"/>
          <w:formProt w:val="0"/>
          <w:docGrid w:linePitch="100" w:charSpace="81920"/>
        </w:sectPr>
      </w:pPr>
      <w:r>
        <w:rPr>
          <w:rFonts w:ascii="Times New Roman" w:eastAsia="NSimSun" w:hAnsi="Times New Roman" w:cs="Times New Roman"/>
          <w:kern w:val="2"/>
          <w:sz w:val="24"/>
          <w:szCs w:val="24"/>
          <w:shd w:val="clear" w:color="auto" w:fill="FFFFFF"/>
          <w:lang w:eastAsia="zh-CN" w:bidi="hi-IN"/>
        </w:rPr>
        <w:t xml:space="preserve">Таким чином коефіцієнт </w:t>
      </w:r>
      <w:r>
        <w:rPr>
          <w:rFonts w:ascii="Times New Roman" w:hAnsi="Times New Roman" w:cs="Times New Roman"/>
          <w:sz w:val="24"/>
          <w:szCs w:val="24"/>
          <w:shd w:val="clear" w:color="auto" w:fill="FFFFFF"/>
          <w:lang w:eastAsia="ru-RU"/>
        </w:rPr>
        <w:t>СО</w:t>
      </w:r>
      <w:r>
        <w:rPr>
          <w:rFonts w:ascii="Times New Roman" w:hAnsi="Times New Roman" w:cs="Times New Roman"/>
          <w:sz w:val="24"/>
          <w:szCs w:val="24"/>
          <w:shd w:val="clear" w:color="auto" w:fill="FFFFFF"/>
          <w:vertAlign w:val="subscript"/>
          <w:lang w:eastAsia="ru-RU"/>
        </w:rPr>
        <w:t>2</w:t>
      </w:r>
      <w:r>
        <w:rPr>
          <w:rFonts w:ascii="Times New Roman" w:eastAsia="NSimSun" w:hAnsi="Times New Roman" w:cs="Times New Roman"/>
          <w:kern w:val="2"/>
          <w:sz w:val="24"/>
          <w:szCs w:val="24"/>
          <w:shd w:val="clear" w:color="auto" w:fill="FFFFFF"/>
          <w:lang w:eastAsia="zh-CN" w:bidi="hi-IN"/>
        </w:rPr>
        <w:t xml:space="preserve"> </w:t>
      </w:r>
      <w:r>
        <w:rPr>
          <w:rFonts w:ascii="Times New Roman" w:eastAsia="NSimSun" w:hAnsi="Times New Roman" w:cs="Times New Roman"/>
          <w:kern w:val="2"/>
          <w:sz w:val="24"/>
          <w:szCs w:val="24"/>
          <w:shd w:val="clear" w:color="auto" w:fill="FFFFFF"/>
          <w:vertAlign w:val="subscript"/>
          <w:lang w:eastAsia="zh-CN" w:bidi="hi-IN"/>
        </w:rPr>
        <w:t>екв.</w:t>
      </w:r>
      <w:r>
        <w:rPr>
          <w:rFonts w:ascii="Times New Roman" w:eastAsia="NSimSun" w:hAnsi="Times New Roman" w:cs="Times New Roman"/>
          <w:kern w:val="2"/>
          <w:sz w:val="24"/>
          <w:szCs w:val="24"/>
          <w:shd w:val="clear" w:color="auto" w:fill="FFFFFF"/>
          <w:lang w:eastAsia="zh-CN" w:bidi="hi-IN"/>
        </w:rPr>
        <w:t xml:space="preserve"> для тепла, станом на 2007 рік дорівнює 0,298 тонн/МВт.год.</w:t>
      </w:r>
      <w:r>
        <w:br w:type="page"/>
      </w:r>
    </w:p>
    <w:p w:rsidR="00D227E2" w:rsidRDefault="00934FC4">
      <w:pPr>
        <w:spacing w:after="0" w:line="240" w:lineRule="auto"/>
        <w:jc w:val="both"/>
        <w:outlineLvl w:val="1"/>
        <w:rPr>
          <w:rFonts w:ascii="Times New Roman" w:hAnsi="Times New Roman" w:cs="Times New Roman"/>
        </w:rPr>
      </w:pPr>
      <w:bookmarkStart w:id="11" w:name="_bookmark35_Copy_1"/>
      <w:bookmarkStart w:id="12" w:name="_bookmark35"/>
      <w:bookmarkEnd w:id="11"/>
      <w:bookmarkEnd w:id="12"/>
      <w:r>
        <w:rPr>
          <w:rFonts w:ascii="Times New Roman" w:eastAsia="Times New Roman" w:hAnsi="Times New Roman" w:cs="Times New Roman"/>
          <w:b/>
          <w:bCs/>
          <w:kern w:val="2"/>
          <w:sz w:val="24"/>
          <w:szCs w:val="24"/>
        </w:rPr>
        <w:lastRenderedPageBreak/>
        <w:t>4.4. Споживання енергоресурсів в натуральних одиницях за базовий 2007 рік</w:t>
      </w:r>
    </w:p>
    <w:p w:rsidR="00D227E2" w:rsidRDefault="00934FC4">
      <w:pPr>
        <w:spacing w:after="0"/>
        <w:jc w:val="both"/>
        <w:rPr>
          <w:rFonts w:ascii="Times New Roman" w:hAnsi="Times New Roman" w:cs="Times New Roman"/>
        </w:rPr>
      </w:pPr>
      <w:r>
        <w:rPr>
          <w:rFonts w:ascii="Times New Roman" w:eastAsia="NSimSun" w:hAnsi="Times New Roman" w:cs="Times New Roman"/>
          <w:kern w:val="2"/>
          <w:sz w:val="24"/>
          <w:szCs w:val="24"/>
          <w:lang w:eastAsia="zh-CN" w:bidi="hi-IN"/>
        </w:rPr>
        <w:t>Дані споживання енергоресурсів по визначеним секторам БКВ зібрані під час опитувань кінцевих споживачів енергії та енергопостачальників.</w:t>
      </w:r>
    </w:p>
    <w:p w:rsidR="00D227E2" w:rsidRDefault="00934FC4">
      <w:pPr>
        <w:spacing w:after="0"/>
        <w:jc w:val="center"/>
        <w:rPr>
          <w:rFonts w:ascii="Times New Roman" w:eastAsia="NSimSun" w:hAnsi="Times New Roman" w:cs="Times New Roman"/>
          <w:kern w:val="2"/>
          <w:sz w:val="24"/>
          <w:szCs w:val="24"/>
          <w:lang w:eastAsia="zh-CN" w:bidi="hi-IN"/>
        </w:rPr>
      </w:pPr>
      <w:r>
        <w:rPr>
          <w:rFonts w:ascii="Times New Roman" w:eastAsia="NSimSun" w:hAnsi="Times New Roman" w:cs="Times New Roman"/>
          <w:kern w:val="2"/>
          <w:sz w:val="24"/>
          <w:szCs w:val="24"/>
          <w:lang w:eastAsia="zh-CN" w:bidi="hi-IN"/>
        </w:rPr>
        <w:t>Таблиця 70. Кадастр споживання енергоресурсів у натуральних показниках для обраних секторів кінцевих споживачів за базовий 2007 рік</w:t>
      </w:r>
    </w:p>
    <w:p w:rsidR="00D227E2" w:rsidRDefault="00D227E2">
      <w:pPr>
        <w:spacing w:after="0"/>
        <w:jc w:val="center"/>
        <w:rPr>
          <w:rFonts w:ascii="Times New Roman" w:hAnsi="Times New Roman" w:cs="Times New Roman"/>
        </w:rPr>
      </w:pPr>
    </w:p>
    <w:tbl>
      <w:tblPr>
        <w:tblW w:w="14456" w:type="dxa"/>
        <w:tblInd w:w="391" w:type="dxa"/>
        <w:tblLayout w:type="fixed"/>
        <w:tblCellMar>
          <w:left w:w="10" w:type="dxa"/>
          <w:right w:w="10" w:type="dxa"/>
        </w:tblCellMar>
        <w:tblLook w:val="01E0" w:firstRow="1" w:lastRow="1" w:firstColumn="1" w:lastColumn="1" w:noHBand="0" w:noVBand="0"/>
      </w:tblPr>
      <w:tblGrid>
        <w:gridCol w:w="3253"/>
        <w:gridCol w:w="1444"/>
        <w:gridCol w:w="1331"/>
        <w:gridCol w:w="1465"/>
        <w:gridCol w:w="1343"/>
        <w:gridCol w:w="1642"/>
        <w:gridCol w:w="1210"/>
        <w:gridCol w:w="1185"/>
        <w:gridCol w:w="1583"/>
      </w:tblGrid>
      <w:tr w:rsidR="00D227E2">
        <w:trPr>
          <w:trHeight w:val="277"/>
        </w:trPr>
        <w:tc>
          <w:tcPr>
            <w:tcW w:w="3252" w:type="dxa"/>
            <w:vMerge w:val="restart"/>
            <w:tcBorders>
              <w:top w:val="single" w:sz="8" w:space="0" w:color="000000"/>
              <w:left w:val="single" w:sz="8" w:space="0" w:color="000000"/>
              <w:bottom w:val="single" w:sz="8" w:space="0" w:color="000000"/>
              <w:right w:val="single" w:sz="8" w:space="0" w:color="000000"/>
            </w:tcBorders>
            <w:shd w:val="clear" w:color="auto" w:fill="auto"/>
          </w:tcPr>
          <w:p w:rsidR="00D227E2" w:rsidRDefault="00D227E2">
            <w:pPr>
              <w:widowControl w:val="0"/>
              <w:spacing w:after="0" w:line="240" w:lineRule="auto"/>
              <w:jc w:val="center"/>
              <w:rPr>
                <w:rFonts w:ascii="Times New Roman" w:eastAsia="Times New Roman" w:hAnsi="Times New Roman" w:cs="Times New Roman"/>
                <w:kern w:val="2"/>
              </w:rPr>
            </w:pPr>
          </w:p>
          <w:p w:rsidR="00D227E2" w:rsidRDefault="00D227E2">
            <w:pPr>
              <w:widowControl w:val="0"/>
              <w:spacing w:after="0" w:line="240" w:lineRule="auto"/>
              <w:jc w:val="center"/>
              <w:rPr>
                <w:rFonts w:ascii="Times New Roman" w:eastAsia="Times New Roman" w:hAnsi="Times New Roman" w:cs="Times New Roman"/>
                <w:kern w:val="2"/>
              </w:rPr>
            </w:pPr>
          </w:p>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Сектори кінцевих споживачів енергоресурсів</w:t>
            </w:r>
          </w:p>
        </w:tc>
        <w:tc>
          <w:tcPr>
            <w:tcW w:w="11202" w:type="dxa"/>
            <w:gridSpan w:val="8"/>
            <w:tcBorders>
              <w:top w:val="single" w:sz="8" w:space="0" w:color="000000"/>
              <w:left w:val="single" w:sz="8" w:space="0" w:color="000000"/>
              <w:bottom w:val="single" w:sz="8"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Обсяги споживання енергоресурсів (натуральні показники)</w:t>
            </w:r>
          </w:p>
        </w:tc>
      </w:tr>
      <w:tr w:rsidR="00D227E2">
        <w:trPr>
          <w:trHeight w:val="275"/>
        </w:trPr>
        <w:tc>
          <w:tcPr>
            <w:tcW w:w="3252" w:type="dxa"/>
            <w:vMerge/>
            <w:tcBorders>
              <w:left w:val="single" w:sz="8" w:space="0" w:color="000000"/>
              <w:bottom w:val="single" w:sz="8" w:space="0" w:color="000000"/>
              <w:right w:val="single" w:sz="8" w:space="0" w:color="000000"/>
            </w:tcBorders>
            <w:shd w:val="clear" w:color="auto" w:fill="auto"/>
          </w:tcPr>
          <w:p w:rsidR="00D227E2" w:rsidRDefault="00D227E2">
            <w:pPr>
              <w:widowControl w:val="0"/>
              <w:spacing w:after="0" w:line="240" w:lineRule="auto"/>
              <w:jc w:val="center"/>
              <w:rPr>
                <w:rFonts w:ascii="Times New Roman" w:eastAsia="NSimSun" w:hAnsi="Times New Roman" w:cs="Times New Roman"/>
                <w:kern w:val="2"/>
                <w:lang w:eastAsia="zh-CN" w:bidi="hi-IN"/>
              </w:rPr>
            </w:pPr>
          </w:p>
        </w:tc>
        <w:tc>
          <w:tcPr>
            <w:tcW w:w="1443" w:type="dxa"/>
            <w:vMerge w:val="restart"/>
            <w:tcBorders>
              <w:top w:val="single" w:sz="8" w:space="0" w:color="000000"/>
              <w:left w:val="single" w:sz="8" w:space="0" w:color="000000"/>
              <w:right w:val="single" w:sz="8" w:space="0" w:color="000000"/>
            </w:tcBorders>
            <w:shd w:val="clear" w:color="auto" w:fill="auto"/>
          </w:tcPr>
          <w:p w:rsidR="00D227E2" w:rsidRDefault="00D227E2">
            <w:pPr>
              <w:widowControl w:val="0"/>
              <w:spacing w:after="0" w:line="240" w:lineRule="auto"/>
              <w:jc w:val="center"/>
              <w:rPr>
                <w:rFonts w:ascii="Times New Roman" w:eastAsia="Times New Roman" w:hAnsi="Times New Roman" w:cs="Times New Roman"/>
                <w:kern w:val="2"/>
              </w:rPr>
            </w:pPr>
          </w:p>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Електроенергія</w:t>
            </w:r>
          </w:p>
        </w:tc>
        <w:tc>
          <w:tcPr>
            <w:tcW w:w="1331" w:type="dxa"/>
            <w:vMerge w:val="restart"/>
            <w:tcBorders>
              <w:top w:val="single" w:sz="8" w:space="0" w:color="000000"/>
              <w:left w:val="single" w:sz="8" w:space="0" w:color="000000"/>
              <w:right w:val="single" w:sz="8" w:space="0" w:color="000000"/>
            </w:tcBorders>
            <w:shd w:val="clear" w:color="auto" w:fill="auto"/>
          </w:tcPr>
          <w:p w:rsidR="00D227E2" w:rsidRDefault="00D227E2">
            <w:pPr>
              <w:widowControl w:val="0"/>
              <w:spacing w:after="0" w:line="240" w:lineRule="auto"/>
              <w:jc w:val="center"/>
              <w:rPr>
                <w:rFonts w:ascii="Times New Roman" w:eastAsia="Times New Roman" w:hAnsi="Times New Roman" w:cs="Times New Roman"/>
                <w:kern w:val="2"/>
              </w:rPr>
            </w:pPr>
          </w:p>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Теплова енергія</w:t>
            </w:r>
          </w:p>
        </w:tc>
        <w:tc>
          <w:tcPr>
            <w:tcW w:w="6845" w:type="dxa"/>
            <w:gridSpan w:val="5"/>
            <w:tcBorders>
              <w:top w:val="single" w:sz="8" w:space="0" w:color="000000"/>
              <w:left w:val="single" w:sz="8" w:space="0" w:color="000000"/>
              <w:bottom w:val="single" w:sz="8"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Видобувні види палива</w:t>
            </w:r>
          </w:p>
        </w:tc>
        <w:tc>
          <w:tcPr>
            <w:tcW w:w="1583" w:type="dxa"/>
            <w:vMerge w:val="restart"/>
            <w:tcBorders>
              <w:top w:val="single" w:sz="8" w:space="0" w:color="000000"/>
              <w:left w:val="single" w:sz="4"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Деревина (дрова, щепа,</w:t>
            </w:r>
          </w:p>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пелети)</w:t>
            </w:r>
          </w:p>
        </w:tc>
      </w:tr>
      <w:tr w:rsidR="00D227E2">
        <w:trPr>
          <w:trHeight w:val="822"/>
        </w:trPr>
        <w:tc>
          <w:tcPr>
            <w:tcW w:w="3252" w:type="dxa"/>
            <w:vMerge/>
            <w:tcBorders>
              <w:left w:val="single" w:sz="8" w:space="0" w:color="000000"/>
              <w:bottom w:val="single" w:sz="8" w:space="0" w:color="000000"/>
              <w:right w:val="single" w:sz="8" w:space="0" w:color="000000"/>
            </w:tcBorders>
            <w:shd w:val="clear" w:color="auto" w:fill="auto"/>
          </w:tcPr>
          <w:p w:rsidR="00D227E2" w:rsidRDefault="00D227E2">
            <w:pPr>
              <w:widowControl w:val="0"/>
              <w:spacing w:after="0" w:line="240" w:lineRule="auto"/>
              <w:jc w:val="center"/>
              <w:rPr>
                <w:rFonts w:ascii="Times New Roman" w:eastAsia="NSimSun" w:hAnsi="Times New Roman" w:cs="Times New Roman"/>
                <w:kern w:val="2"/>
                <w:lang w:eastAsia="zh-CN" w:bidi="hi-IN"/>
              </w:rPr>
            </w:pPr>
          </w:p>
        </w:tc>
        <w:tc>
          <w:tcPr>
            <w:tcW w:w="1443" w:type="dxa"/>
            <w:vMerge/>
            <w:tcBorders>
              <w:top w:val="single" w:sz="8" w:space="0" w:color="000000"/>
              <w:left w:val="single" w:sz="8" w:space="0" w:color="000000"/>
              <w:right w:val="single" w:sz="8" w:space="0" w:color="000000"/>
            </w:tcBorders>
            <w:shd w:val="clear" w:color="auto" w:fill="auto"/>
          </w:tcPr>
          <w:p w:rsidR="00D227E2" w:rsidRDefault="00D227E2">
            <w:pPr>
              <w:widowControl w:val="0"/>
              <w:spacing w:after="0" w:line="240" w:lineRule="auto"/>
              <w:jc w:val="center"/>
              <w:rPr>
                <w:rFonts w:ascii="Times New Roman" w:eastAsia="Times New Roman" w:hAnsi="Times New Roman" w:cs="Times New Roman"/>
                <w:kern w:val="2"/>
              </w:rPr>
            </w:pPr>
          </w:p>
        </w:tc>
        <w:tc>
          <w:tcPr>
            <w:tcW w:w="1331" w:type="dxa"/>
            <w:vMerge/>
            <w:tcBorders>
              <w:top w:val="single" w:sz="8" w:space="0" w:color="000000"/>
              <w:left w:val="single" w:sz="8" w:space="0" w:color="000000"/>
              <w:right w:val="single" w:sz="8" w:space="0" w:color="000000"/>
            </w:tcBorders>
            <w:shd w:val="clear" w:color="auto" w:fill="auto"/>
          </w:tcPr>
          <w:p w:rsidR="00D227E2" w:rsidRDefault="00D227E2">
            <w:pPr>
              <w:widowControl w:val="0"/>
              <w:spacing w:after="0" w:line="240" w:lineRule="auto"/>
              <w:jc w:val="center"/>
              <w:rPr>
                <w:rFonts w:ascii="Times New Roman" w:eastAsia="Times New Roman" w:hAnsi="Times New Roman" w:cs="Times New Roman"/>
                <w:kern w:val="2"/>
              </w:rPr>
            </w:pPr>
          </w:p>
        </w:tc>
        <w:tc>
          <w:tcPr>
            <w:tcW w:w="1465" w:type="dxa"/>
            <w:tcBorders>
              <w:top w:val="single" w:sz="8" w:space="0" w:color="000000"/>
              <w:left w:val="single" w:sz="8"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Природний газ</w:t>
            </w:r>
          </w:p>
        </w:tc>
        <w:tc>
          <w:tcPr>
            <w:tcW w:w="1343" w:type="dxa"/>
            <w:tcBorders>
              <w:top w:val="single" w:sz="8" w:space="0" w:color="000000"/>
              <w:left w:val="single" w:sz="8"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Стиснений газ</w:t>
            </w:r>
          </w:p>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(метан)</w:t>
            </w:r>
          </w:p>
        </w:tc>
        <w:tc>
          <w:tcPr>
            <w:tcW w:w="1642" w:type="dxa"/>
            <w:tcBorders>
              <w:top w:val="single" w:sz="8" w:space="0" w:color="000000"/>
              <w:left w:val="single" w:sz="8"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Скраплений газ (пропан-</w:t>
            </w:r>
          </w:p>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бутан)</w:t>
            </w:r>
          </w:p>
        </w:tc>
        <w:tc>
          <w:tcPr>
            <w:tcW w:w="1210" w:type="dxa"/>
            <w:tcBorders>
              <w:top w:val="single" w:sz="8" w:space="0" w:color="000000"/>
              <w:left w:val="single" w:sz="8"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Дизельне пальне</w:t>
            </w:r>
          </w:p>
        </w:tc>
        <w:tc>
          <w:tcPr>
            <w:tcW w:w="1185" w:type="dxa"/>
            <w:tcBorders>
              <w:top w:val="single" w:sz="8" w:space="0" w:color="000000"/>
              <w:left w:val="single" w:sz="8" w:space="0" w:color="000000"/>
              <w:right w:val="single" w:sz="4" w:space="0" w:color="000000"/>
            </w:tcBorders>
            <w:shd w:val="clear" w:color="auto" w:fill="auto"/>
          </w:tcPr>
          <w:p w:rsidR="00D227E2" w:rsidRDefault="00D227E2">
            <w:pPr>
              <w:widowControl w:val="0"/>
              <w:spacing w:after="0" w:line="240" w:lineRule="auto"/>
              <w:jc w:val="center"/>
              <w:rPr>
                <w:rFonts w:ascii="Times New Roman" w:eastAsia="Times New Roman" w:hAnsi="Times New Roman" w:cs="Times New Roman"/>
                <w:kern w:val="2"/>
              </w:rPr>
            </w:pPr>
          </w:p>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Бензин</w:t>
            </w:r>
          </w:p>
        </w:tc>
        <w:tc>
          <w:tcPr>
            <w:tcW w:w="1583" w:type="dxa"/>
            <w:vMerge/>
            <w:tcBorders>
              <w:left w:val="single" w:sz="4" w:space="0" w:color="000000"/>
              <w:right w:val="single" w:sz="8" w:space="0" w:color="000000"/>
            </w:tcBorders>
            <w:shd w:val="clear" w:color="auto" w:fill="auto"/>
          </w:tcPr>
          <w:p w:rsidR="00D227E2" w:rsidRDefault="00D227E2">
            <w:pPr>
              <w:widowControl w:val="0"/>
              <w:spacing w:after="0" w:line="240" w:lineRule="auto"/>
              <w:jc w:val="center"/>
              <w:rPr>
                <w:rFonts w:ascii="Times New Roman" w:eastAsia="NSimSun" w:hAnsi="Times New Roman" w:cs="Times New Roman"/>
                <w:kern w:val="2"/>
                <w:lang w:eastAsia="zh-CN" w:bidi="hi-IN"/>
              </w:rPr>
            </w:pPr>
          </w:p>
        </w:tc>
      </w:tr>
      <w:tr w:rsidR="00D227E2">
        <w:trPr>
          <w:trHeight w:val="282"/>
        </w:trPr>
        <w:tc>
          <w:tcPr>
            <w:tcW w:w="3252" w:type="dxa"/>
            <w:vMerge/>
            <w:tcBorders>
              <w:left w:val="single" w:sz="8" w:space="0" w:color="000000"/>
              <w:bottom w:val="single" w:sz="8" w:space="0" w:color="000000"/>
              <w:right w:val="single" w:sz="8" w:space="0" w:color="000000"/>
            </w:tcBorders>
            <w:shd w:val="clear" w:color="auto" w:fill="auto"/>
          </w:tcPr>
          <w:p w:rsidR="00D227E2" w:rsidRDefault="00D227E2">
            <w:pPr>
              <w:widowControl w:val="0"/>
              <w:spacing w:after="0" w:line="240" w:lineRule="auto"/>
              <w:jc w:val="center"/>
              <w:rPr>
                <w:rFonts w:ascii="Times New Roman" w:eastAsia="NSimSun" w:hAnsi="Times New Roman" w:cs="Times New Roman"/>
                <w:kern w:val="2"/>
                <w:lang w:eastAsia="zh-CN" w:bidi="hi-IN"/>
              </w:rPr>
            </w:pPr>
          </w:p>
        </w:tc>
        <w:tc>
          <w:tcPr>
            <w:tcW w:w="1443" w:type="dxa"/>
            <w:tcBorders>
              <w:top w:val="single" w:sz="8" w:space="0" w:color="000000"/>
              <w:left w:val="single" w:sz="8" w:space="0" w:color="000000"/>
              <w:bottom w:val="single" w:sz="8" w:space="0" w:color="000000"/>
            </w:tcBorders>
            <w:shd w:val="clear" w:color="auto" w:fill="auto"/>
          </w:tcPr>
          <w:p w:rsidR="00D227E2" w:rsidRDefault="00934FC4">
            <w:pPr>
              <w:widowControl w:val="0"/>
              <w:spacing w:after="0"/>
              <w:jc w:val="center"/>
              <w:rPr>
                <w:rFonts w:ascii="Times New Roman" w:hAnsi="Times New Roman" w:cs="Times New Roman"/>
              </w:rPr>
            </w:pPr>
            <w:r>
              <w:rPr>
                <w:rFonts w:ascii="Times New Roman" w:eastAsia="NSimSun" w:hAnsi="Times New Roman" w:cs="Times New Roman"/>
                <w:kern w:val="2"/>
                <w:lang w:eastAsia="zh-CN" w:bidi="hi-IN"/>
              </w:rPr>
              <w:t>МВт.год.</w:t>
            </w:r>
          </w:p>
        </w:tc>
        <w:tc>
          <w:tcPr>
            <w:tcW w:w="1331" w:type="dxa"/>
            <w:tcBorders>
              <w:top w:val="single" w:sz="8" w:space="0" w:color="000000"/>
              <w:left w:val="single" w:sz="8" w:space="0" w:color="000000"/>
              <w:bottom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Гкал</w:t>
            </w:r>
          </w:p>
        </w:tc>
        <w:tc>
          <w:tcPr>
            <w:tcW w:w="1465" w:type="dxa"/>
            <w:tcBorders>
              <w:top w:val="single" w:sz="8" w:space="0" w:color="000000"/>
              <w:left w:val="single" w:sz="8" w:space="0" w:color="000000"/>
              <w:bottom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тис.м</w:t>
            </w:r>
            <w:r>
              <w:rPr>
                <w:rFonts w:ascii="Times New Roman" w:eastAsia="Times New Roman" w:hAnsi="Times New Roman" w:cs="Times New Roman"/>
                <w:kern w:val="2"/>
                <w:vertAlign w:val="superscript"/>
              </w:rPr>
              <w:t>3</w:t>
            </w:r>
          </w:p>
        </w:tc>
        <w:tc>
          <w:tcPr>
            <w:tcW w:w="1343" w:type="dxa"/>
            <w:tcBorders>
              <w:top w:val="single" w:sz="8" w:space="0" w:color="000000"/>
              <w:left w:val="single" w:sz="8" w:space="0" w:color="000000"/>
              <w:bottom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тис.м</w:t>
            </w:r>
            <w:r>
              <w:rPr>
                <w:rFonts w:ascii="Times New Roman" w:eastAsia="Times New Roman" w:hAnsi="Times New Roman" w:cs="Times New Roman"/>
                <w:kern w:val="2"/>
                <w:vertAlign w:val="superscript"/>
              </w:rPr>
              <w:t>3</w:t>
            </w:r>
          </w:p>
        </w:tc>
        <w:tc>
          <w:tcPr>
            <w:tcW w:w="1642" w:type="dxa"/>
            <w:tcBorders>
              <w:top w:val="single" w:sz="8" w:space="0" w:color="000000"/>
              <w:left w:val="single" w:sz="8" w:space="0" w:color="000000"/>
              <w:bottom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м</w:t>
            </w:r>
            <w:r>
              <w:rPr>
                <w:rFonts w:ascii="Times New Roman" w:eastAsia="Times New Roman" w:hAnsi="Times New Roman" w:cs="Times New Roman"/>
                <w:kern w:val="2"/>
                <w:vertAlign w:val="superscript"/>
              </w:rPr>
              <w:t>3</w:t>
            </w:r>
          </w:p>
        </w:tc>
        <w:tc>
          <w:tcPr>
            <w:tcW w:w="1210" w:type="dxa"/>
            <w:tcBorders>
              <w:top w:val="single" w:sz="8" w:space="0" w:color="000000"/>
              <w:left w:val="single" w:sz="8" w:space="0" w:color="000000"/>
              <w:bottom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тонн</w:t>
            </w:r>
          </w:p>
        </w:tc>
        <w:tc>
          <w:tcPr>
            <w:tcW w:w="1185" w:type="dxa"/>
            <w:tcBorders>
              <w:top w:val="single" w:sz="8" w:space="0" w:color="000000"/>
              <w:left w:val="single" w:sz="8" w:space="0" w:color="000000"/>
              <w:bottom w:val="single" w:sz="8"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тонн</w:t>
            </w:r>
          </w:p>
        </w:tc>
        <w:tc>
          <w:tcPr>
            <w:tcW w:w="1583" w:type="dxa"/>
            <w:tcBorders>
              <w:top w:val="single" w:sz="8" w:space="0" w:color="000000"/>
              <w:left w:val="single" w:sz="4" w:space="0" w:color="000000"/>
              <w:bottom w:val="single" w:sz="8"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тонн</w:t>
            </w:r>
          </w:p>
        </w:tc>
      </w:tr>
      <w:tr w:rsidR="00D227E2">
        <w:trPr>
          <w:trHeight w:val="275"/>
        </w:trPr>
        <w:tc>
          <w:tcPr>
            <w:tcW w:w="14454" w:type="dxa"/>
            <w:gridSpan w:val="9"/>
            <w:tcBorders>
              <w:top w:val="single" w:sz="8" w:space="0" w:color="000000"/>
              <w:left w:val="single" w:sz="8" w:space="0" w:color="000000"/>
              <w:bottom w:val="single" w:sz="8" w:space="0" w:color="000000"/>
              <w:right w:val="single" w:sz="8"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Будівлі, обладнання/об’єкти</w:t>
            </w:r>
          </w:p>
        </w:tc>
      </w:tr>
      <w:tr w:rsidR="00D227E2">
        <w:trPr>
          <w:trHeight w:val="275"/>
        </w:trPr>
        <w:tc>
          <w:tcPr>
            <w:tcW w:w="3252" w:type="dxa"/>
            <w:tcBorders>
              <w:top w:val="single" w:sz="8" w:space="0" w:color="000000"/>
              <w:left w:val="single" w:sz="8" w:space="0" w:color="000000"/>
              <w:bottom w:val="single" w:sz="8" w:space="0" w:color="000000"/>
              <w:right w:val="single" w:sz="8" w:space="0" w:color="000000"/>
            </w:tcBorders>
            <w:shd w:val="clear" w:color="auto" w:fill="auto"/>
          </w:tcPr>
          <w:p w:rsidR="00D227E2" w:rsidRDefault="00934FC4">
            <w:pPr>
              <w:widowControl w:val="0"/>
              <w:spacing w:after="0" w:line="270" w:lineRule="atLeast"/>
              <w:ind w:left="107" w:right="812"/>
              <w:rPr>
                <w:rFonts w:ascii="Times New Roman" w:hAnsi="Times New Roman" w:cs="Times New Roman"/>
              </w:rPr>
            </w:pPr>
            <w:r>
              <w:rPr>
                <w:rFonts w:ascii="Times New Roman" w:eastAsia="Times New Roman" w:hAnsi="Times New Roman" w:cs="Times New Roman"/>
                <w:kern w:val="2"/>
              </w:rPr>
              <w:t>Муніципальні будівлі,</w:t>
            </w:r>
            <w:r>
              <w:rPr>
                <w:rFonts w:ascii="Times New Roman" w:eastAsia="Times New Roman" w:hAnsi="Times New Roman" w:cs="Times New Roman"/>
                <w:spacing w:val="-58"/>
                <w:kern w:val="2"/>
              </w:rPr>
              <w:t xml:space="preserve"> </w:t>
            </w:r>
            <w:r>
              <w:rPr>
                <w:rFonts w:ascii="Times New Roman" w:eastAsia="Times New Roman" w:hAnsi="Times New Roman" w:cs="Times New Roman"/>
                <w:kern w:val="2"/>
              </w:rPr>
              <w:t>обладнання/об’єкти</w:t>
            </w:r>
          </w:p>
        </w:tc>
        <w:tc>
          <w:tcPr>
            <w:tcW w:w="144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114 983,4</w:t>
            </w:r>
          </w:p>
        </w:tc>
        <w:tc>
          <w:tcPr>
            <w:tcW w:w="1331"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89 355</w:t>
            </w:r>
          </w:p>
        </w:tc>
        <w:tc>
          <w:tcPr>
            <w:tcW w:w="146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4 654,3</w:t>
            </w:r>
          </w:p>
        </w:tc>
        <w:tc>
          <w:tcPr>
            <w:tcW w:w="134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0,0</w:t>
            </w:r>
          </w:p>
        </w:tc>
        <w:tc>
          <w:tcPr>
            <w:tcW w:w="164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0,0</w:t>
            </w:r>
          </w:p>
        </w:tc>
        <w:tc>
          <w:tcPr>
            <w:tcW w:w="12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0,0</w:t>
            </w:r>
          </w:p>
        </w:tc>
        <w:tc>
          <w:tcPr>
            <w:tcW w:w="1185" w:type="dxa"/>
            <w:tcBorders>
              <w:top w:val="single" w:sz="8" w:space="0" w:color="000000"/>
              <w:left w:val="single" w:sz="8" w:space="0" w:color="000000"/>
              <w:bottom w:val="single" w:sz="8"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0,0</w:t>
            </w:r>
          </w:p>
        </w:tc>
        <w:tc>
          <w:tcPr>
            <w:tcW w:w="1583" w:type="dxa"/>
            <w:tcBorders>
              <w:top w:val="single" w:sz="8" w:space="0" w:color="000000"/>
              <w:left w:val="single" w:sz="4"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0,0</w:t>
            </w:r>
          </w:p>
        </w:tc>
      </w:tr>
      <w:tr w:rsidR="00D227E2">
        <w:trPr>
          <w:trHeight w:val="246"/>
        </w:trPr>
        <w:tc>
          <w:tcPr>
            <w:tcW w:w="3252" w:type="dxa"/>
            <w:tcBorders>
              <w:top w:val="single" w:sz="8" w:space="0" w:color="000000"/>
              <w:left w:val="single" w:sz="8" w:space="0" w:color="000000"/>
              <w:bottom w:val="single" w:sz="8" w:space="0" w:color="000000"/>
              <w:right w:val="single" w:sz="8" w:space="0" w:color="000000"/>
            </w:tcBorders>
            <w:shd w:val="clear" w:color="auto" w:fill="auto"/>
          </w:tcPr>
          <w:p w:rsidR="00D227E2" w:rsidRDefault="00934FC4">
            <w:pPr>
              <w:widowControl w:val="0"/>
              <w:spacing w:after="0" w:line="255" w:lineRule="exact"/>
              <w:ind w:left="107"/>
              <w:rPr>
                <w:rFonts w:ascii="Times New Roman" w:hAnsi="Times New Roman" w:cs="Times New Roman"/>
              </w:rPr>
            </w:pPr>
            <w:r>
              <w:rPr>
                <w:rFonts w:ascii="Times New Roman" w:eastAsia="Times New Roman" w:hAnsi="Times New Roman" w:cs="Times New Roman"/>
                <w:kern w:val="2"/>
              </w:rPr>
              <w:t>Муніципальне</w:t>
            </w:r>
            <w:r>
              <w:rPr>
                <w:rFonts w:ascii="Times New Roman" w:eastAsia="Times New Roman" w:hAnsi="Times New Roman" w:cs="Times New Roman"/>
                <w:spacing w:val="-6"/>
                <w:kern w:val="2"/>
              </w:rPr>
              <w:t xml:space="preserve"> </w:t>
            </w:r>
            <w:r>
              <w:rPr>
                <w:rFonts w:ascii="Times New Roman" w:eastAsia="Times New Roman" w:hAnsi="Times New Roman" w:cs="Times New Roman"/>
                <w:kern w:val="2"/>
              </w:rPr>
              <w:t>освітлення</w:t>
            </w:r>
          </w:p>
        </w:tc>
        <w:tc>
          <w:tcPr>
            <w:tcW w:w="144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3 236</w:t>
            </w:r>
          </w:p>
        </w:tc>
        <w:tc>
          <w:tcPr>
            <w:tcW w:w="1331"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0,0</w:t>
            </w:r>
          </w:p>
        </w:tc>
        <w:tc>
          <w:tcPr>
            <w:tcW w:w="146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0,0</w:t>
            </w:r>
          </w:p>
        </w:tc>
        <w:tc>
          <w:tcPr>
            <w:tcW w:w="134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0,0</w:t>
            </w:r>
          </w:p>
        </w:tc>
        <w:tc>
          <w:tcPr>
            <w:tcW w:w="164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0,0</w:t>
            </w:r>
          </w:p>
        </w:tc>
        <w:tc>
          <w:tcPr>
            <w:tcW w:w="12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0,0</w:t>
            </w:r>
          </w:p>
        </w:tc>
        <w:tc>
          <w:tcPr>
            <w:tcW w:w="1185" w:type="dxa"/>
            <w:tcBorders>
              <w:top w:val="single" w:sz="8" w:space="0" w:color="000000"/>
              <w:left w:val="single" w:sz="8" w:space="0" w:color="000000"/>
              <w:bottom w:val="single" w:sz="8"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0,0</w:t>
            </w:r>
          </w:p>
        </w:tc>
        <w:tc>
          <w:tcPr>
            <w:tcW w:w="1583" w:type="dxa"/>
            <w:tcBorders>
              <w:top w:val="single" w:sz="8" w:space="0" w:color="000000"/>
              <w:left w:val="single" w:sz="4"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0,0</w:t>
            </w:r>
          </w:p>
        </w:tc>
      </w:tr>
      <w:tr w:rsidR="00D227E2">
        <w:trPr>
          <w:trHeight w:val="275"/>
        </w:trPr>
        <w:tc>
          <w:tcPr>
            <w:tcW w:w="14454" w:type="dxa"/>
            <w:gridSpan w:val="9"/>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Третинні будівлі,</w:t>
            </w:r>
            <w:r>
              <w:rPr>
                <w:rFonts w:ascii="Times New Roman" w:eastAsia="Times New Roman" w:hAnsi="Times New Roman" w:cs="Times New Roman"/>
                <w:spacing w:val="1"/>
                <w:kern w:val="2"/>
              </w:rPr>
              <w:t xml:space="preserve"> </w:t>
            </w:r>
            <w:r>
              <w:rPr>
                <w:rFonts w:ascii="Times New Roman" w:eastAsia="Times New Roman" w:hAnsi="Times New Roman" w:cs="Times New Roman"/>
                <w:kern w:val="2"/>
              </w:rPr>
              <w:t>обладнання/об’єкти</w:t>
            </w:r>
          </w:p>
        </w:tc>
      </w:tr>
      <w:tr w:rsidR="00D227E2">
        <w:trPr>
          <w:trHeight w:val="275"/>
        </w:trPr>
        <w:tc>
          <w:tcPr>
            <w:tcW w:w="3252" w:type="dxa"/>
            <w:tcBorders>
              <w:left w:val="single" w:sz="8" w:space="0" w:color="000000"/>
              <w:bottom w:val="single" w:sz="8" w:space="0" w:color="000000"/>
              <w:right w:val="single" w:sz="8" w:space="0" w:color="000000"/>
            </w:tcBorders>
            <w:shd w:val="clear" w:color="auto" w:fill="auto"/>
          </w:tcPr>
          <w:p w:rsidR="00D227E2" w:rsidRDefault="00934FC4">
            <w:pPr>
              <w:widowControl w:val="0"/>
              <w:spacing w:after="0" w:line="270" w:lineRule="atLeast"/>
              <w:ind w:left="107" w:right="1091"/>
              <w:rPr>
                <w:rFonts w:ascii="Times New Roman" w:hAnsi="Times New Roman" w:cs="Times New Roman"/>
              </w:rPr>
            </w:pPr>
            <w:r>
              <w:rPr>
                <w:rFonts w:ascii="Times New Roman" w:eastAsia="Times New Roman" w:hAnsi="Times New Roman" w:cs="Times New Roman"/>
                <w:kern w:val="2"/>
              </w:rPr>
              <w:t>Третинні будівлі,</w:t>
            </w:r>
            <w:r>
              <w:rPr>
                <w:rFonts w:ascii="Times New Roman" w:eastAsia="Times New Roman" w:hAnsi="Times New Roman" w:cs="Times New Roman"/>
                <w:spacing w:val="1"/>
                <w:kern w:val="2"/>
              </w:rPr>
              <w:t xml:space="preserve"> </w:t>
            </w:r>
            <w:r>
              <w:rPr>
                <w:rFonts w:ascii="Times New Roman" w:eastAsia="Times New Roman" w:hAnsi="Times New Roman" w:cs="Times New Roman"/>
                <w:spacing w:val="-1"/>
                <w:kern w:val="2"/>
              </w:rPr>
              <w:t>обладнання/об’єкти</w:t>
            </w:r>
          </w:p>
        </w:tc>
        <w:tc>
          <w:tcPr>
            <w:tcW w:w="1443" w:type="dxa"/>
            <w:tcBorders>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105 856</w:t>
            </w:r>
          </w:p>
        </w:tc>
        <w:tc>
          <w:tcPr>
            <w:tcW w:w="1331" w:type="dxa"/>
            <w:tcBorders>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31 630</w:t>
            </w:r>
          </w:p>
        </w:tc>
        <w:tc>
          <w:tcPr>
            <w:tcW w:w="1465" w:type="dxa"/>
            <w:tcBorders>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10 286</w:t>
            </w:r>
          </w:p>
        </w:tc>
        <w:tc>
          <w:tcPr>
            <w:tcW w:w="1343" w:type="dxa"/>
            <w:tcBorders>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0,0</w:t>
            </w:r>
          </w:p>
        </w:tc>
        <w:tc>
          <w:tcPr>
            <w:tcW w:w="1642" w:type="dxa"/>
            <w:tcBorders>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0,0</w:t>
            </w:r>
          </w:p>
        </w:tc>
        <w:tc>
          <w:tcPr>
            <w:tcW w:w="1210" w:type="dxa"/>
            <w:tcBorders>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0,0</w:t>
            </w:r>
          </w:p>
        </w:tc>
        <w:tc>
          <w:tcPr>
            <w:tcW w:w="1185" w:type="dxa"/>
            <w:tcBorders>
              <w:left w:val="single" w:sz="8" w:space="0" w:color="000000"/>
              <w:bottom w:val="single" w:sz="8"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0,0</w:t>
            </w:r>
          </w:p>
        </w:tc>
        <w:tc>
          <w:tcPr>
            <w:tcW w:w="1583" w:type="dxa"/>
            <w:tcBorders>
              <w:left w:val="single" w:sz="4"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0,0</w:t>
            </w:r>
          </w:p>
        </w:tc>
      </w:tr>
      <w:tr w:rsidR="00D227E2">
        <w:trPr>
          <w:trHeight w:val="275"/>
        </w:trPr>
        <w:tc>
          <w:tcPr>
            <w:tcW w:w="3252" w:type="dxa"/>
            <w:tcBorders>
              <w:left w:val="single" w:sz="8" w:space="0" w:color="000000"/>
              <w:bottom w:val="single" w:sz="8" w:space="0" w:color="000000"/>
              <w:right w:val="single" w:sz="8" w:space="0" w:color="000000"/>
            </w:tcBorders>
            <w:shd w:val="clear" w:color="auto" w:fill="auto"/>
          </w:tcPr>
          <w:p w:rsidR="00D227E2" w:rsidRDefault="00934FC4">
            <w:pPr>
              <w:widowControl w:val="0"/>
              <w:spacing w:after="0" w:line="255" w:lineRule="exact"/>
              <w:ind w:left="107"/>
              <w:rPr>
                <w:rFonts w:ascii="Times New Roman" w:hAnsi="Times New Roman" w:cs="Times New Roman"/>
              </w:rPr>
            </w:pPr>
            <w:r>
              <w:rPr>
                <w:rFonts w:ascii="Times New Roman" w:eastAsia="Times New Roman" w:hAnsi="Times New Roman" w:cs="Times New Roman"/>
                <w:kern w:val="2"/>
              </w:rPr>
              <w:t>Житлові</w:t>
            </w:r>
            <w:r>
              <w:rPr>
                <w:rFonts w:ascii="Times New Roman" w:eastAsia="Times New Roman" w:hAnsi="Times New Roman" w:cs="Times New Roman"/>
                <w:spacing w:val="-4"/>
                <w:kern w:val="2"/>
              </w:rPr>
              <w:t xml:space="preserve"> </w:t>
            </w:r>
            <w:r>
              <w:rPr>
                <w:rFonts w:ascii="Times New Roman" w:eastAsia="Times New Roman" w:hAnsi="Times New Roman" w:cs="Times New Roman"/>
                <w:kern w:val="2"/>
              </w:rPr>
              <w:t>будинки</w:t>
            </w:r>
          </w:p>
        </w:tc>
        <w:tc>
          <w:tcPr>
            <w:tcW w:w="1443" w:type="dxa"/>
            <w:tcBorders>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113 371</w:t>
            </w:r>
          </w:p>
        </w:tc>
        <w:tc>
          <w:tcPr>
            <w:tcW w:w="1331" w:type="dxa"/>
            <w:tcBorders>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485 380</w:t>
            </w:r>
          </w:p>
        </w:tc>
        <w:tc>
          <w:tcPr>
            <w:tcW w:w="1465" w:type="dxa"/>
            <w:tcBorders>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71 544,5</w:t>
            </w:r>
          </w:p>
        </w:tc>
        <w:tc>
          <w:tcPr>
            <w:tcW w:w="1343" w:type="dxa"/>
            <w:tcBorders>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0,0</w:t>
            </w:r>
          </w:p>
        </w:tc>
        <w:tc>
          <w:tcPr>
            <w:tcW w:w="1642" w:type="dxa"/>
            <w:tcBorders>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0,0</w:t>
            </w:r>
          </w:p>
        </w:tc>
        <w:tc>
          <w:tcPr>
            <w:tcW w:w="1210" w:type="dxa"/>
            <w:tcBorders>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0,0</w:t>
            </w:r>
          </w:p>
        </w:tc>
        <w:tc>
          <w:tcPr>
            <w:tcW w:w="1185" w:type="dxa"/>
            <w:tcBorders>
              <w:left w:val="single" w:sz="8" w:space="0" w:color="000000"/>
              <w:bottom w:val="single" w:sz="8"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0,0</w:t>
            </w:r>
          </w:p>
        </w:tc>
        <w:tc>
          <w:tcPr>
            <w:tcW w:w="1583" w:type="dxa"/>
            <w:tcBorders>
              <w:left w:val="single" w:sz="4"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13 892,0</w:t>
            </w:r>
          </w:p>
        </w:tc>
      </w:tr>
      <w:tr w:rsidR="00D227E2">
        <w:trPr>
          <w:trHeight w:val="275"/>
        </w:trPr>
        <w:tc>
          <w:tcPr>
            <w:tcW w:w="14454" w:type="dxa"/>
            <w:gridSpan w:val="9"/>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Транспорт</w:t>
            </w:r>
          </w:p>
        </w:tc>
      </w:tr>
      <w:tr w:rsidR="00D227E2">
        <w:trPr>
          <w:trHeight w:val="216"/>
        </w:trPr>
        <w:tc>
          <w:tcPr>
            <w:tcW w:w="3252" w:type="dxa"/>
            <w:tcBorders>
              <w:top w:val="single" w:sz="8" w:space="0" w:color="000000"/>
              <w:left w:val="single" w:sz="8" w:space="0" w:color="000000"/>
              <w:bottom w:val="single" w:sz="8" w:space="0" w:color="000000"/>
              <w:right w:val="single" w:sz="8" w:space="0" w:color="000000"/>
            </w:tcBorders>
            <w:shd w:val="clear" w:color="auto" w:fill="auto"/>
          </w:tcPr>
          <w:p w:rsidR="00D227E2" w:rsidRDefault="00934FC4">
            <w:pPr>
              <w:widowControl w:val="0"/>
              <w:spacing w:after="0" w:line="240" w:lineRule="auto"/>
              <w:jc w:val="both"/>
              <w:rPr>
                <w:rFonts w:ascii="Times New Roman" w:hAnsi="Times New Roman" w:cs="Times New Roman"/>
              </w:rPr>
            </w:pPr>
            <w:r>
              <w:rPr>
                <w:rFonts w:ascii="Times New Roman" w:eastAsia="Times New Roman" w:hAnsi="Times New Roman" w:cs="Times New Roman"/>
                <w:kern w:val="2"/>
              </w:rPr>
              <w:t>Муніципальний транспорт</w:t>
            </w:r>
          </w:p>
        </w:tc>
        <w:tc>
          <w:tcPr>
            <w:tcW w:w="144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0,0</w:t>
            </w:r>
          </w:p>
        </w:tc>
        <w:tc>
          <w:tcPr>
            <w:tcW w:w="1331"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0,0</w:t>
            </w:r>
          </w:p>
        </w:tc>
        <w:tc>
          <w:tcPr>
            <w:tcW w:w="146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0,0</w:t>
            </w:r>
          </w:p>
        </w:tc>
        <w:tc>
          <w:tcPr>
            <w:tcW w:w="134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0,0</w:t>
            </w:r>
          </w:p>
        </w:tc>
        <w:tc>
          <w:tcPr>
            <w:tcW w:w="164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hAnsi="Times New Roman" w:cs="Times New Roman"/>
              </w:rPr>
              <w:t>183,41</w:t>
            </w:r>
          </w:p>
        </w:tc>
        <w:tc>
          <w:tcPr>
            <w:tcW w:w="12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1 153,93</w:t>
            </w:r>
          </w:p>
        </w:tc>
        <w:tc>
          <w:tcPr>
            <w:tcW w:w="1185" w:type="dxa"/>
            <w:tcBorders>
              <w:top w:val="single" w:sz="8" w:space="0" w:color="000000"/>
              <w:left w:val="single" w:sz="8" w:space="0" w:color="000000"/>
              <w:bottom w:val="single" w:sz="8"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77,06</w:t>
            </w:r>
          </w:p>
        </w:tc>
        <w:tc>
          <w:tcPr>
            <w:tcW w:w="1583" w:type="dxa"/>
            <w:tcBorders>
              <w:top w:val="single" w:sz="8" w:space="0" w:color="000000"/>
              <w:left w:val="single" w:sz="4"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0,0</w:t>
            </w:r>
          </w:p>
        </w:tc>
      </w:tr>
      <w:tr w:rsidR="00D227E2">
        <w:trPr>
          <w:trHeight w:val="277"/>
        </w:trPr>
        <w:tc>
          <w:tcPr>
            <w:tcW w:w="3252" w:type="dxa"/>
            <w:tcBorders>
              <w:top w:val="single" w:sz="8" w:space="0" w:color="000000"/>
              <w:left w:val="single" w:sz="8" w:space="0" w:color="000000"/>
              <w:bottom w:val="single" w:sz="8" w:space="0" w:color="000000"/>
              <w:right w:val="single" w:sz="8" w:space="0" w:color="000000"/>
            </w:tcBorders>
            <w:shd w:val="clear" w:color="auto" w:fill="auto"/>
          </w:tcPr>
          <w:p w:rsidR="00D227E2" w:rsidRDefault="00934FC4">
            <w:pPr>
              <w:widowControl w:val="0"/>
              <w:spacing w:after="0" w:line="240" w:lineRule="auto"/>
              <w:jc w:val="both"/>
              <w:rPr>
                <w:rFonts w:ascii="Times New Roman" w:hAnsi="Times New Roman" w:cs="Times New Roman"/>
              </w:rPr>
            </w:pPr>
            <w:r>
              <w:rPr>
                <w:rFonts w:ascii="Times New Roman" w:eastAsia="Times New Roman" w:hAnsi="Times New Roman" w:cs="Times New Roman"/>
                <w:kern w:val="2"/>
              </w:rPr>
              <w:t>Громадський транспорт</w:t>
            </w:r>
          </w:p>
        </w:tc>
        <w:tc>
          <w:tcPr>
            <w:tcW w:w="144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8 944,9</w:t>
            </w:r>
          </w:p>
        </w:tc>
        <w:tc>
          <w:tcPr>
            <w:tcW w:w="1331"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0,0</w:t>
            </w:r>
          </w:p>
        </w:tc>
        <w:tc>
          <w:tcPr>
            <w:tcW w:w="146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0,0</w:t>
            </w:r>
          </w:p>
        </w:tc>
        <w:tc>
          <w:tcPr>
            <w:tcW w:w="134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0,0</w:t>
            </w:r>
          </w:p>
        </w:tc>
        <w:tc>
          <w:tcPr>
            <w:tcW w:w="164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0,0</w:t>
            </w:r>
          </w:p>
        </w:tc>
        <w:tc>
          <w:tcPr>
            <w:tcW w:w="12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2 747,14</w:t>
            </w:r>
          </w:p>
        </w:tc>
        <w:tc>
          <w:tcPr>
            <w:tcW w:w="1185" w:type="dxa"/>
            <w:tcBorders>
              <w:top w:val="single" w:sz="8" w:space="0" w:color="000000"/>
              <w:left w:val="single" w:sz="8" w:space="0" w:color="000000"/>
              <w:bottom w:val="single" w:sz="8"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0,0</w:t>
            </w:r>
          </w:p>
        </w:tc>
        <w:tc>
          <w:tcPr>
            <w:tcW w:w="1583" w:type="dxa"/>
            <w:tcBorders>
              <w:top w:val="single" w:sz="8" w:space="0" w:color="000000"/>
              <w:left w:val="single" w:sz="4"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0,0</w:t>
            </w:r>
          </w:p>
        </w:tc>
      </w:tr>
      <w:tr w:rsidR="00D227E2">
        <w:trPr>
          <w:trHeight w:val="551"/>
        </w:trPr>
        <w:tc>
          <w:tcPr>
            <w:tcW w:w="3252" w:type="dxa"/>
            <w:tcBorders>
              <w:top w:val="single" w:sz="8" w:space="0" w:color="000000"/>
              <w:left w:val="single" w:sz="8" w:space="0" w:color="000000"/>
              <w:bottom w:val="single" w:sz="8" w:space="0" w:color="000000"/>
              <w:right w:val="single" w:sz="8" w:space="0" w:color="000000"/>
            </w:tcBorders>
            <w:shd w:val="clear" w:color="auto" w:fill="auto"/>
          </w:tcPr>
          <w:p w:rsidR="00D227E2" w:rsidRDefault="00934FC4">
            <w:pPr>
              <w:widowControl w:val="0"/>
              <w:spacing w:after="0" w:line="240" w:lineRule="auto"/>
              <w:jc w:val="both"/>
              <w:rPr>
                <w:rFonts w:ascii="Times New Roman" w:hAnsi="Times New Roman" w:cs="Times New Roman"/>
              </w:rPr>
            </w:pPr>
            <w:r>
              <w:rPr>
                <w:rFonts w:ascii="Times New Roman" w:eastAsia="Times New Roman" w:hAnsi="Times New Roman" w:cs="Times New Roman"/>
                <w:kern w:val="2"/>
              </w:rPr>
              <w:t>Приватний та комерційний транспорт</w:t>
            </w:r>
          </w:p>
        </w:tc>
        <w:tc>
          <w:tcPr>
            <w:tcW w:w="144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0,0</w:t>
            </w:r>
          </w:p>
        </w:tc>
        <w:tc>
          <w:tcPr>
            <w:tcW w:w="1331"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0,0</w:t>
            </w:r>
          </w:p>
        </w:tc>
        <w:tc>
          <w:tcPr>
            <w:tcW w:w="146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0,0</w:t>
            </w:r>
          </w:p>
        </w:tc>
        <w:tc>
          <w:tcPr>
            <w:tcW w:w="134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19,23</w:t>
            </w:r>
          </w:p>
        </w:tc>
        <w:tc>
          <w:tcPr>
            <w:tcW w:w="164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2 535,33</w:t>
            </w:r>
          </w:p>
        </w:tc>
        <w:tc>
          <w:tcPr>
            <w:tcW w:w="12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16 892,97</w:t>
            </w:r>
          </w:p>
        </w:tc>
        <w:tc>
          <w:tcPr>
            <w:tcW w:w="1185" w:type="dxa"/>
            <w:tcBorders>
              <w:top w:val="single" w:sz="8" w:space="0" w:color="000000"/>
              <w:left w:val="single" w:sz="8" w:space="0" w:color="000000"/>
              <w:bottom w:val="single" w:sz="8"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13 7776,7</w:t>
            </w:r>
          </w:p>
        </w:tc>
        <w:tc>
          <w:tcPr>
            <w:tcW w:w="1583" w:type="dxa"/>
            <w:tcBorders>
              <w:top w:val="single" w:sz="8" w:space="0" w:color="000000"/>
              <w:left w:val="single" w:sz="4"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0,0</w:t>
            </w:r>
          </w:p>
        </w:tc>
      </w:tr>
      <w:tr w:rsidR="00D227E2">
        <w:trPr>
          <w:trHeight w:val="275"/>
        </w:trPr>
        <w:tc>
          <w:tcPr>
            <w:tcW w:w="3252" w:type="dxa"/>
            <w:tcBorders>
              <w:top w:val="single" w:sz="8" w:space="0" w:color="000000"/>
              <w:left w:val="single" w:sz="8" w:space="0" w:color="000000"/>
              <w:bottom w:val="single" w:sz="8" w:space="0" w:color="000000"/>
              <w:right w:val="single" w:sz="8" w:space="0" w:color="000000"/>
            </w:tcBorders>
            <w:shd w:val="clear" w:color="auto" w:fill="auto"/>
          </w:tcPr>
          <w:p w:rsidR="00D227E2" w:rsidRDefault="00934FC4">
            <w:pPr>
              <w:widowControl w:val="0"/>
              <w:spacing w:after="0" w:line="240" w:lineRule="auto"/>
              <w:jc w:val="both"/>
              <w:rPr>
                <w:rFonts w:ascii="Times New Roman" w:hAnsi="Times New Roman" w:cs="Times New Roman"/>
              </w:rPr>
            </w:pPr>
            <w:r>
              <w:rPr>
                <w:rFonts w:ascii="Times New Roman" w:eastAsia="Times New Roman" w:hAnsi="Times New Roman" w:cs="Times New Roman"/>
                <w:kern w:val="2"/>
              </w:rPr>
              <w:t>Усього</w:t>
            </w:r>
          </w:p>
        </w:tc>
        <w:tc>
          <w:tcPr>
            <w:tcW w:w="144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346 391,3</w:t>
            </w:r>
          </w:p>
        </w:tc>
        <w:tc>
          <w:tcPr>
            <w:tcW w:w="1331"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606 365</w:t>
            </w:r>
          </w:p>
        </w:tc>
        <w:tc>
          <w:tcPr>
            <w:tcW w:w="146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86 484,8</w:t>
            </w:r>
          </w:p>
        </w:tc>
        <w:tc>
          <w:tcPr>
            <w:tcW w:w="1343"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19,23</w:t>
            </w:r>
          </w:p>
        </w:tc>
        <w:tc>
          <w:tcPr>
            <w:tcW w:w="164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2 718,74</w:t>
            </w:r>
          </w:p>
        </w:tc>
        <w:tc>
          <w:tcPr>
            <w:tcW w:w="12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20 794,04</w:t>
            </w:r>
          </w:p>
        </w:tc>
        <w:tc>
          <w:tcPr>
            <w:tcW w:w="1185" w:type="dxa"/>
            <w:tcBorders>
              <w:top w:val="single" w:sz="8" w:space="0" w:color="000000"/>
              <w:left w:val="single" w:sz="8" w:space="0" w:color="000000"/>
              <w:bottom w:val="single" w:sz="8" w:space="0" w:color="000000"/>
              <w:right w:val="single" w:sz="4"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13 853,76</w:t>
            </w:r>
          </w:p>
        </w:tc>
        <w:tc>
          <w:tcPr>
            <w:tcW w:w="1583" w:type="dxa"/>
            <w:tcBorders>
              <w:top w:val="single" w:sz="8" w:space="0" w:color="000000"/>
              <w:left w:val="single" w:sz="4" w:space="0" w:color="000000"/>
              <w:bottom w:val="single" w:sz="8" w:space="0" w:color="000000"/>
              <w:right w:val="single" w:sz="8" w:space="0" w:color="000000"/>
            </w:tcBorders>
            <w:shd w:val="clear" w:color="auto" w:fill="auto"/>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rPr>
              <w:t>13 892,0</w:t>
            </w:r>
          </w:p>
        </w:tc>
      </w:tr>
    </w:tbl>
    <w:p w:rsidR="00D227E2" w:rsidRDefault="00D227E2">
      <w:pPr>
        <w:sectPr w:rsidR="00D227E2">
          <w:headerReference w:type="even" r:id="rId92"/>
          <w:headerReference w:type="default" r:id="rId93"/>
          <w:footerReference w:type="even" r:id="rId94"/>
          <w:footerReference w:type="default" r:id="rId95"/>
          <w:headerReference w:type="first" r:id="rId96"/>
          <w:footerReference w:type="first" r:id="rId97"/>
          <w:pgSz w:w="16838" w:h="11906" w:orient="landscape"/>
          <w:pgMar w:top="780" w:right="480" w:bottom="1200" w:left="1000" w:header="0" w:footer="0" w:gutter="0"/>
          <w:cols w:space="720"/>
          <w:formProt w:val="0"/>
          <w:docGrid w:linePitch="100" w:charSpace="81920"/>
        </w:sectPr>
      </w:pPr>
    </w:p>
    <w:p w:rsidR="00D227E2" w:rsidRDefault="00934FC4">
      <w:pPr>
        <w:spacing w:after="0" w:line="240" w:lineRule="auto"/>
        <w:jc w:val="both"/>
        <w:outlineLvl w:val="1"/>
        <w:rPr>
          <w:rFonts w:ascii="Times New Roman" w:hAnsi="Times New Roman" w:cs="Times New Roman"/>
        </w:rPr>
      </w:pPr>
      <w:bookmarkStart w:id="13" w:name="_bookmark36_Copy_1"/>
      <w:bookmarkStart w:id="14" w:name="_bookmark36"/>
      <w:bookmarkEnd w:id="13"/>
      <w:bookmarkEnd w:id="14"/>
      <w:r>
        <w:rPr>
          <w:rFonts w:ascii="Times New Roman" w:eastAsia="Times New Roman" w:hAnsi="Times New Roman" w:cs="Times New Roman"/>
          <w:b/>
          <w:bCs/>
          <w:kern w:val="2"/>
          <w:sz w:val="24"/>
          <w:szCs w:val="24"/>
        </w:rPr>
        <w:lastRenderedPageBreak/>
        <w:t>4.5. Споживання енергоресурсів в МВт.год за базовий 2007 рік</w:t>
      </w:r>
    </w:p>
    <w:p w:rsidR="00D227E2" w:rsidRDefault="00934FC4">
      <w:pPr>
        <w:spacing w:after="140"/>
        <w:rPr>
          <w:rFonts w:ascii="Times New Roman" w:hAnsi="Times New Roman" w:cs="Times New Roman"/>
        </w:rPr>
      </w:pPr>
      <w:r>
        <w:rPr>
          <w:rFonts w:ascii="Times New Roman" w:eastAsia="NSimSun" w:hAnsi="Times New Roman" w:cs="Times New Roman"/>
          <w:kern w:val="2"/>
          <w:sz w:val="24"/>
          <w:szCs w:val="24"/>
          <w:lang w:eastAsia="zh-CN" w:bidi="hi-IN"/>
        </w:rPr>
        <w:t>Коефіцієнти переведення з натуральних показників споживання енергоресурсів в МВт.год. представлені в підрозділі 4.3.</w:t>
      </w:r>
    </w:p>
    <w:p w:rsidR="00D227E2" w:rsidRDefault="00934FC4">
      <w:pPr>
        <w:spacing w:after="140"/>
        <w:jc w:val="center"/>
        <w:rPr>
          <w:rFonts w:ascii="Times New Roman" w:hAnsi="Times New Roman" w:cs="Times New Roman"/>
        </w:rPr>
      </w:pPr>
      <w:r>
        <w:rPr>
          <w:rFonts w:ascii="Times New Roman" w:eastAsia="NSimSun" w:hAnsi="Times New Roman" w:cs="Times New Roman"/>
          <w:kern w:val="2"/>
          <w:sz w:val="24"/>
          <w:szCs w:val="24"/>
          <w:lang w:eastAsia="zh-CN" w:bidi="hi-IN"/>
        </w:rPr>
        <w:t>Таблиця 71. Кадастр споживання енергоресурсів для обраних секторів кінцевих споживачів за базовий 2007 рік (МВт.год)</w:t>
      </w:r>
    </w:p>
    <w:tbl>
      <w:tblPr>
        <w:tblW w:w="14353" w:type="dxa"/>
        <w:tblInd w:w="439" w:type="dxa"/>
        <w:tblLayout w:type="fixed"/>
        <w:tblCellMar>
          <w:left w:w="10" w:type="dxa"/>
          <w:right w:w="10" w:type="dxa"/>
        </w:tblCellMar>
        <w:tblLook w:val="01E0" w:firstRow="1" w:lastRow="1" w:firstColumn="1" w:lastColumn="1" w:noHBand="0" w:noVBand="0"/>
      </w:tblPr>
      <w:tblGrid>
        <w:gridCol w:w="2416"/>
        <w:gridCol w:w="1134"/>
        <w:gridCol w:w="1128"/>
        <w:gridCol w:w="1270"/>
        <w:gridCol w:w="1272"/>
        <w:gridCol w:w="1019"/>
        <w:gridCol w:w="1131"/>
        <w:gridCol w:w="989"/>
        <w:gridCol w:w="1131"/>
        <w:gridCol w:w="1412"/>
        <w:gridCol w:w="1411"/>
        <w:gridCol w:w="40"/>
      </w:tblGrid>
      <w:tr w:rsidR="00D227E2">
        <w:trPr>
          <w:cantSplit/>
          <w:trHeight w:val="216"/>
        </w:trPr>
        <w:tc>
          <w:tcPr>
            <w:tcW w:w="2415" w:type="dxa"/>
            <w:vMerge w:val="restart"/>
            <w:tcBorders>
              <w:top w:val="single" w:sz="8" w:space="0" w:color="000000"/>
              <w:left w:val="single" w:sz="8" w:space="0" w:color="000000"/>
              <w:bottom w:val="single" w:sz="8" w:space="0" w:color="000000"/>
              <w:right w:val="single" w:sz="8" w:space="0" w:color="000000"/>
            </w:tcBorders>
            <w:shd w:val="clear" w:color="auto" w:fill="auto"/>
          </w:tcPr>
          <w:p w:rsidR="00D227E2" w:rsidRDefault="00D227E2">
            <w:pPr>
              <w:widowControl w:val="0"/>
              <w:spacing w:after="0" w:line="240" w:lineRule="auto"/>
              <w:jc w:val="center"/>
              <w:rPr>
                <w:rFonts w:ascii="Times New Roman" w:eastAsia="Times New Roman" w:hAnsi="Times New Roman" w:cs="Times New Roman"/>
                <w:kern w:val="2"/>
              </w:rPr>
            </w:pPr>
          </w:p>
          <w:p w:rsidR="00D227E2" w:rsidRDefault="00934FC4">
            <w:pPr>
              <w:widowControl w:val="0"/>
              <w:spacing w:after="0" w:line="240" w:lineRule="auto"/>
              <w:jc w:val="center"/>
            </w:pPr>
            <w:r>
              <w:rPr>
                <w:rFonts w:ascii="Times New Roman" w:eastAsia="Times New Roman" w:hAnsi="Times New Roman" w:cs="Times New Roman"/>
                <w:kern w:val="2"/>
              </w:rPr>
              <w:t>Сектори кінцевих споживачів</w:t>
            </w:r>
          </w:p>
          <w:p w:rsidR="00D227E2" w:rsidRDefault="00934FC4">
            <w:pPr>
              <w:widowControl w:val="0"/>
              <w:spacing w:after="0" w:line="240" w:lineRule="auto"/>
              <w:jc w:val="center"/>
            </w:pPr>
            <w:r>
              <w:rPr>
                <w:rFonts w:ascii="Times New Roman" w:eastAsia="Times New Roman" w:hAnsi="Times New Roman" w:cs="Times New Roman"/>
                <w:kern w:val="2"/>
              </w:rPr>
              <w:t>енергоресурсів</w:t>
            </w:r>
          </w:p>
        </w:tc>
        <w:tc>
          <w:tcPr>
            <w:tcW w:w="9074" w:type="dxa"/>
            <w:gridSpan w:val="8"/>
            <w:tcBorders>
              <w:top w:val="single" w:sz="8" w:space="0" w:color="000000"/>
              <w:left w:val="single" w:sz="8" w:space="0" w:color="000000"/>
              <w:bottom w:val="single" w:sz="8" w:space="0" w:color="000000"/>
              <w:right w:val="single" w:sz="8" w:space="0" w:color="000000"/>
            </w:tcBorders>
            <w:shd w:val="clear" w:color="auto" w:fill="auto"/>
          </w:tcPr>
          <w:p w:rsidR="00D227E2" w:rsidRDefault="00934FC4">
            <w:pPr>
              <w:widowControl w:val="0"/>
              <w:spacing w:after="0" w:line="240" w:lineRule="auto"/>
              <w:jc w:val="center"/>
            </w:pPr>
            <w:r>
              <w:rPr>
                <w:rFonts w:ascii="Times New Roman" w:eastAsia="Times New Roman" w:hAnsi="Times New Roman" w:cs="Times New Roman"/>
                <w:kern w:val="2"/>
              </w:rPr>
              <w:t>Обсяги споживання енергоресурсів (МВт.год.)</w:t>
            </w:r>
          </w:p>
        </w:tc>
        <w:tc>
          <w:tcPr>
            <w:tcW w:w="1412" w:type="dxa"/>
            <w:vMerge w:val="restart"/>
            <w:tcBorders>
              <w:top w:val="single" w:sz="8" w:space="0" w:color="000000"/>
              <w:left w:val="single" w:sz="8" w:space="0" w:color="000000"/>
              <w:bottom w:val="single" w:sz="8" w:space="0" w:color="000000"/>
              <w:right w:val="single" w:sz="8" w:space="0" w:color="000000"/>
            </w:tcBorders>
            <w:shd w:val="clear" w:color="auto" w:fill="auto"/>
          </w:tcPr>
          <w:p w:rsidR="00D227E2" w:rsidRDefault="00D227E2">
            <w:pPr>
              <w:widowControl w:val="0"/>
              <w:spacing w:after="0" w:line="240" w:lineRule="auto"/>
              <w:jc w:val="center"/>
              <w:rPr>
                <w:rFonts w:ascii="Times New Roman" w:eastAsia="Times New Roman" w:hAnsi="Times New Roman" w:cs="Times New Roman"/>
                <w:kern w:val="2"/>
              </w:rPr>
            </w:pPr>
          </w:p>
          <w:p w:rsidR="00D227E2" w:rsidRDefault="00934FC4">
            <w:pPr>
              <w:widowControl w:val="0"/>
              <w:spacing w:after="0" w:line="240" w:lineRule="auto"/>
              <w:jc w:val="center"/>
            </w:pPr>
            <w:r>
              <w:rPr>
                <w:rFonts w:ascii="Times New Roman" w:eastAsia="Times New Roman" w:hAnsi="Times New Roman" w:cs="Times New Roman"/>
                <w:kern w:val="2"/>
              </w:rPr>
              <w:t>Загальне енергоспоживання, МВт.год</w:t>
            </w:r>
          </w:p>
        </w:tc>
        <w:tc>
          <w:tcPr>
            <w:tcW w:w="1411" w:type="dxa"/>
            <w:vMerge w:val="restart"/>
            <w:tcBorders>
              <w:top w:val="single" w:sz="8" w:space="0" w:color="000000"/>
              <w:left w:val="single" w:sz="8" w:space="0" w:color="000000"/>
              <w:bottom w:val="single" w:sz="4" w:space="0" w:color="000000"/>
              <w:right w:val="single" w:sz="8" w:space="0" w:color="000000"/>
            </w:tcBorders>
            <w:shd w:val="clear" w:color="auto" w:fill="auto"/>
          </w:tcPr>
          <w:p w:rsidR="00D227E2" w:rsidRDefault="00D227E2">
            <w:pPr>
              <w:widowControl w:val="0"/>
              <w:spacing w:after="0" w:line="240" w:lineRule="auto"/>
              <w:jc w:val="center"/>
              <w:rPr>
                <w:rFonts w:ascii="Times New Roman" w:eastAsia="Times New Roman" w:hAnsi="Times New Roman" w:cs="Times New Roman"/>
                <w:kern w:val="2"/>
              </w:rPr>
            </w:pPr>
          </w:p>
          <w:p w:rsidR="00D227E2" w:rsidRDefault="00934FC4">
            <w:pPr>
              <w:widowControl w:val="0"/>
              <w:spacing w:after="0" w:line="240" w:lineRule="auto"/>
              <w:jc w:val="center"/>
            </w:pPr>
            <w:r>
              <w:rPr>
                <w:rFonts w:ascii="Times New Roman" w:eastAsia="Times New Roman" w:hAnsi="Times New Roman" w:cs="Times New Roman"/>
                <w:kern w:val="2"/>
              </w:rPr>
              <w:t>%</w:t>
            </w:r>
          </w:p>
          <w:p w:rsidR="00D227E2" w:rsidRDefault="00934FC4">
            <w:pPr>
              <w:widowControl w:val="0"/>
              <w:spacing w:after="0" w:line="240" w:lineRule="auto"/>
              <w:jc w:val="center"/>
            </w:pPr>
            <w:r>
              <w:rPr>
                <w:rFonts w:ascii="Times New Roman" w:eastAsia="Times New Roman" w:hAnsi="Times New Roman" w:cs="Times New Roman"/>
                <w:kern w:val="2"/>
              </w:rPr>
              <w:t>по секторах</w:t>
            </w:r>
          </w:p>
        </w:tc>
        <w:tc>
          <w:tcPr>
            <w:tcW w:w="40" w:type="dxa"/>
          </w:tcPr>
          <w:p w:rsidR="00D227E2" w:rsidRDefault="00D227E2">
            <w:pPr>
              <w:rPr>
                <w:rFonts w:ascii="Times New Roman" w:hAnsi="Times New Roman" w:cs="Times New Roman"/>
              </w:rPr>
            </w:pPr>
          </w:p>
        </w:tc>
      </w:tr>
      <w:tr w:rsidR="00D227E2">
        <w:trPr>
          <w:cantSplit/>
          <w:trHeight w:val="265"/>
        </w:trPr>
        <w:tc>
          <w:tcPr>
            <w:tcW w:w="2415" w:type="dxa"/>
            <w:vMerge/>
            <w:tcBorders>
              <w:left w:val="single" w:sz="8" w:space="0" w:color="000000"/>
              <w:bottom w:val="single" w:sz="8" w:space="0" w:color="000000"/>
              <w:right w:val="single" w:sz="8" w:space="0" w:color="000000"/>
            </w:tcBorders>
            <w:shd w:val="clear" w:color="auto" w:fill="auto"/>
          </w:tcPr>
          <w:p w:rsidR="00D227E2" w:rsidRDefault="00D227E2">
            <w:pPr>
              <w:widowControl w:val="0"/>
              <w:spacing w:after="0" w:line="240" w:lineRule="auto"/>
              <w:rPr>
                <w:rFonts w:ascii="Times New Roman" w:eastAsia="NSimSun" w:hAnsi="Times New Roman" w:cs="Times New Roman"/>
                <w:kern w:val="2"/>
                <w:lang w:eastAsia="zh-CN" w:bidi="hi-IN"/>
              </w:rPr>
            </w:pP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tcPr>
          <w:p w:rsidR="00D227E2" w:rsidRDefault="00D227E2">
            <w:pPr>
              <w:widowControl w:val="0"/>
              <w:spacing w:after="0" w:line="240" w:lineRule="auto"/>
              <w:jc w:val="center"/>
              <w:rPr>
                <w:rFonts w:ascii="Times New Roman" w:eastAsia="Times New Roman" w:hAnsi="Times New Roman" w:cs="Times New Roman"/>
                <w:kern w:val="2"/>
              </w:rPr>
            </w:pPr>
          </w:p>
          <w:p w:rsidR="00D227E2" w:rsidRDefault="00934FC4">
            <w:pPr>
              <w:widowControl w:val="0"/>
              <w:spacing w:after="0" w:line="240" w:lineRule="auto"/>
              <w:jc w:val="center"/>
            </w:pPr>
            <w:r>
              <w:rPr>
                <w:rFonts w:ascii="Times New Roman" w:eastAsia="Times New Roman" w:hAnsi="Times New Roman" w:cs="Times New Roman"/>
                <w:kern w:val="2"/>
              </w:rPr>
              <w:t>Електроенергія</w:t>
            </w:r>
          </w:p>
        </w:tc>
        <w:tc>
          <w:tcPr>
            <w:tcW w:w="1128" w:type="dxa"/>
            <w:vMerge w:val="restart"/>
            <w:tcBorders>
              <w:top w:val="single" w:sz="8" w:space="0" w:color="000000"/>
              <w:left w:val="single" w:sz="8" w:space="0" w:color="000000"/>
              <w:bottom w:val="single" w:sz="8" w:space="0" w:color="000000"/>
              <w:right w:val="single" w:sz="8" w:space="0" w:color="000000"/>
            </w:tcBorders>
            <w:shd w:val="clear" w:color="auto" w:fill="auto"/>
          </w:tcPr>
          <w:p w:rsidR="00D227E2" w:rsidRDefault="00D227E2">
            <w:pPr>
              <w:widowControl w:val="0"/>
              <w:spacing w:after="0" w:line="240" w:lineRule="auto"/>
              <w:jc w:val="center"/>
              <w:rPr>
                <w:rFonts w:ascii="Times New Roman" w:eastAsia="Times New Roman" w:hAnsi="Times New Roman" w:cs="Times New Roman"/>
                <w:kern w:val="2"/>
              </w:rPr>
            </w:pPr>
          </w:p>
          <w:p w:rsidR="00D227E2" w:rsidRDefault="00934FC4">
            <w:pPr>
              <w:widowControl w:val="0"/>
              <w:spacing w:after="0" w:line="240" w:lineRule="auto"/>
              <w:jc w:val="center"/>
            </w:pPr>
            <w:r>
              <w:rPr>
                <w:rFonts w:ascii="Times New Roman" w:eastAsia="Times New Roman" w:hAnsi="Times New Roman" w:cs="Times New Roman"/>
                <w:kern w:val="2"/>
              </w:rPr>
              <w:t>Теплова енергія</w:t>
            </w:r>
          </w:p>
        </w:tc>
        <w:tc>
          <w:tcPr>
            <w:tcW w:w="5681" w:type="dxa"/>
            <w:gridSpan w:val="5"/>
            <w:tcBorders>
              <w:top w:val="single" w:sz="8" w:space="0" w:color="000000"/>
              <w:left w:val="single" w:sz="8" w:space="0" w:color="000000"/>
              <w:bottom w:val="single" w:sz="8" w:space="0" w:color="000000"/>
              <w:right w:val="single" w:sz="4" w:space="0" w:color="000000"/>
            </w:tcBorders>
            <w:shd w:val="clear" w:color="auto" w:fill="auto"/>
          </w:tcPr>
          <w:p w:rsidR="00D227E2" w:rsidRDefault="00934FC4">
            <w:pPr>
              <w:widowControl w:val="0"/>
              <w:spacing w:after="0" w:line="240" w:lineRule="auto"/>
              <w:jc w:val="center"/>
            </w:pPr>
            <w:r>
              <w:rPr>
                <w:rFonts w:ascii="Times New Roman" w:eastAsia="Times New Roman" w:hAnsi="Times New Roman" w:cs="Times New Roman"/>
                <w:kern w:val="2"/>
              </w:rPr>
              <w:t>Видобувні види палива</w:t>
            </w:r>
          </w:p>
        </w:tc>
        <w:tc>
          <w:tcPr>
            <w:tcW w:w="1131" w:type="dxa"/>
            <w:vMerge w:val="restart"/>
            <w:tcBorders>
              <w:top w:val="single" w:sz="8" w:space="0" w:color="000000"/>
              <w:left w:val="single" w:sz="4" w:space="0" w:color="000000"/>
              <w:bottom w:val="single" w:sz="8" w:space="0" w:color="000000"/>
              <w:right w:val="single" w:sz="8" w:space="0" w:color="000000"/>
            </w:tcBorders>
            <w:shd w:val="clear" w:color="auto" w:fill="auto"/>
          </w:tcPr>
          <w:p w:rsidR="00D227E2" w:rsidRDefault="00934FC4">
            <w:pPr>
              <w:widowControl w:val="0"/>
              <w:spacing w:after="0" w:line="240" w:lineRule="auto"/>
              <w:jc w:val="center"/>
            </w:pPr>
            <w:r>
              <w:rPr>
                <w:rFonts w:ascii="Times New Roman" w:eastAsia="Times New Roman" w:hAnsi="Times New Roman" w:cs="Times New Roman"/>
                <w:kern w:val="2"/>
              </w:rPr>
              <w:t>Деревина (дрова, щепа,</w:t>
            </w:r>
          </w:p>
          <w:p w:rsidR="00D227E2" w:rsidRDefault="00934FC4">
            <w:pPr>
              <w:widowControl w:val="0"/>
              <w:spacing w:after="0" w:line="240" w:lineRule="auto"/>
              <w:jc w:val="center"/>
            </w:pPr>
            <w:r>
              <w:rPr>
                <w:rFonts w:ascii="Times New Roman" w:eastAsia="Times New Roman" w:hAnsi="Times New Roman" w:cs="Times New Roman"/>
                <w:kern w:val="2"/>
              </w:rPr>
              <w:t>пелети)</w:t>
            </w:r>
          </w:p>
        </w:tc>
        <w:tc>
          <w:tcPr>
            <w:tcW w:w="1412" w:type="dxa"/>
            <w:vMerge/>
            <w:tcBorders>
              <w:left w:val="single" w:sz="8" w:space="0" w:color="000000"/>
              <w:right w:val="single" w:sz="8" w:space="0" w:color="000000"/>
            </w:tcBorders>
            <w:shd w:val="clear" w:color="auto" w:fill="auto"/>
          </w:tcPr>
          <w:p w:rsidR="00D227E2" w:rsidRDefault="00D227E2">
            <w:pPr>
              <w:widowControl w:val="0"/>
              <w:spacing w:after="0" w:line="240" w:lineRule="auto"/>
              <w:jc w:val="center"/>
              <w:rPr>
                <w:rFonts w:ascii="Times New Roman" w:eastAsia="NSimSun" w:hAnsi="Times New Roman" w:cs="Times New Roman"/>
                <w:kern w:val="2"/>
                <w:lang w:eastAsia="zh-CN" w:bidi="hi-IN"/>
              </w:rPr>
            </w:pPr>
          </w:p>
        </w:tc>
        <w:tc>
          <w:tcPr>
            <w:tcW w:w="1411" w:type="dxa"/>
            <w:vMerge/>
            <w:tcBorders>
              <w:left w:val="single" w:sz="8" w:space="0" w:color="000000"/>
              <w:right w:val="single" w:sz="8" w:space="0" w:color="000000"/>
            </w:tcBorders>
            <w:shd w:val="clear" w:color="auto" w:fill="auto"/>
          </w:tcPr>
          <w:p w:rsidR="00D227E2" w:rsidRDefault="00D227E2">
            <w:pPr>
              <w:widowControl w:val="0"/>
              <w:spacing w:after="0" w:line="240" w:lineRule="auto"/>
              <w:jc w:val="center"/>
              <w:rPr>
                <w:rFonts w:ascii="Times New Roman" w:eastAsia="NSimSun" w:hAnsi="Times New Roman" w:cs="Times New Roman"/>
                <w:kern w:val="2"/>
                <w:lang w:eastAsia="zh-CN" w:bidi="hi-IN"/>
              </w:rPr>
            </w:pPr>
          </w:p>
        </w:tc>
        <w:tc>
          <w:tcPr>
            <w:tcW w:w="40" w:type="dxa"/>
          </w:tcPr>
          <w:p w:rsidR="00D227E2" w:rsidRDefault="00D227E2"/>
        </w:tc>
      </w:tr>
      <w:tr w:rsidR="00D227E2">
        <w:trPr>
          <w:cantSplit/>
        </w:trPr>
        <w:tc>
          <w:tcPr>
            <w:tcW w:w="2415" w:type="dxa"/>
            <w:vMerge/>
            <w:tcBorders>
              <w:left w:val="single" w:sz="8" w:space="0" w:color="000000"/>
              <w:bottom w:val="single" w:sz="8" w:space="0" w:color="000000"/>
              <w:right w:val="single" w:sz="8" w:space="0" w:color="000000"/>
            </w:tcBorders>
            <w:shd w:val="clear" w:color="auto" w:fill="auto"/>
          </w:tcPr>
          <w:p w:rsidR="00D227E2" w:rsidRDefault="00D227E2">
            <w:pPr>
              <w:widowControl w:val="0"/>
              <w:spacing w:after="0" w:line="240" w:lineRule="auto"/>
              <w:rPr>
                <w:rFonts w:ascii="Times New Roman" w:eastAsia="NSimSun" w:hAnsi="Times New Roman" w:cs="Times New Roman"/>
                <w:kern w:val="2"/>
                <w:lang w:eastAsia="zh-CN" w:bidi="hi-IN"/>
              </w:rPr>
            </w:pPr>
          </w:p>
        </w:tc>
        <w:tc>
          <w:tcPr>
            <w:tcW w:w="1134" w:type="dxa"/>
            <w:vMerge/>
            <w:tcBorders>
              <w:left w:val="single" w:sz="8" w:space="0" w:color="000000"/>
              <w:bottom w:val="single" w:sz="8" w:space="0" w:color="000000"/>
              <w:right w:val="single" w:sz="8" w:space="0" w:color="000000"/>
            </w:tcBorders>
            <w:shd w:val="clear" w:color="auto" w:fill="auto"/>
          </w:tcPr>
          <w:p w:rsidR="00D227E2" w:rsidRDefault="00D227E2">
            <w:pPr>
              <w:widowControl w:val="0"/>
              <w:spacing w:after="0" w:line="240" w:lineRule="auto"/>
              <w:rPr>
                <w:rFonts w:ascii="Times New Roman" w:eastAsia="NSimSun" w:hAnsi="Times New Roman" w:cs="Times New Roman"/>
                <w:kern w:val="2"/>
                <w:lang w:eastAsia="zh-CN" w:bidi="hi-IN"/>
              </w:rPr>
            </w:pPr>
          </w:p>
        </w:tc>
        <w:tc>
          <w:tcPr>
            <w:tcW w:w="1128" w:type="dxa"/>
            <w:vMerge/>
            <w:tcBorders>
              <w:left w:val="single" w:sz="8" w:space="0" w:color="000000"/>
              <w:bottom w:val="single" w:sz="8" w:space="0" w:color="000000"/>
              <w:right w:val="single" w:sz="8" w:space="0" w:color="000000"/>
            </w:tcBorders>
            <w:shd w:val="clear" w:color="auto" w:fill="auto"/>
          </w:tcPr>
          <w:p w:rsidR="00D227E2" w:rsidRDefault="00D227E2">
            <w:pPr>
              <w:widowControl w:val="0"/>
              <w:spacing w:after="0" w:line="240" w:lineRule="auto"/>
              <w:rPr>
                <w:rFonts w:ascii="Times New Roman" w:eastAsia="NSimSun" w:hAnsi="Times New Roman" w:cs="Times New Roman"/>
                <w:kern w:val="2"/>
                <w:lang w:eastAsia="zh-CN" w:bidi="hi-IN"/>
              </w:rPr>
            </w:pPr>
          </w:p>
        </w:tc>
        <w:tc>
          <w:tcPr>
            <w:tcW w:w="1270" w:type="dxa"/>
            <w:tcBorders>
              <w:top w:val="single" w:sz="8" w:space="0" w:color="000000"/>
              <w:left w:val="single" w:sz="8" w:space="0" w:color="000000"/>
              <w:bottom w:val="single" w:sz="8" w:space="0" w:color="000000"/>
              <w:right w:val="single" w:sz="8" w:space="0" w:color="000000"/>
            </w:tcBorders>
            <w:shd w:val="clear" w:color="auto" w:fill="auto"/>
          </w:tcPr>
          <w:p w:rsidR="00D227E2" w:rsidRDefault="00D227E2">
            <w:pPr>
              <w:widowControl w:val="0"/>
              <w:spacing w:after="0" w:line="240" w:lineRule="auto"/>
              <w:jc w:val="center"/>
              <w:rPr>
                <w:rFonts w:ascii="Times New Roman" w:eastAsia="Times New Roman" w:hAnsi="Times New Roman" w:cs="Times New Roman"/>
                <w:kern w:val="2"/>
              </w:rPr>
            </w:pPr>
          </w:p>
          <w:p w:rsidR="00D227E2" w:rsidRDefault="00934FC4">
            <w:pPr>
              <w:widowControl w:val="0"/>
              <w:spacing w:after="0" w:line="240" w:lineRule="auto"/>
              <w:jc w:val="center"/>
            </w:pPr>
            <w:r>
              <w:rPr>
                <w:rFonts w:ascii="Times New Roman" w:eastAsia="Times New Roman" w:hAnsi="Times New Roman" w:cs="Times New Roman"/>
                <w:kern w:val="2"/>
              </w:rPr>
              <w:t>Природний газ</w:t>
            </w:r>
          </w:p>
        </w:tc>
        <w:tc>
          <w:tcPr>
            <w:tcW w:w="1272" w:type="dxa"/>
            <w:tcBorders>
              <w:top w:val="single" w:sz="8" w:space="0" w:color="000000"/>
              <w:left w:val="single" w:sz="8" w:space="0" w:color="000000"/>
              <w:bottom w:val="single" w:sz="8" w:space="0" w:color="000000"/>
              <w:right w:val="single" w:sz="8" w:space="0" w:color="000000"/>
            </w:tcBorders>
            <w:shd w:val="clear" w:color="auto" w:fill="auto"/>
          </w:tcPr>
          <w:p w:rsidR="00D227E2" w:rsidRDefault="00D227E2">
            <w:pPr>
              <w:widowControl w:val="0"/>
              <w:spacing w:after="0" w:line="240" w:lineRule="auto"/>
              <w:jc w:val="center"/>
              <w:rPr>
                <w:rFonts w:ascii="Times New Roman" w:eastAsia="Times New Roman" w:hAnsi="Times New Roman" w:cs="Times New Roman"/>
                <w:kern w:val="2"/>
              </w:rPr>
            </w:pPr>
          </w:p>
          <w:p w:rsidR="00D227E2" w:rsidRDefault="00934FC4">
            <w:pPr>
              <w:widowControl w:val="0"/>
              <w:spacing w:after="0" w:line="240" w:lineRule="auto"/>
              <w:jc w:val="center"/>
            </w:pPr>
            <w:r>
              <w:rPr>
                <w:rFonts w:ascii="Times New Roman" w:eastAsia="Times New Roman" w:hAnsi="Times New Roman" w:cs="Times New Roman"/>
                <w:kern w:val="2"/>
              </w:rPr>
              <w:t>Стиснений газ (метан)</w:t>
            </w:r>
          </w:p>
        </w:tc>
        <w:tc>
          <w:tcPr>
            <w:tcW w:w="1019" w:type="dxa"/>
            <w:tcBorders>
              <w:top w:val="single" w:sz="8" w:space="0" w:color="000000"/>
              <w:left w:val="single" w:sz="8" w:space="0" w:color="000000"/>
              <w:bottom w:val="single" w:sz="8" w:space="0" w:color="000000"/>
              <w:right w:val="single" w:sz="8" w:space="0" w:color="000000"/>
            </w:tcBorders>
            <w:shd w:val="clear" w:color="auto" w:fill="auto"/>
          </w:tcPr>
          <w:p w:rsidR="00D227E2" w:rsidRDefault="00934FC4">
            <w:pPr>
              <w:widowControl w:val="0"/>
              <w:spacing w:after="0" w:line="240" w:lineRule="auto"/>
              <w:jc w:val="center"/>
            </w:pPr>
            <w:r>
              <w:rPr>
                <w:rFonts w:ascii="Times New Roman" w:eastAsia="Times New Roman" w:hAnsi="Times New Roman" w:cs="Times New Roman"/>
                <w:kern w:val="2"/>
              </w:rPr>
              <w:t>Скраплений газ (пропан- бутан)</w:t>
            </w:r>
          </w:p>
        </w:tc>
        <w:tc>
          <w:tcPr>
            <w:tcW w:w="1131" w:type="dxa"/>
            <w:tcBorders>
              <w:top w:val="single" w:sz="8" w:space="0" w:color="000000"/>
              <w:left w:val="single" w:sz="8" w:space="0" w:color="000000"/>
              <w:bottom w:val="single" w:sz="8" w:space="0" w:color="000000"/>
              <w:right w:val="single" w:sz="8" w:space="0" w:color="000000"/>
            </w:tcBorders>
            <w:shd w:val="clear" w:color="auto" w:fill="auto"/>
          </w:tcPr>
          <w:p w:rsidR="00D227E2" w:rsidRDefault="00D227E2">
            <w:pPr>
              <w:widowControl w:val="0"/>
              <w:spacing w:after="0" w:line="240" w:lineRule="auto"/>
              <w:jc w:val="center"/>
              <w:rPr>
                <w:rFonts w:ascii="Times New Roman" w:eastAsia="Times New Roman" w:hAnsi="Times New Roman" w:cs="Times New Roman"/>
                <w:kern w:val="2"/>
              </w:rPr>
            </w:pPr>
          </w:p>
          <w:p w:rsidR="00D227E2" w:rsidRDefault="00934FC4">
            <w:pPr>
              <w:widowControl w:val="0"/>
              <w:spacing w:after="0" w:line="240" w:lineRule="auto"/>
              <w:jc w:val="center"/>
            </w:pPr>
            <w:r>
              <w:rPr>
                <w:rFonts w:ascii="Times New Roman" w:eastAsia="Times New Roman" w:hAnsi="Times New Roman" w:cs="Times New Roman"/>
                <w:kern w:val="2"/>
              </w:rPr>
              <w:t>Дизельне пальне</w:t>
            </w:r>
          </w:p>
        </w:tc>
        <w:tc>
          <w:tcPr>
            <w:tcW w:w="989" w:type="dxa"/>
            <w:tcBorders>
              <w:top w:val="single" w:sz="8" w:space="0" w:color="000000"/>
              <w:left w:val="single" w:sz="8" w:space="0" w:color="000000"/>
              <w:bottom w:val="single" w:sz="8" w:space="0" w:color="000000"/>
              <w:right w:val="single" w:sz="4" w:space="0" w:color="000000"/>
            </w:tcBorders>
            <w:shd w:val="clear" w:color="auto" w:fill="auto"/>
          </w:tcPr>
          <w:p w:rsidR="00D227E2" w:rsidRDefault="00D227E2">
            <w:pPr>
              <w:widowControl w:val="0"/>
              <w:spacing w:after="0" w:line="240" w:lineRule="auto"/>
              <w:jc w:val="center"/>
              <w:rPr>
                <w:rFonts w:ascii="Times New Roman" w:eastAsia="Times New Roman" w:hAnsi="Times New Roman" w:cs="Times New Roman"/>
                <w:kern w:val="2"/>
              </w:rPr>
            </w:pPr>
          </w:p>
          <w:p w:rsidR="00D227E2" w:rsidRDefault="00934FC4">
            <w:pPr>
              <w:widowControl w:val="0"/>
              <w:spacing w:after="0" w:line="240" w:lineRule="auto"/>
              <w:jc w:val="center"/>
            </w:pPr>
            <w:r>
              <w:rPr>
                <w:rFonts w:ascii="Times New Roman" w:eastAsia="Times New Roman" w:hAnsi="Times New Roman" w:cs="Times New Roman"/>
                <w:kern w:val="2"/>
              </w:rPr>
              <w:t>Бензин</w:t>
            </w:r>
          </w:p>
        </w:tc>
        <w:tc>
          <w:tcPr>
            <w:tcW w:w="1131" w:type="dxa"/>
            <w:vMerge/>
            <w:tcBorders>
              <w:left w:val="single" w:sz="4" w:space="0" w:color="000000"/>
              <w:bottom w:val="single" w:sz="8" w:space="0" w:color="000000"/>
              <w:right w:val="single" w:sz="8" w:space="0" w:color="000000"/>
            </w:tcBorders>
            <w:shd w:val="clear" w:color="auto" w:fill="auto"/>
          </w:tcPr>
          <w:p w:rsidR="00D227E2" w:rsidRDefault="00D227E2">
            <w:pPr>
              <w:widowControl w:val="0"/>
              <w:spacing w:after="0" w:line="240" w:lineRule="auto"/>
              <w:rPr>
                <w:rFonts w:ascii="Times New Roman" w:eastAsia="NSimSun" w:hAnsi="Times New Roman" w:cs="Times New Roman"/>
                <w:kern w:val="2"/>
                <w:lang w:eastAsia="zh-CN" w:bidi="hi-IN"/>
              </w:rPr>
            </w:pPr>
          </w:p>
        </w:tc>
        <w:tc>
          <w:tcPr>
            <w:tcW w:w="1412" w:type="dxa"/>
            <w:vMerge/>
            <w:tcBorders>
              <w:left w:val="single" w:sz="8" w:space="0" w:color="000000"/>
              <w:bottom w:val="single" w:sz="8" w:space="0" w:color="000000"/>
              <w:right w:val="single" w:sz="8" w:space="0" w:color="000000"/>
            </w:tcBorders>
            <w:shd w:val="clear" w:color="auto" w:fill="auto"/>
          </w:tcPr>
          <w:p w:rsidR="00D227E2" w:rsidRDefault="00D227E2">
            <w:pPr>
              <w:widowControl w:val="0"/>
              <w:spacing w:after="0" w:line="240" w:lineRule="auto"/>
              <w:rPr>
                <w:rFonts w:ascii="Times New Roman" w:eastAsia="NSimSun" w:hAnsi="Times New Roman" w:cs="Times New Roman"/>
                <w:kern w:val="2"/>
                <w:lang w:eastAsia="zh-CN" w:bidi="hi-IN"/>
              </w:rPr>
            </w:pPr>
          </w:p>
        </w:tc>
        <w:tc>
          <w:tcPr>
            <w:tcW w:w="1411" w:type="dxa"/>
            <w:vMerge/>
            <w:tcBorders>
              <w:left w:val="single" w:sz="8" w:space="0" w:color="000000"/>
              <w:bottom w:val="single" w:sz="4" w:space="0" w:color="000000"/>
              <w:right w:val="single" w:sz="8" w:space="0" w:color="000000"/>
            </w:tcBorders>
            <w:shd w:val="clear" w:color="auto" w:fill="auto"/>
          </w:tcPr>
          <w:p w:rsidR="00D227E2" w:rsidRDefault="00D227E2">
            <w:pPr>
              <w:widowControl w:val="0"/>
              <w:spacing w:after="0" w:line="240" w:lineRule="auto"/>
              <w:rPr>
                <w:rFonts w:ascii="Times New Roman" w:eastAsia="NSimSun" w:hAnsi="Times New Roman" w:cs="Times New Roman"/>
                <w:kern w:val="2"/>
                <w:lang w:eastAsia="zh-CN" w:bidi="hi-IN"/>
              </w:rPr>
            </w:pPr>
          </w:p>
        </w:tc>
        <w:tc>
          <w:tcPr>
            <w:tcW w:w="40" w:type="dxa"/>
          </w:tcPr>
          <w:p w:rsidR="00D227E2" w:rsidRDefault="00D227E2"/>
        </w:tc>
      </w:tr>
      <w:tr w:rsidR="00D227E2">
        <w:trPr>
          <w:cantSplit/>
          <w:trHeight w:val="259"/>
        </w:trPr>
        <w:tc>
          <w:tcPr>
            <w:tcW w:w="12901" w:type="dxa"/>
            <w:gridSpan w:val="10"/>
            <w:tcBorders>
              <w:top w:val="single" w:sz="8" w:space="0" w:color="000000"/>
              <w:left w:val="single" w:sz="8" w:space="0" w:color="000000"/>
              <w:bottom w:val="single" w:sz="8" w:space="0" w:color="000000"/>
              <w:right w:val="single" w:sz="4" w:space="0" w:color="000000"/>
            </w:tcBorders>
            <w:shd w:val="clear" w:color="auto" w:fill="auto"/>
          </w:tcPr>
          <w:p w:rsidR="00D227E2" w:rsidRDefault="00934FC4">
            <w:pPr>
              <w:widowControl w:val="0"/>
              <w:spacing w:after="0" w:line="240" w:lineRule="auto"/>
              <w:jc w:val="center"/>
            </w:pPr>
            <w:r>
              <w:rPr>
                <w:rFonts w:ascii="Times New Roman" w:eastAsia="Times New Roman" w:hAnsi="Times New Roman" w:cs="Times New Roman"/>
                <w:kern w:val="2"/>
              </w:rPr>
              <w:t>Будівлі, обладнання/об’єкти</w:t>
            </w:r>
          </w:p>
        </w:tc>
        <w:tc>
          <w:tcPr>
            <w:tcW w:w="1411" w:type="dxa"/>
            <w:tcBorders>
              <w:top w:val="single" w:sz="4" w:space="0" w:color="000000"/>
              <w:left w:val="single" w:sz="4" w:space="0" w:color="000000"/>
              <w:bottom w:val="single" w:sz="8" w:space="0" w:color="000000"/>
              <w:right w:val="single" w:sz="4" w:space="0" w:color="000000"/>
            </w:tcBorders>
            <w:shd w:val="clear" w:color="auto" w:fill="auto"/>
          </w:tcPr>
          <w:p w:rsidR="00D227E2" w:rsidRDefault="00934FC4">
            <w:pPr>
              <w:widowControl w:val="0"/>
              <w:spacing w:after="0" w:line="240" w:lineRule="auto"/>
              <w:jc w:val="center"/>
            </w:pPr>
            <w:r>
              <w:rPr>
                <w:rFonts w:ascii="Times New Roman" w:eastAsia="Times New Roman" w:hAnsi="Times New Roman" w:cs="Times New Roman"/>
                <w:kern w:val="2"/>
              </w:rPr>
              <w:t>81,1%</w:t>
            </w:r>
          </w:p>
        </w:tc>
        <w:tc>
          <w:tcPr>
            <w:tcW w:w="40" w:type="dxa"/>
          </w:tcPr>
          <w:p w:rsidR="00D227E2" w:rsidRDefault="00D227E2">
            <w:pPr>
              <w:rPr>
                <w:rFonts w:ascii="Times New Roman" w:hAnsi="Times New Roman" w:cs="Times New Roman"/>
              </w:rPr>
            </w:pPr>
          </w:p>
        </w:tc>
      </w:tr>
      <w:tr w:rsidR="00D227E2">
        <w:trPr>
          <w:cantSplit/>
        </w:trPr>
        <w:tc>
          <w:tcPr>
            <w:tcW w:w="2415" w:type="dxa"/>
            <w:tcBorders>
              <w:top w:val="single" w:sz="8" w:space="0" w:color="000000"/>
              <w:left w:val="single" w:sz="8" w:space="0" w:color="000000"/>
              <w:bottom w:val="single" w:sz="8" w:space="0" w:color="000000"/>
              <w:right w:val="single" w:sz="8" w:space="0" w:color="000000"/>
            </w:tcBorders>
            <w:shd w:val="clear" w:color="auto" w:fill="auto"/>
          </w:tcPr>
          <w:p w:rsidR="00D227E2" w:rsidRDefault="00934FC4">
            <w:pPr>
              <w:widowControl w:val="0"/>
              <w:spacing w:after="0" w:line="240" w:lineRule="auto"/>
            </w:pPr>
            <w:r>
              <w:rPr>
                <w:rFonts w:ascii="Times New Roman" w:eastAsia="Times New Roman" w:hAnsi="Times New Roman" w:cs="Times New Roman"/>
                <w:kern w:val="2"/>
              </w:rPr>
              <w:t>Муніципальні будівлі, обладнання/об'єкти</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114 983,4</w:t>
            </w:r>
          </w:p>
        </w:tc>
        <w:tc>
          <w:tcPr>
            <w:tcW w:w="11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103 919,9</w:t>
            </w:r>
          </w:p>
        </w:tc>
        <w:tc>
          <w:tcPr>
            <w:tcW w:w="12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43 899,4</w:t>
            </w:r>
          </w:p>
        </w:tc>
        <w:tc>
          <w:tcPr>
            <w:tcW w:w="127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w:t>
            </w:r>
          </w:p>
        </w:tc>
        <w:tc>
          <w:tcPr>
            <w:tcW w:w="1019"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w:t>
            </w:r>
          </w:p>
        </w:tc>
        <w:tc>
          <w:tcPr>
            <w:tcW w:w="1131"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0,00</w:t>
            </w:r>
          </w:p>
        </w:tc>
        <w:tc>
          <w:tcPr>
            <w:tcW w:w="989" w:type="dxa"/>
            <w:tcBorders>
              <w:top w:val="single" w:sz="8" w:space="0" w:color="000000"/>
              <w:left w:val="single" w:sz="8" w:space="0" w:color="000000"/>
              <w:bottom w:val="single" w:sz="8" w:space="0" w:color="000000"/>
              <w:right w:val="single" w:sz="4"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w:t>
            </w:r>
          </w:p>
        </w:tc>
        <w:tc>
          <w:tcPr>
            <w:tcW w:w="1131" w:type="dxa"/>
            <w:tcBorders>
              <w:top w:val="single" w:sz="8" w:space="0" w:color="000000"/>
              <w:left w:val="single" w:sz="4"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w:t>
            </w:r>
          </w:p>
        </w:tc>
        <w:tc>
          <w:tcPr>
            <w:tcW w:w="14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262 802,7</w:t>
            </w:r>
          </w:p>
        </w:tc>
        <w:tc>
          <w:tcPr>
            <w:tcW w:w="1411"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kern w:val="2"/>
                <w:lang w:eastAsia="zh-CN" w:bidi="hi-IN"/>
              </w:rPr>
              <w:t>11,1%</w:t>
            </w:r>
          </w:p>
        </w:tc>
        <w:tc>
          <w:tcPr>
            <w:tcW w:w="40" w:type="dxa"/>
          </w:tcPr>
          <w:p w:rsidR="00D227E2" w:rsidRDefault="00D227E2"/>
        </w:tc>
      </w:tr>
      <w:tr w:rsidR="00D227E2">
        <w:trPr>
          <w:cantSplit/>
        </w:trPr>
        <w:tc>
          <w:tcPr>
            <w:tcW w:w="2415" w:type="dxa"/>
            <w:tcBorders>
              <w:top w:val="single" w:sz="8" w:space="0" w:color="000000"/>
              <w:left w:val="single" w:sz="8" w:space="0" w:color="000000"/>
              <w:bottom w:val="single" w:sz="8" w:space="0" w:color="000000"/>
              <w:right w:val="single" w:sz="8" w:space="0" w:color="000000"/>
            </w:tcBorders>
            <w:shd w:val="clear" w:color="auto" w:fill="auto"/>
          </w:tcPr>
          <w:p w:rsidR="00D227E2" w:rsidRDefault="00934FC4">
            <w:pPr>
              <w:widowControl w:val="0"/>
              <w:spacing w:after="0" w:line="240" w:lineRule="auto"/>
            </w:pPr>
            <w:r>
              <w:rPr>
                <w:rFonts w:ascii="Times New Roman" w:eastAsia="Times New Roman" w:hAnsi="Times New Roman" w:cs="Times New Roman"/>
                <w:kern w:val="2"/>
              </w:rPr>
              <w:t>Муніципальне</w:t>
            </w:r>
          </w:p>
          <w:p w:rsidR="00D227E2" w:rsidRDefault="00934FC4">
            <w:pPr>
              <w:widowControl w:val="0"/>
              <w:spacing w:after="0" w:line="240" w:lineRule="auto"/>
            </w:pPr>
            <w:r>
              <w:rPr>
                <w:rFonts w:ascii="Times New Roman" w:eastAsia="Times New Roman" w:hAnsi="Times New Roman" w:cs="Times New Roman"/>
                <w:kern w:val="2"/>
              </w:rPr>
              <w:t>освітлення</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3 236,0</w:t>
            </w:r>
          </w:p>
        </w:tc>
        <w:tc>
          <w:tcPr>
            <w:tcW w:w="11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w:t>
            </w:r>
          </w:p>
        </w:tc>
        <w:tc>
          <w:tcPr>
            <w:tcW w:w="12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w:t>
            </w:r>
          </w:p>
        </w:tc>
        <w:tc>
          <w:tcPr>
            <w:tcW w:w="127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w:t>
            </w:r>
          </w:p>
        </w:tc>
        <w:tc>
          <w:tcPr>
            <w:tcW w:w="1019"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w:t>
            </w:r>
          </w:p>
        </w:tc>
        <w:tc>
          <w:tcPr>
            <w:tcW w:w="1131"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0,00</w:t>
            </w:r>
          </w:p>
        </w:tc>
        <w:tc>
          <w:tcPr>
            <w:tcW w:w="989" w:type="dxa"/>
            <w:tcBorders>
              <w:top w:val="single" w:sz="8" w:space="0" w:color="000000"/>
              <w:left w:val="single" w:sz="8" w:space="0" w:color="000000"/>
              <w:bottom w:val="single" w:sz="8" w:space="0" w:color="000000"/>
              <w:right w:val="single" w:sz="4"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w:t>
            </w:r>
          </w:p>
        </w:tc>
        <w:tc>
          <w:tcPr>
            <w:tcW w:w="1131" w:type="dxa"/>
            <w:tcBorders>
              <w:top w:val="single" w:sz="8" w:space="0" w:color="000000"/>
              <w:left w:val="single" w:sz="4"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w:t>
            </w:r>
          </w:p>
        </w:tc>
        <w:tc>
          <w:tcPr>
            <w:tcW w:w="14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3 236,0</w:t>
            </w:r>
          </w:p>
        </w:tc>
        <w:tc>
          <w:tcPr>
            <w:tcW w:w="1411"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kern w:val="2"/>
                <w:lang w:eastAsia="zh-CN" w:bidi="hi-IN"/>
              </w:rPr>
              <w:t>0,1%</w:t>
            </w:r>
          </w:p>
        </w:tc>
        <w:tc>
          <w:tcPr>
            <w:tcW w:w="40" w:type="dxa"/>
          </w:tcPr>
          <w:p w:rsidR="00D227E2" w:rsidRDefault="00D227E2"/>
        </w:tc>
      </w:tr>
      <w:tr w:rsidR="00D227E2">
        <w:trPr>
          <w:cantSplit/>
          <w:trHeight w:val="253"/>
        </w:trPr>
        <w:tc>
          <w:tcPr>
            <w:tcW w:w="12901" w:type="dxa"/>
            <w:gridSpan w:val="10"/>
            <w:tcBorders>
              <w:top w:val="single" w:sz="8" w:space="0" w:color="000000"/>
              <w:left w:val="single" w:sz="8" w:space="0" w:color="000000"/>
              <w:bottom w:val="single" w:sz="8" w:space="0" w:color="000000"/>
              <w:right w:val="single" w:sz="8" w:space="0" w:color="000000"/>
            </w:tcBorders>
            <w:shd w:val="clear" w:color="auto" w:fill="auto"/>
          </w:tcPr>
          <w:p w:rsidR="00D227E2" w:rsidRDefault="00934FC4">
            <w:pPr>
              <w:widowControl w:val="0"/>
              <w:spacing w:after="0" w:line="240" w:lineRule="auto"/>
              <w:jc w:val="center"/>
            </w:pPr>
            <w:r>
              <w:rPr>
                <w:rFonts w:ascii="Times New Roman" w:eastAsia="Times New Roman" w:hAnsi="Times New Roman" w:cs="Times New Roman"/>
                <w:kern w:val="2"/>
              </w:rPr>
              <w:t>Третинні будівлі, обладнання/об’єкти</w:t>
            </w:r>
          </w:p>
        </w:tc>
        <w:tc>
          <w:tcPr>
            <w:tcW w:w="1411" w:type="dxa"/>
            <w:tcBorders>
              <w:top w:val="single" w:sz="8" w:space="0" w:color="000000"/>
              <w:left w:val="single" w:sz="8" w:space="0" w:color="000000"/>
              <w:bottom w:val="single" w:sz="8" w:space="0" w:color="000000"/>
              <w:right w:val="single" w:sz="8" w:space="0" w:color="000000"/>
            </w:tcBorders>
            <w:shd w:val="clear" w:color="auto" w:fill="auto"/>
          </w:tcPr>
          <w:p w:rsidR="00D227E2" w:rsidRDefault="00934FC4">
            <w:pPr>
              <w:widowControl w:val="0"/>
              <w:spacing w:after="0" w:line="240" w:lineRule="auto"/>
              <w:jc w:val="center"/>
            </w:pPr>
            <w:r>
              <w:rPr>
                <w:rFonts w:ascii="Times New Roman" w:eastAsia="Times New Roman" w:hAnsi="Times New Roman" w:cs="Times New Roman"/>
                <w:kern w:val="2"/>
              </w:rPr>
              <w:t>10,1%</w:t>
            </w:r>
          </w:p>
        </w:tc>
        <w:tc>
          <w:tcPr>
            <w:tcW w:w="40" w:type="dxa"/>
          </w:tcPr>
          <w:p w:rsidR="00D227E2" w:rsidRDefault="00D227E2">
            <w:pPr>
              <w:rPr>
                <w:rFonts w:ascii="Times New Roman" w:hAnsi="Times New Roman" w:cs="Times New Roman"/>
              </w:rPr>
            </w:pPr>
          </w:p>
        </w:tc>
      </w:tr>
      <w:tr w:rsidR="00D227E2">
        <w:trPr>
          <w:cantSplit/>
        </w:trPr>
        <w:tc>
          <w:tcPr>
            <w:tcW w:w="2415" w:type="dxa"/>
            <w:tcBorders>
              <w:top w:val="single" w:sz="8" w:space="0" w:color="000000"/>
              <w:left w:val="single" w:sz="8" w:space="0" w:color="000000"/>
              <w:bottom w:val="single" w:sz="8" w:space="0" w:color="000000"/>
              <w:right w:val="single" w:sz="8" w:space="0" w:color="000000"/>
            </w:tcBorders>
            <w:shd w:val="clear" w:color="auto" w:fill="auto"/>
          </w:tcPr>
          <w:p w:rsidR="00D227E2" w:rsidRDefault="00934FC4">
            <w:pPr>
              <w:widowControl w:val="0"/>
              <w:spacing w:after="0" w:line="240" w:lineRule="auto"/>
            </w:pPr>
            <w:r>
              <w:rPr>
                <w:rFonts w:ascii="Times New Roman" w:eastAsia="Times New Roman" w:hAnsi="Times New Roman" w:cs="Times New Roman"/>
                <w:kern w:val="2"/>
              </w:rPr>
              <w:t>Третинні будівлі, обладнання/об'єкти</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105 856</w:t>
            </w:r>
          </w:p>
        </w:tc>
        <w:tc>
          <w:tcPr>
            <w:tcW w:w="11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36 785,7</w:t>
            </w:r>
          </w:p>
        </w:tc>
        <w:tc>
          <w:tcPr>
            <w:tcW w:w="12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97 017,6</w:t>
            </w:r>
          </w:p>
        </w:tc>
        <w:tc>
          <w:tcPr>
            <w:tcW w:w="127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w:t>
            </w:r>
          </w:p>
        </w:tc>
        <w:tc>
          <w:tcPr>
            <w:tcW w:w="1019"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w:t>
            </w:r>
          </w:p>
        </w:tc>
        <w:tc>
          <w:tcPr>
            <w:tcW w:w="1131"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0,00</w:t>
            </w:r>
          </w:p>
        </w:tc>
        <w:tc>
          <w:tcPr>
            <w:tcW w:w="989" w:type="dxa"/>
            <w:tcBorders>
              <w:top w:val="single" w:sz="8" w:space="0" w:color="000000"/>
              <w:left w:val="single" w:sz="8" w:space="0" w:color="000000"/>
              <w:bottom w:val="single" w:sz="8" w:space="0" w:color="000000"/>
              <w:right w:val="single" w:sz="4"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w:t>
            </w:r>
          </w:p>
        </w:tc>
        <w:tc>
          <w:tcPr>
            <w:tcW w:w="1131" w:type="dxa"/>
            <w:tcBorders>
              <w:top w:val="single" w:sz="8" w:space="0" w:color="000000"/>
              <w:left w:val="single" w:sz="4"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w:t>
            </w:r>
          </w:p>
        </w:tc>
        <w:tc>
          <w:tcPr>
            <w:tcW w:w="14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239 659,3</w:t>
            </w:r>
          </w:p>
        </w:tc>
        <w:tc>
          <w:tcPr>
            <w:tcW w:w="1411"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kern w:val="2"/>
                <w:lang w:eastAsia="zh-CN" w:bidi="hi-IN"/>
              </w:rPr>
              <w:t>10,1%</w:t>
            </w:r>
          </w:p>
        </w:tc>
        <w:tc>
          <w:tcPr>
            <w:tcW w:w="40" w:type="dxa"/>
          </w:tcPr>
          <w:p w:rsidR="00D227E2" w:rsidRDefault="00D227E2"/>
        </w:tc>
      </w:tr>
      <w:tr w:rsidR="00D227E2">
        <w:trPr>
          <w:cantSplit/>
        </w:trPr>
        <w:tc>
          <w:tcPr>
            <w:tcW w:w="2415" w:type="dxa"/>
            <w:tcBorders>
              <w:top w:val="single" w:sz="8" w:space="0" w:color="000000"/>
              <w:left w:val="single" w:sz="8" w:space="0" w:color="000000"/>
              <w:bottom w:val="single" w:sz="8" w:space="0" w:color="000000"/>
              <w:right w:val="single" w:sz="8" w:space="0" w:color="000000"/>
            </w:tcBorders>
            <w:shd w:val="clear" w:color="auto" w:fill="auto"/>
          </w:tcPr>
          <w:p w:rsidR="00D227E2" w:rsidRDefault="00934FC4">
            <w:pPr>
              <w:widowControl w:val="0"/>
              <w:spacing w:after="0" w:line="240" w:lineRule="auto"/>
            </w:pPr>
            <w:r>
              <w:rPr>
                <w:rFonts w:ascii="Times New Roman" w:eastAsia="Times New Roman" w:hAnsi="Times New Roman" w:cs="Times New Roman"/>
                <w:kern w:val="2"/>
              </w:rPr>
              <w:t>Житлові будинки</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113 371</w:t>
            </w:r>
          </w:p>
        </w:tc>
        <w:tc>
          <w:tcPr>
            <w:tcW w:w="11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564 496,9</w:t>
            </w:r>
          </w:p>
        </w:tc>
        <w:tc>
          <w:tcPr>
            <w:tcW w:w="12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674 807,7</w:t>
            </w:r>
          </w:p>
        </w:tc>
        <w:tc>
          <w:tcPr>
            <w:tcW w:w="127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w:t>
            </w:r>
          </w:p>
        </w:tc>
        <w:tc>
          <w:tcPr>
            <w:tcW w:w="1019"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w:t>
            </w:r>
          </w:p>
        </w:tc>
        <w:tc>
          <w:tcPr>
            <w:tcW w:w="1131"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w:t>
            </w:r>
          </w:p>
        </w:tc>
        <w:tc>
          <w:tcPr>
            <w:tcW w:w="989" w:type="dxa"/>
            <w:tcBorders>
              <w:top w:val="single" w:sz="8" w:space="0" w:color="000000"/>
              <w:left w:val="single" w:sz="8" w:space="0" w:color="000000"/>
              <w:bottom w:val="single" w:sz="8" w:space="0" w:color="000000"/>
              <w:right w:val="single" w:sz="4"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w:t>
            </w:r>
          </w:p>
        </w:tc>
        <w:tc>
          <w:tcPr>
            <w:tcW w:w="1131" w:type="dxa"/>
            <w:tcBorders>
              <w:top w:val="single" w:sz="8" w:space="0" w:color="000000"/>
              <w:left w:val="single" w:sz="4"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58 693,7</w:t>
            </w:r>
          </w:p>
        </w:tc>
        <w:tc>
          <w:tcPr>
            <w:tcW w:w="14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1 411 369,3</w:t>
            </w:r>
          </w:p>
        </w:tc>
        <w:tc>
          <w:tcPr>
            <w:tcW w:w="1411"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kern w:val="2"/>
                <w:lang w:eastAsia="zh-CN" w:bidi="hi-IN"/>
              </w:rPr>
              <w:t>59,7%</w:t>
            </w:r>
          </w:p>
        </w:tc>
        <w:tc>
          <w:tcPr>
            <w:tcW w:w="40" w:type="dxa"/>
          </w:tcPr>
          <w:p w:rsidR="00D227E2" w:rsidRDefault="00D227E2"/>
        </w:tc>
      </w:tr>
      <w:tr w:rsidR="00D227E2">
        <w:trPr>
          <w:cantSplit/>
        </w:trPr>
        <w:tc>
          <w:tcPr>
            <w:tcW w:w="12901" w:type="dxa"/>
            <w:gridSpan w:val="10"/>
            <w:tcBorders>
              <w:top w:val="single" w:sz="8" w:space="0" w:color="000000"/>
              <w:left w:val="single" w:sz="8" w:space="0" w:color="000000"/>
              <w:bottom w:val="single" w:sz="8" w:space="0" w:color="000000"/>
              <w:right w:val="single" w:sz="8" w:space="0" w:color="000000"/>
            </w:tcBorders>
            <w:shd w:val="clear" w:color="auto" w:fill="auto"/>
          </w:tcPr>
          <w:p w:rsidR="00D227E2" w:rsidRDefault="00934FC4">
            <w:pPr>
              <w:widowControl w:val="0"/>
              <w:spacing w:after="0" w:line="240" w:lineRule="auto"/>
              <w:jc w:val="center"/>
            </w:pPr>
            <w:r>
              <w:rPr>
                <w:rFonts w:ascii="Times New Roman" w:eastAsia="Times New Roman" w:hAnsi="Times New Roman" w:cs="Times New Roman"/>
                <w:kern w:val="2"/>
              </w:rPr>
              <w:t>Транспорт</w:t>
            </w:r>
          </w:p>
        </w:tc>
        <w:tc>
          <w:tcPr>
            <w:tcW w:w="1411" w:type="dxa"/>
            <w:tcBorders>
              <w:top w:val="single" w:sz="8" w:space="0" w:color="000000"/>
              <w:left w:val="single" w:sz="8" w:space="0" w:color="000000"/>
              <w:bottom w:val="single" w:sz="8" w:space="0" w:color="000000"/>
              <w:right w:val="single" w:sz="8" w:space="0" w:color="000000"/>
            </w:tcBorders>
            <w:shd w:val="clear" w:color="auto" w:fill="auto"/>
          </w:tcPr>
          <w:p w:rsidR="00D227E2" w:rsidRDefault="00934FC4">
            <w:pPr>
              <w:widowControl w:val="0"/>
              <w:spacing w:after="0" w:line="240" w:lineRule="auto"/>
              <w:jc w:val="center"/>
            </w:pPr>
            <w:r>
              <w:rPr>
                <w:rFonts w:ascii="Times New Roman" w:eastAsia="Times New Roman" w:hAnsi="Times New Roman" w:cs="Times New Roman"/>
                <w:kern w:val="2"/>
              </w:rPr>
              <w:t>18,9%</w:t>
            </w:r>
          </w:p>
        </w:tc>
        <w:tc>
          <w:tcPr>
            <w:tcW w:w="40" w:type="dxa"/>
          </w:tcPr>
          <w:p w:rsidR="00D227E2" w:rsidRDefault="00D227E2">
            <w:pPr>
              <w:rPr>
                <w:rFonts w:ascii="Times New Roman" w:hAnsi="Times New Roman" w:cs="Times New Roman"/>
              </w:rPr>
            </w:pPr>
          </w:p>
        </w:tc>
      </w:tr>
      <w:tr w:rsidR="00D227E2">
        <w:trPr>
          <w:cantSplit/>
        </w:trPr>
        <w:tc>
          <w:tcPr>
            <w:tcW w:w="2415" w:type="dxa"/>
            <w:tcBorders>
              <w:top w:val="single" w:sz="8" w:space="0" w:color="000000"/>
              <w:left w:val="single" w:sz="8" w:space="0" w:color="000000"/>
              <w:bottom w:val="single" w:sz="8" w:space="0" w:color="000000"/>
              <w:right w:val="single" w:sz="8" w:space="0" w:color="000000"/>
            </w:tcBorders>
            <w:shd w:val="clear" w:color="auto" w:fill="auto"/>
          </w:tcPr>
          <w:p w:rsidR="00D227E2" w:rsidRDefault="00934FC4">
            <w:pPr>
              <w:widowControl w:val="0"/>
              <w:spacing w:after="0" w:line="240" w:lineRule="auto"/>
            </w:pPr>
            <w:r>
              <w:rPr>
                <w:rFonts w:ascii="Times New Roman" w:eastAsia="Times New Roman" w:hAnsi="Times New Roman" w:cs="Times New Roman"/>
                <w:kern w:val="2"/>
              </w:rPr>
              <w:t>Муніципальний транспорт</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w:t>
            </w:r>
          </w:p>
        </w:tc>
        <w:tc>
          <w:tcPr>
            <w:tcW w:w="11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w:t>
            </w:r>
          </w:p>
        </w:tc>
        <w:tc>
          <w:tcPr>
            <w:tcW w:w="12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w:t>
            </w:r>
          </w:p>
        </w:tc>
        <w:tc>
          <w:tcPr>
            <w:tcW w:w="127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w:t>
            </w:r>
          </w:p>
        </w:tc>
        <w:tc>
          <w:tcPr>
            <w:tcW w:w="1019"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1 360</w:t>
            </w:r>
          </w:p>
        </w:tc>
        <w:tc>
          <w:tcPr>
            <w:tcW w:w="1131"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13 576</w:t>
            </w:r>
          </w:p>
        </w:tc>
        <w:tc>
          <w:tcPr>
            <w:tcW w:w="989" w:type="dxa"/>
            <w:tcBorders>
              <w:top w:val="single" w:sz="8" w:space="0" w:color="000000"/>
              <w:left w:val="single" w:sz="8" w:space="0" w:color="000000"/>
              <w:bottom w:val="single" w:sz="8" w:space="0" w:color="000000"/>
              <w:right w:val="single" w:sz="4"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958</w:t>
            </w:r>
          </w:p>
        </w:tc>
        <w:tc>
          <w:tcPr>
            <w:tcW w:w="1131" w:type="dxa"/>
            <w:tcBorders>
              <w:top w:val="single" w:sz="8" w:space="0" w:color="000000"/>
              <w:left w:val="single" w:sz="4"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w:t>
            </w:r>
          </w:p>
        </w:tc>
        <w:tc>
          <w:tcPr>
            <w:tcW w:w="14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15 894</w:t>
            </w:r>
          </w:p>
        </w:tc>
        <w:tc>
          <w:tcPr>
            <w:tcW w:w="1411" w:type="dxa"/>
            <w:tcBorders>
              <w:top w:val="single" w:sz="8" w:space="0" w:color="000000"/>
              <w:left w:val="single" w:sz="8" w:space="0" w:color="000000"/>
              <w:bottom w:val="single" w:sz="8" w:space="0" w:color="000000"/>
              <w:right w:val="single" w:sz="8" w:space="0" w:color="000000"/>
            </w:tcBorders>
            <w:shd w:val="clear" w:color="auto" w:fill="auto"/>
          </w:tcPr>
          <w:p w:rsidR="00D227E2" w:rsidRDefault="00934FC4">
            <w:pPr>
              <w:widowControl w:val="0"/>
              <w:suppressLineNumbers/>
              <w:spacing w:after="0" w:line="240" w:lineRule="auto"/>
              <w:jc w:val="center"/>
            </w:pPr>
            <w:r>
              <w:rPr>
                <w:rFonts w:ascii="Times New Roman" w:eastAsia="NSimSun" w:hAnsi="Times New Roman" w:cs="Times New Roman"/>
                <w:kern w:val="2"/>
                <w:lang w:eastAsia="zh-CN" w:bidi="hi-IN"/>
              </w:rPr>
              <w:t>0,7%</w:t>
            </w:r>
          </w:p>
        </w:tc>
        <w:tc>
          <w:tcPr>
            <w:tcW w:w="40" w:type="dxa"/>
          </w:tcPr>
          <w:p w:rsidR="00D227E2" w:rsidRDefault="00D227E2"/>
        </w:tc>
      </w:tr>
      <w:tr w:rsidR="00D227E2">
        <w:trPr>
          <w:cantSplit/>
        </w:trPr>
        <w:tc>
          <w:tcPr>
            <w:tcW w:w="2415" w:type="dxa"/>
            <w:tcBorders>
              <w:top w:val="single" w:sz="8" w:space="0" w:color="000000"/>
              <w:left w:val="single" w:sz="8" w:space="0" w:color="000000"/>
              <w:bottom w:val="single" w:sz="8" w:space="0" w:color="000000"/>
              <w:right w:val="single" w:sz="8" w:space="0" w:color="000000"/>
            </w:tcBorders>
            <w:shd w:val="clear" w:color="auto" w:fill="auto"/>
          </w:tcPr>
          <w:p w:rsidR="00D227E2" w:rsidRDefault="00934FC4">
            <w:pPr>
              <w:widowControl w:val="0"/>
              <w:spacing w:after="0" w:line="240" w:lineRule="auto"/>
            </w:pPr>
            <w:r>
              <w:rPr>
                <w:rFonts w:ascii="Times New Roman" w:eastAsia="Times New Roman" w:hAnsi="Times New Roman" w:cs="Times New Roman"/>
                <w:kern w:val="2"/>
              </w:rPr>
              <w:t>Громадський транспорт</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8 944,9</w:t>
            </w:r>
          </w:p>
        </w:tc>
        <w:tc>
          <w:tcPr>
            <w:tcW w:w="11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w:t>
            </w:r>
          </w:p>
        </w:tc>
        <w:tc>
          <w:tcPr>
            <w:tcW w:w="12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w:t>
            </w:r>
          </w:p>
        </w:tc>
        <w:tc>
          <w:tcPr>
            <w:tcW w:w="127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w:t>
            </w:r>
          </w:p>
        </w:tc>
        <w:tc>
          <w:tcPr>
            <w:tcW w:w="1019"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w:t>
            </w:r>
          </w:p>
        </w:tc>
        <w:tc>
          <w:tcPr>
            <w:tcW w:w="1131"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32 320,10</w:t>
            </w:r>
          </w:p>
        </w:tc>
        <w:tc>
          <w:tcPr>
            <w:tcW w:w="989" w:type="dxa"/>
            <w:tcBorders>
              <w:top w:val="single" w:sz="8" w:space="0" w:color="000000"/>
              <w:left w:val="single" w:sz="8" w:space="0" w:color="000000"/>
              <w:bottom w:val="single" w:sz="8" w:space="0" w:color="000000"/>
              <w:right w:val="single" w:sz="4"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w:t>
            </w:r>
          </w:p>
        </w:tc>
        <w:tc>
          <w:tcPr>
            <w:tcW w:w="1131" w:type="dxa"/>
            <w:tcBorders>
              <w:top w:val="single" w:sz="8" w:space="0" w:color="000000"/>
              <w:left w:val="single" w:sz="4"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w:t>
            </w:r>
          </w:p>
        </w:tc>
        <w:tc>
          <w:tcPr>
            <w:tcW w:w="14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41 265,0</w:t>
            </w:r>
          </w:p>
        </w:tc>
        <w:tc>
          <w:tcPr>
            <w:tcW w:w="1411" w:type="dxa"/>
            <w:tcBorders>
              <w:top w:val="single" w:sz="8" w:space="0" w:color="000000"/>
              <w:left w:val="single" w:sz="8" w:space="0" w:color="000000"/>
              <w:bottom w:val="single" w:sz="8" w:space="0" w:color="000000"/>
              <w:right w:val="single" w:sz="8" w:space="0" w:color="000000"/>
            </w:tcBorders>
            <w:shd w:val="clear" w:color="auto" w:fill="auto"/>
          </w:tcPr>
          <w:p w:rsidR="00D227E2" w:rsidRDefault="00934FC4">
            <w:pPr>
              <w:widowControl w:val="0"/>
              <w:suppressLineNumbers/>
              <w:spacing w:after="0" w:line="240" w:lineRule="auto"/>
              <w:jc w:val="center"/>
            </w:pPr>
            <w:r>
              <w:rPr>
                <w:rFonts w:ascii="Times New Roman" w:eastAsia="NSimSun" w:hAnsi="Times New Roman" w:cs="Times New Roman"/>
                <w:kern w:val="2"/>
                <w:lang w:eastAsia="zh-CN" w:bidi="hi-IN"/>
              </w:rPr>
              <w:t>1,7%</w:t>
            </w:r>
          </w:p>
        </w:tc>
        <w:tc>
          <w:tcPr>
            <w:tcW w:w="40" w:type="dxa"/>
          </w:tcPr>
          <w:p w:rsidR="00D227E2" w:rsidRDefault="00D227E2"/>
        </w:tc>
      </w:tr>
      <w:tr w:rsidR="00D227E2">
        <w:trPr>
          <w:cantSplit/>
        </w:trPr>
        <w:tc>
          <w:tcPr>
            <w:tcW w:w="2415" w:type="dxa"/>
            <w:tcBorders>
              <w:top w:val="single" w:sz="8" w:space="0" w:color="000000"/>
              <w:left w:val="single" w:sz="8" w:space="0" w:color="000000"/>
              <w:bottom w:val="single" w:sz="8" w:space="0" w:color="000000"/>
              <w:right w:val="single" w:sz="8" w:space="0" w:color="000000"/>
            </w:tcBorders>
            <w:shd w:val="clear" w:color="auto" w:fill="auto"/>
          </w:tcPr>
          <w:p w:rsidR="00D227E2" w:rsidRDefault="00934FC4">
            <w:pPr>
              <w:widowControl w:val="0"/>
              <w:spacing w:after="0" w:line="240" w:lineRule="auto"/>
            </w:pPr>
            <w:r>
              <w:rPr>
                <w:rFonts w:ascii="Times New Roman" w:eastAsia="Times New Roman" w:hAnsi="Times New Roman" w:cs="Times New Roman"/>
                <w:kern w:val="2"/>
              </w:rPr>
              <w:t>Приватний та комерційний</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w:t>
            </w:r>
          </w:p>
        </w:tc>
        <w:tc>
          <w:tcPr>
            <w:tcW w:w="11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w:t>
            </w:r>
          </w:p>
        </w:tc>
        <w:tc>
          <w:tcPr>
            <w:tcW w:w="12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w:t>
            </w:r>
          </w:p>
        </w:tc>
        <w:tc>
          <w:tcPr>
            <w:tcW w:w="127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181,7</w:t>
            </w:r>
          </w:p>
        </w:tc>
        <w:tc>
          <w:tcPr>
            <w:tcW w:w="1019"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18 799,5</w:t>
            </w:r>
          </w:p>
        </w:tc>
        <w:tc>
          <w:tcPr>
            <w:tcW w:w="1131"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ind w:hanging="10"/>
              <w:jc w:val="center"/>
            </w:pPr>
            <w:r>
              <w:rPr>
                <w:rFonts w:ascii="Times New Roman" w:eastAsia="NSimSun" w:hAnsi="Times New Roman" w:cs="Times New Roman"/>
                <w:color w:val="000000"/>
                <w:kern w:val="2"/>
                <w:lang w:eastAsia="zh-CN" w:bidi="hi-IN"/>
              </w:rPr>
              <w:t>198 745,79</w:t>
            </w:r>
          </w:p>
        </w:tc>
        <w:tc>
          <w:tcPr>
            <w:tcW w:w="989" w:type="dxa"/>
            <w:tcBorders>
              <w:top w:val="single" w:sz="8" w:space="0" w:color="000000"/>
              <w:left w:val="single" w:sz="8" w:space="0" w:color="000000"/>
              <w:bottom w:val="single" w:sz="8" w:space="0" w:color="000000"/>
              <w:right w:val="single" w:sz="4"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171 271,9</w:t>
            </w:r>
          </w:p>
        </w:tc>
        <w:tc>
          <w:tcPr>
            <w:tcW w:w="1131" w:type="dxa"/>
            <w:tcBorders>
              <w:top w:val="single" w:sz="8" w:space="0" w:color="000000"/>
              <w:left w:val="single" w:sz="4"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w:t>
            </w:r>
          </w:p>
        </w:tc>
        <w:tc>
          <w:tcPr>
            <w:tcW w:w="14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388 998,9</w:t>
            </w:r>
          </w:p>
        </w:tc>
        <w:tc>
          <w:tcPr>
            <w:tcW w:w="1411" w:type="dxa"/>
            <w:tcBorders>
              <w:top w:val="single" w:sz="8" w:space="0" w:color="000000"/>
              <w:left w:val="single" w:sz="8" w:space="0" w:color="000000"/>
              <w:bottom w:val="single" w:sz="8" w:space="0" w:color="000000"/>
              <w:right w:val="single" w:sz="8" w:space="0" w:color="000000"/>
            </w:tcBorders>
            <w:shd w:val="clear" w:color="auto" w:fill="auto"/>
          </w:tcPr>
          <w:p w:rsidR="00D227E2" w:rsidRDefault="00934FC4">
            <w:pPr>
              <w:widowControl w:val="0"/>
              <w:suppressLineNumbers/>
              <w:spacing w:after="0" w:line="240" w:lineRule="auto"/>
              <w:jc w:val="center"/>
            </w:pPr>
            <w:r>
              <w:rPr>
                <w:rFonts w:ascii="Times New Roman" w:eastAsia="NSimSun" w:hAnsi="Times New Roman" w:cs="Times New Roman"/>
                <w:kern w:val="2"/>
                <w:lang w:eastAsia="zh-CN" w:bidi="hi-IN"/>
              </w:rPr>
              <w:t>16,5%</w:t>
            </w:r>
          </w:p>
        </w:tc>
        <w:tc>
          <w:tcPr>
            <w:tcW w:w="40" w:type="dxa"/>
          </w:tcPr>
          <w:p w:rsidR="00D227E2" w:rsidRDefault="00D227E2"/>
        </w:tc>
      </w:tr>
      <w:tr w:rsidR="00D227E2">
        <w:trPr>
          <w:cantSplit/>
          <w:trHeight w:val="374"/>
        </w:trPr>
        <w:tc>
          <w:tcPr>
            <w:tcW w:w="2415" w:type="dxa"/>
            <w:tcBorders>
              <w:top w:val="single" w:sz="8" w:space="0" w:color="000000"/>
              <w:left w:val="single" w:sz="8" w:space="0" w:color="000000"/>
              <w:bottom w:val="single" w:sz="8" w:space="0" w:color="000000"/>
              <w:right w:val="single" w:sz="8" w:space="0" w:color="000000"/>
            </w:tcBorders>
            <w:shd w:val="clear" w:color="auto" w:fill="auto"/>
          </w:tcPr>
          <w:p w:rsidR="00D227E2" w:rsidRDefault="00934FC4">
            <w:pPr>
              <w:widowControl w:val="0"/>
              <w:spacing w:after="0" w:line="240" w:lineRule="auto"/>
            </w:pPr>
            <w:r>
              <w:rPr>
                <w:rFonts w:ascii="Times New Roman" w:eastAsia="Times New Roman" w:hAnsi="Times New Roman" w:cs="Times New Roman"/>
                <w:kern w:val="2"/>
              </w:rPr>
              <w:t>Усього</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346 391,3</w:t>
            </w:r>
          </w:p>
        </w:tc>
        <w:tc>
          <w:tcPr>
            <w:tcW w:w="11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705 202,5</w:t>
            </w:r>
          </w:p>
        </w:tc>
        <w:tc>
          <w:tcPr>
            <w:tcW w:w="12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815 724,6</w:t>
            </w:r>
          </w:p>
        </w:tc>
        <w:tc>
          <w:tcPr>
            <w:tcW w:w="1272"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181,7</w:t>
            </w:r>
          </w:p>
        </w:tc>
        <w:tc>
          <w:tcPr>
            <w:tcW w:w="1019"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20 159,5</w:t>
            </w:r>
          </w:p>
        </w:tc>
        <w:tc>
          <w:tcPr>
            <w:tcW w:w="1131"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244 641,9</w:t>
            </w:r>
          </w:p>
        </w:tc>
        <w:tc>
          <w:tcPr>
            <w:tcW w:w="989" w:type="dxa"/>
            <w:tcBorders>
              <w:top w:val="single" w:sz="8" w:space="0" w:color="000000"/>
              <w:left w:val="single" w:sz="8" w:space="0" w:color="000000"/>
              <w:bottom w:val="single" w:sz="8" w:space="0" w:color="000000"/>
              <w:right w:val="single" w:sz="4"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172 229,9</w:t>
            </w:r>
          </w:p>
        </w:tc>
        <w:tc>
          <w:tcPr>
            <w:tcW w:w="1131" w:type="dxa"/>
            <w:tcBorders>
              <w:top w:val="single" w:sz="8" w:space="0" w:color="000000"/>
              <w:left w:val="single" w:sz="4" w:space="0" w:color="000000"/>
              <w:bottom w:val="single" w:sz="8" w:space="0" w:color="000000"/>
              <w:right w:val="single" w:sz="8"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58 693,7</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2 363 225,2</w:t>
            </w:r>
          </w:p>
        </w:tc>
        <w:tc>
          <w:tcPr>
            <w:tcW w:w="1411" w:type="dxa"/>
            <w:vMerge w:val="restart"/>
            <w:shd w:val="clear" w:color="auto" w:fill="auto"/>
            <w:tcMar>
              <w:top w:w="55" w:type="dxa"/>
              <w:left w:w="55" w:type="dxa"/>
              <w:bottom w:w="55" w:type="dxa"/>
              <w:right w:w="55" w:type="dxa"/>
            </w:tcMar>
          </w:tcPr>
          <w:p w:rsidR="00D227E2" w:rsidRDefault="00D227E2">
            <w:pPr>
              <w:widowControl w:val="0"/>
              <w:spacing w:after="0" w:line="240" w:lineRule="auto"/>
              <w:rPr>
                <w:rFonts w:ascii="Times New Roman" w:eastAsia="Times New Roman" w:hAnsi="Times New Roman" w:cs="Times New Roman"/>
                <w:kern w:val="2"/>
              </w:rPr>
            </w:pPr>
          </w:p>
        </w:tc>
        <w:tc>
          <w:tcPr>
            <w:tcW w:w="40" w:type="dxa"/>
          </w:tcPr>
          <w:p w:rsidR="00D227E2" w:rsidRDefault="00D227E2"/>
        </w:tc>
      </w:tr>
      <w:tr w:rsidR="00D227E2">
        <w:trPr>
          <w:cantSplit/>
        </w:trPr>
        <w:tc>
          <w:tcPr>
            <w:tcW w:w="2415" w:type="dxa"/>
            <w:tcBorders>
              <w:top w:val="single" w:sz="8" w:space="0" w:color="000000"/>
              <w:left w:val="single" w:sz="8" w:space="0" w:color="000000"/>
              <w:bottom w:val="single" w:sz="8" w:space="0" w:color="000000"/>
              <w:right w:val="single" w:sz="8" w:space="0" w:color="000000"/>
            </w:tcBorders>
            <w:shd w:val="clear" w:color="auto" w:fill="auto"/>
          </w:tcPr>
          <w:p w:rsidR="00D227E2" w:rsidRDefault="00934FC4">
            <w:pPr>
              <w:widowControl w:val="0"/>
              <w:spacing w:after="0" w:line="240" w:lineRule="auto"/>
            </w:pPr>
            <w:r>
              <w:rPr>
                <w:rFonts w:ascii="Times New Roman" w:eastAsia="Times New Roman" w:hAnsi="Times New Roman" w:cs="Times New Roman"/>
                <w:kern w:val="2"/>
              </w:rPr>
              <w:t>У % за видами палива</w:t>
            </w:r>
          </w:p>
        </w:tc>
        <w:tc>
          <w:tcPr>
            <w:tcW w:w="1134" w:type="dxa"/>
            <w:tcBorders>
              <w:top w:val="single" w:sz="8" w:space="0" w:color="000000"/>
              <w:left w:val="single" w:sz="8" w:space="0" w:color="000000"/>
              <w:bottom w:val="single" w:sz="8" w:space="0" w:color="000000"/>
              <w:right w:val="single" w:sz="4"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14,7%</w:t>
            </w:r>
          </w:p>
        </w:tc>
        <w:tc>
          <w:tcPr>
            <w:tcW w:w="1128" w:type="dxa"/>
            <w:tcBorders>
              <w:top w:val="single" w:sz="8" w:space="0" w:color="000000"/>
              <w:left w:val="single" w:sz="4" w:space="0" w:color="000000"/>
              <w:bottom w:val="single" w:sz="8" w:space="0" w:color="000000"/>
              <w:right w:val="single" w:sz="4"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29,8%</w:t>
            </w:r>
          </w:p>
        </w:tc>
        <w:tc>
          <w:tcPr>
            <w:tcW w:w="1270" w:type="dxa"/>
            <w:tcBorders>
              <w:top w:val="single" w:sz="8" w:space="0" w:color="000000"/>
              <w:left w:val="single" w:sz="4" w:space="0" w:color="000000"/>
              <w:bottom w:val="single" w:sz="8" w:space="0" w:color="000000"/>
              <w:right w:val="single" w:sz="4"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34,5%</w:t>
            </w:r>
          </w:p>
        </w:tc>
        <w:tc>
          <w:tcPr>
            <w:tcW w:w="1272" w:type="dxa"/>
            <w:tcBorders>
              <w:top w:val="single" w:sz="8" w:space="0" w:color="000000"/>
              <w:left w:val="single" w:sz="4" w:space="0" w:color="000000"/>
              <w:bottom w:val="single" w:sz="8" w:space="0" w:color="000000"/>
              <w:right w:val="single" w:sz="4"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0,0%</w:t>
            </w:r>
          </w:p>
        </w:tc>
        <w:tc>
          <w:tcPr>
            <w:tcW w:w="1019" w:type="dxa"/>
            <w:tcBorders>
              <w:top w:val="single" w:sz="8" w:space="0" w:color="000000"/>
              <w:left w:val="single" w:sz="4" w:space="0" w:color="000000"/>
              <w:bottom w:val="single" w:sz="8" w:space="0" w:color="000000"/>
              <w:right w:val="single" w:sz="4"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0,9%</w:t>
            </w:r>
          </w:p>
        </w:tc>
        <w:tc>
          <w:tcPr>
            <w:tcW w:w="1131" w:type="dxa"/>
            <w:tcBorders>
              <w:top w:val="single" w:sz="8" w:space="0" w:color="000000"/>
              <w:left w:val="single" w:sz="4" w:space="0" w:color="000000"/>
              <w:bottom w:val="single" w:sz="8" w:space="0" w:color="000000"/>
              <w:right w:val="single" w:sz="4"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10,4%</w:t>
            </w:r>
          </w:p>
        </w:tc>
        <w:tc>
          <w:tcPr>
            <w:tcW w:w="989" w:type="dxa"/>
            <w:tcBorders>
              <w:top w:val="single" w:sz="8" w:space="0" w:color="000000"/>
              <w:left w:val="single" w:sz="4" w:space="0" w:color="000000"/>
              <w:bottom w:val="single" w:sz="8" w:space="0" w:color="000000"/>
              <w:right w:val="single" w:sz="4"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7,3%</w:t>
            </w:r>
          </w:p>
        </w:tc>
        <w:tc>
          <w:tcPr>
            <w:tcW w:w="1131" w:type="dxa"/>
            <w:tcBorders>
              <w:top w:val="single" w:sz="8" w:space="0" w:color="000000"/>
              <w:left w:val="single" w:sz="4" w:space="0" w:color="000000"/>
              <w:bottom w:val="single" w:sz="8" w:space="0" w:color="000000"/>
              <w:right w:val="single" w:sz="4" w:space="0" w:color="000000"/>
            </w:tcBorders>
            <w:shd w:val="clear" w:color="auto" w:fill="auto"/>
            <w:vAlign w:val="center"/>
          </w:tcPr>
          <w:p w:rsidR="00D227E2" w:rsidRDefault="00934FC4">
            <w:pPr>
              <w:widowControl w:val="0"/>
              <w:suppressLineNumbers/>
              <w:spacing w:after="0" w:line="240" w:lineRule="auto"/>
              <w:jc w:val="center"/>
            </w:pPr>
            <w:r>
              <w:rPr>
                <w:rFonts w:ascii="Times New Roman" w:eastAsia="NSimSun" w:hAnsi="Times New Roman" w:cs="Times New Roman"/>
                <w:color w:val="000000"/>
                <w:kern w:val="2"/>
                <w:lang w:eastAsia="zh-CN" w:bidi="hi-IN"/>
              </w:rPr>
              <w:t>2,5%</w:t>
            </w:r>
          </w:p>
        </w:tc>
        <w:tc>
          <w:tcPr>
            <w:tcW w:w="1412" w:type="dxa"/>
            <w:shd w:val="clear" w:color="auto" w:fill="auto"/>
            <w:tcMar>
              <w:top w:w="55" w:type="dxa"/>
              <w:left w:w="55" w:type="dxa"/>
              <w:bottom w:w="55" w:type="dxa"/>
              <w:right w:w="55" w:type="dxa"/>
            </w:tcMar>
            <w:vAlign w:val="center"/>
          </w:tcPr>
          <w:p w:rsidR="00D227E2" w:rsidRDefault="00D227E2">
            <w:pPr>
              <w:widowControl w:val="0"/>
              <w:suppressLineNumbers/>
              <w:spacing w:after="0" w:line="240" w:lineRule="auto"/>
              <w:jc w:val="center"/>
              <w:rPr>
                <w:rFonts w:ascii="Times New Roman" w:eastAsia="NSimSun" w:hAnsi="Times New Roman" w:cs="Times New Roman"/>
                <w:color w:val="000000"/>
                <w:kern w:val="2"/>
                <w:lang w:eastAsia="zh-CN" w:bidi="hi-IN"/>
              </w:rPr>
            </w:pPr>
          </w:p>
        </w:tc>
        <w:tc>
          <w:tcPr>
            <w:tcW w:w="1411" w:type="dxa"/>
            <w:vMerge/>
            <w:shd w:val="clear" w:color="auto" w:fill="auto"/>
            <w:tcMar>
              <w:top w:w="55" w:type="dxa"/>
              <w:left w:w="55" w:type="dxa"/>
              <w:bottom w:w="55" w:type="dxa"/>
              <w:right w:w="55" w:type="dxa"/>
            </w:tcMar>
          </w:tcPr>
          <w:p w:rsidR="00D227E2" w:rsidRDefault="00D227E2">
            <w:pPr>
              <w:widowControl w:val="0"/>
              <w:spacing w:after="0" w:line="240" w:lineRule="auto"/>
              <w:rPr>
                <w:rFonts w:ascii="Times New Roman" w:eastAsia="NSimSun" w:hAnsi="Times New Roman" w:cs="Times New Roman"/>
                <w:kern w:val="2"/>
                <w:lang w:eastAsia="zh-CN" w:bidi="hi-IN"/>
              </w:rPr>
            </w:pPr>
          </w:p>
        </w:tc>
        <w:tc>
          <w:tcPr>
            <w:tcW w:w="40" w:type="dxa"/>
          </w:tcPr>
          <w:p w:rsidR="00D227E2" w:rsidRDefault="00D227E2"/>
        </w:tc>
      </w:tr>
    </w:tbl>
    <w:p w:rsidR="00D227E2" w:rsidRDefault="00D227E2">
      <w:pPr>
        <w:spacing w:after="0" w:line="240" w:lineRule="auto"/>
        <w:rPr>
          <w:rFonts w:ascii="Times New Roman" w:eastAsia="NSimSun" w:hAnsi="Times New Roman" w:cs="Times New Roman"/>
          <w:kern w:val="2"/>
          <w:sz w:val="24"/>
          <w:szCs w:val="24"/>
          <w:lang w:eastAsia="zh-CN" w:bidi="hi-IN"/>
        </w:rPr>
      </w:pPr>
    </w:p>
    <w:p w:rsidR="00D227E2" w:rsidRDefault="00D227E2">
      <w:pPr>
        <w:spacing w:after="0" w:line="240" w:lineRule="auto"/>
        <w:ind w:right="57"/>
        <w:jc w:val="both"/>
        <w:outlineLvl w:val="1"/>
        <w:rPr>
          <w:rFonts w:ascii="Times New Roman" w:eastAsia="Times New Roman" w:hAnsi="Times New Roman" w:cs="Times New Roman"/>
          <w:kern w:val="2"/>
          <w:sz w:val="24"/>
          <w:szCs w:val="24"/>
        </w:rPr>
      </w:pPr>
      <w:bookmarkStart w:id="15" w:name="_bookmark37_Copy_1"/>
      <w:bookmarkStart w:id="16" w:name="_bookmark37"/>
      <w:bookmarkEnd w:id="15"/>
      <w:bookmarkEnd w:id="16"/>
    </w:p>
    <w:p w:rsidR="00D227E2" w:rsidRDefault="00934FC4">
      <w:pPr>
        <w:spacing w:after="0" w:line="240" w:lineRule="auto"/>
        <w:jc w:val="both"/>
        <w:outlineLvl w:val="1"/>
        <w:rPr>
          <w:rFonts w:ascii="Times New Roman" w:hAnsi="Times New Roman" w:cs="Times New Roman"/>
        </w:rPr>
      </w:pPr>
      <w:r>
        <w:rPr>
          <w:rFonts w:ascii="Times New Roman" w:eastAsia="Times New Roman" w:hAnsi="Times New Roman" w:cs="Times New Roman"/>
          <w:b/>
          <w:bCs/>
          <w:kern w:val="2"/>
          <w:sz w:val="24"/>
          <w:szCs w:val="24"/>
        </w:rPr>
        <w:lastRenderedPageBreak/>
        <w:t xml:space="preserve">4.6. Кадастр викидів </w:t>
      </w:r>
      <w:r>
        <w:rPr>
          <w:rFonts w:ascii="Times New Roman" w:hAnsi="Times New Roman" w:cs="Times New Roman"/>
          <w:b/>
          <w:bCs/>
          <w:color w:val="000000"/>
          <w:sz w:val="24"/>
          <w:szCs w:val="24"/>
          <w:lang w:eastAsia="ru-RU"/>
        </w:rPr>
        <w:t>СО</w:t>
      </w:r>
      <w:r>
        <w:rPr>
          <w:rFonts w:ascii="Times New Roman" w:hAnsi="Times New Roman" w:cs="Times New Roman"/>
          <w:b/>
          <w:bCs/>
          <w:color w:val="000000"/>
          <w:sz w:val="24"/>
          <w:szCs w:val="24"/>
          <w:vertAlign w:val="subscript"/>
          <w:lang w:eastAsia="ru-RU"/>
        </w:rPr>
        <w:t>2</w:t>
      </w:r>
      <w:r>
        <w:rPr>
          <w:rFonts w:ascii="Times New Roman" w:eastAsia="Times New Roman" w:hAnsi="Times New Roman" w:cs="Times New Roman"/>
          <w:b/>
          <w:bCs/>
          <w:kern w:val="2"/>
          <w:sz w:val="24"/>
          <w:szCs w:val="24"/>
        </w:rPr>
        <w:t xml:space="preserve"> </w:t>
      </w:r>
      <w:r>
        <w:rPr>
          <w:rFonts w:ascii="Times New Roman" w:eastAsia="Times New Roman" w:hAnsi="Times New Roman" w:cs="Times New Roman"/>
          <w:b/>
          <w:bCs/>
          <w:kern w:val="2"/>
          <w:sz w:val="24"/>
          <w:szCs w:val="24"/>
          <w:vertAlign w:val="subscript"/>
        </w:rPr>
        <w:t>екв.</w:t>
      </w:r>
      <w:r>
        <w:rPr>
          <w:rFonts w:ascii="Times New Roman" w:eastAsia="Times New Roman" w:hAnsi="Times New Roman" w:cs="Times New Roman"/>
          <w:b/>
          <w:bCs/>
          <w:kern w:val="2"/>
          <w:sz w:val="24"/>
          <w:szCs w:val="24"/>
        </w:rPr>
        <w:t xml:space="preserve"> в базовому 2007 році </w:t>
      </w:r>
    </w:p>
    <w:p w:rsidR="00D227E2" w:rsidRDefault="00934FC4">
      <w:pPr>
        <w:spacing w:after="0"/>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Коефіцієнти </w:t>
      </w:r>
      <w:r>
        <w:rPr>
          <w:rFonts w:ascii="Times New Roman" w:hAnsi="Times New Roman" w:cs="Times New Roman"/>
          <w:color w:val="000000"/>
          <w:sz w:val="24"/>
          <w:szCs w:val="24"/>
          <w:lang w:eastAsia="ru-RU"/>
        </w:rPr>
        <w:t>СО</w:t>
      </w:r>
      <w:r>
        <w:rPr>
          <w:rFonts w:ascii="Times New Roman" w:hAnsi="Times New Roman" w:cs="Times New Roman"/>
          <w:color w:val="000000"/>
          <w:sz w:val="24"/>
          <w:szCs w:val="24"/>
          <w:vertAlign w:val="subscript"/>
          <w:lang w:eastAsia="ru-RU"/>
        </w:rPr>
        <w:t>2</w:t>
      </w:r>
      <w:r>
        <w:rPr>
          <w:rFonts w:ascii="Times New Roman" w:eastAsia="NSimSun" w:hAnsi="Times New Roman" w:cs="Times New Roman"/>
          <w:kern w:val="2"/>
          <w:sz w:val="24"/>
          <w:szCs w:val="24"/>
          <w:lang w:eastAsia="zh-CN" w:bidi="hi-IN"/>
        </w:rPr>
        <w:t xml:space="preserve"> </w:t>
      </w:r>
      <w:r>
        <w:rPr>
          <w:rFonts w:ascii="Times New Roman" w:eastAsia="NSimSun" w:hAnsi="Times New Roman" w:cs="Times New Roman"/>
          <w:kern w:val="2"/>
          <w:sz w:val="24"/>
          <w:szCs w:val="24"/>
          <w:vertAlign w:val="subscript"/>
          <w:lang w:eastAsia="zh-CN" w:bidi="hi-IN"/>
        </w:rPr>
        <w:t>екв.</w:t>
      </w:r>
      <w:r>
        <w:rPr>
          <w:rFonts w:ascii="Times New Roman" w:eastAsia="NSimSun" w:hAnsi="Times New Roman" w:cs="Times New Roman"/>
          <w:kern w:val="2"/>
          <w:sz w:val="24"/>
          <w:szCs w:val="24"/>
          <w:lang w:eastAsia="zh-CN" w:bidi="hi-IN"/>
        </w:rPr>
        <w:t xml:space="preserve"> для різних видів енергоресурсів представлені в пункті 4.3.</w:t>
      </w:r>
    </w:p>
    <w:p w:rsidR="00D227E2" w:rsidRDefault="00934FC4">
      <w:pPr>
        <w:spacing w:after="0"/>
        <w:jc w:val="center"/>
        <w:rPr>
          <w:rFonts w:ascii="Times New Roman" w:eastAsia="NSimSun" w:hAnsi="Times New Roman" w:cs="Times New Roman"/>
          <w:kern w:val="2"/>
          <w:sz w:val="24"/>
          <w:szCs w:val="24"/>
          <w:lang w:eastAsia="zh-CN" w:bidi="hi-IN"/>
        </w:rPr>
      </w:pPr>
      <w:r>
        <w:rPr>
          <w:rFonts w:ascii="Times New Roman" w:eastAsia="NSimSun" w:hAnsi="Times New Roman" w:cs="Times New Roman"/>
          <w:kern w:val="2"/>
          <w:sz w:val="24"/>
          <w:szCs w:val="24"/>
          <w:lang w:eastAsia="zh-CN" w:bidi="hi-IN"/>
        </w:rPr>
        <w:t xml:space="preserve">Таблиця 72. Базовий кадастр викидів </w:t>
      </w:r>
      <w:r>
        <w:rPr>
          <w:rFonts w:ascii="Times New Roman" w:hAnsi="Times New Roman" w:cs="Times New Roman"/>
          <w:color w:val="000000"/>
          <w:sz w:val="24"/>
          <w:szCs w:val="24"/>
          <w:lang w:eastAsia="ru-RU"/>
        </w:rPr>
        <w:t>СО</w:t>
      </w:r>
      <w:r>
        <w:rPr>
          <w:rFonts w:ascii="Times New Roman" w:hAnsi="Times New Roman" w:cs="Times New Roman"/>
          <w:color w:val="000000"/>
          <w:sz w:val="24"/>
          <w:szCs w:val="24"/>
          <w:vertAlign w:val="subscript"/>
          <w:lang w:eastAsia="ru-RU"/>
        </w:rPr>
        <w:t>2</w:t>
      </w:r>
      <w:r>
        <w:rPr>
          <w:rFonts w:ascii="Times New Roman" w:eastAsia="NSimSun" w:hAnsi="Times New Roman" w:cs="Times New Roman"/>
          <w:kern w:val="2"/>
          <w:sz w:val="24"/>
          <w:szCs w:val="24"/>
          <w:lang w:eastAsia="zh-CN" w:bidi="hi-IN"/>
        </w:rPr>
        <w:t xml:space="preserve"> </w:t>
      </w:r>
      <w:r>
        <w:rPr>
          <w:rFonts w:ascii="Times New Roman" w:eastAsia="NSimSun" w:hAnsi="Times New Roman" w:cs="Times New Roman"/>
          <w:kern w:val="2"/>
          <w:sz w:val="24"/>
          <w:szCs w:val="24"/>
          <w:vertAlign w:val="subscript"/>
          <w:lang w:eastAsia="zh-CN" w:bidi="hi-IN"/>
        </w:rPr>
        <w:t>екв.</w:t>
      </w:r>
      <w:r>
        <w:rPr>
          <w:rFonts w:ascii="Times New Roman" w:eastAsia="NSimSun" w:hAnsi="Times New Roman" w:cs="Times New Roman"/>
          <w:kern w:val="2"/>
          <w:sz w:val="24"/>
          <w:szCs w:val="24"/>
          <w:lang w:eastAsia="zh-CN" w:bidi="hi-IN"/>
        </w:rPr>
        <w:t xml:space="preserve"> в базовому 2007 році</w:t>
      </w:r>
    </w:p>
    <w:tbl>
      <w:tblPr>
        <w:tblW w:w="15451" w:type="dxa"/>
        <w:tblInd w:w="-175" w:type="dxa"/>
        <w:tblLayout w:type="fixed"/>
        <w:tblLook w:val="04A0" w:firstRow="1" w:lastRow="0" w:firstColumn="1" w:lastColumn="0" w:noHBand="0" w:noVBand="1"/>
      </w:tblPr>
      <w:tblGrid>
        <w:gridCol w:w="2836"/>
        <w:gridCol w:w="1422"/>
        <w:gridCol w:w="1275"/>
        <w:gridCol w:w="1276"/>
        <w:gridCol w:w="13"/>
        <w:gridCol w:w="1263"/>
        <w:gridCol w:w="1419"/>
        <w:gridCol w:w="990"/>
        <w:gridCol w:w="994"/>
        <w:gridCol w:w="1276"/>
        <w:gridCol w:w="1418"/>
        <w:gridCol w:w="1269"/>
      </w:tblGrid>
      <w:tr w:rsidR="00D227E2">
        <w:trPr>
          <w:cantSplit/>
          <w:trHeight w:val="450"/>
        </w:trPr>
        <w:tc>
          <w:tcPr>
            <w:tcW w:w="283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pPr>
            <w:r>
              <w:rPr>
                <w:rFonts w:ascii="Times New Roman" w:eastAsia="Times New Roman" w:hAnsi="Times New Roman" w:cs="Times New Roman"/>
                <w:bCs/>
                <w:lang w:eastAsia="uk-UA"/>
              </w:rPr>
              <w:t>Сектори кінцевих</w:t>
            </w:r>
          </w:p>
          <w:p w:rsidR="00D227E2" w:rsidRDefault="00934FC4">
            <w:pPr>
              <w:suppressAutoHyphens w:val="0"/>
              <w:spacing w:after="0" w:line="240" w:lineRule="auto"/>
              <w:jc w:val="center"/>
            </w:pPr>
            <w:r>
              <w:rPr>
                <w:rFonts w:ascii="Times New Roman" w:eastAsia="Times New Roman" w:hAnsi="Times New Roman" w:cs="Times New Roman"/>
                <w:bCs/>
                <w:lang w:eastAsia="uk-UA"/>
              </w:rPr>
              <w:t>споживачів</w:t>
            </w:r>
          </w:p>
          <w:p w:rsidR="00D227E2" w:rsidRDefault="00934FC4">
            <w:pPr>
              <w:suppressAutoHyphens w:val="0"/>
              <w:spacing w:after="0" w:line="240" w:lineRule="auto"/>
              <w:jc w:val="center"/>
            </w:pPr>
            <w:r>
              <w:rPr>
                <w:rFonts w:ascii="Times New Roman" w:eastAsia="Times New Roman" w:hAnsi="Times New Roman" w:cs="Times New Roman"/>
                <w:bCs/>
                <w:lang w:eastAsia="uk-UA"/>
              </w:rPr>
              <w:t>енергоресурсів</w:t>
            </w:r>
          </w:p>
        </w:tc>
        <w:tc>
          <w:tcPr>
            <w:tcW w:w="9927" w:type="dxa"/>
            <w:gridSpan w:val="9"/>
            <w:tcBorders>
              <w:top w:val="single" w:sz="8" w:space="0" w:color="000000"/>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pPr>
            <w:r>
              <w:rPr>
                <w:rFonts w:ascii="Times New Roman" w:eastAsia="Times New Roman" w:hAnsi="Times New Roman" w:cs="Times New Roman"/>
                <w:kern w:val="2"/>
              </w:rPr>
              <w:t xml:space="preserve">Обсяги викидів </w:t>
            </w:r>
            <w:r>
              <w:rPr>
                <w:rFonts w:ascii="Times New Roman" w:hAnsi="Times New Roman" w:cs="Times New Roman"/>
                <w:color w:val="000000"/>
                <w:lang w:eastAsia="ru-RU"/>
              </w:rPr>
              <w:t>СО</w:t>
            </w:r>
            <w:r>
              <w:rPr>
                <w:rFonts w:ascii="Times New Roman" w:hAnsi="Times New Roman" w:cs="Times New Roman"/>
                <w:color w:val="000000"/>
                <w:vertAlign w:val="subscript"/>
                <w:lang w:eastAsia="ru-RU"/>
              </w:rPr>
              <w:t>2</w:t>
            </w:r>
            <w:r>
              <w:rPr>
                <w:rFonts w:ascii="Times New Roman" w:eastAsia="Times New Roman" w:hAnsi="Times New Roman" w:cs="Times New Roman"/>
                <w:kern w:val="2"/>
              </w:rPr>
              <w:t xml:space="preserve"> </w:t>
            </w:r>
            <w:r>
              <w:rPr>
                <w:rFonts w:ascii="Times New Roman" w:eastAsia="Times New Roman" w:hAnsi="Times New Roman" w:cs="Times New Roman"/>
                <w:kern w:val="2"/>
                <w:vertAlign w:val="subscript"/>
              </w:rPr>
              <w:t>екв.</w:t>
            </w:r>
            <w:r>
              <w:rPr>
                <w:rFonts w:ascii="Times New Roman" w:eastAsia="Times New Roman" w:hAnsi="Times New Roman" w:cs="Times New Roman"/>
                <w:kern w:val="2"/>
              </w:rPr>
              <w:t xml:space="preserve"> в базовому 2007 році (тонн)</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auto"/>
            <w:tcMar>
              <w:top w:w="55" w:type="dxa"/>
              <w:bottom w:w="55" w:type="dxa"/>
            </w:tcMar>
            <w:vAlign w:val="center"/>
          </w:tcPr>
          <w:p w:rsidR="00D227E2" w:rsidRDefault="00934FC4">
            <w:pPr>
              <w:suppressAutoHyphens w:val="0"/>
              <w:spacing w:after="0" w:line="240" w:lineRule="auto"/>
              <w:jc w:val="center"/>
            </w:pPr>
            <w:r>
              <w:rPr>
                <w:rFonts w:ascii="Times New Roman" w:eastAsia="Times New Roman" w:hAnsi="Times New Roman" w:cs="Times New Roman"/>
                <w:color w:val="000000"/>
                <w:lang w:eastAsia="uk-UA"/>
              </w:rPr>
              <w:t>Сума вик</w:t>
            </w:r>
            <w:r>
              <w:rPr>
                <w:rFonts w:ascii="Times New Roman" w:eastAsia="Times New Roman" w:hAnsi="Times New Roman" w:cs="Times New Roman"/>
                <w:color w:val="000000"/>
                <w:lang w:eastAsia="uk-UA"/>
              </w:rPr>
              <w:t>и</w:t>
            </w:r>
            <w:r>
              <w:rPr>
                <w:rFonts w:ascii="Times New Roman" w:eastAsia="Times New Roman" w:hAnsi="Times New Roman" w:cs="Times New Roman"/>
                <w:color w:val="000000"/>
                <w:lang w:eastAsia="uk-UA"/>
              </w:rPr>
              <w:t>дів СО</w:t>
            </w:r>
            <w:r>
              <w:rPr>
                <w:rFonts w:ascii="Times New Roman" w:eastAsia="Times New Roman" w:hAnsi="Times New Roman" w:cs="Times New Roman"/>
                <w:color w:val="000000"/>
                <w:vertAlign w:val="subscript"/>
                <w:lang w:eastAsia="uk-UA"/>
              </w:rPr>
              <w:t>2</w:t>
            </w:r>
            <w:r>
              <w:rPr>
                <w:rFonts w:ascii="Times New Roman" w:eastAsia="Times New Roman" w:hAnsi="Times New Roman" w:cs="Times New Roman"/>
                <w:color w:val="000000"/>
                <w:lang w:eastAsia="uk-UA"/>
              </w:rPr>
              <w:t xml:space="preserve"> по секторах, тон</w:t>
            </w:r>
          </w:p>
        </w:tc>
        <w:tc>
          <w:tcPr>
            <w:tcW w:w="1269" w:type="dxa"/>
            <w:vMerge w:val="restart"/>
            <w:tcBorders>
              <w:top w:val="single" w:sz="8" w:space="0" w:color="000000"/>
              <w:left w:val="single" w:sz="8" w:space="0" w:color="000000"/>
              <w:right w:val="single" w:sz="8" w:space="0" w:color="000000"/>
            </w:tcBorders>
            <w:shd w:val="clear" w:color="auto" w:fill="auto"/>
            <w:vAlign w:val="center"/>
          </w:tcPr>
          <w:p w:rsidR="00D227E2" w:rsidRDefault="00934FC4">
            <w:pPr>
              <w:suppressAutoHyphens w:val="0"/>
              <w:spacing w:after="0" w:line="240" w:lineRule="auto"/>
              <w:ind w:left="-108" w:firstLine="108"/>
              <w:jc w:val="center"/>
            </w:pPr>
            <w:r>
              <w:rPr>
                <w:rFonts w:ascii="Times New Roman" w:eastAsia="Times New Roman" w:hAnsi="Times New Roman" w:cs="Times New Roman"/>
                <w:color w:val="000000"/>
                <w:lang w:eastAsia="uk-UA"/>
              </w:rPr>
              <w:t>% по се</w:t>
            </w:r>
            <w:r>
              <w:rPr>
                <w:rFonts w:ascii="Times New Roman" w:eastAsia="Times New Roman" w:hAnsi="Times New Roman" w:cs="Times New Roman"/>
                <w:color w:val="000000"/>
                <w:lang w:eastAsia="uk-UA"/>
              </w:rPr>
              <w:t>к</w:t>
            </w:r>
            <w:r>
              <w:rPr>
                <w:rFonts w:ascii="Times New Roman" w:eastAsia="Times New Roman" w:hAnsi="Times New Roman" w:cs="Times New Roman"/>
                <w:color w:val="000000"/>
                <w:lang w:eastAsia="uk-UA"/>
              </w:rPr>
              <w:t>торах</w:t>
            </w:r>
          </w:p>
        </w:tc>
      </w:tr>
      <w:tr w:rsidR="00D227E2">
        <w:trPr>
          <w:cantSplit/>
          <w:trHeight w:val="271"/>
        </w:trPr>
        <w:tc>
          <w:tcPr>
            <w:tcW w:w="2835" w:type="dxa"/>
            <w:vMerge/>
            <w:tcBorders>
              <w:top w:val="single" w:sz="8" w:space="0" w:color="000000"/>
              <w:left w:val="single" w:sz="8" w:space="0" w:color="000000"/>
              <w:bottom w:val="single" w:sz="8" w:space="0" w:color="000000"/>
              <w:right w:val="single" w:sz="8" w:space="0" w:color="000000"/>
            </w:tcBorders>
            <w:vAlign w:val="center"/>
          </w:tcPr>
          <w:p w:rsidR="00D227E2" w:rsidRDefault="00D227E2">
            <w:pPr>
              <w:suppressAutoHyphens w:val="0"/>
              <w:spacing w:after="0" w:line="240" w:lineRule="auto"/>
              <w:rPr>
                <w:rFonts w:ascii="Times New Roman" w:eastAsia="Times New Roman" w:hAnsi="Times New Roman" w:cs="Times New Roman"/>
                <w:bCs/>
                <w:lang w:eastAsia="uk-UA"/>
              </w:rPr>
            </w:pPr>
          </w:p>
        </w:tc>
        <w:tc>
          <w:tcPr>
            <w:tcW w:w="1421" w:type="dxa"/>
            <w:vMerge w:val="restart"/>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pPr>
            <w:r>
              <w:rPr>
                <w:rFonts w:ascii="Times New Roman" w:eastAsia="Times New Roman" w:hAnsi="Times New Roman" w:cs="Times New Roman"/>
                <w:lang w:eastAsia="uk-UA"/>
              </w:rPr>
              <w:t>Електрична</w:t>
            </w:r>
          </w:p>
          <w:p w:rsidR="00D227E2" w:rsidRDefault="00934FC4">
            <w:pPr>
              <w:suppressAutoHyphens w:val="0"/>
              <w:spacing w:after="0" w:line="240" w:lineRule="auto"/>
              <w:jc w:val="center"/>
            </w:pPr>
            <w:r>
              <w:rPr>
                <w:rFonts w:ascii="Times New Roman" w:eastAsia="Times New Roman" w:hAnsi="Times New Roman" w:cs="Times New Roman"/>
                <w:lang w:eastAsia="uk-UA"/>
              </w:rPr>
              <w:t>енергія</w:t>
            </w:r>
          </w:p>
        </w:tc>
        <w:tc>
          <w:tcPr>
            <w:tcW w:w="1275" w:type="dxa"/>
            <w:vMerge w:val="restart"/>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pPr>
            <w:r>
              <w:rPr>
                <w:rFonts w:ascii="Times New Roman" w:eastAsia="Times New Roman" w:hAnsi="Times New Roman" w:cs="Times New Roman"/>
                <w:lang w:eastAsia="uk-UA"/>
              </w:rPr>
              <w:t>Теплова енергія</w:t>
            </w:r>
          </w:p>
        </w:tc>
        <w:tc>
          <w:tcPr>
            <w:tcW w:w="5955" w:type="dxa"/>
            <w:gridSpan w:val="6"/>
            <w:tcBorders>
              <w:top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pPr>
            <w:r>
              <w:rPr>
                <w:rFonts w:ascii="Times New Roman" w:eastAsia="Times New Roman" w:hAnsi="Times New Roman" w:cs="Times New Roman"/>
                <w:bCs/>
                <w:lang w:eastAsia="uk-UA"/>
              </w:rPr>
              <w:t>Видобувні види палива</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55" w:type="dxa"/>
              <w:bottom w:w="55" w:type="dxa"/>
            </w:tcMar>
            <w:vAlign w:val="center"/>
          </w:tcPr>
          <w:p w:rsidR="00D227E2" w:rsidRDefault="00934FC4">
            <w:pPr>
              <w:suppressAutoHyphens w:val="0"/>
              <w:spacing w:after="0" w:line="240" w:lineRule="auto"/>
              <w:jc w:val="center"/>
            </w:pPr>
            <w:r>
              <w:rPr>
                <w:rFonts w:ascii="Times New Roman" w:eastAsia="Times New Roman" w:hAnsi="Times New Roman" w:cs="Times New Roman"/>
                <w:color w:val="000000"/>
                <w:lang w:eastAsia="uk-UA"/>
              </w:rPr>
              <w:t>Деревина (дрова, щепа, п</w:t>
            </w:r>
            <w:r>
              <w:rPr>
                <w:rFonts w:ascii="Times New Roman" w:eastAsia="Times New Roman" w:hAnsi="Times New Roman" w:cs="Times New Roman"/>
                <w:color w:val="000000"/>
                <w:lang w:eastAsia="uk-UA"/>
              </w:rPr>
              <w:t>е</w:t>
            </w:r>
            <w:r>
              <w:rPr>
                <w:rFonts w:ascii="Times New Roman" w:eastAsia="Times New Roman" w:hAnsi="Times New Roman" w:cs="Times New Roman"/>
                <w:color w:val="000000"/>
                <w:lang w:eastAsia="uk-UA"/>
              </w:rPr>
              <w:t>лети)</w:t>
            </w:r>
          </w:p>
        </w:tc>
        <w:tc>
          <w:tcPr>
            <w:tcW w:w="1418" w:type="dxa"/>
            <w:vMerge/>
            <w:tcBorders>
              <w:left w:val="single" w:sz="8" w:space="0" w:color="000000"/>
              <w:bottom w:val="single" w:sz="8" w:space="0" w:color="000000"/>
              <w:right w:val="single" w:sz="8" w:space="0" w:color="000000"/>
            </w:tcBorders>
            <w:shd w:val="clear" w:color="auto" w:fill="auto"/>
            <w:tcMar>
              <w:top w:w="55" w:type="dxa"/>
              <w:bottom w:w="55" w:type="dxa"/>
            </w:tcMar>
            <w:vAlign w:val="center"/>
          </w:tcPr>
          <w:p w:rsidR="00D227E2" w:rsidRDefault="00D227E2">
            <w:pPr>
              <w:suppressAutoHyphens w:val="0"/>
              <w:spacing w:after="0" w:line="240" w:lineRule="auto"/>
              <w:rPr>
                <w:rFonts w:ascii="Times New Roman" w:eastAsia="Times New Roman" w:hAnsi="Times New Roman" w:cs="Times New Roman"/>
                <w:color w:val="000000"/>
                <w:lang w:eastAsia="uk-UA"/>
              </w:rPr>
            </w:pPr>
          </w:p>
        </w:tc>
        <w:tc>
          <w:tcPr>
            <w:tcW w:w="1269" w:type="dxa"/>
            <w:vMerge/>
            <w:tcBorders>
              <w:top w:val="single" w:sz="8" w:space="0" w:color="000000"/>
              <w:left w:val="single" w:sz="8" w:space="0" w:color="000000"/>
              <w:right w:val="single" w:sz="8" w:space="0" w:color="000000"/>
            </w:tcBorders>
            <w:shd w:val="clear" w:color="auto" w:fill="auto"/>
            <w:vAlign w:val="center"/>
          </w:tcPr>
          <w:p w:rsidR="00D227E2" w:rsidRDefault="00D227E2">
            <w:pPr>
              <w:suppressAutoHyphens w:val="0"/>
              <w:spacing w:after="0" w:line="240" w:lineRule="auto"/>
              <w:ind w:left="-108" w:firstLine="108"/>
              <w:rPr>
                <w:rFonts w:ascii="Times New Roman" w:eastAsia="Times New Roman" w:hAnsi="Times New Roman" w:cs="Times New Roman"/>
                <w:color w:val="000000"/>
                <w:lang w:eastAsia="uk-UA"/>
              </w:rPr>
            </w:pPr>
          </w:p>
        </w:tc>
      </w:tr>
      <w:tr w:rsidR="00D227E2">
        <w:trPr>
          <w:cantSplit/>
          <w:trHeight w:val="814"/>
        </w:trPr>
        <w:tc>
          <w:tcPr>
            <w:tcW w:w="2835" w:type="dxa"/>
            <w:vMerge/>
            <w:tcBorders>
              <w:top w:val="single" w:sz="8" w:space="0" w:color="000000"/>
              <w:left w:val="single" w:sz="8" w:space="0" w:color="000000"/>
              <w:bottom w:val="single" w:sz="8" w:space="0" w:color="000000"/>
              <w:right w:val="single" w:sz="8" w:space="0" w:color="000000"/>
            </w:tcBorders>
            <w:vAlign w:val="center"/>
          </w:tcPr>
          <w:p w:rsidR="00D227E2" w:rsidRDefault="00D227E2">
            <w:pPr>
              <w:suppressAutoHyphens w:val="0"/>
              <w:spacing w:after="0" w:line="240" w:lineRule="auto"/>
              <w:rPr>
                <w:rFonts w:ascii="Times New Roman" w:eastAsia="Times New Roman" w:hAnsi="Times New Roman" w:cs="Times New Roman"/>
                <w:bCs/>
                <w:lang w:eastAsia="uk-UA"/>
              </w:rPr>
            </w:pPr>
          </w:p>
        </w:tc>
        <w:tc>
          <w:tcPr>
            <w:tcW w:w="1421" w:type="dxa"/>
            <w:vMerge/>
            <w:tcBorders>
              <w:left w:val="single" w:sz="8" w:space="0" w:color="000000"/>
              <w:bottom w:val="single" w:sz="8" w:space="0" w:color="000000"/>
              <w:right w:val="single" w:sz="8" w:space="0" w:color="000000"/>
            </w:tcBorders>
            <w:vAlign w:val="center"/>
          </w:tcPr>
          <w:p w:rsidR="00D227E2" w:rsidRDefault="00D227E2">
            <w:pPr>
              <w:suppressAutoHyphens w:val="0"/>
              <w:spacing w:after="0" w:line="240" w:lineRule="auto"/>
              <w:rPr>
                <w:rFonts w:ascii="Times New Roman" w:eastAsia="Times New Roman" w:hAnsi="Times New Roman" w:cs="Times New Roman"/>
                <w:lang w:eastAsia="uk-UA"/>
              </w:rPr>
            </w:pPr>
          </w:p>
        </w:tc>
        <w:tc>
          <w:tcPr>
            <w:tcW w:w="1275" w:type="dxa"/>
            <w:vMerge/>
            <w:tcBorders>
              <w:left w:val="single" w:sz="8" w:space="0" w:color="000000"/>
              <w:bottom w:val="single" w:sz="8" w:space="0" w:color="000000"/>
              <w:right w:val="single" w:sz="8" w:space="0" w:color="000000"/>
            </w:tcBorders>
            <w:vAlign w:val="center"/>
          </w:tcPr>
          <w:p w:rsidR="00D227E2" w:rsidRDefault="00D227E2">
            <w:pPr>
              <w:suppressAutoHyphens w:val="0"/>
              <w:spacing w:after="0" w:line="240" w:lineRule="auto"/>
              <w:rPr>
                <w:rFonts w:ascii="Times New Roman" w:eastAsia="Times New Roman" w:hAnsi="Times New Roman" w:cs="Times New Roman"/>
                <w:lang w:eastAsia="uk-UA"/>
              </w:rPr>
            </w:pPr>
          </w:p>
        </w:tc>
        <w:tc>
          <w:tcPr>
            <w:tcW w:w="1289" w:type="dxa"/>
            <w:gridSpan w:val="2"/>
            <w:tcBorders>
              <w:top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pPr>
            <w:r>
              <w:rPr>
                <w:rFonts w:ascii="Times New Roman" w:eastAsia="Times New Roman" w:hAnsi="Times New Roman" w:cs="Times New Roman"/>
                <w:lang w:eastAsia="uk-UA"/>
              </w:rPr>
              <w:t>Природний газ</w:t>
            </w:r>
          </w:p>
        </w:tc>
        <w:tc>
          <w:tcPr>
            <w:tcW w:w="1263" w:type="dxa"/>
            <w:tcBorders>
              <w:top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pPr>
            <w:r>
              <w:rPr>
                <w:rFonts w:ascii="Times New Roman" w:eastAsia="Times New Roman" w:hAnsi="Times New Roman" w:cs="Times New Roman"/>
                <w:lang w:eastAsia="uk-UA"/>
              </w:rPr>
              <w:t>Стиснений газ</w:t>
            </w:r>
          </w:p>
          <w:p w:rsidR="00D227E2" w:rsidRDefault="00934FC4">
            <w:pPr>
              <w:suppressAutoHyphens w:val="0"/>
              <w:spacing w:after="0" w:line="240" w:lineRule="auto"/>
              <w:jc w:val="center"/>
            </w:pPr>
            <w:r>
              <w:rPr>
                <w:rFonts w:ascii="Times New Roman" w:eastAsia="Times New Roman" w:hAnsi="Times New Roman" w:cs="Times New Roman"/>
                <w:lang w:eastAsia="uk-UA"/>
              </w:rPr>
              <w:t xml:space="preserve"> (Метан)</w:t>
            </w:r>
          </w:p>
        </w:tc>
        <w:tc>
          <w:tcPr>
            <w:tcW w:w="1419" w:type="dxa"/>
            <w:tcBorders>
              <w:top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pPr>
            <w:r>
              <w:rPr>
                <w:rFonts w:ascii="Times New Roman" w:eastAsia="Times New Roman" w:hAnsi="Times New Roman" w:cs="Times New Roman"/>
                <w:lang w:eastAsia="uk-UA"/>
              </w:rPr>
              <w:t>Скраплений газ (Пропан-бутан)</w:t>
            </w:r>
          </w:p>
        </w:tc>
        <w:tc>
          <w:tcPr>
            <w:tcW w:w="990" w:type="dxa"/>
            <w:tcBorders>
              <w:top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pPr>
            <w:r>
              <w:rPr>
                <w:rFonts w:ascii="Times New Roman" w:eastAsia="Times New Roman" w:hAnsi="Times New Roman" w:cs="Times New Roman"/>
                <w:lang w:eastAsia="uk-UA"/>
              </w:rPr>
              <w:t>Дизель</w:t>
            </w:r>
          </w:p>
        </w:tc>
        <w:tc>
          <w:tcPr>
            <w:tcW w:w="994" w:type="dxa"/>
            <w:tcBorders>
              <w:top w:val="single" w:sz="8" w:space="0" w:color="000000"/>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pPr>
            <w:r>
              <w:rPr>
                <w:rFonts w:ascii="Times New Roman" w:eastAsia="Times New Roman" w:hAnsi="Times New Roman" w:cs="Times New Roman"/>
                <w:lang w:eastAsia="uk-UA"/>
              </w:rPr>
              <w:t>Бензин</w:t>
            </w:r>
          </w:p>
        </w:tc>
        <w:tc>
          <w:tcPr>
            <w:tcW w:w="1276" w:type="dxa"/>
            <w:vMerge/>
            <w:tcBorders>
              <w:left w:val="single" w:sz="4" w:space="0" w:color="000000"/>
              <w:bottom w:val="single" w:sz="4" w:space="0" w:color="000000"/>
              <w:right w:val="single" w:sz="4" w:space="0" w:color="000000"/>
            </w:tcBorders>
            <w:shd w:val="clear" w:color="auto" w:fill="auto"/>
            <w:tcMar>
              <w:top w:w="55" w:type="dxa"/>
              <w:bottom w:w="55" w:type="dxa"/>
            </w:tcMar>
            <w:vAlign w:val="center"/>
          </w:tcPr>
          <w:p w:rsidR="00D227E2" w:rsidRDefault="00D227E2">
            <w:pPr>
              <w:suppressAutoHyphens w:val="0"/>
              <w:spacing w:after="0" w:line="240" w:lineRule="auto"/>
              <w:rPr>
                <w:rFonts w:ascii="Times New Roman" w:eastAsia="Times New Roman" w:hAnsi="Times New Roman" w:cs="Times New Roman"/>
                <w:color w:val="000000"/>
                <w:lang w:eastAsia="uk-UA"/>
              </w:rPr>
            </w:pPr>
          </w:p>
        </w:tc>
        <w:tc>
          <w:tcPr>
            <w:tcW w:w="1418" w:type="dxa"/>
            <w:vMerge/>
            <w:tcBorders>
              <w:left w:val="single" w:sz="8" w:space="0" w:color="000000"/>
              <w:bottom w:val="single" w:sz="8" w:space="0" w:color="000000"/>
              <w:right w:val="single" w:sz="8" w:space="0" w:color="000000"/>
            </w:tcBorders>
            <w:shd w:val="clear" w:color="auto" w:fill="auto"/>
            <w:tcMar>
              <w:top w:w="55" w:type="dxa"/>
              <w:bottom w:w="55" w:type="dxa"/>
            </w:tcMar>
            <w:vAlign w:val="center"/>
          </w:tcPr>
          <w:p w:rsidR="00D227E2" w:rsidRDefault="00D227E2">
            <w:pPr>
              <w:suppressAutoHyphens w:val="0"/>
              <w:spacing w:after="0" w:line="240" w:lineRule="auto"/>
              <w:rPr>
                <w:rFonts w:ascii="Times New Roman" w:eastAsia="Times New Roman" w:hAnsi="Times New Roman" w:cs="Times New Roman"/>
                <w:color w:val="000000"/>
                <w:lang w:eastAsia="uk-UA"/>
              </w:rPr>
            </w:pPr>
          </w:p>
        </w:tc>
        <w:tc>
          <w:tcPr>
            <w:tcW w:w="1269" w:type="dxa"/>
            <w:vMerge/>
            <w:tcBorders>
              <w:top w:val="single" w:sz="8" w:space="0" w:color="000000"/>
              <w:left w:val="single" w:sz="8" w:space="0" w:color="000000"/>
              <w:right w:val="single" w:sz="8" w:space="0" w:color="000000"/>
            </w:tcBorders>
            <w:shd w:val="clear" w:color="auto" w:fill="auto"/>
            <w:vAlign w:val="center"/>
          </w:tcPr>
          <w:p w:rsidR="00D227E2" w:rsidRDefault="00D227E2">
            <w:pPr>
              <w:suppressAutoHyphens w:val="0"/>
              <w:spacing w:after="0" w:line="240" w:lineRule="auto"/>
              <w:rPr>
                <w:rFonts w:ascii="Times New Roman" w:eastAsia="Times New Roman" w:hAnsi="Times New Roman" w:cs="Times New Roman"/>
                <w:color w:val="000000"/>
                <w:lang w:eastAsia="uk-UA"/>
              </w:rPr>
            </w:pPr>
          </w:p>
        </w:tc>
      </w:tr>
      <w:tr w:rsidR="00D227E2">
        <w:trPr>
          <w:cantSplit/>
          <w:trHeight w:val="287"/>
        </w:trPr>
        <w:tc>
          <w:tcPr>
            <w:tcW w:w="14180" w:type="dxa"/>
            <w:gridSpan w:val="11"/>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pPr>
            <w:r>
              <w:rPr>
                <w:rFonts w:ascii="Times New Roman" w:eastAsia="Times New Roman" w:hAnsi="Times New Roman" w:cs="Times New Roman"/>
                <w:bCs/>
                <w:lang w:eastAsia="uk-UA"/>
              </w:rPr>
              <w:t>Будівлі, обладнання/об'єкти</w:t>
            </w:r>
          </w:p>
        </w:tc>
        <w:tc>
          <w:tcPr>
            <w:tcW w:w="1269" w:type="dxa"/>
            <w:tcBorders>
              <w:top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pPr>
            <w:r>
              <w:rPr>
                <w:rFonts w:ascii="Times New Roman" w:eastAsia="Times New Roman" w:hAnsi="Times New Roman" w:cs="Times New Roman"/>
                <w:lang w:eastAsia="uk-UA"/>
              </w:rPr>
              <w:t>83,2%</w:t>
            </w:r>
          </w:p>
        </w:tc>
      </w:tr>
      <w:tr w:rsidR="00D227E2">
        <w:trPr>
          <w:cantSplit/>
          <w:trHeight w:val="357"/>
        </w:trPr>
        <w:tc>
          <w:tcPr>
            <w:tcW w:w="2835"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pPr>
            <w:r>
              <w:rPr>
                <w:rFonts w:ascii="Times New Roman" w:eastAsia="Times New Roman" w:hAnsi="Times New Roman" w:cs="Times New Roman"/>
                <w:lang w:eastAsia="uk-UA"/>
              </w:rPr>
              <w:t>Муніципальні будівлі, о</w:t>
            </w:r>
            <w:r>
              <w:rPr>
                <w:rFonts w:ascii="Times New Roman" w:eastAsia="Times New Roman" w:hAnsi="Times New Roman" w:cs="Times New Roman"/>
                <w:lang w:eastAsia="uk-UA"/>
              </w:rPr>
              <w:t>б</w:t>
            </w:r>
            <w:r>
              <w:rPr>
                <w:rFonts w:ascii="Times New Roman" w:eastAsia="Times New Roman" w:hAnsi="Times New Roman" w:cs="Times New Roman"/>
                <w:lang w:eastAsia="uk-UA"/>
              </w:rPr>
              <w:t>ладнання/об'єкти</w:t>
            </w:r>
          </w:p>
        </w:tc>
        <w:tc>
          <w:tcPr>
            <w:tcW w:w="1421"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73 014,5</w:t>
            </w:r>
          </w:p>
        </w:tc>
        <w:tc>
          <w:tcPr>
            <w:tcW w:w="1275"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30 968,1</w:t>
            </w:r>
          </w:p>
        </w:tc>
        <w:tc>
          <w:tcPr>
            <w:tcW w:w="1289" w:type="dxa"/>
            <w:gridSpan w:val="2"/>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8 867,7</w:t>
            </w:r>
          </w:p>
        </w:tc>
        <w:tc>
          <w:tcPr>
            <w:tcW w:w="1263"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0,0</w:t>
            </w:r>
          </w:p>
        </w:tc>
        <w:tc>
          <w:tcPr>
            <w:tcW w:w="1419"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0,0</w:t>
            </w:r>
          </w:p>
        </w:tc>
        <w:tc>
          <w:tcPr>
            <w:tcW w:w="990"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0</w:t>
            </w:r>
          </w:p>
        </w:tc>
        <w:tc>
          <w:tcPr>
            <w:tcW w:w="994" w:type="dxa"/>
            <w:tcBorders>
              <w:bottom w:val="single" w:sz="8" w:space="0" w:color="000000"/>
              <w:right w:val="single" w:sz="4" w:space="0" w:color="000000"/>
            </w:tcBorders>
            <w:shd w:val="clear" w:color="auto" w:fill="auto"/>
          </w:tcPr>
          <w:p w:rsidR="00D227E2" w:rsidRDefault="00934FC4">
            <w:pPr>
              <w:jc w:val="center"/>
            </w:pPr>
            <w:r>
              <w:rPr>
                <w:rFonts w:ascii="Times New Roman" w:hAnsi="Times New Roman" w:cs="Times New Roman"/>
              </w:rPr>
              <w:t>0</w:t>
            </w:r>
          </w:p>
        </w:tc>
        <w:tc>
          <w:tcPr>
            <w:tcW w:w="1276" w:type="dxa"/>
            <w:tcBorders>
              <w:left w:val="single" w:sz="4" w:space="0" w:color="000000"/>
              <w:bottom w:val="single" w:sz="8" w:space="0" w:color="000000"/>
              <w:right w:val="single" w:sz="4" w:space="0" w:color="000000"/>
            </w:tcBorders>
            <w:shd w:val="clear" w:color="auto" w:fill="auto"/>
          </w:tcPr>
          <w:p w:rsidR="00D227E2" w:rsidRDefault="00934FC4">
            <w:pPr>
              <w:jc w:val="center"/>
            </w:pPr>
            <w:r>
              <w:rPr>
                <w:rFonts w:ascii="Times New Roman" w:hAnsi="Times New Roman" w:cs="Times New Roman"/>
              </w:rPr>
              <w:t>0,0</w:t>
            </w:r>
          </w:p>
        </w:tc>
        <w:tc>
          <w:tcPr>
            <w:tcW w:w="1418" w:type="dxa"/>
            <w:tcBorders>
              <w:left w:val="single" w:sz="4" w:space="0" w:color="000000"/>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112 850,3</w:t>
            </w:r>
          </w:p>
        </w:tc>
        <w:tc>
          <w:tcPr>
            <w:tcW w:w="1269" w:type="dxa"/>
            <w:tcBorders>
              <w:right w:val="single" w:sz="8" w:space="0" w:color="000000"/>
            </w:tcBorders>
            <w:shd w:val="clear" w:color="auto" w:fill="auto"/>
          </w:tcPr>
          <w:p w:rsidR="00D227E2" w:rsidRDefault="00934FC4">
            <w:pPr>
              <w:jc w:val="center"/>
            </w:pPr>
            <w:r>
              <w:rPr>
                <w:rFonts w:ascii="Times New Roman" w:hAnsi="Times New Roman" w:cs="Times New Roman"/>
              </w:rPr>
              <w:t>15,9%</w:t>
            </w:r>
          </w:p>
        </w:tc>
      </w:tr>
      <w:tr w:rsidR="00D227E2">
        <w:trPr>
          <w:cantSplit/>
          <w:trHeight w:val="266"/>
        </w:trPr>
        <w:tc>
          <w:tcPr>
            <w:tcW w:w="2835"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pPr>
            <w:r>
              <w:rPr>
                <w:rFonts w:ascii="Times New Roman" w:eastAsia="Times New Roman" w:hAnsi="Times New Roman" w:cs="Times New Roman"/>
                <w:lang w:eastAsia="uk-UA"/>
              </w:rPr>
              <w:t>Муніципальне</w:t>
            </w:r>
          </w:p>
          <w:p w:rsidR="00D227E2" w:rsidRDefault="00934FC4">
            <w:pPr>
              <w:suppressAutoHyphens w:val="0"/>
              <w:spacing w:after="0" w:line="240" w:lineRule="auto"/>
            </w:pPr>
            <w:r>
              <w:rPr>
                <w:rFonts w:ascii="Times New Roman" w:eastAsia="Times New Roman" w:hAnsi="Times New Roman" w:cs="Times New Roman"/>
                <w:lang w:eastAsia="uk-UA"/>
              </w:rPr>
              <w:t>освітлення</w:t>
            </w:r>
          </w:p>
        </w:tc>
        <w:tc>
          <w:tcPr>
            <w:tcW w:w="1421"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2 054,9</w:t>
            </w:r>
          </w:p>
        </w:tc>
        <w:tc>
          <w:tcPr>
            <w:tcW w:w="1275"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0,0</w:t>
            </w:r>
          </w:p>
        </w:tc>
        <w:tc>
          <w:tcPr>
            <w:tcW w:w="1289" w:type="dxa"/>
            <w:gridSpan w:val="2"/>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0,0</w:t>
            </w:r>
          </w:p>
        </w:tc>
        <w:tc>
          <w:tcPr>
            <w:tcW w:w="1263"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0,0</w:t>
            </w:r>
          </w:p>
        </w:tc>
        <w:tc>
          <w:tcPr>
            <w:tcW w:w="1419"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0,0</w:t>
            </w:r>
          </w:p>
        </w:tc>
        <w:tc>
          <w:tcPr>
            <w:tcW w:w="990"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0</w:t>
            </w:r>
          </w:p>
        </w:tc>
        <w:tc>
          <w:tcPr>
            <w:tcW w:w="994" w:type="dxa"/>
            <w:tcBorders>
              <w:bottom w:val="single" w:sz="8" w:space="0" w:color="000000"/>
              <w:right w:val="single" w:sz="4" w:space="0" w:color="000000"/>
            </w:tcBorders>
            <w:shd w:val="clear" w:color="auto" w:fill="auto"/>
          </w:tcPr>
          <w:p w:rsidR="00D227E2" w:rsidRDefault="00934FC4">
            <w:pPr>
              <w:jc w:val="center"/>
            </w:pPr>
            <w:r>
              <w:rPr>
                <w:rFonts w:ascii="Times New Roman" w:hAnsi="Times New Roman" w:cs="Times New Roman"/>
              </w:rPr>
              <w:t>0</w:t>
            </w:r>
          </w:p>
        </w:tc>
        <w:tc>
          <w:tcPr>
            <w:tcW w:w="1276" w:type="dxa"/>
            <w:tcBorders>
              <w:left w:val="single" w:sz="4" w:space="0" w:color="000000"/>
              <w:bottom w:val="single" w:sz="8" w:space="0" w:color="000000"/>
              <w:right w:val="single" w:sz="4" w:space="0" w:color="000000"/>
            </w:tcBorders>
            <w:shd w:val="clear" w:color="auto" w:fill="auto"/>
          </w:tcPr>
          <w:p w:rsidR="00D227E2" w:rsidRDefault="00934FC4">
            <w:pPr>
              <w:jc w:val="center"/>
            </w:pPr>
            <w:r>
              <w:rPr>
                <w:rFonts w:ascii="Times New Roman" w:hAnsi="Times New Roman" w:cs="Times New Roman"/>
              </w:rPr>
              <w:t>0,0</w:t>
            </w:r>
          </w:p>
        </w:tc>
        <w:tc>
          <w:tcPr>
            <w:tcW w:w="1418" w:type="dxa"/>
            <w:tcBorders>
              <w:left w:val="single" w:sz="4" w:space="0" w:color="000000"/>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2 054,9</w:t>
            </w:r>
          </w:p>
        </w:tc>
        <w:tc>
          <w:tcPr>
            <w:tcW w:w="1269" w:type="dxa"/>
            <w:tcBorders>
              <w:top w:val="single" w:sz="8" w:space="0" w:color="000000"/>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0,3%</w:t>
            </w:r>
          </w:p>
        </w:tc>
      </w:tr>
      <w:tr w:rsidR="00D227E2">
        <w:trPr>
          <w:cantSplit/>
          <w:trHeight w:val="323"/>
        </w:trPr>
        <w:tc>
          <w:tcPr>
            <w:tcW w:w="14180" w:type="dxa"/>
            <w:gridSpan w:val="11"/>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pPr>
            <w:r>
              <w:rPr>
                <w:rFonts w:ascii="Times New Roman" w:eastAsia="Times New Roman" w:hAnsi="Times New Roman" w:cs="Times New Roman"/>
                <w:bCs/>
                <w:lang w:eastAsia="uk-UA"/>
              </w:rPr>
              <w:t>Третинні будівлі, обладнання/об'єкти</w:t>
            </w:r>
          </w:p>
        </w:tc>
        <w:tc>
          <w:tcPr>
            <w:tcW w:w="1269"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pPr>
            <w:r>
              <w:rPr>
                <w:rFonts w:ascii="Times New Roman" w:eastAsia="Times New Roman" w:hAnsi="Times New Roman" w:cs="Times New Roman"/>
                <w:bCs/>
                <w:lang w:eastAsia="uk-UA"/>
              </w:rPr>
              <w:t>13,8%</w:t>
            </w:r>
          </w:p>
        </w:tc>
      </w:tr>
      <w:tr w:rsidR="00D227E2">
        <w:trPr>
          <w:cantSplit/>
          <w:trHeight w:val="480"/>
        </w:trPr>
        <w:tc>
          <w:tcPr>
            <w:tcW w:w="2835"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pPr>
            <w:r>
              <w:rPr>
                <w:rFonts w:ascii="Times New Roman" w:eastAsia="Times New Roman" w:hAnsi="Times New Roman" w:cs="Times New Roman"/>
                <w:lang w:eastAsia="uk-UA"/>
              </w:rPr>
              <w:t>Третинні будівлі,</w:t>
            </w:r>
          </w:p>
          <w:p w:rsidR="00D227E2" w:rsidRDefault="00934FC4">
            <w:pPr>
              <w:suppressAutoHyphens w:val="0"/>
              <w:spacing w:after="0" w:line="240" w:lineRule="auto"/>
            </w:pPr>
            <w:r>
              <w:rPr>
                <w:rFonts w:ascii="Times New Roman" w:eastAsia="Times New Roman" w:hAnsi="Times New Roman" w:cs="Times New Roman"/>
                <w:lang w:eastAsia="uk-UA"/>
              </w:rPr>
              <w:t>обладнання/об'єкти</w:t>
            </w:r>
          </w:p>
        </w:tc>
        <w:tc>
          <w:tcPr>
            <w:tcW w:w="1421"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67 218,6</w:t>
            </w:r>
          </w:p>
        </w:tc>
        <w:tc>
          <w:tcPr>
            <w:tcW w:w="1275"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10 962,1</w:t>
            </w:r>
          </w:p>
        </w:tc>
        <w:tc>
          <w:tcPr>
            <w:tcW w:w="1289" w:type="dxa"/>
            <w:gridSpan w:val="2"/>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19 597,5</w:t>
            </w:r>
          </w:p>
        </w:tc>
        <w:tc>
          <w:tcPr>
            <w:tcW w:w="1263"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0,0</w:t>
            </w:r>
          </w:p>
        </w:tc>
        <w:tc>
          <w:tcPr>
            <w:tcW w:w="1419"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0,0</w:t>
            </w:r>
          </w:p>
        </w:tc>
        <w:tc>
          <w:tcPr>
            <w:tcW w:w="990"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0</w:t>
            </w:r>
          </w:p>
        </w:tc>
        <w:tc>
          <w:tcPr>
            <w:tcW w:w="994" w:type="dxa"/>
            <w:tcBorders>
              <w:bottom w:val="single" w:sz="8" w:space="0" w:color="000000"/>
              <w:right w:val="single" w:sz="4" w:space="0" w:color="000000"/>
            </w:tcBorders>
            <w:shd w:val="clear" w:color="auto" w:fill="auto"/>
          </w:tcPr>
          <w:p w:rsidR="00D227E2" w:rsidRDefault="00934FC4">
            <w:pPr>
              <w:jc w:val="center"/>
            </w:pPr>
            <w:r>
              <w:rPr>
                <w:rFonts w:ascii="Times New Roman" w:hAnsi="Times New Roman" w:cs="Times New Roman"/>
              </w:rPr>
              <w:t>0</w:t>
            </w:r>
          </w:p>
        </w:tc>
        <w:tc>
          <w:tcPr>
            <w:tcW w:w="1276" w:type="dxa"/>
            <w:tcBorders>
              <w:left w:val="single" w:sz="4" w:space="0" w:color="000000"/>
              <w:bottom w:val="single" w:sz="8" w:space="0" w:color="000000"/>
              <w:right w:val="single" w:sz="4" w:space="0" w:color="000000"/>
            </w:tcBorders>
            <w:shd w:val="clear" w:color="auto" w:fill="auto"/>
          </w:tcPr>
          <w:p w:rsidR="00D227E2" w:rsidRDefault="00934FC4">
            <w:pPr>
              <w:jc w:val="center"/>
            </w:pPr>
            <w:r>
              <w:rPr>
                <w:rFonts w:ascii="Times New Roman" w:hAnsi="Times New Roman" w:cs="Times New Roman"/>
              </w:rPr>
              <w:t>0,0</w:t>
            </w:r>
          </w:p>
        </w:tc>
        <w:tc>
          <w:tcPr>
            <w:tcW w:w="1418" w:type="dxa"/>
            <w:tcBorders>
              <w:left w:val="single" w:sz="4" w:space="0" w:color="000000"/>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97 778,2</w:t>
            </w:r>
          </w:p>
        </w:tc>
        <w:tc>
          <w:tcPr>
            <w:tcW w:w="1269" w:type="dxa"/>
            <w:tcBorders>
              <w:right w:val="single" w:sz="8" w:space="0" w:color="000000"/>
            </w:tcBorders>
            <w:shd w:val="clear" w:color="auto" w:fill="auto"/>
          </w:tcPr>
          <w:p w:rsidR="00D227E2" w:rsidRDefault="00934FC4">
            <w:pPr>
              <w:jc w:val="center"/>
            </w:pPr>
            <w:r>
              <w:rPr>
                <w:rFonts w:ascii="Times New Roman" w:hAnsi="Times New Roman" w:cs="Times New Roman"/>
              </w:rPr>
              <w:t>13,8%</w:t>
            </w:r>
          </w:p>
        </w:tc>
      </w:tr>
      <w:tr w:rsidR="00D227E2">
        <w:trPr>
          <w:cantSplit/>
          <w:trHeight w:val="246"/>
        </w:trPr>
        <w:tc>
          <w:tcPr>
            <w:tcW w:w="2835"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pPr>
            <w:r>
              <w:rPr>
                <w:rFonts w:ascii="Times New Roman" w:eastAsia="Times New Roman" w:hAnsi="Times New Roman" w:cs="Times New Roman"/>
                <w:bCs/>
                <w:lang w:eastAsia="uk-UA"/>
              </w:rPr>
              <w:t>Житлові будинки</w:t>
            </w:r>
          </w:p>
        </w:tc>
        <w:tc>
          <w:tcPr>
            <w:tcW w:w="1421"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71 990,6</w:t>
            </w:r>
          </w:p>
        </w:tc>
        <w:tc>
          <w:tcPr>
            <w:tcW w:w="1275"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168 220,1</w:t>
            </w:r>
          </w:p>
        </w:tc>
        <w:tc>
          <w:tcPr>
            <w:tcW w:w="1289" w:type="dxa"/>
            <w:gridSpan w:val="2"/>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136 311,2</w:t>
            </w:r>
          </w:p>
        </w:tc>
        <w:tc>
          <w:tcPr>
            <w:tcW w:w="1263"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0,0</w:t>
            </w:r>
          </w:p>
        </w:tc>
        <w:tc>
          <w:tcPr>
            <w:tcW w:w="1419"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0,0</w:t>
            </w:r>
          </w:p>
        </w:tc>
        <w:tc>
          <w:tcPr>
            <w:tcW w:w="990"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0,0</w:t>
            </w:r>
          </w:p>
        </w:tc>
        <w:tc>
          <w:tcPr>
            <w:tcW w:w="994" w:type="dxa"/>
            <w:tcBorders>
              <w:bottom w:val="single" w:sz="8" w:space="0" w:color="000000"/>
              <w:right w:val="single" w:sz="4" w:space="0" w:color="000000"/>
            </w:tcBorders>
            <w:shd w:val="clear" w:color="auto" w:fill="auto"/>
          </w:tcPr>
          <w:p w:rsidR="00D227E2" w:rsidRDefault="00934FC4">
            <w:pPr>
              <w:jc w:val="center"/>
            </w:pPr>
            <w:r>
              <w:rPr>
                <w:rFonts w:ascii="Times New Roman" w:hAnsi="Times New Roman" w:cs="Times New Roman"/>
              </w:rPr>
              <w:t>0,0</w:t>
            </w:r>
          </w:p>
        </w:tc>
        <w:tc>
          <w:tcPr>
            <w:tcW w:w="1276" w:type="dxa"/>
            <w:tcBorders>
              <w:left w:val="single" w:sz="4" w:space="0" w:color="000000"/>
              <w:bottom w:val="single" w:sz="8" w:space="0" w:color="000000"/>
              <w:right w:val="single" w:sz="4" w:space="0" w:color="000000"/>
            </w:tcBorders>
            <w:shd w:val="clear" w:color="auto" w:fill="auto"/>
          </w:tcPr>
          <w:p w:rsidR="00D227E2" w:rsidRDefault="00934FC4">
            <w:pPr>
              <w:jc w:val="center"/>
            </w:pPr>
            <w:r>
              <w:rPr>
                <w:rFonts w:ascii="Times New Roman" w:hAnsi="Times New Roman" w:cs="Times New Roman"/>
              </w:rPr>
              <w:t>410,9</w:t>
            </w:r>
          </w:p>
        </w:tc>
        <w:tc>
          <w:tcPr>
            <w:tcW w:w="1418" w:type="dxa"/>
            <w:tcBorders>
              <w:left w:val="single" w:sz="4" w:space="0" w:color="000000"/>
              <w:bottom w:val="single" w:sz="8" w:space="0" w:color="000000"/>
            </w:tcBorders>
            <w:shd w:val="clear" w:color="auto" w:fill="auto"/>
          </w:tcPr>
          <w:p w:rsidR="00D227E2" w:rsidRDefault="00934FC4">
            <w:pPr>
              <w:jc w:val="center"/>
            </w:pPr>
            <w:r>
              <w:rPr>
                <w:rFonts w:ascii="Times New Roman" w:hAnsi="Times New Roman" w:cs="Times New Roman"/>
              </w:rPr>
              <w:t>376 932,7</w:t>
            </w:r>
          </w:p>
        </w:tc>
        <w:tc>
          <w:tcPr>
            <w:tcW w:w="1269" w:type="dxa"/>
            <w:tcBorders>
              <w:top w:val="single" w:sz="8" w:space="0" w:color="000000"/>
              <w:left w:val="single" w:sz="8" w:space="0" w:color="000000"/>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53,2%</w:t>
            </w:r>
          </w:p>
        </w:tc>
      </w:tr>
      <w:tr w:rsidR="00D227E2">
        <w:trPr>
          <w:cantSplit/>
          <w:trHeight w:val="223"/>
        </w:trPr>
        <w:tc>
          <w:tcPr>
            <w:tcW w:w="14180" w:type="dxa"/>
            <w:gridSpan w:val="11"/>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pPr>
            <w:r>
              <w:rPr>
                <w:rFonts w:ascii="Times New Roman" w:eastAsia="Times New Roman" w:hAnsi="Times New Roman" w:cs="Times New Roman"/>
                <w:bCs/>
                <w:lang w:eastAsia="uk-UA"/>
              </w:rPr>
              <w:t>Транспорт</w:t>
            </w:r>
          </w:p>
        </w:tc>
        <w:tc>
          <w:tcPr>
            <w:tcW w:w="1269"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pPr>
            <w:r>
              <w:rPr>
                <w:rFonts w:ascii="Times New Roman" w:eastAsia="Times New Roman" w:hAnsi="Times New Roman" w:cs="Times New Roman"/>
                <w:lang w:eastAsia="uk-UA"/>
              </w:rPr>
              <w:t>16,8%</w:t>
            </w:r>
          </w:p>
        </w:tc>
      </w:tr>
      <w:tr w:rsidR="00D227E2">
        <w:trPr>
          <w:cantSplit/>
          <w:trHeight w:val="330"/>
        </w:trPr>
        <w:tc>
          <w:tcPr>
            <w:tcW w:w="2835"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pPr>
            <w:r>
              <w:rPr>
                <w:rFonts w:ascii="Times New Roman" w:eastAsia="Times New Roman" w:hAnsi="Times New Roman" w:cs="Times New Roman"/>
                <w:lang w:eastAsia="uk-UA"/>
              </w:rPr>
              <w:t>Муніципальний</w:t>
            </w:r>
          </w:p>
          <w:p w:rsidR="00D227E2" w:rsidRDefault="00934FC4">
            <w:pPr>
              <w:suppressAutoHyphens w:val="0"/>
              <w:spacing w:after="0" w:line="240" w:lineRule="auto"/>
            </w:pPr>
            <w:r>
              <w:rPr>
                <w:rFonts w:ascii="Times New Roman" w:eastAsia="Times New Roman" w:hAnsi="Times New Roman" w:cs="Times New Roman"/>
                <w:lang w:eastAsia="uk-UA"/>
              </w:rPr>
              <w:t>транспорт</w:t>
            </w:r>
          </w:p>
        </w:tc>
        <w:tc>
          <w:tcPr>
            <w:tcW w:w="1421"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0,0</w:t>
            </w:r>
          </w:p>
        </w:tc>
        <w:tc>
          <w:tcPr>
            <w:tcW w:w="1275"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0,0</w:t>
            </w:r>
          </w:p>
        </w:tc>
        <w:tc>
          <w:tcPr>
            <w:tcW w:w="1289" w:type="dxa"/>
            <w:gridSpan w:val="2"/>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0,0</w:t>
            </w:r>
          </w:p>
        </w:tc>
        <w:tc>
          <w:tcPr>
            <w:tcW w:w="1263"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0,0</w:t>
            </w:r>
          </w:p>
        </w:tc>
        <w:tc>
          <w:tcPr>
            <w:tcW w:w="1419"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308,7</w:t>
            </w:r>
          </w:p>
        </w:tc>
        <w:tc>
          <w:tcPr>
            <w:tcW w:w="990"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3 638,4</w:t>
            </w:r>
          </w:p>
        </w:tc>
        <w:tc>
          <w:tcPr>
            <w:tcW w:w="994" w:type="dxa"/>
            <w:tcBorders>
              <w:bottom w:val="single" w:sz="8" w:space="0" w:color="000000"/>
              <w:right w:val="single" w:sz="4" w:space="0" w:color="000000"/>
            </w:tcBorders>
            <w:shd w:val="clear" w:color="auto" w:fill="auto"/>
          </w:tcPr>
          <w:p w:rsidR="00D227E2" w:rsidRDefault="00934FC4">
            <w:pPr>
              <w:jc w:val="center"/>
            </w:pPr>
            <w:r>
              <w:rPr>
                <w:rFonts w:ascii="Times New Roman" w:hAnsi="Times New Roman" w:cs="Times New Roman"/>
              </w:rPr>
              <w:t>239,5</w:t>
            </w:r>
          </w:p>
        </w:tc>
        <w:tc>
          <w:tcPr>
            <w:tcW w:w="1276" w:type="dxa"/>
            <w:tcBorders>
              <w:left w:val="single" w:sz="4" w:space="0" w:color="000000"/>
              <w:bottom w:val="single" w:sz="8" w:space="0" w:color="000000"/>
              <w:right w:val="single" w:sz="4" w:space="0" w:color="000000"/>
            </w:tcBorders>
            <w:shd w:val="clear" w:color="auto" w:fill="auto"/>
          </w:tcPr>
          <w:p w:rsidR="00D227E2" w:rsidRDefault="00934FC4">
            <w:pPr>
              <w:jc w:val="center"/>
            </w:pPr>
            <w:r>
              <w:rPr>
                <w:rFonts w:ascii="Times New Roman" w:hAnsi="Times New Roman" w:cs="Times New Roman"/>
              </w:rPr>
              <w:t>0,0</w:t>
            </w:r>
          </w:p>
        </w:tc>
        <w:tc>
          <w:tcPr>
            <w:tcW w:w="1418" w:type="dxa"/>
            <w:tcBorders>
              <w:left w:val="single" w:sz="4" w:space="0" w:color="000000"/>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4 186,6</w:t>
            </w:r>
          </w:p>
        </w:tc>
        <w:tc>
          <w:tcPr>
            <w:tcW w:w="1269"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0,6%</w:t>
            </w:r>
          </w:p>
        </w:tc>
      </w:tr>
      <w:tr w:rsidR="00D227E2">
        <w:trPr>
          <w:cantSplit/>
          <w:trHeight w:val="330"/>
        </w:trPr>
        <w:tc>
          <w:tcPr>
            <w:tcW w:w="2835"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pPr>
            <w:r>
              <w:rPr>
                <w:rFonts w:ascii="Times New Roman" w:eastAsia="Times New Roman" w:hAnsi="Times New Roman" w:cs="Times New Roman"/>
                <w:lang w:eastAsia="uk-UA"/>
              </w:rPr>
              <w:t>Громадський транспорт</w:t>
            </w:r>
          </w:p>
        </w:tc>
        <w:tc>
          <w:tcPr>
            <w:tcW w:w="1421"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5 680</w:t>
            </w:r>
          </w:p>
        </w:tc>
        <w:tc>
          <w:tcPr>
            <w:tcW w:w="1275"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0,0</w:t>
            </w:r>
          </w:p>
        </w:tc>
        <w:tc>
          <w:tcPr>
            <w:tcW w:w="1289" w:type="dxa"/>
            <w:gridSpan w:val="2"/>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0,0</w:t>
            </w:r>
          </w:p>
        </w:tc>
        <w:tc>
          <w:tcPr>
            <w:tcW w:w="1263"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0,0</w:t>
            </w:r>
          </w:p>
        </w:tc>
        <w:tc>
          <w:tcPr>
            <w:tcW w:w="1419"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0,0</w:t>
            </w:r>
          </w:p>
        </w:tc>
        <w:tc>
          <w:tcPr>
            <w:tcW w:w="990"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8 661,8</w:t>
            </w:r>
          </w:p>
        </w:tc>
        <w:tc>
          <w:tcPr>
            <w:tcW w:w="994" w:type="dxa"/>
            <w:tcBorders>
              <w:bottom w:val="single" w:sz="8" w:space="0" w:color="000000"/>
              <w:right w:val="single" w:sz="4" w:space="0" w:color="000000"/>
            </w:tcBorders>
            <w:shd w:val="clear" w:color="auto" w:fill="auto"/>
          </w:tcPr>
          <w:p w:rsidR="00D227E2" w:rsidRDefault="00934FC4">
            <w:pPr>
              <w:jc w:val="center"/>
            </w:pPr>
            <w:r>
              <w:rPr>
                <w:rFonts w:ascii="Times New Roman" w:hAnsi="Times New Roman" w:cs="Times New Roman"/>
              </w:rPr>
              <w:t>0,0</w:t>
            </w:r>
          </w:p>
        </w:tc>
        <w:tc>
          <w:tcPr>
            <w:tcW w:w="1276" w:type="dxa"/>
            <w:tcBorders>
              <w:left w:val="single" w:sz="4" w:space="0" w:color="000000"/>
              <w:bottom w:val="single" w:sz="8" w:space="0" w:color="000000"/>
              <w:right w:val="single" w:sz="4" w:space="0" w:color="000000"/>
            </w:tcBorders>
            <w:shd w:val="clear" w:color="auto" w:fill="auto"/>
          </w:tcPr>
          <w:p w:rsidR="00D227E2" w:rsidRDefault="00934FC4">
            <w:pPr>
              <w:jc w:val="center"/>
            </w:pPr>
            <w:r>
              <w:rPr>
                <w:rFonts w:ascii="Times New Roman" w:hAnsi="Times New Roman" w:cs="Times New Roman"/>
              </w:rPr>
              <w:t>0,0</w:t>
            </w:r>
          </w:p>
        </w:tc>
        <w:tc>
          <w:tcPr>
            <w:tcW w:w="1418" w:type="dxa"/>
            <w:tcBorders>
              <w:left w:val="single" w:sz="4" w:space="0" w:color="000000"/>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14 341,8</w:t>
            </w:r>
          </w:p>
        </w:tc>
        <w:tc>
          <w:tcPr>
            <w:tcW w:w="1269"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2%</w:t>
            </w:r>
          </w:p>
        </w:tc>
      </w:tr>
      <w:tr w:rsidR="00D227E2">
        <w:trPr>
          <w:cantSplit/>
          <w:trHeight w:val="324"/>
        </w:trPr>
        <w:tc>
          <w:tcPr>
            <w:tcW w:w="2835"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pPr>
            <w:r>
              <w:rPr>
                <w:rFonts w:ascii="Times New Roman" w:eastAsia="Times New Roman" w:hAnsi="Times New Roman" w:cs="Times New Roman"/>
                <w:lang w:eastAsia="uk-UA"/>
              </w:rPr>
              <w:t>Приватний та</w:t>
            </w:r>
          </w:p>
          <w:p w:rsidR="00D227E2" w:rsidRDefault="00934FC4">
            <w:pPr>
              <w:suppressAutoHyphens w:val="0"/>
              <w:spacing w:after="0" w:line="240" w:lineRule="auto"/>
            </w:pPr>
            <w:r>
              <w:rPr>
                <w:rFonts w:ascii="Times New Roman" w:eastAsia="Times New Roman" w:hAnsi="Times New Roman" w:cs="Times New Roman"/>
                <w:lang w:eastAsia="uk-UA"/>
              </w:rPr>
              <w:t>комерційний транспорт</w:t>
            </w:r>
          </w:p>
        </w:tc>
        <w:tc>
          <w:tcPr>
            <w:tcW w:w="1421"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0,0</w:t>
            </w:r>
          </w:p>
        </w:tc>
        <w:tc>
          <w:tcPr>
            <w:tcW w:w="1275"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0,0</w:t>
            </w:r>
          </w:p>
        </w:tc>
        <w:tc>
          <w:tcPr>
            <w:tcW w:w="1289" w:type="dxa"/>
            <w:gridSpan w:val="2"/>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0,0</w:t>
            </w:r>
          </w:p>
        </w:tc>
        <w:tc>
          <w:tcPr>
            <w:tcW w:w="1263"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42</w:t>
            </w:r>
          </w:p>
        </w:tc>
        <w:tc>
          <w:tcPr>
            <w:tcW w:w="1419"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4 267,5</w:t>
            </w:r>
          </w:p>
        </w:tc>
        <w:tc>
          <w:tcPr>
            <w:tcW w:w="990"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53 263,9</w:t>
            </w:r>
          </w:p>
        </w:tc>
        <w:tc>
          <w:tcPr>
            <w:tcW w:w="994" w:type="dxa"/>
            <w:tcBorders>
              <w:bottom w:val="single" w:sz="8" w:space="0" w:color="000000"/>
              <w:right w:val="single" w:sz="4" w:space="0" w:color="000000"/>
            </w:tcBorders>
            <w:shd w:val="clear" w:color="auto" w:fill="auto"/>
          </w:tcPr>
          <w:p w:rsidR="00D227E2" w:rsidRDefault="00934FC4">
            <w:pPr>
              <w:jc w:val="center"/>
            </w:pPr>
            <w:r>
              <w:rPr>
                <w:rFonts w:ascii="Times New Roman" w:hAnsi="Times New Roman" w:cs="Times New Roman"/>
              </w:rPr>
              <w:t>43 057,5</w:t>
            </w:r>
          </w:p>
        </w:tc>
        <w:tc>
          <w:tcPr>
            <w:tcW w:w="1276" w:type="dxa"/>
            <w:tcBorders>
              <w:left w:val="single" w:sz="4" w:space="0" w:color="000000"/>
              <w:bottom w:val="single" w:sz="8" w:space="0" w:color="000000"/>
              <w:right w:val="single" w:sz="4" w:space="0" w:color="000000"/>
            </w:tcBorders>
            <w:shd w:val="clear" w:color="auto" w:fill="auto"/>
          </w:tcPr>
          <w:p w:rsidR="00D227E2" w:rsidRDefault="00934FC4">
            <w:pPr>
              <w:jc w:val="center"/>
            </w:pPr>
            <w:r>
              <w:rPr>
                <w:rFonts w:ascii="Times New Roman" w:hAnsi="Times New Roman" w:cs="Times New Roman"/>
              </w:rPr>
              <w:t>0,0</w:t>
            </w:r>
          </w:p>
        </w:tc>
        <w:tc>
          <w:tcPr>
            <w:tcW w:w="1418" w:type="dxa"/>
            <w:tcBorders>
              <w:left w:val="single" w:sz="4" w:space="0" w:color="000000"/>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100 391,3</w:t>
            </w:r>
          </w:p>
        </w:tc>
        <w:tc>
          <w:tcPr>
            <w:tcW w:w="1269"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14,2%</w:t>
            </w:r>
          </w:p>
        </w:tc>
      </w:tr>
      <w:tr w:rsidR="00D227E2">
        <w:trPr>
          <w:cantSplit/>
          <w:trHeight w:val="262"/>
        </w:trPr>
        <w:tc>
          <w:tcPr>
            <w:tcW w:w="14180" w:type="dxa"/>
            <w:gridSpan w:val="11"/>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pPr>
            <w:r>
              <w:rPr>
                <w:rFonts w:ascii="Times New Roman" w:eastAsia="Times New Roman" w:hAnsi="Times New Roman" w:cs="Times New Roman"/>
                <w:bCs/>
                <w:lang w:eastAsia="uk-UA"/>
              </w:rPr>
              <w:t>Сектори, що не пов'язані з енергетикою</w:t>
            </w:r>
          </w:p>
        </w:tc>
        <w:tc>
          <w:tcPr>
            <w:tcW w:w="1269" w:type="dxa"/>
            <w:tcBorders>
              <w:bottom w:val="single" w:sz="8" w:space="0" w:color="000000"/>
              <w:right w:val="single" w:sz="8" w:space="0" w:color="000000"/>
            </w:tcBorders>
            <w:shd w:val="clear" w:color="auto" w:fill="auto"/>
            <w:vAlign w:val="center"/>
          </w:tcPr>
          <w:p w:rsidR="00D227E2" w:rsidRDefault="00D227E2">
            <w:pPr>
              <w:suppressAutoHyphens w:val="0"/>
              <w:spacing w:after="0" w:line="240" w:lineRule="auto"/>
              <w:jc w:val="center"/>
              <w:rPr>
                <w:rFonts w:ascii="Times New Roman" w:eastAsia="Times New Roman" w:hAnsi="Times New Roman" w:cs="Times New Roman"/>
                <w:lang w:eastAsia="uk-UA"/>
              </w:rPr>
            </w:pPr>
          </w:p>
        </w:tc>
      </w:tr>
      <w:tr w:rsidR="00D227E2">
        <w:trPr>
          <w:cantSplit/>
          <w:trHeight w:val="347"/>
        </w:trPr>
        <w:tc>
          <w:tcPr>
            <w:tcW w:w="2835"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pPr>
            <w:r>
              <w:rPr>
                <w:rFonts w:ascii="Times New Roman" w:eastAsia="Times New Roman" w:hAnsi="Times New Roman" w:cs="Times New Roman"/>
                <w:lang w:eastAsia="uk-UA"/>
              </w:rPr>
              <w:t>Управління відходами</w:t>
            </w:r>
          </w:p>
        </w:tc>
        <w:tc>
          <w:tcPr>
            <w:tcW w:w="9927" w:type="dxa"/>
            <w:gridSpan w:val="9"/>
            <w:tcBorders>
              <w:top w:val="single" w:sz="8" w:space="0" w:color="000000"/>
              <w:bottom w:val="single" w:sz="8" w:space="0" w:color="000000"/>
              <w:right w:val="single" w:sz="4" w:space="0" w:color="000000"/>
            </w:tcBorders>
            <w:shd w:val="clear" w:color="auto" w:fill="auto"/>
            <w:vAlign w:val="center"/>
          </w:tcPr>
          <w:p w:rsidR="00D227E2" w:rsidRDefault="00D227E2">
            <w:pPr>
              <w:suppressAutoHyphens w:val="0"/>
              <w:spacing w:after="0" w:line="240" w:lineRule="auto"/>
              <w:jc w:val="center"/>
              <w:rPr>
                <w:rFonts w:ascii="Times New Roman" w:eastAsia="Times New Roman" w:hAnsi="Times New Roman" w:cs="Times New Roman"/>
                <w:color w:val="000000"/>
                <w:lang w:eastAsia="uk-UA"/>
              </w:rPr>
            </w:pPr>
          </w:p>
        </w:tc>
        <w:tc>
          <w:tcPr>
            <w:tcW w:w="1418" w:type="dxa"/>
            <w:tcBorders>
              <w:left w:val="single" w:sz="4" w:space="0" w:color="000000"/>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150,0</w:t>
            </w:r>
          </w:p>
        </w:tc>
        <w:tc>
          <w:tcPr>
            <w:tcW w:w="1269"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0,0%</w:t>
            </w:r>
          </w:p>
        </w:tc>
      </w:tr>
      <w:tr w:rsidR="00D227E2">
        <w:trPr>
          <w:cantSplit/>
          <w:trHeight w:val="546"/>
        </w:trPr>
        <w:tc>
          <w:tcPr>
            <w:tcW w:w="2835" w:type="dxa"/>
            <w:tcBorders>
              <w:left w:val="single" w:sz="8" w:space="0" w:color="000000"/>
              <w:bottom w:val="single" w:sz="4" w:space="0" w:color="000000"/>
              <w:right w:val="single" w:sz="8" w:space="0" w:color="000000"/>
            </w:tcBorders>
            <w:shd w:val="clear" w:color="auto" w:fill="auto"/>
            <w:vAlign w:val="center"/>
          </w:tcPr>
          <w:p w:rsidR="00D227E2" w:rsidRDefault="00934FC4">
            <w:pPr>
              <w:suppressAutoHyphens w:val="0"/>
              <w:spacing w:after="0" w:line="240" w:lineRule="auto"/>
            </w:pPr>
            <w:r>
              <w:rPr>
                <w:rFonts w:ascii="Times New Roman" w:eastAsia="Times New Roman" w:hAnsi="Times New Roman" w:cs="Times New Roman"/>
                <w:lang w:eastAsia="uk-UA"/>
              </w:rPr>
              <w:t>Очищення та скидання стічних вод</w:t>
            </w:r>
          </w:p>
        </w:tc>
        <w:tc>
          <w:tcPr>
            <w:tcW w:w="9927" w:type="dxa"/>
            <w:gridSpan w:val="9"/>
            <w:tcBorders>
              <w:top w:val="single" w:sz="8" w:space="0" w:color="000000"/>
              <w:bottom w:val="single" w:sz="4" w:space="0" w:color="000000"/>
              <w:right w:val="single" w:sz="4" w:space="0" w:color="000000"/>
            </w:tcBorders>
            <w:shd w:val="clear" w:color="auto" w:fill="auto"/>
            <w:vAlign w:val="center"/>
          </w:tcPr>
          <w:p w:rsidR="00D227E2" w:rsidRDefault="00D227E2">
            <w:pPr>
              <w:suppressAutoHyphens w:val="0"/>
              <w:spacing w:after="0" w:line="240" w:lineRule="auto"/>
              <w:jc w:val="center"/>
              <w:rPr>
                <w:rFonts w:ascii="Times New Roman" w:eastAsia="Times New Roman" w:hAnsi="Times New Roman" w:cs="Times New Roman"/>
                <w:color w:val="000000"/>
                <w:lang w:eastAsia="uk-UA"/>
              </w:rPr>
            </w:pPr>
          </w:p>
        </w:tc>
        <w:tc>
          <w:tcPr>
            <w:tcW w:w="1418" w:type="dxa"/>
            <w:tcBorders>
              <w:left w:val="single" w:sz="4" w:space="0" w:color="000000"/>
              <w:bottom w:val="single" w:sz="4" w:space="0" w:color="000000"/>
              <w:right w:val="single" w:sz="8" w:space="0" w:color="000000"/>
            </w:tcBorders>
            <w:shd w:val="clear" w:color="auto" w:fill="auto"/>
          </w:tcPr>
          <w:p w:rsidR="00D227E2" w:rsidRDefault="00934FC4">
            <w:pPr>
              <w:jc w:val="center"/>
            </w:pPr>
            <w:r>
              <w:rPr>
                <w:rFonts w:ascii="Times New Roman" w:hAnsi="Times New Roman" w:cs="Times New Roman"/>
              </w:rPr>
              <w:t>87,0</w:t>
            </w:r>
          </w:p>
        </w:tc>
        <w:tc>
          <w:tcPr>
            <w:tcW w:w="1269" w:type="dxa"/>
            <w:tcBorders>
              <w:bottom w:val="single" w:sz="8" w:space="0" w:color="000000"/>
              <w:right w:val="single" w:sz="8" w:space="0" w:color="000000"/>
            </w:tcBorders>
            <w:shd w:val="clear" w:color="auto" w:fill="auto"/>
          </w:tcPr>
          <w:p w:rsidR="00D227E2" w:rsidRDefault="00934FC4">
            <w:pPr>
              <w:jc w:val="center"/>
            </w:pPr>
            <w:r>
              <w:rPr>
                <w:rFonts w:ascii="Times New Roman" w:hAnsi="Times New Roman" w:cs="Times New Roman"/>
              </w:rPr>
              <w:t>0,0%</w:t>
            </w:r>
          </w:p>
        </w:tc>
      </w:tr>
      <w:tr w:rsidR="00D227E2">
        <w:trPr>
          <w:cantSplit/>
          <w:trHeight w:val="310"/>
        </w:trPr>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pPr>
            <w:r>
              <w:rPr>
                <w:rFonts w:ascii="Times New Roman" w:eastAsia="Times New Roman" w:hAnsi="Times New Roman" w:cs="Times New Roman"/>
                <w:bCs/>
                <w:lang w:eastAsia="uk-UA"/>
              </w:rPr>
              <w:t>Усього</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jc w:val="center"/>
            </w:pPr>
            <w:r>
              <w:rPr>
                <w:rFonts w:ascii="Times New Roman" w:hAnsi="Times New Roman" w:cs="Times New Roman"/>
              </w:rPr>
              <w:t>219 958,5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jc w:val="center"/>
            </w:pPr>
            <w:r>
              <w:rPr>
                <w:rFonts w:ascii="Times New Roman" w:hAnsi="Times New Roman" w:cs="Times New Roman"/>
              </w:rPr>
              <w:t>210 150,3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jc w:val="center"/>
            </w:pPr>
            <w:r>
              <w:rPr>
                <w:rFonts w:ascii="Times New Roman" w:hAnsi="Times New Roman" w:cs="Times New Roman"/>
              </w:rPr>
              <w:t>164 776,4</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jc w:val="center"/>
            </w:pPr>
            <w:r>
              <w:rPr>
                <w:rFonts w:ascii="Times New Roman" w:hAnsi="Times New Roman" w:cs="Times New Roman"/>
              </w:rPr>
              <w:t>42</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jc w:val="center"/>
            </w:pPr>
            <w:r>
              <w:rPr>
                <w:rFonts w:ascii="Times New Roman" w:hAnsi="Times New Roman" w:cs="Times New Roman"/>
              </w:rPr>
              <w:t>4 576,2</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jc w:val="center"/>
            </w:pPr>
            <w:r>
              <w:rPr>
                <w:rFonts w:ascii="Times New Roman" w:hAnsi="Times New Roman" w:cs="Times New Roman"/>
              </w:rPr>
              <w:t>65 564</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jc w:val="center"/>
            </w:pPr>
            <w:r>
              <w:rPr>
                <w:rFonts w:ascii="Times New Roman" w:hAnsi="Times New Roman" w:cs="Times New Roman"/>
              </w:rPr>
              <w:t>43 057,5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40" w:lineRule="auto"/>
              <w:jc w:val="center"/>
            </w:pPr>
            <w:r>
              <w:rPr>
                <w:rFonts w:ascii="Times New Roman" w:eastAsia="Times New Roman" w:hAnsi="Times New Roman" w:cs="Times New Roman"/>
                <w:bCs/>
                <w:color w:val="000000"/>
                <w:lang w:eastAsia="uk-UA"/>
              </w:rPr>
              <w:t>410,9</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uppressAutoHyphens w:val="0"/>
              <w:spacing w:after="0" w:line="240" w:lineRule="auto"/>
              <w:jc w:val="center"/>
            </w:pPr>
            <w:r>
              <w:rPr>
                <w:rFonts w:ascii="Times New Roman" w:eastAsia="NSimSun" w:hAnsi="Times New Roman" w:cs="Times New Roman"/>
                <w:color w:val="000000"/>
                <w:kern w:val="2"/>
                <w:lang w:eastAsia="zh-CN" w:bidi="hi-IN"/>
              </w:rPr>
              <w:t>708 772,7</w:t>
            </w:r>
          </w:p>
        </w:tc>
        <w:tc>
          <w:tcPr>
            <w:tcW w:w="1269" w:type="dxa"/>
            <w:tcBorders>
              <w:left w:val="single" w:sz="4" w:space="0" w:color="000000"/>
            </w:tcBorders>
            <w:shd w:val="clear" w:color="auto" w:fill="auto"/>
            <w:vAlign w:val="bottom"/>
          </w:tcPr>
          <w:p w:rsidR="00D227E2" w:rsidRDefault="00D227E2">
            <w:pPr>
              <w:suppressAutoHyphens w:val="0"/>
              <w:spacing w:after="0" w:line="240" w:lineRule="auto"/>
              <w:rPr>
                <w:rFonts w:ascii="Times New Roman" w:eastAsia="Times New Roman" w:hAnsi="Times New Roman" w:cs="Times New Roman"/>
                <w:color w:val="000000"/>
                <w:lang w:eastAsia="uk-UA"/>
              </w:rPr>
            </w:pPr>
          </w:p>
        </w:tc>
      </w:tr>
      <w:tr w:rsidR="00D227E2">
        <w:trPr>
          <w:cantSplit/>
          <w:trHeight w:val="301"/>
        </w:trPr>
        <w:tc>
          <w:tcPr>
            <w:tcW w:w="2835" w:type="dxa"/>
            <w:tcBorders>
              <w:top w:val="single" w:sz="4" w:space="0" w:color="000000"/>
              <w:left w:val="single" w:sz="8" w:space="0" w:color="000000"/>
              <w:bottom w:val="single" w:sz="8" w:space="0" w:color="000000"/>
              <w:right w:val="single" w:sz="4" w:space="0" w:color="000000"/>
            </w:tcBorders>
            <w:shd w:val="clear" w:color="auto" w:fill="auto"/>
            <w:vAlign w:val="center"/>
          </w:tcPr>
          <w:p w:rsidR="00D227E2" w:rsidRDefault="00934FC4">
            <w:pPr>
              <w:suppressAutoHyphens w:val="0"/>
              <w:spacing w:after="0" w:line="240" w:lineRule="auto"/>
            </w:pPr>
            <w:r>
              <w:rPr>
                <w:rFonts w:ascii="Times New Roman" w:eastAsia="Times New Roman" w:hAnsi="Times New Roman" w:cs="Times New Roman"/>
                <w:bCs/>
                <w:lang w:eastAsia="uk-UA"/>
              </w:rPr>
              <w:t>У % за видами палива</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jc w:val="center"/>
            </w:pPr>
            <w:r>
              <w:rPr>
                <w:rFonts w:ascii="Times New Roman" w:hAnsi="Times New Roman" w:cs="Times New Roman"/>
              </w:rPr>
              <w:t>31%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jc w:val="center"/>
            </w:pPr>
            <w:r>
              <w:rPr>
                <w:rFonts w:ascii="Times New Roman" w:hAnsi="Times New Roman" w:cs="Times New Roman"/>
              </w:rPr>
              <w:t>29,6%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jc w:val="center"/>
            </w:pPr>
            <w:r>
              <w:rPr>
                <w:rFonts w:ascii="Times New Roman" w:hAnsi="Times New Roman" w:cs="Times New Roman"/>
              </w:rPr>
              <w:t>23,2%</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jc w:val="center"/>
            </w:pPr>
            <w:r>
              <w:rPr>
                <w:rFonts w:ascii="Times New Roman" w:hAnsi="Times New Roman" w:cs="Times New Roman"/>
              </w:rPr>
              <w:t>0,0%</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jc w:val="center"/>
            </w:pPr>
            <w:r>
              <w:rPr>
                <w:rFonts w:ascii="Times New Roman" w:hAnsi="Times New Roman" w:cs="Times New Roman"/>
              </w:rPr>
              <w:t>0,6%</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jc w:val="center"/>
            </w:pPr>
            <w:r>
              <w:rPr>
                <w:rFonts w:ascii="Times New Roman" w:hAnsi="Times New Roman" w:cs="Times New Roman"/>
              </w:rPr>
              <w:t>9,3%</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jc w:val="center"/>
            </w:pPr>
            <w:r>
              <w:rPr>
                <w:rFonts w:ascii="Times New Roman" w:hAnsi="Times New Roman" w:cs="Times New Roman"/>
              </w:rPr>
              <w:t>6,1%</w:t>
            </w:r>
          </w:p>
        </w:tc>
        <w:tc>
          <w:tcPr>
            <w:tcW w:w="1276" w:type="dxa"/>
            <w:tcBorders>
              <w:top w:val="single" w:sz="4" w:space="0" w:color="000000"/>
              <w:left w:val="single" w:sz="4" w:space="0" w:color="000000"/>
              <w:bottom w:val="single" w:sz="8" w:space="0" w:color="000000"/>
              <w:right w:val="single" w:sz="4" w:space="0" w:color="000000"/>
            </w:tcBorders>
            <w:shd w:val="clear" w:color="auto" w:fill="auto"/>
          </w:tcPr>
          <w:p w:rsidR="00D227E2" w:rsidRDefault="00934FC4">
            <w:pPr>
              <w:suppressAutoHyphens w:val="0"/>
              <w:spacing w:after="0" w:line="240" w:lineRule="auto"/>
              <w:jc w:val="center"/>
            </w:pPr>
            <w:r>
              <w:rPr>
                <w:rFonts w:ascii="Times New Roman" w:eastAsia="Times New Roman" w:hAnsi="Times New Roman" w:cs="Times New Roman"/>
                <w:bCs/>
                <w:color w:val="000000"/>
                <w:lang w:eastAsia="uk-UA"/>
              </w:rPr>
              <w:t>0,1%</w:t>
            </w:r>
          </w:p>
        </w:tc>
        <w:tc>
          <w:tcPr>
            <w:tcW w:w="1418" w:type="dxa"/>
            <w:tcBorders>
              <w:top w:val="single" w:sz="4" w:space="0" w:color="000000"/>
              <w:left w:val="single" w:sz="4" w:space="0" w:color="000000"/>
            </w:tcBorders>
            <w:shd w:val="clear" w:color="auto" w:fill="auto"/>
            <w:vAlign w:val="bottom"/>
          </w:tcPr>
          <w:p w:rsidR="00D227E2" w:rsidRDefault="00D227E2">
            <w:pPr>
              <w:suppressAutoHyphens w:val="0"/>
              <w:spacing w:after="0" w:line="240" w:lineRule="auto"/>
              <w:rPr>
                <w:rFonts w:ascii="Times New Roman" w:eastAsia="Times New Roman" w:hAnsi="Times New Roman" w:cs="Times New Roman"/>
                <w:bCs/>
                <w:color w:val="000000"/>
                <w:lang w:eastAsia="uk-UA"/>
              </w:rPr>
            </w:pPr>
          </w:p>
        </w:tc>
        <w:tc>
          <w:tcPr>
            <w:tcW w:w="1269" w:type="dxa"/>
            <w:shd w:val="clear" w:color="auto" w:fill="auto"/>
            <w:vAlign w:val="bottom"/>
          </w:tcPr>
          <w:p w:rsidR="00D227E2" w:rsidRDefault="00D227E2">
            <w:pPr>
              <w:suppressAutoHyphens w:val="0"/>
              <w:spacing w:after="0" w:line="240" w:lineRule="auto"/>
              <w:rPr>
                <w:rFonts w:ascii="Times New Roman" w:eastAsia="Times New Roman" w:hAnsi="Times New Roman" w:cs="Times New Roman"/>
                <w:color w:val="000000"/>
                <w:lang w:eastAsia="uk-UA"/>
              </w:rPr>
            </w:pPr>
          </w:p>
        </w:tc>
      </w:tr>
    </w:tbl>
    <w:p w:rsidR="00D227E2" w:rsidRDefault="00D227E2">
      <w:pPr>
        <w:spacing w:after="0"/>
        <w:jc w:val="center"/>
        <w:rPr>
          <w:rFonts w:ascii="Times New Roman" w:hAnsi="Times New Roman" w:cs="Times New Roman"/>
        </w:rPr>
      </w:pPr>
    </w:p>
    <w:p w:rsidR="00D227E2" w:rsidRDefault="00D227E2">
      <w:pPr>
        <w:spacing w:after="0"/>
        <w:jc w:val="center"/>
        <w:rPr>
          <w:rFonts w:ascii="Times New Roman" w:hAnsi="Times New Roman" w:cs="Times New Roman"/>
        </w:rPr>
      </w:pPr>
    </w:p>
    <w:p w:rsidR="00D227E2" w:rsidRDefault="00D227E2">
      <w:pPr>
        <w:spacing w:after="0"/>
        <w:jc w:val="center"/>
        <w:rPr>
          <w:rFonts w:ascii="Times New Roman" w:hAnsi="Times New Roman" w:cs="Times New Roman"/>
        </w:rPr>
      </w:pPr>
    </w:p>
    <w:p w:rsidR="00D227E2" w:rsidRDefault="00934FC4">
      <w:pPr>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 xml:space="preserve">Таблиця 73. Обсяги викидів </w:t>
      </w:r>
      <w:r>
        <w:rPr>
          <w:rFonts w:ascii="Times New Roman" w:hAnsi="Times New Roman" w:cs="Times New Roman"/>
          <w:color w:val="000000"/>
          <w:sz w:val="24"/>
          <w:szCs w:val="24"/>
          <w:lang w:eastAsia="ru-RU"/>
        </w:rPr>
        <w:t>СО</w:t>
      </w:r>
      <w:r>
        <w:rPr>
          <w:rFonts w:ascii="Times New Roman" w:hAnsi="Times New Roman" w:cs="Times New Roman"/>
          <w:color w:val="000000"/>
          <w:sz w:val="24"/>
          <w:szCs w:val="24"/>
          <w:vertAlign w:val="subscript"/>
          <w:lang w:eastAsia="ru-RU"/>
        </w:rPr>
        <w:t>2</w:t>
      </w:r>
      <w:r>
        <w:rPr>
          <w:rFonts w:ascii="Times New Roman" w:hAnsi="Times New Roman" w:cs="Times New Roman"/>
          <w:color w:val="000000"/>
          <w:sz w:val="24"/>
          <w:szCs w:val="24"/>
          <w:lang w:eastAsia="ru-RU"/>
        </w:rPr>
        <w:t>, кг/на 1 людину</w:t>
      </w:r>
      <w:r>
        <w:rPr>
          <w:rFonts w:ascii="Times New Roman" w:eastAsia="NSimSun" w:hAnsi="Times New Roman" w:cs="Times New Roman"/>
          <w:kern w:val="2"/>
          <w:sz w:val="24"/>
          <w:szCs w:val="24"/>
          <w:lang w:eastAsia="zh-CN" w:bidi="hi-IN"/>
        </w:rPr>
        <w:t xml:space="preserve"> в базовому 2007 році</w:t>
      </w:r>
    </w:p>
    <w:tbl>
      <w:tblPr>
        <w:tblW w:w="15327" w:type="dxa"/>
        <w:tblInd w:w="93" w:type="dxa"/>
        <w:tblLayout w:type="fixed"/>
        <w:tblLook w:val="04A0" w:firstRow="1" w:lastRow="0" w:firstColumn="1" w:lastColumn="0" w:noHBand="0" w:noVBand="1"/>
      </w:tblPr>
      <w:tblGrid>
        <w:gridCol w:w="2566"/>
        <w:gridCol w:w="1421"/>
        <w:gridCol w:w="1275"/>
        <w:gridCol w:w="1276"/>
        <w:gridCol w:w="13"/>
        <w:gridCol w:w="1264"/>
        <w:gridCol w:w="1418"/>
        <w:gridCol w:w="990"/>
        <w:gridCol w:w="998"/>
        <w:gridCol w:w="1562"/>
        <w:gridCol w:w="1275"/>
        <w:gridCol w:w="1269"/>
      </w:tblGrid>
      <w:tr w:rsidR="00D227E2">
        <w:trPr>
          <w:cantSplit/>
          <w:trHeight w:val="516"/>
        </w:trPr>
        <w:tc>
          <w:tcPr>
            <w:tcW w:w="256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Сектори кінцевих</w:t>
            </w:r>
          </w:p>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споживачів</w:t>
            </w:r>
          </w:p>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енергоресурсів</w:t>
            </w:r>
          </w:p>
        </w:tc>
        <w:tc>
          <w:tcPr>
            <w:tcW w:w="8654" w:type="dxa"/>
            <w:gridSpan w:val="8"/>
            <w:tcBorders>
              <w:top w:val="single" w:sz="8" w:space="0" w:color="000000"/>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Обсяги викидів СО</w:t>
            </w:r>
            <w:r>
              <w:rPr>
                <w:rFonts w:ascii="Times New Roman" w:eastAsia="Times New Roman" w:hAnsi="Times New Roman" w:cs="Times New Roman"/>
                <w:bCs/>
                <w:vertAlign w:val="subscript"/>
                <w:lang w:eastAsia="uk-UA"/>
              </w:rPr>
              <w:t>2</w:t>
            </w:r>
            <w:r>
              <w:rPr>
                <w:rFonts w:ascii="Times New Roman" w:eastAsia="Times New Roman" w:hAnsi="Times New Roman" w:cs="Times New Roman"/>
                <w:bCs/>
                <w:lang w:eastAsia="uk-UA"/>
              </w:rPr>
              <w:t>, кг/на 1 людину</w:t>
            </w:r>
          </w:p>
        </w:tc>
        <w:tc>
          <w:tcPr>
            <w:tcW w:w="1562" w:type="dxa"/>
            <w:vMerge w:val="restart"/>
            <w:tcBorders>
              <w:top w:val="single" w:sz="8" w:space="0" w:color="000000"/>
              <w:left w:val="single" w:sz="8" w:space="0" w:color="000000"/>
              <w:bottom w:val="single" w:sz="8" w:space="0" w:color="000000"/>
            </w:tcBorders>
            <w:shd w:val="clear" w:color="auto" w:fill="auto"/>
            <w:tcMar>
              <w:top w:w="55" w:type="dxa"/>
              <w:bottom w:w="55" w:type="dxa"/>
            </w:tcMa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Деревина (дрова, щепа, пелети)</w:t>
            </w:r>
          </w:p>
        </w:tc>
        <w:tc>
          <w:tcPr>
            <w:tcW w:w="1275" w:type="dxa"/>
            <w:vMerge w:val="restart"/>
            <w:tcBorders>
              <w:top w:val="single" w:sz="8" w:space="0" w:color="000000"/>
              <w:left w:val="single" w:sz="8" w:space="0" w:color="000000"/>
              <w:bottom w:val="single" w:sz="8" w:space="0" w:color="000000"/>
              <w:right w:val="single" w:sz="8" w:space="0" w:color="000000"/>
            </w:tcBorders>
            <w:shd w:val="clear" w:color="auto" w:fill="auto"/>
            <w:tcMar>
              <w:top w:w="55" w:type="dxa"/>
              <w:bottom w:w="55" w:type="dxa"/>
            </w:tcMa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Сума в</w:t>
            </w:r>
            <w:r>
              <w:rPr>
                <w:rFonts w:ascii="Times New Roman" w:eastAsia="Times New Roman" w:hAnsi="Times New Roman" w:cs="Times New Roman"/>
                <w:color w:val="000000"/>
                <w:lang w:eastAsia="uk-UA"/>
              </w:rPr>
              <w:t>и</w:t>
            </w:r>
            <w:r>
              <w:rPr>
                <w:rFonts w:ascii="Times New Roman" w:eastAsia="Times New Roman" w:hAnsi="Times New Roman" w:cs="Times New Roman"/>
                <w:color w:val="000000"/>
                <w:lang w:eastAsia="uk-UA"/>
              </w:rPr>
              <w:t>кидів СО</w:t>
            </w:r>
            <w:r>
              <w:rPr>
                <w:rFonts w:ascii="Times New Roman" w:eastAsia="Times New Roman" w:hAnsi="Times New Roman" w:cs="Times New Roman"/>
                <w:color w:val="000000"/>
                <w:vertAlign w:val="subscript"/>
                <w:lang w:eastAsia="uk-UA"/>
              </w:rPr>
              <w:t>2</w:t>
            </w:r>
            <w:r>
              <w:rPr>
                <w:rFonts w:ascii="Times New Roman" w:eastAsia="Times New Roman" w:hAnsi="Times New Roman" w:cs="Times New Roman"/>
                <w:color w:val="000000"/>
                <w:lang w:eastAsia="uk-UA"/>
              </w:rPr>
              <w:t xml:space="preserve"> по сект</w:t>
            </w:r>
            <w:r>
              <w:rPr>
                <w:rFonts w:ascii="Times New Roman" w:eastAsia="Times New Roman" w:hAnsi="Times New Roman" w:cs="Times New Roman"/>
                <w:color w:val="000000"/>
                <w:lang w:eastAsia="uk-UA"/>
              </w:rPr>
              <w:t>о</w:t>
            </w:r>
            <w:r>
              <w:rPr>
                <w:rFonts w:ascii="Times New Roman" w:eastAsia="Times New Roman" w:hAnsi="Times New Roman" w:cs="Times New Roman"/>
                <w:color w:val="000000"/>
                <w:lang w:eastAsia="uk-UA"/>
              </w:rPr>
              <w:t>рах, тон</w:t>
            </w:r>
          </w:p>
        </w:tc>
        <w:tc>
          <w:tcPr>
            <w:tcW w:w="1269" w:type="dxa"/>
            <w:vMerge w:val="restart"/>
            <w:tcBorders>
              <w:top w:val="single" w:sz="8" w:space="0" w:color="000000"/>
              <w:left w:val="single" w:sz="8" w:space="0" w:color="000000"/>
              <w:right w:val="single" w:sz="8" w:space="0" w:color="000000"/>
            </w:tcBorders>
            <w:shd w:val="clear" w:color="auto" w:fill="auto"/>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 по се</w:t>
            </w:r>
            <w:r>
              <w:rPr>
                <w:rFonts w:ascii="Times New Roman" w:eastAsia="Times New Roman" w:hAnsi="Times New Roman" w:cs="Times New Roman"/>
                <w:color w:val="000000"/>
                <w:lang w:eastAsia="uk-UA"/>
              </w:rPr>
              <w:t>к</w:t>
            </w:r>
            <w:r>
              <w:rPr>
                <w:rFonts w:ascii="Times New Roman" w:eastAsia="Times New Roman" w:hAnsi="Times New Roman" w:cs="Times New Roman"/>
                <w:color w:val="000000"/>
                <w:lang w:eastAsia="uk-UA"/>
              </w:rPr>
              <w:t>торах</w:t>
            </w:r>
          </w:p>
        </w:tc>
      </w:tr>
      <w:tr w:rsidR="00D227E2">
        <w:trPr>
          <w:cantSplit/>
          <w:trHeight w:val="271"/>
        </w:trPr>
        <w:tc>
          <w:tcPr>
            <w:tcW w:w="2565" w:type="dxa"/>
            <w:vMerge/>
            <w:tcBorders>
              <w:top w:val="single" w:sz="8" w:space="0" w:color="000000"/>
              <w:left w:val="single" w:sz="8" w:space="0" w:color="000000"/>
              <w:bottom w:val="single" w:sz="8" w:space="0" w:color="000000"/>
              <w:right w:val="single" w:sz="8" w:space="0" w:color="000000"/>
            </w:tcBorders>
            <w:vAlign w:val="center"/>
          </w:tcPr>
          <w:p w:rsidR="00D227E2" w:rsidRDefault="00D227E2">
            <w:pPr>
              <w:suppressAutoHyphens w:val="0"/>
              <w:spacing w:after="0" w:line="240" w:lineRule="auto"/>
              <w:rPr>
                <w:rFonts w:ascii="Times New Roman" w:eastAsia="Times New Roman" w:hAnsi="Times New Roman" w:cs="Times New Roman"/>
                <w:bCs/>
                <w:lang w:eastAsia="uk-UA"/>
              </w:rPr>
            </w:pPr>
          </w:p>
        </w:tc>
        <w:tc>
          <w:tcPr>
            <w:tcW w:w="1420" w:type="dxa"/>
            <w:vMerge w:val="restart"/>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Електрична</w:t>
            </w:r>
          </w:p>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енергія</w:t>
            </w:r>
          </w:p>
        </w:tc>
        <w:tc>
          <w:tcPr>
            <w:tcW w:w="1275" w:type="dxa"/>
            <w:vMerge w:val="restart"/>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Теплова енергія</w:t>
            </w:r>
          </w:p>
        </w:tc>
        <w:tc>
          <w:tcPr>
            <w:tcW w:w="5959" w:type="dxa"/>
            <w:gridSpan w:val="6"/>
            <w:tcBorders>
              <w:top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Видобувні види палива</w:t>
            </w:r>
          </w:p>
        </w:tc>
        <w:tc>
          <w:tcPr>
            <w:tcW w:w="1562" w:type="dxa"/>
            <w:vMerge/>
            <w:tcBorders>
              <w:left w:val="single" w:sz="8" w:space="0" w:color="000000"/>
              <w:bottom w:val="single" w:sz="8" w:space="0" w:color="000000"/>
            </w:tcBorders>
            <w:shd w:val="clear" w:color="auto" w:fill="auto"/>
            <w:tcMar>
              <w:top w:w="55" w:type="dxa"/>
              <w:bottom w:w="55" w:type="dxa"/>
            </w:tcMar>
          </w:tcPr>
          <w:p w:rsidR="00D227E2" w:rsidRDefault="00D227E2">
            <w:pPr>
              <w:suppressAutoHyphens w:val="0"/>
              <w:spacing w:after="0" w:line="240" w:lineRule="auto"/>
              <w:jc w:val="center"/>
              <w:rPr>
                <w:rFonts w:ascii="Times New Roman" w:hAnsi="Times New Roman" w:cs="Times New Roman"/>
              </w:rPr>
            </w:pPr>
          </w:p>
        </w:tc>
        <w:tc>
          <w:tcPr>
            <w:tcW w:w="1275" w:type="dxa"/>
            <w:vMerge/>
            <w:tcBorders>
              <w:left w:val="single" w:sz="8" w:space="0" w:color="000000"/>
              <w:bottom w:val="single" w:sz="8" w:space="0" w:color="000000"/>
              <w:right w:val="single" w:sz="8" w:space="0" w:color="000000"/>
            </w:tcBorders>
            <w:shd w:val="clear" w:color="auto" w:fill="auto"/>
            <w:tcMar>
              <w:top w:w="55" w:type="dxa"/>
              <w:bottom w:w="55" w:type="dxa"/>
            </w:tcMar>
          </w:tcPr>
          <w:p w:rsidR="00D227E2" w:rsidRDefault="00D227E2">
            <w:pPr>
              <w:suppressAutoHyphens w:val="0"/>
              <w:spacing w:after="0" w:line="240" w:lineRule="auto"/>
              <w:rPr>
                <w:rFonts w:ascii="Times New Roman" w:eastAsia="Times New Roman" w:hAnsi="Times New Roman" w:cs="Times New Roman"/>
                <w:color w:val="000000"/>
                <w:lang w:eastAsia="uk-UA"/>
              </w:rPr>
            </w:pPr>
          </w:p>
        </w:tc>
        <w:tc>
          <w:tcPr>
            <w:tcW w:w="1269" w:type="dxa"/>
            <w:vMerge/>
            <w:tcBorders>
              <w:top w:val="single" w:sz="8" w:space="0" w:color="000000"/>
              <w:left w:val="single" w:sz="8" w:space="0" w:color="000000"/>
              <w:right w:val="single" w:sz="8" w:space="0" w:color="000000"/>
            </w:tcBorders>
            <w:shd w:val="clear" w:color="auto" w:fill="auto"/>
          </w:tcPr>
          <w:p w:rsidR="00D227E2" w:rsidRDefault="00D227E2">
            <w:pPr>
              <w:suppressAutoHyphens w:val="0"/>
              <w:spacing w:after="0" w:line="240" w:lineRule="auto"/>
              <w:rPr>
                <w:rFonts w:ascii="Times New Roman" w:eastAsia="Times New Roman" w:hAnsi="Times New Roman" w:cs="Times New Roman"/>
                <w:color w:val="000000"/>
                <w:lang w:eastAsia="uk-UA"/>
              </w:rPr>
            </w:pPr>
          </w:p>
        </w:tc>
      </w:tr>
      <w:tr w:rsidR="00D227E2">
        <w:trPr>
          <w:cantSplit/>
          <w:trHeight w:val="814"/>
        </w:trPr>
        <w:tc>
          <w:tcPr>
            <w:tcW w:w="2565" w:type="dxa"/>
            <w:vMerge/>
            <w:tcBorders>
              <w:top w:val="single" w:sz="8" w:space="0" w:color="000000"/>
              <w:left w:val="single" w:sz="8" w:space="0" w:color="000000"/>
              <w:bottom w:val="single" w:sz="8" w:space="0" w:color="000000"/>
              <w:right w:val="single" w:sz="8" w:space="0" w:color="000000"/>
            </w:tcBorders>
            <w:vAlign w:val="center"/>
          </w:tcPr>
          <w:p w:rsidR="00D227E2" w:rsidRDefault="00D227E2">
            <w:pPr>
              <w:suppressAutoHyphens w:val="0"/>
              <w:spacing w:after="0" w:line="240" w:lineRule="auto"/>
              <w:rPr>
                <w:rFonts w:ascii="Times New Roman" w:eastAsia="Times New Roman" w:hAnsi="Times New Roman" w:cs="Times New Roman"/>
                <w:bCs/>
                <w:lang w:eastAsia="uk-UA"/>
              </w:rPr>
            </w:pPr>
          </w:p>
        </w:tc>
        <w:tc>
          <w:tcPr>
            <w:tcW w:w="1420" w:type="dxa"/>
            <w:vMerge/>
            <w:tcBorders>
              <w:left w:val="single" w:sz="8" w:space="0" w:color="000000"/>
              <w:bottom w:val="single" w:sz="8" w:space="0" w:color="000000"/>
              <w:right w:val="single" w:sz="8" w:space="0" w:color="000000"/>
            </w:tcBorders>
            <w:vAlign w:val="center"/>
          </w:tcPr>
          <w:p w:rsidR="00D227E2" w:rsidRDefault="00D227E2">
            <w:pPr>
              <w:suppressAutoHyphens w:val="0"/>
              <w:spacing w:after="0" w:line="240" w:lineRule="auto"/>
              <w:rPr>
                <w:rFonts w:ascii="Times New Roman" w:eastAsia="Times New Roman" w:hAnsi="Times New Roman" w:cs="Times New Roman"/>
                <w:lang w:eastAsia="uk-UA"/>
              </w:rPr>
            </w:pPr>
          </w:p>
        </w:tc>
        <w:tc>
          <w:tcPr>
            <w:tcW w:w="1275" w:type="dxa"/>
            <w:vMerge/>
            <w:tcBorders>
              <w:left w:val="single" w:sz="8" w:space="0" w:color="000000"/>
              <w:bottom w:val="single" w:sz="8" w:space="0" w:color="000000"/>
              <w:right w:val="single" w:sz="8" w:space="0" w:color="000000"/>
            </w:tcBorders>
            <w:vAlign w:val="center"/>
          </w:tcPr>
          <w:p w:rsidR="00D227E2" w:rsidRDefault="00D227E2">
            <w:pPr>
              <w:suppressAutoHyphens w:val="0"/>
              <w:spacing w:after="0" w:line="240" w:lineRule="auto"/>
              <w:rPr>
                <w:rFonts w:ascii="Times New Roman" w:eastAsia="Times New Roman" w:hAnsi="Times New Roman" w:cs="Times New Roman"/>
                <w:lang w:eastAsia="uk-UA"/>
              </w:rPr>
            </w:pPr>
          </w:p>
        </w:tc>
        <w:tc>
          <w:tcPr>
            <w:tcW w:w="1289" w:type="dxa"/>
            <w:gridSpan w:val="2"/>
            <w:tcBorders>
              <w:top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Природний газ</w:t>
            </w:r>
          </w:p>
        </w:tc>
        <w:tc>
          <w:tcPr>
            <w:tcW w:w="1264" w:type="dxa"/>
            <w:tcBorders>
              <w:top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Стиснений газ</w:t>
            </w:r>
          </w:p>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 xml:space="preserve"> (Метан)</w:t>
            </w:r>
          </w:p>
        </w:tc>
        <w:tc>
          <w:tcPr>
            <w:tcW w:w="1418" w:type="dxa"/>
            <w:tcBorders>
              <w:top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Скраплений газ (Пропан-бутан)</w:t>
            </w:r>
          </w:p>
        </w:tc>
        <w:tc>
          <w:tcPr>
            <w:tcW w:w="990" w:type="dxa"/>
            <w:tcBorders>
              <w:top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Дизель</w:t>
            </w:r>
          </w:p>
        </w:tc>
        <w:tc>
          <w:tcPr>
            <w:tcW w:w="998" w:type="dxa"/>
            <w:tcBorders>
              <w:top w:val="single" w:sz="8" w:space="0" w:color="000000"/>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Бензин</w:t>
            </w:r>
          </w:p>
        </w:tc>
        <w:tc>
          <w:tcPr>
            <w:tcW w:w="1562" w:type="dxa"/>
            <w:vMerge/>
            <w:tcBorders>
              <w:left w:val="single" w:sz="8" w:space="0" w:color="000000"/>
              <w:bottom w:val="single" w:sz="8" w:space="0" w:color="000000"/>
            </w:tcBorders>
            <w:shd w:val="clear" w:color="auto" w:fill="auto"/>
            <w:tcMar>
              <w:top w:w="55" w:type="dxa"/>
              <w:bottom w:w="55" w:type="dxa"/>
            </w:tcMar>
          </w:tcPr>
          <w:p w:rsidR="00D227E2" w:rsidRDefault="00D227E2">
            <w:pPr>
              <w:suppressAutoHyphens w:val="0"/>
              <w:spacing w:after="0" w:line="240" w:lineRule="auto"/>
              <w:rPr>
                <w:rFonts w:ascii="Times New Roman" w:eastAsia="Times New Roman" w:hAnsi="Times New Roman" w:cs="Times New Roman"/>
                <w:color w:val="000000"/>
                <w:lang w:eastAsia="uk-UA"/>
              </w:rPr>
            </w:pPr>
          </w:p>
        </w:tc>
        <w:tc>
          <w:tcPr>
            <w:tcW w:w="1275" w:type="dxa"/>
            <w:vMerge/>
            <w:tcBorders>
              <w:left w:val="single" w:sz="8" w:space="0" w:color="000000"/>
              <w:bottom w:val="single" w:sz="8" w:space="0" w:color="000000"/>
              <w:right w:val="single" w:sz="8" w:space="0" w:color="000000"/>
            </w:tcBorders>
            <w:shd w:val="clear" w:color="auto" w:fill="auto"/>
            <w:tcMar>
              <w:top w:w="55" w:type="dxa"/>
              <w:bottom w:w="55" w:type="dxa"/>
            </w:tcMar>
          </w:tcPr>
          <w:p w:rsidR="00D227E2" w:rsidRDefault="00D227E2">
            <w:pPr>
              <w:suppressAutoHyphens w:val="0"/>
              <w:spacing w:after="0" w:line="240" w:lineRule="auto"/>
              <w:rPr>
                <w:rFonts w:ascii="Times New Roman" w:eastAsia="Times New Roman" w:hAnsi="Times New Roman" w:cs="Times New Roman"/>
                <w:color w:val="000000"/>
                <w:lang w:eastAsia="uk-UA"/>
              </w:rPr>
            </w:pPr>
          </w:p>
        </w:tc>
        <w:tc>
          <w:tcPr>
            <w:tcW w:w="1269" w:type="dxa"/>
            <w:vMerge/>
            <w:tcBorders>
              <w:top w:val="single" w:sz="8" w:space="0" w:color="000000"/>
              <w:left w:val="single" w:sz="8" w:space="0" w:color="000000"/>
              <w:right w:val="single" w:sz="8" w:space="0" w:color="000000"/>
            </w:tcBorders>
            <w:shd w:val="clear" w:color="auto" w:fill="auto"/>
          </w:tcPr>
          <w:p w:rsidR="00D227E2" w:rsidRDefault="00D227E2">
            <w:pPr>
              <w:suppressAutoHyphens w:val="0"/>
              <w:spacing w:after="0" w:line="240" w:lineRule="auto"/>
              <w:rPr>
                <w:rFonts w:ascii="Times New Roman" w:eastAsia="Times New Roman" w:hAnsi="Times New Roman" w:cs="Times New Roman"/>
                <w:color w:val="000000"/>
                <w:lang w:eastAsia="uk-UA"/>
              </w:rPr>
            </w:pPr>
          </w:p>
        </w:tc>
      </w:tr>
      <w:tr w:rsidR="00D227E2">
        <w:trPr>
          <w:cantSplit/>
          <w:trHeight w:val="287"/>
        </w:trPr>
        <w:tc>
          <w:tcPr>
            <w:tcW w:w="14056" w:type="dxa"/>
            <w:gridSpan w:val="11"/>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Будівлі, обладнання/об'єкти</w:t>
            </w:r>
          </w:p>
        </w:tc>
        <w:tc>
          <w:tcPr>
            <w:tcW w:w="1269" w:type="dxa"/>
            <w:tcBorders>
              <w:top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80,8%</w:t>
            </w:r>
          </w:p>
        </w:tc>
      </w:tr>
      <w:tr w:rsidR="00D227E2">
        <w:trPr>
          <w:cantSplit/>
          <w:trHeight w:val="357"/>
        </w:trPr>
        <w:tc>
          <w:tcPr>
            <w:tcW w:w="2565"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lang w:eastAsia="uk-UA"/>
              </w:rPr>
              <w:t>Муніципальні будівлі, обладнання/об'єкти</w:t>
            </w:r>
          </w:p>
        </w:tc>
        <w:tc>
          <w:tcPr>
            <w:tcW w:w="1420"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320,6</w:t>
            </w:r>
          </w:p>
        </w:tc>
        <w:tc>
          <w:tcPr>
            <w:tcW w:w="1275"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136</w:t>
            </w:r>
          </w:p>
        </w:tc>
        <w:tc>
          <w:tcPr>
            <w:tcW w:w="1289" w:type="dxa"/>
            <w:gridSpan w:val="2"/>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38,9</w:t>
            </w:r>
          </w:p>
        </w:tc>
        <w:tc>
          <w:tcPr>
            <w:tcW w:w="1264"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41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990"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w:t>
            </w:r>
          </w:p>
        </w:tc>
        <w:tc>
          <w:tcPr>
            <w:tcW w:w="998" w:type="dxa"/>
            <w:tcBorders>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w:t>
            </w:r>
          </w:p>
        </w:tc>
        <w:tc>
          <w:tcPr>
            <w:tcW w:w="1562" w:type="dxa"/>
            <w:tcBorders>
              <w:left w:val="single" w:sz="4" w:space="0" w:color="000000"/>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75" w:type="dxa"/>
            <w:tcBorders>
              <w:left w:val="single" w:sz="4"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495,5</w:t>
            </w:r>
          </w:p>
        </w:tc>
        <w:tc>
          <w:tcPr>
            <w:tcW w:w="1269" w:type="dxa"/>
            <w:tcBorders>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15,9%</w:t>
            </w:r>
          </w:p>
        </w:tc>
      </w:tr>
      <w:tr w:rsidR="00D227E2">
        <w:trPr>
          <w:cantSplit/>
          <w:trHeight w:val="266"/>
        </w:trPr>
        <w:tc>
          <w:tcPr>
            <w:tcW w:w="2565"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lang w:eastAsia="uk-UA"/>
              </w:rPr>
              <w:t>Муніципальне</w:t>
            </w:r>
          </w:p>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lang w:eastAsia="uk-UA"/>
              </w:rPr>
              <w:t>освітлення</w:t>
            </w:r>
          </w:p>
        </w:tc>
        <w:tc>
          <w:tcPr>
            <w:tcW w:w="1420"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9</w:t>
            </w:r>
          </w:p>
        </w:tc>
        <w:tc>
          <w:tcPr>
            <w:tcW w:w="1275"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89" w:type="dxa"/>
            <w:gridSpan w:val="2"/>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64"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41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990"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w:t>
            </w:r>
          </w:p>
        </w:tc>
        <w:tc>
          <w:tcPr>
            <w:tcW w:w="998" w:type="dxa"/>
            <w:tcBorders>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w:t>
            </w:r>
          </w:p>
        </w:tc>
        <w:tc>
          <w:tcPr>
            <w:tcW w:w="1562" w:type="dxa"/>
            <w:tcBorders>
              <w:left w:val="single" w:sz="4" w:space="0" w:color="000000"/>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75" w:type="dxa"/>
            <w:tcBorders>
              <w:left w:val="single" w:sz="4"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9</w:t>
            </w:r>
          </w:p>
        </w:tc>
        <w:tc>
          <w:tcPr>
            <w:tcW w:w="1269" w:type="dxa"/>
            <w:tcBorders>
              <w:top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0,3%</w:t>
            </w:r>
          </w:p>
        </w:tc>
      </w:tr>
      <w:tr w:rsidR="00D227E2">
        <w:trPr>
          <w:cantSplit/>
          <w:trHeight w:val="323"/>
        </w:trPr>
        <w:tc>
          <w:tcPr>
            <w:tcW w:w="14056" w:type="dxa"/>
            <w:gridSpan w:val="11"/>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Третинні будівлі, обладнання/об'єкти</w:t>
            </w:r>
          </w:p>
        </w:tc>
        <w:tc>
          <w:tcPr>
            <w:tcW w:w="1269"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13,8%</w:t>
            </w:r>
          </w:p>
        </w:tc>
      </w:tr>
      <w:tr w:rsidR="00D227E2">
        <w:trPr>
          <w:cantSplit/>
          <w:trHeight w:val="480"/>
        </w:trPr>
        <w:tc>
          <w:tcPr>
            <w:tcW w:w="2565"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lang w:eastAsia="uk-UA"/>
              </w:rPr>
              <w:t>Третинні будівлі,</w:t>
            </w:r>
          </w:p>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lang w:eastAsia="uk-UA"/>
              </w:rPr>
              <w:t>обладнання/об'єкти</w:t>
            </w:r>
          </w:p>
        </w:tc>
        <w:tc>
          <w:tcPr>
            <w:tcW w:w="1420"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295,1</w:t>
            </w:r>
          </w:p>
        </w:tc>
        <w:tc>
          <w:tcPr>
            <w:tcW w:w="1275"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48,1</w:t>
            </w:r>
          </w:p>
        </w:tc>
        <w:tc>
          <w:tcPr>
            <w:tcW w:w="1289" w:type="dxa"/>
            <w:gridSpan w:val="2"/>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86,0</w:t>
            </w:r>
          </w:p>
        </w:tc>
        <w:tc>
          <w:tcPr>
            <w:tcW w:w="1264"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41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990"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w:t>
            </w:r>
          </w:p>
        </w:tc>
        <w:tc>
          <w:tcPr>
            <w:tcW w:w="998" w:type="dxa"/>
            <w:tcBorders>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w:t>
            </w:r>
          </w:p>
        </w:tc>
        <w:tc>
          <w:tcPr>
            <w:tcW w:w="1562" w:type="dxa"/>
            <w:tcBorders>
              <w:left w:val="single" w:sz="4" w:space="0" w:color="000000"/>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75" w:type="dxa"/>
            <w:tcBorders>
              <w:left w:val="single" w:sz="4"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429,3</w:t>
            </w:r>
          </w:p>
        </w:tc>
        <w:tc>
          <w:tcPr>
            <w:tcW w:w="1269" w:type="dxa"/>
            <w:tcBorders>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9,6%</w:t>
            </w:r>
          </w:p>
        </w:tc>
      </w:tr>
      <w:tr w:rsidR="00D227E2">
        <w:trPr>
          <w:cantSplit/>
          <w:trHeight w:val="246"/>
        </w:trPr>
        <w:tc>
          <w:tcPr>
            <w:tcW w:w="2565"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bCs/>
                <w:lang w:eastAsia="uk-UA"/>
              </w:rPr>
              <w:t>Житлові будинки</w:t>
            </w:r>
          </w:p>
        </w:tc>
        <w:tc>
          <w:tcPr>
            <w:tcW w:w="1420"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316,1</w:t>
            </w:r>
          </w:p>
        </w:tc>
        <w:tc>
          <w:tcPr>
            <w:tcW w:w="1275"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738,6</w:t>
            </w:r>
          </w:p>
        </w:tc>
        <w:tc>
          <w:tcPr>
            <w:tcW w:w="1289" w:type="dxa"/>
            <w:gridSpan w:val="2"/>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598,5</w:t>
            </w:r>
          </w:p>
        </w:tc>
        <w:tc>
          <w:tcPr>
            <w:tcW w:w="1264"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0,0</w:t>
            </w:r>
          </w:p>
        </w:tc>
        <w:tc>
          <w:tcPr>
            <w:tcW w:w="141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0,0</w:t>
            </w:r>
          </w:p>
        </w:tc>
        <w:tc>
          <w:tcPr>
            <w:tcW w:w="990"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0,0</w:t>
            </w:r>
          </w:p>
        </w:tc>
        <w:tc>
          <w:tcPr>
            <w:tcW w:w="998" w:type="dxa"/>
            <w:tcBorders>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0,0</w:t>
            </w:r>
          </w:p>
        </w:tc>
        <w:tc>
          <w:tcPr>
            <w:tcW w:w="1562" w:type="dxa"/>
            <w:tcBorders>
              <w:left w:val="single" w:sz="4" w:space="0" w:color="000000"/>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1,8</w:t>
            </w:r>
          </w:p>
        </w:tc>
        <w:tc>
          <w:tcPr>
            <w:tcW w:w="1275" w:type="dxa"/>
            <w:tcBorders>
              <w:left w:val="single" w:sz="4" w:space="0" w:color="000000"/>
              <w:bottom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1 654,9</w:t>
            </w:r>
          </w:p>
        </w:tc>
        <w:tc>
          <w:tcPr>
            <w:tcW w:w="1269"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53,2%</w:t>
            </w:r>
          </w:p>
        </w:tc>
      </w:tr>
      <w:tr w:rsidR="00D227E2">
        <w:trPr>
          <w:cantSplit/>
          <w:trHeight w:val="223"/>
        </w:trPr>
        <w:tc>
          <w:tcPr>
            <w:tcW w:w="14056" w:type="dxa"/>
            <w:gridSpan w:val="11"/>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Транспорт</w:t>
            </w:r>
          </w:p>
        </w:tc>
        <w:tc>
          <w:tcPr>
            <w:tcW w:w="1269"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16,8%</w:t>
            </w:r>
          </w:p>
        </w:tc>
      </w:tr>
      <w:tr w:rsidR="00D227E2">
        <w:trPr>
          <w:cantSplit/>
          <w:trHeight w:val="330"/>
        </w:trPr>
        <w:tc>
          <w:tcPr>
            <w:tcW w:w="2565"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lang w:eastAsia="uk-UA"/>
              </w:rPr>
              <w:t>Муніципальний</w:t>
            </w:r>
          </w:p>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lang w:eastAsia="uk-UA"/>
              </w:rPr>
              <w:t>транспорт</w:t>
            </w:r>
          </w:p>
        </w:tc>
        <w:tc>
          <w:tcPr>
            <w:tcW w:w="1420"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24,9</w:t>
            </w:r>
          </w:p>
        </w:tc>
        <w:tc>
          <w:tcPr>
            <w:tcW w:w="1275"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89" w:type="dxa"/>
            <w:gridSpan w:val="2"/>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64"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41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hAnsi="Times New Roman" w:cs="Times New Roman"/>
              </w:rPr>
              <w:t>1,4</w:t>
            </w:r>
          </w:p>
        </w:tc>
        <w:tc>
          <w:tcPr>
            <w:tcW w:w="990"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hAnsi="Times New Roman" w:cs="Times New Roman"/>
              </w:rPr>
              <w:t>16</w:t>
            </w:r>
          </w:p>
        </w:tc>
        <w:tc>
          <w:tcPr>
            <w:tcW w:w="998" w:type="dxa"/>
            <w:tcBorders>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1,1</w:t>
            </w:r>
          </w:p>
        </w:tc>
        <w:tc>
          <w:tcPr>
            <w:tcW w:w="1562" w:type="dxa"/>
            <w:tcBorders>
              <w:left w:val="single" w:sz="4" w:space="0" w:color="000000"/>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75" w:type="dxa"/>
            <w:tcBorders>
              <w:left w:val="single" w:sz="4"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18,4</w:t>
            </w:r>
          </w:p>
        </w:tc>
        <w:tc>
          <w:tcPr>
            <w:tcW w:w="1269"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0,6%</w:t>
            </w:r>
          </w:p>
        </w:tc>
      </w:tr>
      <w:tr w:rsidR="00D227E2">
        <w:trPr>
          <w:cantSplit/>
          <w:trHeight w:val="330"/>
        </w:trPr>
        <w:tc>
          <w:tcPr>
            <w:tcW w:w="2565"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lang w:eastAsia="uk-UA"/>
              </w:rPr>
              <w:t>Громадський транспорт</w:t>
            </w:r>
          </w:p>
        </w:tc>
        <w:tc>
          <w:tcPr>
            <w:tcW w:w="1420"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25,1</w:t>
            </w:r>
          </w:p>
        </w:tc>
        <w:tc>
          <w:tcPr>
            <w:tcW w:w="1275"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89" w:type="dxa"/>
            <w:gridSpan w:val="2"/>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64"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41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990"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38,0</w:t>
            </w:r>
          </w:p>
        </w:tc>
        <w:tc>
          <w:tcPr>
            <w:tcW w:w="998" w:type="dxa"/>
            <w:tcBorders>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562" w:type="dxa"/>
            <w:tcBorders>
              <w:left w:val="single" w:sz="4" w:space="0" w:color="000000"/>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75" w:type="dxa"/>
            <w:tcBorders>
              <w:left w:val="single" w:sz="4"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63</w:t>
            </w:r>
          </w:p>
        </w:tc>
        <w:tc>
          <w:tcPr>
            <w:tcW w:w="1269"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2%</w:t>
            </w:r>
          </w:p>
        </w:tc>
      </w:tr>
      <w:tr w:rsidR="00D227E2">
        <w:trPr>
          <w:cantSplit/>
          <w:trHeight w:val="324"/>
        </w:trPr>
        <w:tc>
          <w:tcPr>
            <w:tcW w:w="2565"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lang w:eastAsia="uk-UA"/>
              </w:rPr>
              <w:t>Приватний та</w:t>
            </w:r>
          </w:p>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lang w:eastAsia="uk-UA"/>
              </w:rPr>
              <w:t>комерційний транспорт</w:t>
            </w:r>
          </w:p>
        </w:tc>
        <w:tc>
          <w:tcPr>
            <w:tcW w:w="1420"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75"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89" w:type="dxa"/>
            <w:gridSpan w:val="2"/>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64"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0,2</w:t>
            </w:r>
          </w:p>
        </w:tc>
        <w:tc>
          <w:tcPr>
            <w:tcW w:w="141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18,7</w:t>
            </w:r>
          </w:p>
        </w:tc>
        <w:tc>
          <w:tcPr>
            <w:tcW w:w="990"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233,9</w:t>
            </w:r>
          </w:p>
        </w:tc>
        <w:tc>
          <w:tcPr>
            <w:tcW w:w="998" w:type="dxa"/>
            <w:tcBorders>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188</w:t>
            </w:r>
          </w:p>
        </w:tc>
        <w:tc>
          <w:tcPr>
            <w:tcW w:w="1562" w:type="dxa"/>
            <w:tcBorders>
              <w:left w:val="single" w:sz="4" w:space="0" w:color="000000"/>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75" w:type="dxa"/>
            <w:tcBorders>
              <w:left w:val="single" w:sz="4"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440,8</w:t>
            </w:r>
          </w:p>
        </w:tc>
        <w:tc>
          <w:tcPr>
            <w:tcW w:w="1269"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14,2%</w:t>
            </w:r>
          </w:p>
        </w:tc>
      </w:tr>
      <w:tr w:rsidR="00D227E2">
        <w:trPr>
          <w:cantSplit/>
          <w:trHeight w:val="262"/>
        </w:trPr>
        <w:tc>
          <w:tcPr>
            <w:tcW w:w="14056" w:type="dxa"/>
            <w:gridSpan w:val="11"/>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Сектори, що не пов'язані з  енергетикою</w:t>
            </w:r>
          </w:p>
        </w:tc>
        <w:tc>
          <w:tcPr>
            <w:tcW w:w="1269"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eastAsia="Times New Roman" w:hAnsi="Times New Roman" w:cs="Times New Roman"/>
                <w:lang w:eastAsia="uk-UA"/>
              </w:rPr>
            </w:pPr>
            <w:r>
              <w:rPr>
                <w:rFonts w:ascii="Times New Roman" w:eastAsia="Times New Roman" w:hAnsi="Times New Roman" w:cs="Times New Roman"/>
                <w:lang w:eastAsia="uk-UA"/>
              </w:rPr>
              <w:t>0,0%</w:t>
            </w:r>
          </w:p>
        </w:tc>
      </w:tr>
      <w:tr w:rsidR="00D227E2">
        <w:trPr>
          <w:cantSplit/>
          <w:trHeight w:val="304"/>
        </w:trPr>
        <w:tc>
          <w:tcPr>
            <w:tcW w:w="2565"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lang w:eastAsia="uk-UA"/>
              </w:rPr>
              <w:t>Управління відходами</w:t>
            </w:r>
          </w:p>
        </w:tc>
        <w:tc>
          <w:tcPr>
            <w:tcW w:w="10216" w:type="dxa"/>
            <w:gridSpan w:val="9"/>
            <w:tcBorders>
              <w:top w:val="single" w:sz="8" w:space="0" w:color="000000"/>
              <w:bottom w:val="single" w:sz="8" w:space="0" w:color="000000"/>
              <w:right w:val="single" w:sz="4" w:space="0" w:color="000000"/>
            </w:tcBorders>
            <w:shd w:val="clear" w:color="auto" w:fill="auto"/>
            <w:vAlign w:val="center"/>
          </w:tcPr>
          <w:p w:rsidR="00D227E2" w:rsidRDefault="00D227E2">
            <w:pPr>
              <w:suppressAutoHyphens w:val="0"/>
              <w:spacing w:after="0" w:line="240" w:lineRule="auto"/>
              <w:jc w:val="center"/>
              <w:rPr>
                <w:rFonts w:ascii="Times New Roman" w:eastAsia="Times New Roman" w:hAnsi="Times New Roman" w:cs="Times New Roman"/>
                <w:color w:val="000000"/>
                <w:lang w:eastAsia="uk-UA"/>
              </w:rPr>
            </w:pPr>
          </w:p>
        </w:tc>
        <w:tc>
          <w:tcPr>
            <w:tcW w:w="1275" w:type="dxa"/>
            <w:tcBorders>
              <w:left w:val="single" w:sz="4"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0,7</w:t>
            </w:r>
          </w:p>
        </w:tc>
        <w:tc>
          <w:tcPr>
            <w:tcW w:w="1269"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r>
      <w:tr w:rsidR="00D227E2">
        <w:trPr>
          <w:cantSplit/>
          <w:trHeight w:val="546"/>
        </w:trPr>
        <w:tc>
          <w:tcPr>
            <w:tcW w:w="2565"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lang w:eastAsia="uk-UA"/>
              </w:rPr>
              <w:t>Очищення та скидання стічних вод</w:t>
            </w:r>
          </w:p>
        </w:tc>
        <w:tc>
          <w:tcPr>
            <w:tcW w:w="10216" w:type="dxa"/>
            <w:gridSpan w:val="9"/>
            <w:tcBorders>
              <w:top w:val="single" w:sz="8" w:space="0" w:color="000000"/>
              <w:bottom w:val="single" w:sz="8" w:space="0" w:color="000000"/>
              <w:right w:val="single" w:sz="4" w:space="0" w:color="000000"/>
            </w:tcBorders>
            <w:shd w:val="clear" w:color="auto" w:fill="auto"/>
            <w:vAlign w:val="center"/>
          </w:tcPr>
          <w:p w:rsidR="00D227E2" w:rsidRDefault="00D227E2">
            <w:pPr>
              <w:suppressAutoHyphens w:val="0"/>
              <w:spacing w:after="0" w:line="240" w:lineRule="auto"/>
              <w:jc w:val="center"/>
              <w:rPr>
                <w:rFonts w:ascii="Times New Roman" w:eastAsia="Times New Roman" w:hAnsi="Times New Roman" w:cs="Times New Roman"/>
                <w:color w:val="000000"/>
                <w:lang w:eastAsia="uk-UA"/>
              </w:rPr>
            </w:pPr>
          </w:p>
        </w:tc>
        <w:tc>
          <w:tcPr>
            <w:tcW w:w="1275" w:type="dxa"/>
            <w:tcBorders>
              <w:left w:val="single" w:sz="4"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0,4</w:t>
            </w:r>
          </w:p>
        </w:tc>
        <w:tc>
          <w:tcPr>
            <w:tcW w:w="1269"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r>
      <w:tr w:rsidR="00D227E2">
        <w:trPr>
          <w:cantSplit/>
          <w:trHeight w:val="271"/>
        </w:trPr>
        <w:tc>
          <w:tcPr>
            <w:tcW w:w="2565"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bCs/>
                <w:lang w:eastAsia="uk-UA"/>
              </w:rPr>
              <w:t>Усього</w:t>
            </w:r>
          </w:p>
        </w:tc>
        <w:tc>
          <w:tcPr>
            <w:tcW w:w="1420" w:type="dxa"/>
            <w:tcBorders>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965,7</w:t>
            </w:r>
          </w:p>
        </w:tc>
        <w:tc>
          <w:tcPr>
            <w:tcW w:w="1275" w:type="dxa"/>
            <w:tcBorders>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922,7</w:t>
            </w:r>
          </w:p>
        </w:tc>
        <w:tc>
          <w:tcPr>
            <w:tcW w:w="1276" w:type="dxa"/>
            <w:tcBorders>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723,5</w:t>
            </w:r>
          </w:p>
        </w:tc>
        <w:tc>
          <w:tcPr>
            <w:tcW w:w="1277" w:type="dxa"/>
            <w:gridSpan w:val="2"/>
            <w:tcBorders>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0,2</w:t>
            </w:r>
          </w:p>
        </w:tc>
        <w:tc>
          <w:tcPr>
            <w:tcW w:w="1418" w:type="dxa"/>
            <w:tcBorders>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20,1</w:t>
            </w:r>
          </w:p>
        </w:tc>
        <w:tc>
          <w:tcPr>
            <w:tcW w:w="990" w:type="dxa"/>
            <w:tcBorders>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287,9</w:t>
            </w:r>
          </w:p>
        </w:tc>
        <w:tc>
          <w:tcPr>
            <w:tcW w:w="998" w:type="dxa"/>
            <w:tcBorders>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189</w:t>
            </w:r>
          </w:p>
        </w:tc>
        <w:tc>
          <w:tcPr>
            <w:tcW w:w="1562" w:type="dxa"/>
            <w:tcBorders>
              <w:left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2,3</w:t>
            </w:r>
          </w:p>
        </w:tc>
        <w:tc>
          <w:tcPr>
            <w:tcW w:w="1275" w:type="dxa"/>
            <w:tcBorders>
              <w:left w:val="single" w:sz="4"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3 110,8</w:t>
            </w:r>
          </w:p>
        </w:tc>
        <w:tc>
          <w:tcPr>
            <w:tcW w:w="1269" w:type="dxa"/>
            <w:shd w:val="clear" w:color="auto" w:fill="auto"/>
            <w:vAlign w:val="bottom"/>
          </w:tcPr>
          <w:p w:rsidR="00D227E2" w:rsidRDefault="00D227E2">
            <w:pPr>
              <w:suppressAutoHyphens w:val="0"/>
              <w:spacing w:after="0" w:line="240" w:lineRule="auto"/>
              <w:rPr>
                <w:rFonts w:ascii="Times New Roman" w:eastAsia="Times New Roman" w:hAnsi="Times New Roman" w:cs="Times New Roman"/>
                <w:color w:val="000000"/>
                <w:lang w:eastAsia="uk-UA"/>
              </w:rPr>
            </w:pPr>
          </w:p>
        </w:tc>
      </w:tr>
      <w:tr w:rsidR="00D227E2">
        <w:trPr>
          <w:cantSplit/>
          <w:trHeight w:val="301"/>
        </w:trPr>
        <w:tc>
          <w:tcPr>
            <w:tcW w:w="2565" w:type="dxa"/>
            <w:tcBorders>
              <w:left w:val="single" w:sz="8" w:space="0" w:color="000000"/>
              <w:bottom w:val="single" w:sz="8" w:space="0" w:color="000000"/>
            </w:tcBorders>
            <w:shd w:val="clear" w:color="auto" w:fill="auto"/>
            <w:vAlign w:val="center"/>
          </w:tcPr>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bCs/>
                <w:lang w:eastAsia="uk-UA"/>
              </w:rPr>
              <w:t>У % за видами палива</w:t>
            </w:r>
          </w:p>
        </w:tc>
        <w:tc>
          <w:tcPr>
            <w:tcW w:w="1420" w:type="dxa"/>
            <w:tcBorders>
              <w:top w:val="single" w:sz="8" w:space="0" w:color="000000"/>
              <w:left w:val="single" w:sz="8" w:space="0" w:color="000000"/>
              <w:bottom w:val="single" w:sz="8" w:space="0" w:color="000000"/>
              <w:right w:val="single" w:sz="4" w:space="0" w:color="000000"/>
            </w:tcBorders>
            <w:shd w:val="clear" w:color="auto" w:fill="auto"/>
            <w:vAlign w:val="bottom"/>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31%</w:t>
            </w:r>
          </w:p>
        </w:tc>
        <w:tc>
          <w:tcPr>
            <w:tcW w:w="1275" w:type="dxa"/>
            <w:tcBorders>
              <w:top w:val="single" w:sz="8" w:space="0" w:color="000000"/>
              <w:bottom w:val="single" w:sz="8" w:space="0" w:color="000000"/>
              <w:right w:val="single" w:sz="4" w:space="0" w:color="000000"/>
            </w:tcBorders>
            <w:shd w:val="clear" w:color="auto" w:fill="auto"/>
            <w:vAlign w:val="bottom"/>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29,7%</w:t>
            </w:r>
          </w:p>
        </w:tc>
        <w:tc>
          <w:tcPr>
            <w:tcW w:w="1276" w:type="dxa"/>
            <w:tcBorders>
              <w:top w:val="single" w:sz="8" w:space="0" w:color="000000"/>
              <w:bottom w:val="single" w:sz="8" w:space="0" w:color="000000"/>
              <w:right w:val="single" w:sz="4" w:space="0" w:color="000000"/>
            </w:tcBorders>
            <w:shd w:val="clear" w:color="auto" w:fill="auto"/>
            <w:vAlign w:val="bottom"/>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23,3%</w:t>
            </w:r>
          </w:p>
        </w:tc>
        <w:tc>
          <w:tcPr>
            <w:tcW w:w="1277" w:type="dxa"/>
            <w:gridSpan w:val="2"/>
            <w:tcBorders>
              <w:top w:val="single" w:sz="8" w:space="0" w:color="000000"/>
              <w:bottom w:val="single" w:sz="8" w:space="0" w:color="000000"/>
              <w:right w:val="single" w:sz="4" w:space="0" w:color="000000"/>
            </w:tcBorders>
            <w:shd w:val="clear" w:color="auto" w:fill="auto"/>
            <w:vAlign w:val="bottom"/>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0,0%</w:t>
            </w:r>
          </w:p>
        </w:tc>
        <w:tc>
          <w:tcPr>
            <w:tcW w:w="1418" w:type="dxa"/>
            <w:tcBorders>
              <w:top w:val="single" w:sz="8" w:space="0" w:color="000000"/>
              <w:bottom w:val="single" w:sz="8" w:space="0" w:color="000000"/>
              <w:right w:val="single" w:sz="4" w:space="0" w:color="000000"/>
            </w:tcBorders>
            <w:shd w:val="clear" w:color="auto" w:fill="auto"/>
            <w:vAlign w:val="bottom"/>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0,6%</w:t>
            </w:r>
          </w:p>
        </w:tc>
        <w:tc>
          <w:tcPr>
            <w:tcW w:w="990" w:type="dxa"/>
            <w:tcBorders>
              <w:top w:val="single" w:sz="8" w:space="0" w:color="000000"/>
              <w:bottom w:val="single" w:sz="8" w:space="0" w:color="000000"/>
              <w:right w:val="single" w:sz="4" w:space="0" w:color="000000"/>
            </w:tcBorders>
            <w:shd w:val="clear" w:color="auto" w:fill="auto"/>
            <w:vAlign w:val="bottom"/>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9,3%</w:t>
            </w:r>
          </w:p>
        </w:tc>
        <w:tc>
          <w:tcPr>
            <w:tcW w:w="998" w:type="dxa"/>
            <w:tcBorders>
              <w:top w:val="single" w:sz="8" w:space="0" w:color="000000"/>
              <w:bottom w:val="single" w:sz="8" w:space="0" w:color="000000"/>
              <w:right w:val="single" w:sz="4" w:space="0" w:color="000000"/>
            </w:tcBorders>
            <w:shd w:val="clear" w:color="auto" w:fill="auto"/>
            <w:vAlign w:val="bottom"/>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6,1%</w:t>
            </w:r>
          </w:p>
        </w:tc>
        <w:tc>
          <w:tcPr>
            <w:tcW w:w="1562" w:type="dxa"/>
            <w:tcBorders>
              <w:top w:val="single" w:sz="8" w:space="0" w:color="000000"/>
              <w:left w:val="single" w:sz="4" w:space="0" w:color="000000"/>
              <w:bottom w:val="single" w:sz="8" w:space="0" w:color="000000"/>
              <w:right w:val="single" w:sz="4" w:space="0" w:color="000000"/>
            </w:tcBorders>
            <w:shd w:val="clear" w:color="auto" w:fill="auto"/>
            <w:vAlign w:val="bottom"/>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0,1%</w:t>
            </w:r>
          </w:p>
        </w:tc>
        <w:tc>
          <w:tcPr>
            <w:tcW w:w="1275" w:type="dxa"/>
            <w:tcBorders>
              <w:left w:val="single" w:sz="4" w:space="0" w:color="000000"/>
            </w:tcBorders>
            <w:shd w:val="clear" w:color="auto" w:fill="auto"/>
            <w:vAlign w:val="bottom"/>
          </w:tcPr>
          <w:p w:rsidR="00D227E2" w:rsidRDefault="00D227E2">
            <w:pPr>
              <w:suppressAutoHyphens w:val="0"/>
              <w:spacing w:after="0" w:line="240" w:lineRule="auto"/>
              <w:rPr>
                <w:rFonts w:ascii="Times New Roman" w:eastAsia="Times New Roman" w:hAnsi="Times New Roman" w:cs="Times New Roman"/>
                <w:bCs/>
                <w:color w:val="000000"/>
                <w:lang w:eastAsia="uk-UA"/>
              </w:rPr>
            </w:pPr>
          </w:p>
        </w:tc>
        <w:tc>
          <w:tcPr>
            <w:tcW w:w="1269" w:type="dxa"/>
            <w:shd w:val="clear" w:color="auto" w:fill="auto"/>
            <w:vAlign w:val="bottom"/>
          </w:tcPr>
          <w:p w:rsidR="00D227E2" w:rsidRDefault="00D227E2">
            <w:pPr>
              <w:suppressAutoHyphens w:val="0"/>
              <w:spacing w:after="0" w:line="240" w:lineRule="auto"/>
              <w:rPr>
                <w:rFonts w:ascii="Times New Roman" w:eastAsia="Times New Roman" w:hAnsi="Times New Roman" w:cs="Times New Roman"/>
                <w:color w:val="000000"/>
                <w:lang w:eastAsia="uk-UA"/>
              </w:rPr>
            </w:pPr>
          </w:p>
        </w:tc>
      </w:tr>
    </w:tbl>
    <w:p w:rsidR="00D227E2" w:rsidRDefault="00D227E2">
      <w:pPr>
        <w:widowControl w:val="0"/>
        <w:spacing w:after="0" w:line="240" w:lineRule="auto"/>
        <w:ind w:firstLine="567"/>
        <w:jc w:val="both"/>
        <w:rPr>
          <w:rFonts w:ascii="Times New Roman" w:eastAsia="Times New Roman" w:hAnsi="Times New Roman" w:cs="Times New Roman"/>
          <w:b/>
          <w:sz w:val="24"/>
          <w:szCs w:val="24"/>
          <w:lang w:eastAsia="zh-CN"/>
        </w:rPr>
      </w:pPr>
    </w:p>
    <w:p w:rsidR="00D227E2" w:rsidRDefault="00D227E2">
      <w:pPr>
        <w:widowControl w:val="0"/>
        <w:spacing w:after="0" w:line="240" w:lineRule="auto"/>
        <w:ind w:firstLine="567"/>
        <w:jc w:val="both"/>
        <w:rPr>
          <w:rFonts w:ascii="Times New Roman" w:eastAsia="Times New Roman" w:hAnsi="Times New Roman" w:cs="Times New Roman"/>
          <w:b/>
          <w:sz w:val="24"/>
          <w:szCs w:val="24"/>
          <w:lang w:eastAsia="zh-CN"/>
        </w:rPr>
      </w:pPr>
    </w:p>
    <w:p w:rsidR="00D227E2" w:rsidRDefault="00D227E2">
      <w:pPr>
        <w:widowControl w:val="0"/>
        <w:spacing w:after="0" w:line="240" w:lineRule="auto"/>
        <w:ind w:firstLine="567"/>
        <w:jc w:val="both"/>
        <w:rPr>
          <w:rFonts w:ascii="Times New Roman" w:eastAsia="Times New Roman" w:hAnsi="Times New Roman" w:cs="Times New Roman"/>
          <w:b/>
          <w:sz w:val="24"/>
          <w:szCs w:val="24"/>
          <w:lang w:eastAsia="zh-CN"/>
        </w:rPr>
      </w:pPr>
    </w:p>
    <w:p w:rsidR="00D227E2" w:rsidRDefault="00D227E2">
      <w:pPr>
        <w:widowControl w:val="0"/>
        <w:spacing w:after="0" w:line="240" w:lineRule="auto"/>
        <w:ind w:firstLine="567"/>
        <w:jc w:val="both"/>
        <w:rPr>
          <w:rFonts w:ascii="Times New Roman" w:eastAsia="Times New Roman" w:hAnsi="Times New Roman" w:cs="Times New Roman"/>
          <w:b/>
          <w:sz w:val="24"/>
          <w:szCs w:val="24"/>
          <w:lang w:eastAsia="zh-CN"/>
        </w:rPr>
      </w:pPr>
    </w:p>
    <w:p w:rsidR="00D227E2" w:rsidRDefault="00D227E2">
      <w:pPr>
        <w:widowControl w:val="0"/>
        <w:spacing w:after="0" w:line="240" w:lineRule="auto"/>
        <w:ind w:firstLine="567"/>
        <w:jc w:val="both"/>
        <w:rPr>
          <w:rFonts w:ascii="Times New Roman" w:eastAsia="Times New Roman" w:hAnsi="Times New Roman" w:cs="Times New Roman"/>
          <w:b/>
          <w:sz w:val="24"/>
          <w:szCs w:val="24"/>
          <w:lang w:eastAsia="zh-CN"/>
        </w:rPr>
      </w:pPr>
    </w:p>
    <w:p w:rsidR="00D227E2" w:rsidRDefault="00D227E2">
      <w:pPr>
        <w:widowControl w:val="0"/>
        <w:spacing w:after="0" w:line="240" w:lineRule="auto"/>
        <w:ind w:firstLine="567"/>
        <w:jc w:val="both"/>
        <w:rPr>
          <w:rFonts w:ascii="Times New Roman" w:eastAsia="Times New Roman" w:hAnsi="Times New Roman" w:cs="Times New Roman"/>
          <w:b/>
          <w:sz w:val="24"/>
          <w:szCs w:val="24"/>
          <w:lang w:eastAsia="zh-CN"/>
        </w:rPr>
      </w:pPr>
    </w:p>
    <w:p w:rsidR="00D227E2" w:rsidRDefault="00D227E2">
      <w:pPr>
        <w:widowControl w:val="0"/>
        <w:spacing w:after="0" w:line="240" w:lineRule="auto"/>
        <w:ind w:firstLine="567"/>
        <w:jc w:val="both"/>
        <w:rPr>
          <w:rFonts w:ascii="Times New Roman" w:eastAsia="Times New Roman" w:hAnsi="Times New Roman" w:cs="Times New Roman"/>
          <w:b/>
          <w:sz w:val="24"/>
          <w:szCs w:val="24"/>
          <w:lang w:eastAsia="zh-CN"/>
        </w:rPr>
      </w:pPr>
    </w:p>
    <w:p w:rsidR="00D227E2" w:rsidRDefault="00D227E2">
      <w:pPr>
        <w:ind w:firstLine="567"/>
        <w:rPr>
          <w:rFonts w:ascii="Times New Roman" w:hAnsi="Times New Roman" w:cs="Times New Roman"/>
        </w:rPr>
      </w:pPr>
    </w:p>
    <w:p w:rsidR="00D227E2" w:rsidRDefault="00934FC4">
      <w:pPr>
        <w:ind w:firstLine="567"/>
        <w:rPr>
          <w:rFonts w:ascii="Times New Roman" w:hAnsi="Times New Roman" w:cs="Times New Roman"/>
        </w:rPr>
      </w:pPr>
      <w:r>
        <w:rPr>
          <w:rFonts w:ascii="Times New Roman" w:hAnsi="Times New Roman" w:cs="Times New Roman"/>
          <w:b/>
          <w:bCs/>
          <w:sz w:val="24"/>
          <w:szCs w:val="24"/>
          <w:lang w:eastAsia="zh-CN"/>
        </w:rPr>
        <w:t>РОЗДІЛ 5. МОНІТОРИНГОВИЙ КАДАСТР ВИКИДІВ СТАНОМ НА 2020 РІК</w:t>
      </w:r>
    </w:p>
    <w:p w:rsidR="00D227E2" w:rsidRDefault="00934FC4">
      <w:pPr>
        <w:jc w:val="center"/>
        <w:rPr>
          <w:rFonts w:ascii="Times New Roman" w:hAnsi="Times New Roman" w:cs="Times New Roman"/>
        </w:rPr>
      </w:pPr>
      <w:r>
        <w:rPr>
          <w:rFonts w:ascii="Times New Roman" w:hAnsi="Times New Roman" w:cs="Times New Roman"/>
          <w:sz w:val="24"/>
          <w:szCs w:val="24"/>
          <w:lang w:eastAsia="zh-CN"/>
        </w:rPr>
        <w:t>Таблиця 74. Споживання енергоресурсів за визначеними секторами кінцевих споживачів у 2020 році, в натуральних показниках</w:t>
      </w:r>
    </w:p>
    <w:tbl>
      <w:tblPr>
        <w:tblW w:w="15134" w:type="dxa"/>
        <w:tblLayout w:type="fixed"/>
        <w:tblLook w:val="04A0" w:firstRow="1" w:lastRow="0" w:firstColumn="1" w:lastColumn="0" w:noHBand="0" w:noVBand="1"/>
      </w:tblPr>
      <w:tblGrid>
        <w:gridCol w:w="3245"/>
        <w:gridCol w:w="1422"/>
        <w:gridCol w:w="1421"/>
        <w:gridCol w:w="1417"/>
        <w:gridCol w:w="1418"/>
        <w:gridCol w:w="1958"/>
        <w:gridCol w:w="1278"/>
        <w:gridCol w:w="1698"/>
        <w:gridCol w:w="1277"/>
      </w:tblGrid>
      <w:tr w:rsidR="00D227E2">
        <w:trPr>
          <w:cantSplit/>
          <w:trHeight w:val="330"/>
        </w:trPr>
        <w:tc>
          <w:tcPr>
            <w:tcW w:w="324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Сектори кінцевих споживачів енергоресурсів</w:t>
            </w:r>
          </w:p>
        </w:tc>
        <w:tc>
          <w:tcPr>
            <w:tcW w:w="11888" w:type="dxa"/>
            <w:gridSpan w:val="8"/>
            <w:tcBorders>
              <w:top w:val="single" w:sz="8" w:space="0" w:color="000000"/>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Обсяги споживання енергоресурсів, натуральні показники</w:t>
            </w:r>
          </w:p>
        </w:tc>
      </w:tr>
      <w:tr w:rsidR="00D227E2">
        <w:trPr>
          <w:cantSplit/>
          <w:trHeight w:val="330"/>
        </w:trPr>
        <w:tc>
          <w:tcPr>
            <w:tcW w:w="324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D227E2">
            <w:pPr>
              <w:suppressAutoHyphens w:val="0"/>
              <w:spacing w:after="0" w:line="240" w:lineRule="auto"/>
              <w:rPr>
                <w:rFonts w:ascii="Times New Roman" w:eastAsia="Times New Roman" w:hAnsi="Times New Roman" w:cs="Times New Roman"/>
                <w:bCs/>
                <w:color w:val="000000"/>
                <w:lang w:eastAsia="uk-UA"/>
              </w:rPr>
            </w:pPr>
          </w:p>
        </w:tc>
        <w:tc>
          <w:tcPr>
            <w:tcW w:w="1421" w:type="dxa"/>
            <w:vMerge w:val="restart"/>
            <w:tcBorders>
              <w:left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Електрична енергія</w:t>
            </w:r>
          </w:p>
        </w:tc>
        <w:tc>
          <w:tcPr>
            <w:tcW w:w="1421" w:type="dxa"/>
            <w:vMerge w:val="restart"/>
            <w:tcBorders>
              <w:left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Теплова енергія</w:t>
            </w:r>
          </w:p>
        </w:tc>
        <w:tc>
          <w:tcPr>
            <w:tcW w:w="7769" w:type="dxa"/>
            <w:gridSpan w:val="5"/>
            <w:tcBorders>
              <w:top w:val="single" w:sz="8" w:space="0" w:color="000000"/>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Видобувні види палива</w:t>
            </w:r>
          </w:p>
        </w:tc>
        <w:tc>
          <w:tcPr>
            <w:tcW w:w="1277" w:type="dxa"/>
            <w:vMerge w:val="restart"/>
            <w:tcBorders>
              <w:top w:val="single" w:sz="8" w:space="0" w:color="000000"/>
              <w:right w:val="single" w:sz="4" w:space="0" w:color="000000"/>
            </w:tcBorders>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Деревина (дрова, щепа, п</w:t>
            </w:r>
            <w:r>
              <w:rPr>
                <w:rFonts w:ascii="Times New Roman" w:eastAsia="Times New Roman" w:hAnsi="Times New Roman" w:cs="Times New Roman"/>
                <w:color w:val="000000"/>
                <w:lang w:eastAsia="uk-UA"/>
              </w:rPr>
              <w:t>е</w:t>
            </w:r>
            <w:r>
              <w:rPr>
                <w:rFonts w:ascii="Times New Roman" w:eastAsia="Times New Roman" w:hAnsi="Times New Roman" w:cs="Times New Roman"/>
                <w:color w:val="000000"/>
                <w:lang w:eastAsia="uk-UA"/>
              </w:rPr>
              <w:t>лети)</w:t>
            </w:r>
          </w:p>
        </w:tc>
      </w:tr>
      <w:tr w:rsidR="00D227E2">
        <w:trPr>
          <w:cantSplit/>
          <w:trHeight w:val="945"/>
        </w:trPr>
        <w:tc>
          <w:tcPr>
            <w:tcW w:w="324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D227E2">
            <w:pPr>
              <w:suppressAutoHyphens w:val="0"/>
              <w:spacing w:after="0" w:line="240" w:lineRule="auto"/>
              <w:rPr>
                <w:rFonts w:ascii="Times New Roman" w:eastAsia="Times New Roman" w:hAnsi="Times New Roman" w:cs="Times New Roman"/>
                <w:bCs/>
                <w:color w:val="000000"/>
                <w:lang w:eastAsia="uk-UA"/>
              </w:rPr>
            </w:pPr>
          </w:p>
        </w:tc>
        <w:tc>
          <w:tcPr>
            <w:tcW w:w="1421" w:type="dxa"/>
            <w:vMerge/>
            <w:tcBorders>
              <w:left w:val="single" w:sz="8" w:space="0" w:color="000000"/>
              <w:right w:val="single" w:sz="8" w:space="0" w:color="000000"/>
            </w:tcBorders>
            <w:shd w:val="clear" w:color="auto" w:fill="auto"/>
            <w:vAlign w:val="center"/>
          </w:tcPr>
          <w:p w:rsidR="00D227E2" w:rsidRDefault="00D227E2">
            <w:pPr>
              <w:suppressAutoHyphens w:val="0"/>
              <w:spacing w:after="0" w:line="240" w:lineRule="auto"/>
              <w:rPr>
                <w:rFonts w:ascii="Times New Roman" w:eastAsia="Times New Roman" w:hAnsi="Times New Roman" w:cs="Times New Roman"/>
                <w:color w:val="000000"/>
                <w:lang w:eastAsia="uk-UA"/>
              </w:rPr>
            </w:pPr>
          </w:p>
        </w:tc>
        <w:tc>
          <w:tcPr>
            <w:tcW w:w="1421" w:type="dxa"/>
            <w:vMerge/>
            <w:tcBorders>
              <w:left w:val="single" w:sz="8" w:space="0" w:color="000000"/>
              <w:right w:val="single" w:sz="8" w:space="0" w:color="000000"/>
            </w:tcBorders>
            <w:shd w:val="clear" w:color="auto" w:fill="auto"/>
            <w:vAlign w:val="center"/>
          </w:tcPr>
          <w:p w:rsidR="00D227E2" w:rsidRDefault="00D227E2">
            <w:pPr>
              <w:suppressAutoHyphens w:val="0"/>
              <w:spacing w:after="0" w:line="240" w:lineRule="auto"/>
              <w:rPr>
                <w:rFonts w:ascii="Times New Roman" w:eastAsia="Times New Roman" w:hAnsi="Times New Roman" w:cs="Times New Roman"/>
                <w:color w:val="000000"/>
                <w:lang w:eastAsia="uk-UA"/>
              </w:rPr>
            </w:pPr>
          </w:p>
        </w:tc>
        <w:tc>
          <w:tcPr>
            <w:tcW w:w="1417" w:type="dxa"/>
            <w:tcBorders>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Природний газ,</w:t>
            </w:r>
          </w:p>
        </w:tc>
        <w:tc>
          <w:tcPr>
            <w:tcW w:w="1418" w:type="dxa"/>
            <w:tcBorders>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Стиснений газ (Метан)</w:t>
            </w:r>
          </w:p>
        </w:tc>
        <w:tc>
          <w:tcPr>
            <w:tcW w:w="1958" w:type="dxa"/>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Скраплений газ (Пропан-бутан)</w:t>
            </w:r>
          </w:p>
        </w:tc>
        <w:tc>
          <w:tcPr>
            <w:tcW w:w="1278" w:type="dxa"/>
            <w:tcBorders>
              <w:left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Дизель</w:t>
            </w:r>
          </w:p>
        </w:tc>
        <w:tc>
          <w:tcPr>
            <w:tcW w:w="1698" w:type="dxa"/>
            <w:tcBorders>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Бензин</w:t>
            </w:r>
          </w:p>
        </w:tc>
        <w:tc>
          <w:tcPr>
            <w:tcW w:w="1277" w:type="dxa"/>
            <w:vMerge/>
            <w:tcBorders>
              <w:right w:val="single" w:sz="4" w:space="0" w:color="000000"/>
            </w:tcBorders>
          </w:tcPr>
          <w:p w:rsidR="00D227E2" w:rsidRDefault="00D227E2">
            <w:pPr>
              <w:suppressAutoHyphens w:val="0"/>
              <w:spacing w:after="0" w:line="240" w:lineRule="auto"/>
              <w:jc w:val="center"/>
              <w:rPr>
                <w:rFonts w:ascii="Times New Roman" w:eastAsia="Times New Roman" w:hAnsi="Times New Roman" w:cs="Times New Roman"/>
                <w:color w:val="000000"/>
                <w:lang w:eastAsia="uk-UA"/>
              </w:rPr>
            </w:pPr>
          </w:p>
        </w:tc>
      </w:tr>
      <w:tr w:rsidR="00D227E2">
        <w:trPr>
          <w:cantSplit/>
          <w:trHeight w:val="342"/>
        </w:trPr>
        <w:tc>
          <w:tcPr>
            <w:tcW w:w="3244"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D227E2">
            <w:pPr>
              <w:suppressAutoHyphens w:val="0"/>
              <w:spacing w:after="0" w:line="240" w:lineRule="auto"/>
              <w:rPr>
                <w:rFonts w:ascii="Times New Roman" w:eastAsia="Times New Roman" w:hAnsi="Times New Roman" w:cs="Times New Roman"/>
                <w:bCs/>
                <w:color w:val="000000"/>
                <w:lang w:eastAsia="uk-UA"/>
              </w:rPr>
            </w:pPr>
          </w:p>
        </w:tc>
        <w:tc>
          <w:tcPr>
            <w:tcW w:w="1421"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МВт∙год</w:t>
            </w:r>
          </w:p>
        </w:tc>
        <w:tc>
          <w:tcPr>
            <w:tcW w:w="1421"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Гкал</w:t>
            </w:r>
          </w:p>
        </w:tc>
        <w:tc>
          <w:tcPr>
            <w:tcW w:w="1417"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тис.м</w:t>
            </w:r>
            <w:r>
              <w:rPr>
                <w:rFonts w:ascii="Times New Roman" w:eastAsia="Times New Roman" w:hAnsi="Times New Roman" w:cs="Times New Roman"/>
                <w:color w:val="000000"/>
                <w:vertAlign w:val="superscript"/>
                <w:lang w:eastAsia="uk-UA"/>
              </w:rPr>
              <w:t>3</w:t>
            </w:r>
          </w:p>
        </w:tc>
        <w:tc>
          <w:tcPr>
            <w:tcW w:w="141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тис.м</w:t>
            </w:r>
            <w:r>
              <w:rPr>
                <w:rFonts w:ascii="Times New Roman" w:eastAsia="Times New Roman" w:hAnsi="Times New Roman" w:cs="Times New Roman"/>
                <w:color w:val="000000"/>
                <w:vertAlign w:val="superscript"/>
                <w:lang w:eastAsia="uk-UA"/>
              </w:rPr>
              <w:t>3</w:t>
            </w:r>
          </w:p>
        </w:tc>
        <w:tc>
          <w:tcPr>
            <w:tcW w:w="1958" w:type="dxa"/>
            <w:tcBorders>
              <w:bottom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м</w:t>
            </w:r>
            <w:r>
              <w:rPr>
                <w:rFonts w:ascii="Times New Roman" w:eastAsia="Times New Roman" w:hAnsi="Times New Roman" w:cs="Times New Roman"/>
                <w:color w:val="000000"/>
                <w:vertAlign w:val="superscript"/>
                <w:lang w:eastAsia="uk-UA"/>
              </w:rPr>
              <w:t>3</w:t>
            </w:r>
          </w:p>
        </w:tc>
        <w:tc>
          <w:tcPr>
            <w:tcW w:w="1278"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тонни</w:t>
            </w:r>
          </w:p>
        </w:tc>
        <w:tc>
          <w:tcPr>
            <w:tcW w:w="1698" w:type="dxa"/>
            <w:tcBorders>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тонни</w:t>
            </w:r>
          </w:p>
        </w:tc>
        <w:tc>
          <w:tcPr>
            <w:tcW w:w="1277" w:type="dxa"/>
            <w:tcBorders>
              <w:bottom w:val="single" w:sz="8" w:space="0" w:color="000000"/>
              <w:right w:val="single" w:sz="4" w:space="0" w:color="000000"/>
            </w:tcBorders>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тонни</w:t>
            </w:r>
          </w:p>
        </w:tc>
      </w:tr>
      <w:tr w:rsidR="00D227E2">
        <w:trPr>
          <w:cantSplit/>
          <w:trHeight w:val="330"/>
        </w:trPr>
        <w:tc>
          <w:tcPr>
            <w:tcW w:w="15132" w:type="dxa"/>
            <w:gridSpan w:val="9"/>
            <w:tcBorders>
              <w:left w:val="single" w:sz="8" w:space="0" w:color="000000"/>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Будівлі, обладнання/об’єкти</w:t>
            </w:r>
          </w:p>
        </w:tc>
      </w:tr>
      <w:tr w:rsidR="00D227E2">
        <w:trPr>
          <w:cantSplit/>
          <w:trHeight w:val="305"/>
        </w:trPr>
        <w:tc>
          <w:tcPr>
            <w:tcW w:w="3244"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color w:val="000000"/>
                <w:lang w:eastAsia="uk-UA"/>
              </w:rPr>
              <w:t>Муніципальні будівлі, обла</w:t>
            </w:r>
            <w:r>
              <w:rPr>
                <w:rFonts w:ascii="Times New Roman" w:eastAsia="Times New Roman" w:hAnsi="Times New Roman" w:cs="Times New Roman"/>
                <w:color w:val="000000"/>
                <w:lang w:eastAsia="uk-UA"/>
              </w:rPr>
              <w:t>д</w:t>
            </w:r>
            <w:r>
              <w:rPr>
                <w:rFonts w:ascii="Times New Roman" w:eastAsia="Times New Roman" w:hAnsi="Times New Roman" w:cs="Times New Roman"/>
                <w:color w:val="000000"/>
                <w:lang w:eastAsia="uk-UA"/>
              </w:rPr>
              <w:t>нання/об’єкти</w:t>
            </w:r>
          </w:p>
        </w:tc>
        <w:tc>
          <w:tcPr>
            <w:tcW w:w="1421"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48 152,5</w:t>
            </w:r>
          </w:p>
        </w:tc>
        <w:tc>
          <w:tcPr>
            <w:tcW w:w="1421"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49 168,5</w:t>
            </w:r>
          </w:p>
        </w:tc>
        <w:tc>
          <w:tcPr>
            <w:tcW w:w="1417"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2 880,6</w:t>
            </w:r>
          </w:p>
        </w:tc>
        <w:tc>
          <w:tcPr>
            <w:tcW w:w="141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95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7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698" w:type="dxa"/>
            <w:tcBorders>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77" w:type="dxa"/>
            <w:tcBorders>
              <w:bottom w:val="single" w:sz="8" w:space="0" w:color="000000"/>
              <w:right w:val="single" w:sz="4" w:space="0" w:color="000000"/>
            </w:tcBorders>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r>
      <w:tr w:rsidR="00D227E2">
        <w:trPr>
          <w:cantSplit/>
          <w:trHeight w:val="213"/>
        </w:trPr>
        <w:tc>
          <w:tcPr>
            <w:tcW w:w="3244"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color w:val="000000"/>
                <w:lang w:eastAsia="uk-UA"/>
              </w:rPr>
              <w:t>Муніципальне освітлення</w:t>
            </w:r>
          </w:p>
        </w:tc>
        <w:tc>
          <w:tcPr>
            <w:tcW w:w="1421"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3 982,0</w:t>
            </w:r>
          </w:p>
        </w:tc>
        <w:tc>
          <w:tcPr>
            <w:tcW w:w="1421"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417"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41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95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7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698" w:type="dxa"/>
            <w:tcBorders>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77" w:type="dxa"/>
            <w:tcBorders>
              <w:bottom w:val="single" w:sz="8" w:space="0" w:color="000000"/>
              <w:right w:val="single" w:sz="4" w:space="0" w:color="000000"/>
            </w:tcBorders>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r>
      <w:tr w:rsidR="00D227E2">
        <w:trPr>
          <w:cantSplit/>
          <w:trHeight w:val="308"/>
        </w:trPr>
        <w:tc>
          <w:tcPr>
            <w:tcW w:w="15132" w:type="dxa"/>
            <w:gridSpan w:val="9"/>
            <w:tcBorders>
              <w:left w:val="single" w:sz="8" w:space="0" w:color="000000"/>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Третинні будівлі, обладнання/об’єкти</w:t>
            </w:r>
          </w:p>
        </w:tc>
      </w:tr>
      <w:tr w:rsidR="00D227E2">
        <w:trPr>
          <w:cantSplit/>
          <w:trHeight w:val="255"/>
        </w:trPr>
        <w:tc>
          <w:tcPr>
            <w:tcW w:w="3244"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color w:val="000000"/>
                <w:lang w:eastAsia="uk-UA"/>
              </w:rPr>
              <w:t>Третинні будівлі, обладна</w:t>
            </w:r>
            <w:r>
              <w:rPr>
                <w:rFonts w:ascii="Times New Roman" w:eastAsia="Times New Roman" w:hAnsi="Times New Roman" w:cs="Times New Roman"/>
                <w:color w:val="000000"/>
                <w:lang w:eastAsia="uk-UA"/>
              </w:rPr>
              <w:t>н</w:t>
            </w:r>
            <w:r>
              <w:rPr>
                <w:rFonts w:ascii="Times New Roman" w:eastAsia="Times New Roman" w:hAnsi="Times New Roman" w:cs="Times New Roman"/>
                <w:color w:val="000000"/>
                <w:lang w:eastAsia="uk-UA"/>
              </w:rPr>
              <w:t>ня/об’єкти</w:t>
            </w:r>
          </w:p>
        </w:tc>
        <w:tc>
          <w:tcPr>
            <w:tcW w:w="1421"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101 596,8</w:t>
            </w:r>
          </w:p>
        </w:tc>
        <w:tc>
          <w:tcPr>
            <w:tcW w:w="1421"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10 501,0</w:t>
            </w:r>
          </w:p>
        </w:tc>
        <w:tc>
          <w:tcPr>
            <w:tcW w:w="1417"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1 673,3</w:t>
            </w:r>
          </w:p>
        </w:tc>
        <w:tc>
          <w:tcPr>
            <w:tcW w:w="141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95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7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698" w:type="dxa"/>
            <w:tcBorders>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77" w:type="dxa"/>
            <w:tcBorders>
              <w:bottom w:val="single" w:sz="8" w:space="0" w:color="000000"/>
              <w:right w:val="single" w:sz="4" w:space="0" w:color="000000"/>
            </w:tcBorders>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r>
      <w:tr w:rsidR="00D227E2">
        <w:trPr>
          <w:cantSplit/>
          <w:trHeight w:val="330"/>
        </w:trPr>
        <w:tc>
          <w:tcPr>
            <w:tcW w:w="3244"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Житлові будинки</w:t>
            </w:r>
          </w:p>
        </w:tc>
        <w:tc>
          <w:tcPr>
            <w:tcW w:w="1421"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208 873</w:t>
            </w:r>
          </w:p>
        </w:tc>
        <w:tc>
          <w:tcPr>
            <w:tcW w:w="1421"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 xml:space="preserve"> 309 749,2</w:t>
            </w:r>
          </w:p>
        </w:tc>
        <w:tc>
          <w:tcPr>
            <w:tcW w:w="1417"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67 640,0</w:t>
            </w:r>
          </w:p>
        </w:tc>
        <w:tc>
          <w:tcPr>
            <w:tcW w:w="141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95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7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698" w:type="dxa"/>
            <w:tcBorders>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77" w:type="dxa"/>
            <w:tcBorders>
              <w:bottom w:val="single" w:sz="8" w:space="0" w:color="000000"/>
              <w:right w:val="single" w:sz="4" w:space="0" w:color="000000"/>
            </w:tcBorders>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17 742,0</w:t>
            </w:r>
          </w:p>
        </w:tc>
      </w:tr>
      <w:tr w:rsidR="00D227E2">
        <w:trPr>
          <w:cantSplit/>
          <w:trHeight w:val="330"/>
        </w:trPr>
        <w:tc>
          <w:tcPr>
            <w:tcW w:w="15132" w:type="dxa"/>
            <w:gridSpan w:val="9"/>
            <w:tcBorders>
              <w:left w:val="single" w:sz="8" w:space="0" w:color="000000"/>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Транспорт</w:t>
            </w:r>
          </w:p>
        </w:tc>
      </w:tr>
      <w:tr w:rsidR="00D227E2">
        <w:trPr>
          <w:cantSplit/>
          <w:trHeight w:val="162"/>
        </w:trPr>
        <w:tc>
          <w:tcPr>
            <w:tcW w:w="3244" w:type="dxa"/>
            <w:tcBorders>
              <w:left w:val="single" w:sz="8" w:space="0" w:color="000000"/>
              <w:bottom w:val="single" w:sz="8" w:space="0" w:color="000000"/>
              <w:right w:val="single" w:sz="8" w:space="0" w:color="000000"/>
            </w:tcBorders>
            <w:shd w:val="clear" w:color="auto" w:fill="auto"/>
            <w:vAlign w:val="center"/>
          </w:tcPr>
          <w:p w:rsidR="00D227E2" w:rsidRDefault="00934FC4">
            <w:pPr>
              <w:rPr>
                <w:rFonts w:ascii="Times New Roman" w:hAnsi="Times New Roman" w:cs="Times New Roman"/>
              </w:rPr>
            </w:pPr>
            <w:r>
              <w:rPr>
                <w:rFonts w:ascii="Times New Roman" w:hAnsi="Times New Roman" w:cs="Times New Roman"/>
              </w:rPr>
              <w:t>Муніципальний автотранспорт</w:t>
            </w:r>
          </w:p>
        </w:tc>
        <w:tc>
          <w:tcPr>
            <w:tcW w:w="1421" w:type="dxa"/>
            <w:tcBorders>
              <w:bottom w:val="single" w:sz="8" w:space="0" w:color="000000"/>
              <w:right w:val="single" w:sz="8" w:space="0" w:color="000000"/>
            </w:tcBorders>
            <w:shd w:val="clear" w:color="auto" w:fill="auto"/>
            <w:vAlign w:val="center"/>
          </w:tcPr>
          <w:p w:rsidR="00D227E2" w:rsidRDefault="00934FC4">
            <w:pPr>
              <w:jc w:val="center"/>
              <w:rPr>
                <w:rFonts w:ascii="Times New Roman" w:hAnsi="Times New Roman" w:cs="Times New Roman"/>
              </w:rPr>
            </w:pPr>
            <w:r>
              <w:rPr>
                <w:rFonts w:ascii="Times New Roman" w:hAnsi="Times New Roman" w:cs="Times New Roman"/>
              </w:rPr>
              <w:t>0,0</w:t>
            </w:r>
          </w:p>
        </w:tc>
        <w:tc>
          <w:tcPr>
            <w:tcW w:w="1421" w:type="dxa"/>
            <w:tcBorders>
              <w:bottom w:val="single" w:sz="8" w:space="0" w:color="000000"/>
              <w:right w:val="single" w:sz="8" w:space="0" w:color="000000"/>
            </w:tcBorders>
            <w:shd w:val="clear" w:color="auto" w:fill="auto"/>
            <w:vAlign w:val="center"/>
          </w:tcPr>
          <w:p w:rsidR="00D227E2" w:rsidRDefault="00934FC4">
            <w:pPr>
              <w:jc w:val="center"/>
              <w:rPr>
                <w:rFonts w:ascii="Times New Roman" w:hAnsi="Times New Roman" w:cs="Times New Roman"/>
              </w:rPr>
            </w:pPr>
            <w:r>
              <w:rPr>
                <w:rFonts w:ascii="Times New Roman" w:hAnsi="Times New Roman" w:cs="Times New Roman"/>
              </w:rPr>
              <w:t>0,0</w:t>
            </w:r>
          </w:p>
        </w:tc>
        <w:tc>
          <w:tcPr>
            <w:tcW w:w="1417" w:type="dxa"/>
            <w:tcBorders>
              <w:bottom w:val="single" w:sz="8" w:space="0" w:color="000000"/>
              <w:right w:val="single" w:sz="8" w:space="0" w:color="000000"/>
            </w:tcBorders>
            <w:shd w:val="clear" w:color="auto" w:fill="auto"/>
            <w:vAlign w:val="center"/>
          </w:tcPr>
          <w:p w:rsidR="00D227E2" w:rsidRDefault="00934FC4">
            <w:pPr>
              <w:jc w:val="center"/>
              <w:rPr>
                <w:rFonts w:ascii="Times New Roman" w:hAnsi="Times New Roman" w:cs="Times New Roman"/>
              </w:rPr>
            </w:pPr>
            <w:r>
              <w:rPr>
                <w:rFonts w:ascii="Times New Roman" w:hAnsi="Times New Roman" w:cs="Times New Roman"/>
              </w:rPr>
              <w:t>0,0</w:t>
            </w:r>
          </w:p>
        </w:tc>
        <w:tc>
          <w:tcPr>
            <w:tcW w:w="1418" w:type="dxa"/>
            <w:tcBorders>
              <w:bottom w:val="single" w:sz="8" w:space="0" w:color="000000"/>
              <w:right w:val="single" w:sz="8" w:space="0" w:color="000000"/>
            </w:tcBorders>
            <w:shd w:val="clear" w:color="auto" w:fill="auto"/>
            <w:vAlign w:val="center"/>
          </w:tcPr>
          <w:p w:rsidR="00D227E2" w:rsidRDefault="00934FC4">
            <w:pPr>
              <w:jc w:val="center"/>
              <w:rPr>
                <w:rFonts w:ascii="Times New Roman" w:hAnsi="Times New Roman" w:cs="Times New Roman"/>
              </w:rPr>
            </w:pPr>
            <w:r>
              <w:rPr>
                <w:rFonts w:ascii="Times New Roman" w:hAnsi="Times New Roman" w:cs="Times New Roman"/>
              </w:rPr>
              <w:t>28,20</w:t>
            </w:r>
          </w:p>
        </w:tc>
        <w:tc>
          <w:tcPr>
            <w:tcW w:w="1958" w:type="dxa"/>
            <w:tcBorders>
              <w:bottom w:val="single" w:sz="8" w:space="0" w:color="000000"/>
              <w:right w:val="single" w:sz="8" w:space="0" w:color="000000"/>
            </w:tcBorders>
            <w:shd w:val="clear" w:color="auto" w:fill="auto"/>
            <w:vAlign w:val="center"/>
          </w:tcPr>
          <w:p w:rsidR="00D227E2" w:rsidRDefault="00934FC4">
            <w:pPr>
              <w:jc w:val="center"/>
              <w:rPr>
                <w:rFonts w:ascii="Times New Roman" w:hAnsi="Times New Roman" w:cs="Times New Roman"/>
              </w:rPr>
            </w:pPr>
            <w:r>
              <w:rPr>
                <w:rFonts w:ascii="Times New Roman" w:hAnsi="Times New Roman" w:cs="Times New Roman"/>
              </w:rPr>
              <w:t>74,96</w:t>
            </w:r>
          </w:p>
        </w:tc>
        <w:tc>
          <w:tcPr>
            <w:tcW w:w="1278" w:type="dxa"/>
            <w:tcBorders>
              <w:bottom w:val="single" w:sz="8" w:space="0" w:color="000000"/>
              <w:right w:val="single" w:sz="8" w:space="0" w:color="000000"/>
            </w:tcBorders>
            <w:shd w:val="clear" w:color="auto" w:fill="auto"/>
            <w:vAlign w:val="center"/>
          </w:tcPr>
          <w:p w:rsidR="00D227E2" w:rsidRDefault="00934FC4">
            <w:pPr>
              <w:jc w:val="center"/>
              <w:rPr>
                <w:rFonts w:ascii="Times New Roman" w:hAnsi="Times New Roman" w:cs="Times New Roman"/>
              </w:rPr>
            </w:pPr>
            <w:r>
              <w:rPr>
                <w:rFonts w:ascii="Times New Roman" w:hAnsi="Times New Roman" w:cs="Times New Roman"/>
              </w:rPr>
              <w:t>609,03</w:t>
            </w:r>
          </w:p>
        </w:tc>
        <w:tc>
          <w:tcPr>
            <w:tcW w:w="1698" w:type="dxa"/>
            <w:tcBorders>
              <w:bottom w:val="single" w:sz="8" w:space="0" w:color="000000"/>
              <w:right w:val="single" w:sz="8" w:space="0" w:color="000000"/>
            </w:tcBorders>
            <w:shd w:val="clear" w:color="auto" w:fill="auto"/>
            <w:vAlign w:val="center"/>
          </w:tcPr>
          <w:p w:rsidR="00D227E2" w:rsidRDefault="00934FC4">
            <w:pPr>
              <w:jc w:val="center"/>
              <w:rPr>
                <w:rFonts w:ascii="Times New Roman" w:hAnsi="Times New Roman" w:cs="Times New Roman"/>
              </w:rPr>
            </w:pPr>
            <w:r>
              <w:rPr>
                <w:rFonts w:ascii="Times New Roman" w:hAnsi="Times New Roman" w:cs="Times New Roman"/>
              </w:rPr>
              <w:t>276,69</w:t>
            </w:r>
          </w:p>
        </w:tc>
        <w:tc>
          <w:tcPr>
            <w:tcW w:w="1277" w:type="dxa"/>
            <w:tcBorders>
              <w:bottom w:val="single" w:sz="8" w:space="0" w:color="000000"/>
              <w:right w:val="single" w:sz="8" w:space="0" w:color="000000"/>
            </w:tcBorders>
            <w:vAlign w:val="center"/>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r>
      <w:tr w:rsidR="00D227E2">
        <w:trPr>
          <w:cantSplit/>
          <w:trHeight w:val="176"/>
        </w:trPr>
        <w:tc>
          <w:tcPr>
            <w:tcW w:w="3244" w:type="dxa"/>
            <w:tcBorders>
              <w:left w:val="single" w:sz="8" w:space="0" w:color="000000"/>
              <w:bottom w:val="single" w:sz="8" w:space="0" w:color="000000"/>
              <w:right w:val="single" w:sz="8" w:space="0" w:color="000000"/>
            </w:tcBorders>
            <w:shd w:val="clear" w:color="auto" w:fill="auto"/>
            <w:vAlign w:val="center"/>
          </w:tcPr>
          <w:p w:rsidR="00D227E2" w:rsidRDefault="00934FC4">
            <w:pPr>
              <w:rPr>
                <w:rFonts w:ascii="Times New Roman" w:hAnsi="Times New Roman" w:cs="Times New Roman"/>
              </w:rPr>
            </w:pPr>
            <w:r>
              <w:rPr>
                <w:rFonts w:ascii="Times New Roman" w:hAnsi="Times New Roman" w:cs="Times New Roman"/>
              </w:rPr>
              <w:t>Громадський автотранспорт</w:t>
            </w:r>
          </w:p>
        </w:tc>
        <w:tc>
          <w:tcPr>
            <w:tcW w:w="1421" w:type="dxa"/>
            <w:tcBorders>
              <w:bottom w:val="single" w:sz="8" w:space="0" w:color="000000"/>
              <w:right w:val="single" w:sz="8" w:space="0" w:color="000000"/>
            </w:tcBorders>
            <w:shd w:val="clear" w:color="auto" w:fill="auto"/>
            <w:vAlign w:val="center"/>
          </w:tcPr>
          <w:p w:rsidR="00D227E2" w:rsidRDefault="00934FC4">
            <w:pPr>
              <w:jc w:val="center"/>
              <w:rPr>
                <w:rFonts w:ascii="Times New Roman" w:hAnsi="Times New Roman" w:cs="Times New Roman"/>
              </w:rPr>
            </w:pPr>
            <w:r>
              <w:rPr>
                <w:rFonts w:ascii="Times New Roman" w:hAnsi="Times New Roman" w:cs="Times New Roman"/>
              </w:rPr>
              <w:t>4 680,1</w:t>
            </w:r>
          </w:p>
        </w:tc>
        <w:tc>
          <w:tcPr>
            <w:tcW w:w="1421" w:type="dxa"/>
            <w:tcBorders>
              <w:bottom w:val="single" w:sz="8" w:space="0" w:color="000000"/>
              <w:right w:val="single" w:sz="8" w:space="0" w:color="000000"/>
            </w:tcBorders>
            <w:shd w:val="clear" w:color="auto" w:fill="auto"/>
            <w:vAlign w:val="center"/>
          </w:tcPr>
          <w:p w:rsidR="00D227E2" w:rsidRDefault="00934FC4">
            <w:pPr>
              <w:jc w:val="center"/>
              <w:rPr>
                <w:rFonts w:ascii="Times New Roman" w:hAnsi="Times New Roman" w:cs="Times New Roman"/>
              </w:rPr>
            </w:pPr>
            <w:r>
              <w:rPr>
                <w:rFonts w:ascii="Times New Roman" w:hAnsi="Times New Roman" w:cs="Times New Roman"/>
              </w:rPr>
              <w:t>0,0</w:t>
            </w:r>
          </w:p>
        </w:tc>
        <w:tc>
          <w:tcPr>
            <w:tcW w:w="1417" w:type="dxa"/>
            <w:tcBorders>
              <w:bottom w:val="single" w:sz="8" w:space="0" w:color="000000"/>
              <w:right w:val="single" w:sz="8" w:space="0" w:color="000000"/>
            </w:tcBorders>
            <w:shd w:val="clear" w:color="auto" w:fill="auto"/>
            <w:vAlign w:val="center"/>
          </w:tcPr>
          <w:p w:rsidR="00D227E2" w:rsidRDefault="00934FC4">
            <w:pPr>
              <w:jc w:val="center"/>
              <w:rPr>
                <w:rFonts w:ascii="Times New Roman" w:hAnsi="Times New Roman" w:cs="Times New Roman"/>
              </w:rPr>
            </w:pPr>
            <w:r>
              <w:rPr>
                <w:rFonts w:ascii="Times New Roman" w:hAnsi="Times New Roman" w:cs="Times New Roman"/>
              </w:rPr>
              <w:t>0,0</w:t>
            </w:r>
          </w:p>
        </w:tc>
        <w:tc>
          <w:tcPr>
            <w:tcW w:w="1418" w:type="dxa"/>
            <w:tcBorders>
              <w:bottom w:val="single" w:sz="8" w:space="0" w:color="000000"/>
              <w:right w:val="single" w:sz="8" w:space="0" w:color="000000"/>
            </w:tcBorders>
            <w:shd w:val="clear" w:color="auto" w:fill="auto"/>
            <w:vAlign w:val="center"/>
          </w:tcPr>
          <w:p w:rsidR="00D227E2" w:rsidRDefault="00934FC4">
            <w:pPr>
              <w:jc w:val="center"/>
              <w:rPr>
                <w:rFonts w:ascii="Times New Roman" w:hAnsi="Times New Roman" w:cs="Times New Roman"/>
              </w:rPr>
            </w:pPr>
            <w:r>
              <w:rPr>
                <w:rFonts w:ascii="Times New Roman" w:hAnsi="Times New Roman" w:cs="Times New Roman"/>
              </w:rPr>
              <w:t>0,0</w:t>
            </w:r>
          </w:p>
        </w:tc>
        <w:tc>
          <w:tcPr>
            <w:tcW w:w="1958" w:type="dxa"/>
            <w:tcBorders>
              <w:bottom w:val="single" w:sz="8" w:space="0" w:color="000000"/>
              <w:right w:val="single" w:sz="8" w:space="0" w:color="000000"/>
            </w:tcBorders>
            <w:shd w:val="clear" w:color="auto" w:fill="auto"/>
            <w:vAlign w:val="center"/>
          </w:tcPr>
          <w:p w:rsidR="00D227E2" w:rsidRDefault="00934FC4">
            <w:pPr>
              <w:jc w:val="center"/>
              <w:rPr>
                <w:rFonts w:ascii="Times New Roman" w:hAnsi="Times New Roman" w:cs="Times New Roman"/>
              </w:rPr>
            </w:pPr>
            <w:r>
              <w:rPr>
                <w:rFonts w:ascii="Times New Roman" w:hAnsi="Times New Roman" w:cs="Times New Roman"/>
              </w:rPr>
              <w:t>0,0</w:t>
            </w:r>
          </w:p>
        </w:tc>
        <w:tc>
          <w:tcPr>
            <w:tcW w:w="1278" w:type="dxa"/>
            <w:tcBorders>
              <w:bottom w:val="single" w:sz="8" w:space="0" w:color="000000"/>
              <w:right w:val="single" w:sz="8" w:space="0" w:color="000000"/>
            </w:tcBorders>
            <w:shd w:val="clear" w:color="auto" w:fill="auto"/>
            <w:vAlign w:val="center"/>
          </w:tcPr>
          <w:p w:rsidR="00D227E2" w:rsidRDefault="00934FC4">
            <w:pPr>
              <w:jc w:val="center"/>
              <w:rPr>
                <w:rFonts w:ascii="Times New Roman" w:hAnsi="Times New Roman" w:cs="Times New Roman"/>
              </w:rPr>
            </w:pPr>
            <w:r>
              <w:rPr>
                <w:rFonts w:ascii="Times New Roman" w:hAnsi="Times New Roman" w:cs="Times New Roman"/>
              </w:rPr>
              <w:t>2 747,14</w:t>
            </w:r>
          </w:p>
        </w:tc>
        <w:tc>
          <w:tcPr>
            <w:tcW w:w="1698" w:type="dxa"/>
            <w:tcBorders>
              <w:bottom w:val="single" w:sz="8" w:space="0" w:color="000000"/>
              <w:right w:val="single" w:sz="8" w:space="0" w:color="000000"/>
            </w:tcBorders>
            <w:shd w:val="clear" w:color="auto" w:fill="auto"/>
            <w:vAlign w:val="center"/>
          </w:tcPr>
          <w:p w:rsidR="00D227E2" w:rsidRDefault="00934FC4">
            <w:pPr>
              <w:jc w:val="center"/>
              <w:rPr>
                <w:rFonts w:ascii="Times New Roman" w:hAnsi="Times New Roman" w:cs="Times New Roman"/>
              </w:rPr>
            </w:pPr>
            <w:r>
              <w:rPr>
                <w:rFonts w:ascii="Times New Roman" w:hAnsi="Times New Roman" w:cs="Times New Roman"/>
              </w:rPr>
              <w:t>0,0</w:t>
            </w:r>
          </w:p>
        </w:tc>
        <w:tc>
          <w:tcPr>
            <w:tcW w:w="1277" w:type="dxa"/>
            <w:tcBorders>
              <w:bottom w:val="single" w:sz="8" w:space="0" w:color="000000"/>
              <w:right w:val="single" w:sz="8" w:space="0" w:color="000000"/>
            </w:tcBorders>
            <w:vAlign w:val="center"/>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r>
      <w:tr w:rsidR="00D227E2">
        <w:trPr>
          <w:cantSplit/>
          <w:trHeight w:val="541"/>
        </w:trPr>
        <w:tc>
          <w:tcPr>
            <w:tcW w:w="3244" w:type="dxa"/>
            <w:tcBorders>
              <w:left w:val="single" w:sz="8" w:space="0" w:color="000000"/>
              <w:bottom w:val="single" w:sz="8" w:space="0" w:color="000000"/>
              <w:right w:val="single" w:sz="8" w:space="0" w:color="000000"/>
            </w:tcBorders>
            <w:shd w:val="clear" w:color="auto" w:fill="auto"/>
            <w:vAlign w:val="center"/>
          </w:tcPr>
          <w:p w:rsidR="00D227E2" w:rsidRDefault="00934FC4">
            <w:pPr>
              <w:rPr>
                <w:rFonts w:ascii="Times New Roman" w:hAnsi="Times New Roman" w:cs="Times New Roman"/>
              </w:rPr>
            </w:pPr>
            <w:r>
              <w:rPr>
                <w:rFonts w:ascii="Times New Roman" w:hAnsi="Times New Roman" w:cs="Times New Roman"/>
              </w:rPr>
              <w:t>Приватний та комерційний транспорт</w:t>
            </w:r>
          </w:p>
        </w:tc>
        <w:tc>
          <w:tcPr>
            <w:tcW w:w="1421" w:type="dxa"/>
            <w:tcBorders>
              <w:bottom w:val="single" w:sz="8" w:space="0" w:color="000000"/>
              <w:right w:val="single" w:sz="8" w:space="0" w:color="000000"/>
            </w:tcBorders>
            <w:shd w:val="clear" w:color="auto" w:fill="auto"/>
            <w:vAlign w:val="center"/>
          </w:tcPr>
          <w:p w:rsidR="00D227E2" w:rsidRDefault="00934FC4">
            <w:pPr>
              <w:jc w:val="center"/>
              <w:rPr>
                <w:rFonts w:ascii="Times New Roman" w:hAnsi="Times New Roman" w:cs="Times New Roman"/>
              </w:rPr>
            </w:pPr>
            <w:r>
              <w:rPr>
                <w:rFonts w:ascii="Times New Roman" w:hAnsi="Times New Roman" w:cs="Times New Roman"/>
              </w:rPr>
              <w:t>1 057,5</w:t>
            </w:r>
          </w:p>
        </w:tc>
        <w:tc>
          <w:tcPr>
            <w:tcW w:w="1421" w:type="dxa"/>
            <w:tcBorders>
              <w:bottom w:val="single" w:sz="8" w:space="0" w:color="000000"/>
              <w:right w:val="single" w:sz="8" w:space="0" w:color="000000"/>
            </w:tcBorders>
            <w:shd w:val="clear" w:color="auto" w:fill="auto"/>
            <w:vAlign w:val="center"/>
          </w:tcPr>
          <w:p w:rsidR="00D227E2" w:rsidRDefault="00934FC4">
            <w:pPr>
              <w:jc w:val="center"/>
              <w:rPr>
                <w:rFonts w:ascii="Times New Roman" w:hAnsi="Times New Roman" w:cs="Times New Roman"/>
              </w:rPr>
            </w:pPr>
            <w:r>
              <w:rPr>
                <w:rFonts w:ascii="Times New Roman" w:hAnsi="Times New Roman" w:cs="Times New Roman"/>
              </w:rPr>
              <w:t>0,0</w:t>
            </w:r>
          </w:p>
        </w:tc>
        <w:tc>
          <w:tcPr>
            <w:tcW w:w="1417" w:type="dxa"/>
            <w:tcBorders>
              <w:bottom w:val="single" w:sz="8" w:space="0" w:color="000000"/>
              <w:right w:val="single" w:sz="8" w:space="0" w:color="000000"/>
            </w:tcBorders>
            <w:shd w:val="clear" w:color="auto" w:fill="auto"/>
            <w:vAlign w:val="center"/>
          </w:tcPr>
          <w:p w:rsidR="00D227E2" w:rsidRDefault="00934FC4">
            <w:pPr>
              <w:jc w:val="center"/>
              <w:rPr>
                <w:rFonts w:ascii="Times New Roman" w:hAnsi="Times New Roman" w:cs="Times New Roman"/>
              </w:rPr>
            </w:pPr>
            <w:r>
              <w:rPr>
                <w:rFonts w:ascii="Times New Roman" w:hAnsi="Times New Roman" w:cs="Times New Roman"/>
              </w:rPr>
              <w:t>0,0</w:t>
            </w:r>
          </w:p>
        </w:tc>
        <w:tc>
          <w:tcPr>
            <w:tcW w:w="1418" w:type="dxa"/>
            <w:tcBorders>
              <w:bottom w:val="single" w:sz="8" w:space="0" w:color="000000"/>
              <w:right w:val="single" w:sz="8" w:space="0" w:color="000000"/>
            </w:tcBorders>
            <w:shd w:val="clear" w:color="auto" w:fill="auto"/>
            <w:vAlign w:val="center"/>
          </w:tcPr>
          <w:p w:rsidR="00D227E2" w:rsidRDefault="00934FC4">
            <w:pPr>
              <w:jc w:val="center"/>
              <w:rPr>
                <w:rFonts w:ascii="Times New Roman" w:hAnsi="Times New Roman" w:cs="Times New Roman"/>
              </w:rPr>
            </w:pPr>
            <w:r>
              <w:rPr>
                <w:rFonts w:ascii="Times New Roman" w:hAnsi="Times New Roman" w:cs="Times New Roman"/>
              </w:rPr>
              <w:t>20,65</w:t>
            </w:r>
          </w:p>
        </w:tc>
        <w:tc>
          <w:tcPr>
            <w:tcW w:w="1958" w:type="dxa"/>
            <w:tcBorders>
              <w:bottom w:val="single" w:sz="8" w:space="0" w:color="000000"/>
              <w:right w:val="single" w:sz="8" w:space="0" w:color="000000"/>
            </w:tcBorders>
            <w:shd w:val="clear" w:color="auto" w:fill="auto"/>
            <w:vAlign w:val="center"/>
          </w:tcPr>
          <w:p w:rsidR="00D227E2" w:rsidRDefault="00934FC4">
            <w:pPr>
              <w:jc w:val="center"/>
              <w:rPr>
                <w:rFonts w:ascii="Times New Roman" w:hAnsi="Times New Roman" w:cs="Times New Roman"/>
              </w:rPr>
            </w:pPr>
            <w:r>
              <w:rPr>
                <w:rFonts w:ascii="Times New Roman" w:hAnsi="Times New Roman" w:cs="Times New Roman"/>
              </w:rPr>
              <w:t>2 721,29</w:t>
            </w:r>
          </w:p>
        </w:tc>
        <w:tc>
          <w:tcPr>
            <w:tcW w:w="1278" w:type="dxa"/>
            <w:tcBorders>
              <w:bottom w:val="single" w:sz="8" w:space="0" w:color="000000"/>
              <w:right w:val="single" w:sz="8" w:space="0" w:color="000000"/>
            </w:tcBorders>
            <w:shd w:val="clear" w:color="auto" w:fill="auto"/>
            <w:vAlign w:val="center"/>
          </w:tcPr>
          <w:p w:rsidR="00D227E2" w:rsidRDefault="00934FC4">
            <w:pPr>
              <w:jc w:val="center"/>
              <w:rPr>
                <w:rFonts w:ascii="Times New Roman" w:hAnsi="Times New Roman" w:cs="Times New Roman"/>
              </w:rPr>
            </w:pPr>
            <w:r>
              <w:rPr>
                <w:rFonts w:ascii="Times New Roman" w:hAnsi="Times New Roman" w:cs="Times New Roman"/>
              </w:rPr>
              <w:t>17 408,33</w:t>
            </w:r>
          </w:p>
        </w:tc>
        <w:tc>
          <w:tcPr>
            <w:tcW w:w="1698" w:type="dxa"/>
            <w:tcBorders>
              <w:bottom w:val="single" w:sz="8" w:space="0" w:color="000000"/>
              <w:right w:val="single" w:sz="8" w:space="0" w:color="000000"/>
            </w:tcBorders>
            <w:shd w:val="clear" w:color="auto" w:fill="auto"/>
            <w:vAlign w:val="center"/>
          </w:tcPr>
          <w:p w:rsidR="00D227E2" w:rsidRDefault="00934FC4">
            <w:pPr>
              <w:jc w:val="center"/>
              <w:rPr>
                <w:rFonts w:ascii="Times New Roman" w:hAnsi="Times New Roman" w:cs="Times New Roman"/>
              </w:rPr>
            </w:pPr>
            <w:r>
              <w:rPr>
                <w:rFonts w:ascii="Times New Roman" w:hAnsi="Times New Roman" w:cs="Times New Roman"/>
              </w:rPr>
              <w:t>14 436,48</w:t>
            </w:r>
          </w:p>
        </w:tc>
        <w:tc>
          <w:tcPr>
            <w:tcW w:w="1277" w:type="dxa"/>
            <w:tcBorders>
              <w:bottom w:val="single" w:sz="8" w:space="0" w:color="000000"/>
              <w:right w:val="single" w:sz="8" w:space="0" w:color="000000"/>
            </w:tcBorders>
            <w:vAlign w:val="center"/>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r>
      <w:tr w:rsidR="00D227E2">
        <w:trPr>
          <w:cantSplit/>
          <w:trHeight w:val="330"/>
        </w:trPr>
        <w:tc>
          <w:tcPr>
            <w:tcW w:w="3244"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Усього</w:t>
            </w:r>
          </w:p>
        </w:tc>
        <w:tc>
          <w:tcPr>
            <w:tcW w:w="1421"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368 341,97</w:t>
            </w:r>
          </w:p>
        </w:tc>
        <w:tc>
          <w:tcPr>
            <w:tcW w:w="1421"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369 418,72</w:t>
            </w:r>
          </w:p>
        </w:tc>
        <w:tc>
          <w:tcPr>
            <w:tcW w:w="1417"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72 193,92</w:t>
            </w:r>
          </w:p>
        </w:tc>
        <w:tc>
          <w:tcPr>
            <w:tcW w:w="141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48,85</w:t>
            </w:r>
          </w:p>
        </w:tc>
        <w:tc>
          <w:tcPr>
            <w:tcW w:w="195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2 796,25</w:t>
            </w:r>
          </w:p>
        </w:tc>
        <w:tc>
          <w:tcPr>
            <w:tcW w:w="127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20 764,5</w:t>
            </w:r>
          </w:p>
        </w:tc>
        <w:tc>
          <w:tcPr>
            <w:tcW w:w="169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14 713,17</w:t>
            </w:r>
          </w:p>
        </w:tc>
        <w:tc>
          <w:tcPr>
            <w:tcW w:w="1277" w:type="dxa"/>
            <w:tcBorders>
              <w:bottom w:val="single" w:sz="8" w:space="0" w:color="000000"/>
              <w:right w:val="single" w:sz="8" w:space="0" w:color="000000"/>
            </w:tcBorders>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17 742,0</w:t>
            </w:r>
          </w:p>
        </w:tc>
      </w:tr>
    </w:tbl>
    <w:p w:rsidR="00D227E2" w:rsidRDefault="00D227E2">
      <w:pPr>
        <w:widowControl w:val="0"/>
        <w:spacing w:after="120" w:line="240" w:lineRule="auto"/>
        <w:jc w:val="center"/>
        <w:rPr>
          <w:rFonts w:ascii="Times New Roman" w:eastAsia="Times New Roman" w:hAnsi="Times New Roman" w:cs="Times New Roman"/>
          <w:sz w:val="24"/>
          <w:szCs w:val="24"/>
          <w:lang w:eastAsia="zh-CN"/>
        </w:rPr>
      </w:pPr>
    </w:p>
    <w:p w:rsidR="00D227E2" w:rsidRDefault="00D227E2">
      <w:pPr>
        <w:widowControl w:val="0"/>
        <w:spacing w:after="120" w:line="240" w:lineRule="auto"/>
        <w:jc w:val="center"/>
        <w:rPr>
          <w:rFonts w:ascii="Times New Roman" w:eastAsia="Times New Roman" w:hAnsi="Times New Roman" w:cs="Times New Roman"/>
          <w:sz w:val="24"/>
          <w:szCs w:val="24"/>
          <w:lang w:eastAsia="zh-CN"/>
        </w:rPr>
      </w:pPr>
    </w:p>
    <w:p w:rsidR="00D227E2" w:rsidRDefault="00D227E2">
      <w:pPr>
        <w:widowControl w:val="0"/>
        <w:spacing w:after="120" w:line="240" w:lineRule="auto"/>
        <w:jc w:val="center"/>
        <w:rPr>
          <w:rFonts w:ascii="Times New Roman" w:eastAsia="Times New Roman" w:hAnsi="Times New Roman" w:cs="Times New Roman"/>
          <w:sz w:val="24"/>
          <w:szCs w:val="24"/>
          <w:lang w:eastAsia="zh-CN"/>
        </w:rPr>
      </w:pPr>
    </w:p>
    <w:p w:rsidR="00D227E2" w:rsidRDefault="00D227E2">
      <w:pPr>
        <w:widowControl w:val="0"/>
        <w:spacing w:after="120" w:line="240" w:lineRule="auto"/>
        <w:jc w:val="center"/>
        <w:rPr>
          <w:rFonts w:ascii="Times New Roman" w:eastAsia="Times New Roman" w:hAnsi="Times New Roman" w:cs="Times New Roman"/>
          <w:sz w:val="24"/>
          <w:szCs w:val="24"/>
          <w:lang w:eastAsia="zh-CN"/>
        </w:rPr>
      </w:pPr>
    </w:p>
    <w:p w:rsidR="00D227E2" w:rsidRDefault="00934FC4">
      <w:pPr>
        <w:widowControl w:val="0"/>
        <w:spacing w:after="120" w:line="240" w:lineRule="auto"/>
        <w:jc w:val="center"/>
        <w:rPr>
          <w:rFonts w:ascii="Times New Roman" w:hAnsi="Times New Roman" w:cs="Times New Roman"/>
        </w:rPr>
      </w:pPr>
      <w:r>
        <w:rPr>
          <w:rFonts w:ascii="Times New Roman" w:eastAsia="Times New Roman" w:hAnsi="Times New Roman" w:cs="Times New Roman"/>
          <w:sz w:val="24"/>
          <w:szCs w:val="24"/>
          <w:lang w:eastAsia="zh-CN"/>
        </w:rPr>
        <w:t>Таблиця 75. Споживання енергоресурсів за визначеними секторами кінцевих споживачів у 2020 році, МВт.год</w:t>
      </w:r>
    </w:p>
    <w:tbl>
      <w:tblPr>
        <w:tblW w:w="15417" w:type="dxa"/>
        <w:tblLayout w:type="fixed"/>
        <w:tblLook w:val="04A0" w:firstRow="1" w:lastRow="0" w:firstColumn="1" w:lastColumn="0" w:noHBand="0" w:noVBand="1"/>
      </w:tblPr>
      <w:tblGrid>
        <w:gridCol w:w="2930"/>
        <w:gridCol w:w="1322"/>
        <w:gridCol w:w="1169"/>
        <w:gridCol w:w="1288"/>
        <w:gridCol w:w="1242"/>
        <w:gridCol w:w="1364"/>
        <w:gridCol w:w="1212"/>
        <w:gridCol w:w="1122"/>
        <w:gridCol w:w="1389"/>
        <w:gridCol w:w="1395"/>
        <w:gridCol w:w="984"/>
      </w:tblGrid>
      <w:tr w:rsidR="00D227E2">
        <w:trPr>
          <w:cantSplit/>
          <w:trHeight w:val="290"/>
        </w:trPr>
        <w:tc>
          <w:tcPr>
            <w:tcW w:w="292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Сектори кінцевих спожив</w:t>
            </w:r>
            <w:r>
              <w:rPr>
                <w:rFonts w:ascii="Times New Roman" w:eastAsia="Times New Roman" w:hAnsi="Times New Roman" w:cs="Times New Roman"/>
                <w:bCs/>
                <w:lang w:eastAsia="uk-UA"/>
              </w:rPr>
              <w:t>а</w:t>
            </w:r>
            <w:r>
              <w:rPr>
                <w:rFonts w:ascii="Times New Roman" w:eastAsia="Times New Roman" w:hAnsi="Times New Roman" w:cs="Times New Roman"/>
                <w:bCs/>
                <w:lang w:eastAsia="uk-UA"/>
              </w:rPr>
              <w:t>чів енергоресурсів</w:t>
            </w:r>
          </w:p>
        </w:tc>
        <w:tc>
          <w:tcPr>
            <w:tcW w:w="10107" w:type="dxa"/>
            <w:gridSpan w:val="8"/>
            <w:tcBorders>
              <w:top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Обсяги споживання енергоресурсів, МВт.год</w:t>
            </w:r>
          </w:p>
        </w:tc>
        <w:tc>
          <w:tcPr>
            <w:tcW w:w="1395"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Загальне енергосп</w:t>
            </w:r>
            <w:r>
              <w:rPr>
                <w:rFonts w:ascii="Times New Roman" w:eastAsia="Times New Roman" w:hAnsi="Times New Roman" w:cs="Times New Roman"/>
                <w:color w:val="000000"/>
                <w:lang w:eastAsia="uk-UA"/>
              </w:rPr>
              <w:t>о</w:t>
            </w:r>
            <w:r>
              <w:rPr>
                <w:rFonts w:ascii="Times New Roman" w:eastAsia="Times New Roman" w:hAnsi="Times New Roman" w:cs="Times New Roman"/>
                <w:color w:val="000000"/>
                <w:lang w:eastAsia="uk-UA"/>
              </w:rPr>
              <w:t>живання, МВт.год</w:t>
            </w:r>
          </w:p>
        </w:tc>
        <w:tc>
          <w:tcPr>
            <w:tcW w:w="984" w:type="dxa"/>
            <w:vMerge w:val="restart"/>
            <w:tcBorders>
              <w:top w:val="single" w:sz="8" w:space="0" w:color="000000"/>
              <w:left w:val="single" w:sz="4"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 по сект</w:t>
            </w:r>
            <w:r>
              <w:rPr>
                <w:rFonts w:ascii="Times New Roman" w:eastAsia="Times New Roman" w:hAnsi="Times New Roman" w:cs="Times New Roman"/>
                <w:color w:val="000000"/>
                <w:lang w:eastAsia="uk-UA"/>
              </w:rPr>
              <w:t>о</w:t>
            </w:r>
            <w:r>
              <w:rPr>
                <w:rFonts w:ascii="Times New Roman" w:eastAsia="Times New Roman" w:hAnsi="Times New Roman" w:cs="Times New Roman"/>
                <w:color w:val="000000"/>
                <w:lang w:eastAsia="uk-UA"/>
              </w:rPr>
              <w:t>рах</w:t>
            </w:r>
          </w:p>
        </w:tc>
      </w:tr>
      <w:tr w:rsidR="00D227E2">
        <w:trPr>
          <w:cantSplit/>
          <w:trHeight w:val="224"/>
        </w:trPr>
        <w:tc>
          <w:tcPr>
            <w:tcW w:w="2929"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D227E2">
            <w:pPr>
              <w:suppressAutoHyphens w:val="0"/>
              <w:spacing w:after="0" w:line="240" w:lineRule="auto"/>
              <w:rPr>
                <w:rFonts w:ascii="Times New Roman" w:eastAsia="Times New Roman" w:hAnsi="Times New Roman" w:cs="Times New Roman"/>
                <w:bCs/>
                <w:lang w:eastAsia="uk-UA"/>
              </w:rPr>
            </w:pPr>
          </w:p>
        </w:tc>
        <w:tc>
          <w:tcPr>
            <w:tcW w:w="1321" w:type="dxa"/>
            <w:vMerge w:val="restart"/>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Електрична енергія</w:t>
            </w:r>
          </w:p>
        </w:tc>
        <w:tc>
          <w:tcPr>
            <w:tcW w:w="1169" w:type="dxa"/>
            <w:vMerge w:val="restart"/>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Теплова енергія</w:t>
            </w:r>
          </w:p>
        </w:tc>
        <w:tc>
          <w:tcPr>
            <w:tcW w:w="6228" w:type="dxa"/>
            <w:gridSpan w:val="5"/>
            <w:tcBorders>
              <w:top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Видобувні види палива</w:t>
            </w:r>
          </w:p>
        </w:tc>
        <w:tc>
          <w:tcPr>
            <w:tcW w:w="1389" w:type="dxa"/>
            <w:vMerge w:val="restart"/>
            <w:tcBorders>
              <w:top w:val="single" w:sz="8" w:space="0" w:color="000000"/>
              <w:bottom w:val="single" w:sz="8" w:space="0" w:color="000000"/>
              <w:right w:val="single" w:sz="4" w:space="0" w:color="000000"/>
            </w:tcBorders>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Деревина (дрова, щ</w:t>
            </w:r>
            <w:r>
              <w:rPr>
                <w:rFonts w:ascii="Times New Roman" w:eastAsia="Times New Roman" w:hAnsi="Times New Roman" w:cs="Times New Roman"/>
                <w:color w:val="000000"/>
                <w:lang w:eastAsia="uk-UA"/>
              </w:rPr>
              <w:t>е</w:t>
            </w:r>
            <w:r>
              <w:rPr>
                <w:rFonts w:ascii="Times New Roman" w:eastAsia="Times New Roman" w:hAnsi="Times New Roman" w:cs="Times New Roman"/>
                <w:color w:val="000000"/>
                <w:lang w:eastAsia="uk-UA"/>
              </w:rPr>
              <w:t>па, пелети)</w:t>
            </w:r>
          </w:p>
        </w:tc>
        <w:tc>
          <w:tcPr>
            <w:tcW w:w="1395" w:type="dxa"/>
            <w:vMerge/>
            <w:tcBorders>
              <w:top w:val="single" w:sz="8" w:space="0" w:color="000000"/>
              <w:left w:val="single" w:sz="4" w:space="0" w:color="000000"/>
              <w:bottom w:val="single" w:sz="8" w:space="0" w:color="000000"/>
              <w:right w:val="single" w:sz="4" w:space="0" w:color="000000"/>
            </w:tcBorders>
            <w:shd w:val="clear" w:color="auto" w:fill="auto"/>
            <w:vAlign w:val="center"/>
          </w:tcPr>
          <w:p w:rsidR="00D227E2" w:rsidRDefault="00D227E2">
            <w:pPr>
              <w:suppressAutoHyphens w:val="0"/>
              <w:spacing w:after="0" w:line="240" w:lineRule="auto"/>
              <w:rPr>
                <w:rFonts w:ascii="Times New Roman" w:eastAsia="Times New Roman" w:hAnsi="Times New Roman" w:cs="Times New Roman"/>
                <w:color w:val="000000"/>
                <w:lang w:eastAsia="uk-UA"/>
              </w:rPr>
            </w:pPr>
          </w:p>
        </w:tc>
        <w:tc>
          <w:tcPr>
            <w:tcW w:w="984" w:type="dxa"/>
            <w:vMerge/>
            <w:tcBorders>
              <w:top w:val="single" w:sz="8" w:space="0" w:color="000000"/>
              <w:left w:val="single" w:sz="4" w:space="0" w:color="000000"/>
              <w:bottom w:val="single" w:sz="8" w:space="0" w:color="000000"/>
              <w:right w:val="single" w:sz="8" w:space="0" w:color="000000"/>
            </w:tcBorders>
            <w:shd w:val="clear" w:color="auto" w:fill="auto"/>
            <w:vAlign w:val="center"/>
          </w:tcPr>
          <w:p w:rsidR="00D227E2" w:rsidRDefault="00D227E2">
            <w:pPr>
              <w:suppressAutoHyphens w:val="0"/>
              <w:spacing w:after="0" w:line="240" w:lineRule="auto"/>
              <w:rPr>
                <w:rFonts w:ascii="Times New Roman" w:eastAsia="Times New Roman" w:hAnsi="Times New Roman" w:cs="Times New Roman"/>
                <w:color w:val="000000"/>
                <w:lang w:eastAsia="uk-UA"/>
              </w:rPr>
            </w:pPr>
          </w:p>
        </w:tc>
      </w:tr>
      <w:tr w:rsidR="00D227E2">
        <w:trPr>
          <w:cantSplit/>
          <w:trHeight w:val="939"/>
        </w:trPr>
        <w:tc>
          <w:tcPr>
            <w:tcW w:w="2929"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D227E2">
            <w:pPr>
              <w:suppressAutoHyphens w:val="0"/>
              <w:spacing w:after="0" w:line="240" w:lineRule="auto"/>
              <w:rPr>
                <w:rFonts w:ascii="Times New Roman" w:eastAsia="Times New Roman" w:hAnsi="Times New Roman" w:cs="Times New Roman"/>
                <w:bCs/>
                <w:lang w:eastAsia="uk-UA"/>
              </w:rPr>
            </w:pPr>
          </w:p>
        </w:tc>
        <w:tc>
          <w:tcPr>
            <w:tcW w:w="1321" w:type="dxa"/>
            <w:vMerge/>
            <w:tcBorders>
              <w:left w:val="single" w:sz="8" w:space="0" w:color="000000"/>
              <w:bottom w:val="single" w:sz="8" w:space="0" w:color="000000"/>
              <w:right w:val="single" w:sz="8" w:space="0" w:color="000000"/>
            </w:tcBorders>
            <w:shd w:val="clear" w:color="auto" w:fill="auto"/>
            <w:vAlign w:val="center"/>
          </w:tcPr>
          <w:p w:rsidR="00D227E2" w:rsidRDefault="00D227E2">
            <w:pPr>
              <w:suppressAutoHyphens w:val="0"/>
              <w:spacing w:after="0" w:line="240" w:lineRule="auto"/>
              <w:rPr>
                <w:rFonts w:ascii="Times New Roman" w:eastAsia="Times New Roman" w:hAnsi="Times New Roman" w:cs="Times New Roman"/>
                <w:lang w:eastAsia="uk-UA"/>
              </w:rPr>
            </w:pPr>
          </w:p>
        </w:tc>
        <w:tc>
          <w:tcPr>
            <w:tcW w:w="1169" w:type="dxa"/>
            <w:vMerge/>
            <w:tcBorders>
              <w:left w:val="single" w:sz="8" w:space="0" w:color="000000"/>
              <w:bottom w:val="single" w:sz="8" w:space="0" w:color="000000"/>
              <w:right w:val="single" w:sz="8" w:space="0" w:color="000000"/>
            </w:tcBorders>
            <w:shd w:val="clear" w:color="auto" w:fill="auto"/>
            <w:vAlign w:val="center"/>
          </w:tcPr>
          <w:p w:rsidR="00D227E2" w:rsidRDefault="00D227E2">
            <w:pPr>
              <w:suppressAutoHyphens w:val="0"/>
              <w:spacing w:after="0" w:line="240" w:lineRule="auto"/>
              <w:rPr>
                <w:rFonts w:ascii="Times New Roman" w:eastAsia="Times New Roman" w:hAnsi="Times New Roman" w:cs="Times New Roman"/>
                <w:lang w:eastAsia="uk-UA"/>
              </w:rPr>
            </w:pPr>
          </w:p>
        </w:tc>
        <w:tc>
          <w:tcPr>
            <w:tcW w:w="1288" w:type="dxa"/>
            <w:tcBorders>
              <w:top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Природний газ</w:t>
            </w:r>
          </w:p>
        </w:tc>
        <w:tc>
          <w:tcPr>
            <w:tcW w:w="1242" w:type="dxa"/>
            <w:tcBorders>
              <w:top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Стисн</w:t>
            </w:r>
            <w:r>
              <w:rPr>
                <w:rFonts w:ascii="Times New Roman" w:eastAsia="Times New Roman" w:hAnsi="Times New Roman" w:cs="Times New Roman"/>
                <w:lang w:eastAsia="uk-UA"/>
              </w:rPr>
              <w:t>е</w:t>
            </w:r>
            <w:r>
              <w:rPr>
                <w:rFonts w:ascii="Times New Roman" w:eastAsia="Times New Roman" w:hAnsi="Times New Roman" w:cs="Times New Roman"/>
                <w:lang w:eastAsia="uk-UA"/>
              </w:rPr>
              <w:t>ний газ (Метан)</w:t>
            </w:r>
          </w:p>
        </w:tc>
        <w:tc>
          <w:tcPr>
            <w:tcW w:w="1364" w:type="dxa"/>
            <w:tcBorders>
              <w:top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Скраплений газ (Пр</w:t>
            </w:r>
            <w:r>
              <w:rPr>
                <w:rFonts w:ascii="Times New Roman" w:eastAsia="Times New Roman" w:hAnsi="Times New Roman" w:cs="Times New Roman"/>
                <w:lang w:eastAsia="uk-UA"/>
              </w:rPr>
              <w:t>о</w:t>
            </w:r>
            <w:r>
              <w:rPr>
                <w:rFonts w:ascii="Times New Roman" w:eastAsia="Times New Roman" w:hAnsi="Times New Roman" w:cs="Times New Roman"/>
                <w:lang w:eastAsia="uk-UA"/>
              </w:rPr>
              <w:t>пан-бутан)</w:t>
            </w:r>
          </w:p>
        </w:tc>
        <w:tc>
          <w:tcPr>
            <w:tcW w:w="1212" w:type="dxa"/>
            <w:tcBorders>
              <w:top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Дизель</w:t>
            </w:r>
          </w:p>
        </w:tc>
        <w:tc>
          <w:tcPr>
            <w:tcW w:w="1122" w:type="dxa"/>
            <w:tcBorders>
              <w:top w:val="single" w:sz="8" w:space="0" w:color="000000"/>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Бензин</w:t>
            </w:r>
          </w:p>
        </w:tc>
        <w:tc>
          <w:tcPr>
            <w:tcW w:w="1389" w:type="dxa"/>
            <w:vMerge/>
            <w:tcBorders>
              <w:bottom w:val="single" w:sz="8" w:space="0" w:color="000000"/>
              <w:right w:val="single" w:sz="4" w:space="0" w:color="000000"/>
            </w:tcBorders>
          </w:tcPr>
          <w:p w:rsidR="00D227E2" w:rsidRDefault="00D227E2">
            <w:pPr>
              <w:suppressAutoHyphens w:val="0"/>
              <w:spacing w:after="0" w:line="240" w:lineRule="auto"/>
              <w:rPr>
                <w:rFonts w:ascii="Times New Roman" w:eastAsia="Times New Roman" w:hAnsi="Times New Roman" w:cs="Times New Roman"/>
                <w:color w:val="000000"/>
                <w:lang w:eastAsia="uk-UA"/>
              </w:rPr>
            </w:pPr>
          </w:p>
        </w:tc>
        <w:tc>
          <w:tcPr>
            <w:tcW w:w="1395" w:type="dxa"/>
            <w:vMerge/>
            <w:tcBorders>
              <w:top w:val="single" w:sz="8" w:space="0" w:color="000000"/>
              <w:left w:val="single" w:sz="4" w:space="0" w:color="000000"/>
              <w:bottom w:val="single" w:sz="8" w:space="0" w:color="000000"/>
              <w:right w:val="single" w:sz="4" w:space="0" w:color="000000"/>
            </w:tcBorders>
            <w:shd w:val="clear" w:color="auto" w:fill="auto"/>
            <w:vAlign w:val="center"/>
          </w:tcPr>
          <w:p w:rsidR="00D227E2" w:rsidRDefault="00D227E2">
            <w:pPr>
              <w:suppressAutoHyphens w:val="0"/>
              <w:spacing w:after="0" w:line="240" w:lineRule="auto"/>
              <w:rPr>
                <w:rFonts w:ascii="Times New Roman" w:eastAsia="Times New Roman" w:hAnsi="Times New Roman" w:cs="Times New Roman"/>
                <w:color w:val="000000"/>
                <w:lang w:eastAsia="uk-UA"/>
              </w:rPr>
            </w:pPr>
          </w:p>
        </w:tc>
        <w:tc>
          <w:tcPr>
            <w:tcW w:w="984" w:type="dxa"/>
            <w:vMerge/>
            <w:tcBorders>
              <w:top w:val="single" w:sz="8" w:space="0" w:color="000000"/>
              <w:left w:val="single" w:sz="4" w:space="0" w:color="000000"/>
              <w:bottom w:val="single" w:sz="8" w:space="0" w:color="000000"/>
              <w:right w:val="single" w:sz="8" w:space="0" w:color="000000"/>
            </w:tcBorders>
            <w:shd w:val="clear" w:color="auto" w:fill="auto"/>
            <w:vAlign w:val="center"/>
          </w:tcPr>
          <w:p w:rsidR="00D227E2" w:rsidRDefault="00D227E2">
            <w:pPr>
              <w:suppressAutoHyphens w:val="0"/>
              <w:spacing w:after="0" w:line="240" w:lineRule="auto"/>
              <w:rPr>
                <w:rFonts w:ascii="Times New Roman" w:eastAsia="Times New Roman" w:hAnsi="Times New Roman" w:cs="Times New Roman"/>
                <w:color w:val="000000"/>
                <w:lang w:eastAsia="uk-UA"/>
              </w:rPr>
            </w:pPr>
          </w:p>
        </w:tc>
      </w:tr>
      <w:tr w:rsidR="00D227E2">
        <w:trPr>
          <w:cantSplit/>
          <w:trHeight w:val="278"/>
        </w:trPr>
        <w:tc>
          <w:tcPr>
            <w:tcW w:w="14431" w:type="dxa"/>
            <w:gridSpan w:val="10"/>
            <w:tcBorders>
              <w:left w:val="single" w:sz="8" w:space="0" w:color="000000"/>
              <w:bottom w:val="single" w:sz="8" w:space="0" w:color="000000"/>
              <w:right w:val="single" w:sz="4" w:space="0" w:color="000000"/>
            </w:tcBorders>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Будівлі, обладнання/об'єкти</w:t>
            </w:r>
          </w:p>
        </w:tc>
        <w:tc>
          <w:tcPr>
            <w:tcW w:w="984" w:type="dxa"/>
            <w:tcBorders>
              <w:left w:val="single" w:sz="4"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77,3%</w:t>
            </w:r>
          </w:p>
        </w:tc>
      </w:tr>
      <w:tr w:rsidR="00D227E2">
        <w:trPr>
          <w:cantSplit/>
          <w:trHeight w:val="381"/>
        </w:trPr>
        <w:tc>
          <w:tcPr>
            <w:tcW w:w="2929"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lang w:eastAsia="uk-UA"/>
              </w:rPr>
              <w:t>Муніципальні будівлі, обл</w:t>
            </w:r>
            <w:r>
              <w:rPr>
                <w:rFonts w:ascii="Times New Roman" w:eastAsia="Times New Roman" w:hAnsi="Times New Roman" w:cs="Times New Roman"/>
                <w:lang w:eastAsia="uk-UA"/>
              </w:rPr>
              <w:t>а</w:t>
            </w:r>
            <w:r>
              <w:rPr>
                <w:rFonts w:ascii="Times New Roman" w:eastAsia="Times New Roman" w:hAnsi="Times New Roman" w:cs="Times New Roman"/>
                <w:lang w:eastAsia="uk-UA"/>
              </w:rPr>
              <w:t>днання/об'єкти</w:t>
            </w:r>
          </w:p>
        </w:tc>
        <w:tc>
          <w:tcPr>
            <w:tcW w:w="1321"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48 152,5</w:t>
            </w:r>
          </w:p>
        </w:tc>
        <w:tc>
          <w:tcPr>
            <w:tcW w:w="1169"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57 183,0</w:t>
            </w:r>
          </w:p>
        </w:tc>
        <w:tc>
          <w:tcPr>
            <w:tcW w:w="128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27 169,6</w:t>
            </w:r>
          </w:p>
        </w:tc>
        <w:tc>
          <w:tcPr>
            <w:tcW w:w="1242"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364"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12"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122" w:type="dxa"/>
            <w:tcBorders>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389" w:type="dxa"/>
            <w:tcBorders>
              <w:bottom w:val="single" w:sz="8" w:space="0" w:color="000000"/>
              <w:right w:val="single" w:sz="4" w:space="0" w:color="000000"/>
            </w:tcBorders>
            <w:vAlign w:val="center"/>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395" w:type="dxa"/>
            <w:tcBorders>
              <w:left w:val="single" w:sz="4" w:space="0" w:color="000000"/>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132 505,1</w:t>
            </w:r>
          </w:p>
        </w:tc>
        <w:tc>
          <w:tcPr>
            <w:tcW w:w="984" w:type="dxa"/>
            <w:tcBorders>
              <w:left w:val="single" w:sz="4"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6,6%</w:t>
            </w:r>
          </w:p>
        </w:tc>
      </w:tr>
      <w:tr w:rsidR="00D227E2">
        <w:trPr>
          <w:cantSplit/>
          <w:trHeight w:val="275"/>
        </w:trPr>
        <w:tc>
          <w:tcPr>
            <w:tcW w:w="2929"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lang w:eastAsia="uk-UA"/>
              </w:rPr>
              <w:t>Муніципальне освітлення</w:t>
            </w:r>
          </w:p>
        </w:tc>
        <w:tc>
          <w:tcPr>
            <w:tcW w:w="1321"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3 982,0</w:t>
            </w:r>
          </w:p>
        </w:tc>
        <w:tc>
          <w:tcPr>
            <w:tcW w:w="1169"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8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42"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364"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12"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122" w:type="dxa"/>
            <w:tcBorders>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389" w:type="dxa"/>
            <w:tcBorders>
              <w:bottom w:val="single" w:sz="8" w:space="0" w:color="000000"/>
              <w:right w:val="single" w:sz="4" w:space="0" w:color="000000"/>
            </w:tcBorders>
            <w:vAlign w:val="center"/>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395" w:type="dxa"/>
            <w:tcBorders>
              <w:left w:val="single" w:sz="4"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3 982,0</w:t>
            </w:r>
          </w:p>
        </w:tc>
        <w:tc>
          <w:tcPr>
            <w:tcW w:w="984"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0,2%</w:t>
            </w:r>
          </w:p>
        </w:tc>
      </w:tr>
      <w:tr w:rsidR="00D227E2">
        <w:trPr>
          <w:cantSplit/>
          <w:trHeight w:val="195"/>
        </w:trPr>
        <w:tc>
          <w:tcPr>
            <w:tcW w:w="14431" w:type="dxa"/>
            <w:gridSpan w:val="10"/>
            <w:tcBorders>
              <w:left w:val="single" w:sz="8" w:space="0" w:color="000000"/>
              <w:bottom w:val="single" w:sz="8" w:space="0" w:color="000000"/>
              <w:right w:val="single" w:sz="8" w:space="0" w:color="000000"/>
            </w:tcBorders>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Третинні будівлі, обладнання/об’єкти</w:t>
            </w:r>
          </w:p>
        </w:tc>
        <w:tc>
          <w:tcPr>
            <w:tcW w:w="984"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6,5%</w:t>
            </w:r>
          </w:p>
        </w:tc>
      </w:tr>
      <w:tr w:rsidR="00D227E2">
        <w:trPr>
          <w:cantSplit/>
          <w:trHeight w:val="387"/>
        </w:trPr>
        <w:tc>
          <w:tcPr>
            <w:tcW w:w="2929"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lang w:eastAsia="uk-UA"/>
              </w:rPr>
              <w:t>Третинні будівлі, обладна</w:t>
            </w:r>
            <w:r>
              <w:rPr>
                <w:rFonts w:ascii="Times New Roman" w:eastAsia="Times New Roman" w:hAnsi="Times New Roman" w:cs="Times New Roman"/>
                <w:lang w:eastAsia="uk-UA"/>
              </w:rPr>
              <w:t>н</w:t>
            </w:r>
            <w:r>
              <w:rPr>
                <w:rFonts w:ascii="Times New Roman" w:eastAsia="Times New Roman" w:hAnsi="Times New Roman" w:cs="Times New Roman"/>
                <w:lang w:eastAsia="uk-UA"/>
              </w:rPr>
              <w:t>ня/об'єкти</w:t>
            </w:r>
          </w:p>
        </w:tc>
        <w:tc>
          <w:tcPr>
            <w:tcW w:w="1321"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101 596,8</w:t>
            </w:r>
          </w:p>
        </w:tc>
        <w:tc>
          <w:tcPr>
            <w:tcW w:w="1169"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12 212,7</w:t>
            </w:r>
          </w:p>
        </w:tc>
        <w:tc>
          <w:tcPr>
            <w:tcW w:w="128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15 782,9</w:t>
            </w:r>
          </w:p>
        </w:tc>
        <w:tc>
          <w:tcPr>
            <w:tcW w:w="1242"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364"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12"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122" w:type="dxa"/>
            <w:tcBorders>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389" w:type="dxa"/>
            <w:tcBorders>
              <w:bottom w:val="single" w:sz="8" w:space="0" w:color="000000"/>
              <w:right w:val="single" w:sz="4" w:space="0" w:color="000000"/>
            </w:tcBorders>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395" w:type="dxa"/>
            <w:tcBorders>
              <w:left w:val="single" w:sz="4"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129 592,4</w:t>
            </w:r>
          </w:p>
        </w:tc>
        <w:tc>
          <w:tcPr>
            <w:tcW w:w="984"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6,5%</w:t>
            </w:r>
          </w:p>
        </w:tc>
      </w:tr>
      <w:tr w:rsidR="00D227E2">
        <w:trPr>
          <w:cantSplit/>
          <w:trHeight w:val="268"/>
        </w:trPr>
        <w:tc>
          <w:tcPr>
            <w:tcW w:w="2929"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Житлові будинки</w:t>
            </w:r>
          </w:p>
        </w:tc>
        <w:tc>
          <w:tcPr>
            <w:tcW w:w="1321"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208 873</w:t>
            </w:r>
          </w:p>
        </w:tc>
        <w:tc>
          <w:tcPr>
            <w:tcW w:w="1169"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360 238,3</w:t>
            </w:r>
          </w:p>
        </w:tc>
        <w:tc>
          <w:tcPr>
            <w:tcW w:w="128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637 980,5</w:t>
            </w:r>
          </w:p>
        </w:tc>
        <w:tc>
          <w:tcPr>
            <w:tcW w:w="1242"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364"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12"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122" w:type="dxa"/>
            <w:tcBorders>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389" w:type="dxa"/>
            <w:tcBorders>
              <w:bottom w:val="single" w:sz="8" w:space="0" w:color="000000"/>
              <w:right w:val="single" w:sz="4" w:space="0" w:color="000000"/>
            </w:tcBorders>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74 960,0</w:t>
            </w:r>
          </w:p>
        </w:tc>
        <w:tc>
          <w:tcPr>
            <w:tcW w:w="1395" w:type="dxa"/>
            <w:tcBorders>
              <w:left w:val="single" w:sz="4"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1 282 051,7</w:t>
            </w:r>
          </w:p>
        </w:tc>
        <w:tc>
          <w:tcPr>
            <w:tcW w:w="984"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64%</w:t>
            </w:r>
          </w:p>
        </w:tc>
      </w:tr>
      <w:tr w:rsidR="00D227E2">
        <w:trPr>
          <w:cantSplit/>
          <w:trHeight w:val="80"/>
        </w:trPr>
        <w:tc>
          <w:tcPr>
            <w:tcW w:w="14431" w:type="dxa"/>
            <w:gridSpan w:val="10"/>
            <w:tcBorders>
              <w:left w:val="single" w:sz="8" w:space="0" w:color="000000"/>
              <w:bottom w:val="single" w:sz="8" w:space="0" w:color="000000"/>
              <w:right w:val="single" w:sz="8" w:space="0" w:color="000000"/>
            </w:tcBorders>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Транспорт</w:t>
            </w:r>
          </w:p>
        </w:tc>
        <w:tc>
          <w:tcPr>
            <w:tcW w:w="984"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22,7%</w:t>
            </w:r>
          </w:p>
        </w:tc>
      </w:tr>
      <w:tr w:rsidR="00D227E2">
        <w:trPr>
          <w:cantSplit/>
          <w:trHeight w:val="335"/>
        </w:trPr>
        <w:tc>
          <w:tcPr>
            <w:tcW w:w="2929"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lang w:eastAsia="uk-UA"/>
              </w:rPr>
              <w:t>Муніципальний транспорт</w:t>
            </w:r>
          </w:p>
        </w:tc>
        <w:tc>
          <w:tcPr>
            <w:tcW w:w="1321"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169"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8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42"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266,5</w:t>
            </w:r>
          </w:p>
        </w:tc>
        <w:tc>
          <w:tcPr>
            <w:tcW w:w="1364"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555,8</w:t>
            </w:r>
          </w:p>
        </w:tc>
        <w:tc>
          <w:tcPr>
            <w:tcW w:w="1212"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7 165,24</w:t>
            </w:r>
          </w:p>
        </w:tc>
        <w:tc>
          <w:tcPr>
            <w:tcW w:w="1122" w:type="dxa"/>
            <w:tcBorders>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3 439,8</w:t>
            </w:r>
          </w:p>
        </w:tc>
        <w:tc>
          <w:tcPr>
            <w:tcW w:w="1389" w:type="dxa"/>
            <w:tcBorders>
              <w:bottom w:val="single" w:sz="8" w:space="0" w:color="000000"/>
              <w:right w:val="single" w:sz="4" w:space="0" w:color="000000"/>
            </w:tcBorders>
            <w:vAlign w:val="center"/>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395" w:type="dxa"/>
            <w:tcBorders>
              <w:left w:val="single" w:sz="4"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11 427,4</w:t>
            </w:r>
          </w:p>
        </w:tc>
        <w:tc>
          <w:tcPr>
            <w:tcW w:w="984"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0,6%</w:t>
            </w:r>
          </w:p>
        </w:tc>
      </w:tr>
      <w:tr w:rsidR="00D227E2">
        <w:trPr>
          <w:cantSplit/>
          <w:trHeight w:val="330"/>
        </w:trPr>
        <w:tc>
          <w:tcPr>
            <w:tcW w:w="2929"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lang w:eastAsia="uk-UA"/>
              </w:rPr>
              <w:t>Громадський транспорт</w:t>
            </w:r>
          </w:p>
        </w:tc>
        <w:tc>
          <w:tcPr>
            <w:tcW w:w="1321"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4 680,1</w:t>
            </w:r>
          </w:p>
        </w:tc>
        <w:tc>
          <w:tcPr>
            <w:tcW w:w="1169"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8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42"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364"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12"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32 320,10</w:t>
            </w:r>
          </w:p>
        </w:tc>
        <w:tc>
          <w:tcPr>
            <w:tcW w:w="1122" w:type="dxa"/>
            <w:tcBorders>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389" w:type="dxa"/>
            <w:tcBorders>
              <w:bottom w:val="single" w:sz="8" w:space="0" w:color="000000"/>
              <w:right w:val="single" w:sz="4" w:space="0" w:color="000000"/>
            </w:tcBorders>
            <w:vAlign w:val="center"/>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395" w:type="dxa"/>
            <w:tcBorders>
              <w:left w:val="single" w:sz="4"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37 000,2</w:t>
            </w:r>
          </w:p>
        </w:tc>
        <w:tc>
          <w:tcPr>
            <w:tcW w:w="984"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1,8%</w:t>
            </w:r>
          </w:p>
        </w:tc>
      </w:tr>
      <w:tr w:rsidR="00D227E2">
        <w:trPr>
          <w:cantSplit/>
          <w:trHeight w:val="630"/>
        </w:trPr>
        <w:tc>
          <w:tcPr>
            <w:tcW w:w="2929"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lang w:eastAsia="uk-UA"/>
              </w:rPr>
              <w:t>Приватний та комерційний транспорт</w:t>
            </w:r>
          </w:p>
        </w:tc>
        <w:tc>
          <w:tcPr>
            <w:tcW w:w="1321"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1 057,5</w:t>
            </w:r>
          </w:p>
        </w:tc>
        <w:tc>
          <w:tcPr>
            <w:tcW w:w="1169"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8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42"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195,2</w:t>
            </w:r>
          </w:p>
        </w:tc>
        <w:tc>
          <w:tcPr>
            <w:tcW w:w="1364"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20 178,4</w:t>
            </w:r>
          </w:p>
        </w:tc>
        <w:tc>
          <w:tcPr>
            <w:tcW w:w="1212"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204 809</w:t>
            </w:r>
          </w:p>
        </w:tc>
        <w:tc>
          <w:tcPr>
            <w:tcW w:w="1122" w:type="dxa"/>
            <w:tcBorders>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179 474,3</w:t>
            </w:r>
          </w:p>
        </w:tc>
        <w:tc>
          <w:tcPr>
            <w:tcW w:w="1389" w:type="dxa"/>
            <w:tcBorders>
              <w:bottom w:val="single" w:sz="4" w:space="0" w:color="000000"/>
              <w:right w:val="single" w:sz="4" w:space="0" w:color="000000"/>
            </w:tcBorders>
            <w:vAlign w:val="center"/>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395" w:type="dxa"/>
            <w:tcBorders>
              <w:left w:val="single" w:sz="4" w:space="0" w:color="000000"/>
              <w:bottom w:val="single" w:sz="4"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405 714,4</w:t>
            </w:r>
          </w:p>
        </w:tc>
        <w:tc>
          <w:tcPr>
            <w:tcW w:w="984"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20,3%</w:t>
            </w:r>
          </w:p>
        </w:tc>
      </w:tr>
      <w:tr w:rsidR="00D227E2">
        <w:trPr>
          <w:cantSplit/>
          <w:trHeight w:val="291"/>
        </w:trPr>
        <w:tc>
          <w:tcPr>
            <w:tcW w:w="2929"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Усього</w:t>
            </w:r>
          </w:p>
        </w:tc>
        <w:tc>
          <w:tcPr>
            <w:tcW w:w="1321" w:type="dxa"/>
            <w:tcBorders>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368 342</w:t>
            </w:r>
          </w:p>
        </w:tc>
        <w:tc>
          <w:tcPr>
            <w:tcW w:w="1169" w:type="dxa"/>
            <w:tcBorders>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429 634,0</w:t>
            </w:r>
          </w:p>
        </w:tc>
        <w:tc>
          <w:tcPr>
            <w:tcW w:w="1288" w:type="dxa"/>
            <w:tcBorders>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680 933,0</w:t>
            </w:r>
          </w:p>
        </w:tc>
        <w:tc>
          <w:tcPr>
            <w:tcW w:w="1242" w:type="dxa"/>
            <w:tcBorders>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461,7</w:t>
            </w:r>
          </w:p>
        </w:tc>
        <w:tc>
          <w:tcPr>
            <w:tcW w:w="1364" w:type="dxa"/>
            <w:tcBorders>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20 734,2</w:t>
            </w:r>
          </w:p>
        </w:tc>
        <w:tc>
          <w:tcPr>
            <w:tcW w:w="1212" w:type="dxa"/>
            <w:tcBorders>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244 294,3</w:t>
            </w:r>
          </w:p>
        </w:tc>
        <w:tc>
          <w:tcPr>
            <w:tcW w:w="1122" w:type="dxa"/>
            <w:tcBorders>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182 914,1</w:t>
            </w:r>
          </w:p>
        </w:tc>
        <w:tc>
          <w:tcPr>
            <w:tcW w:w="1389" w:type="dxa"/>
            <w:tcBorders>
              <w:top w:val="single" w:sz="4" w:space="0" w:color="000000"/>
              <w:left w:val="single" w:sz="4" w:space="0" w:color="000000"/>
              <w:bottom w:val="single" w:sz="4" w:space="0" w:color="000000"/>
              <w:right w:val="single" w:sz="4" w:space="0" w:color="000000"/>
            </w:tcBorders>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74 960,0</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2 002 273,3</w:t>
            </w:r>
          </w:p>
        </w:tc>
        <w:tc>
          <w:tcPr>
            <w:tcW w:w="984" w:type="dxa"/>
            <w:tcBorders>
              <w:left w:val="single" w:sz="4" w:space="0" w:color="000000"/>
            </w:tcBorders>
            <w:shd w:val="clear" w:color="auto" w:fill="auto"/>
            <w:vAlign w:val="bottom"/>
          </w:tcPr>
          <w:p w:rsidR="00D227E2" w:rsidRDefault="00D227E2">
            <w:pPr>
              <w:suppressAutoHyphens w:val="0"/>
              <w:spacing w:after="0" w:line="240" w:lineRule="auto"/>
              <w:rPr>
                <w:rFonts w:ascii="Times New Roman" w:eastAsia="Times New Roman" w:hAnsi="Times New Roman" w:cs="Times New Roman"/>
                <w:color w:val="000000"/>
                <w:lang w:eastAsia="uk-UA"/>
              </w:rPr>
            </w:pPr>
          </w:p>
        </w:tc>
      </w:tr>
      <w:tr w:rsidR="00D227E2">
        <w:trPr>
          <w:cantSplit/>
          <w:trHeight w:val="341"/>
        </w:trPr>
        <w:tc>
          <w:tcPr>
            <w:tcW w:w="2929" w:type="dxa"/>
            <w:tcBorders>
              <w:left w:val="single" w:sz="8" w:space="0" w:color="000000"/>
              <w:bottom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У % за видами палива</w:t>
            </w:r>
          </w:p>
        </w:tc>
        <w:tc>
          <w:tcPr>
            <w:tcW w:w="1321" w:type="dxa"/>
            <w:tcBorders>
              <w:top w:val="single" w:sz="8" w:space="0" w:color="000000"/>
              <w:left w:val="single" w:sz="8" w:space="0" w:color="000000"/>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18,4%</w:t>
            </w:r>
          </w:p>
        </w:tc>
        <w:tc>
          <w:tcPr>
            <w:tcW w:w="1169" w:type="dxa"/>
            <w:tcBorders>
              <w:top w:val="single" w:sz="8" w:space="0" w:color="000000"/>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21,5%</w:t>
            </w:r>
          </w:p>
        </w:tc>
        <w:tc>
          <w:tcPr>
            <w:tcW w:w="1288" w:type="dxa"/>
            <w:tcBorders>
              <w:top w:val="single" w:sz="8" w:space="0" w:color="000000"/>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34%</w:t>
            </w:r>
          </w:p>
        </w:tc>
        <w:tc>
          <w:tcPr>
            <w:tcW w:w="1242" w:type="dxa"/>
            <w:tcBorders>
              <w:top w:val="single" w:sz="8" w:space="0" w:color="000000"/>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0,0%</w:t>
            </w:r>
          </w:p>
        </w:tc>
        <w:tc>
          <w:tcPr>
            <w:tcW w:w="1364" w:type="dxa"/>
            <w:tcBorders>
              <w:top w:val="single" w:sz="8" w:space="0" w:color="000000"/>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1%</w:t>
            </w:r>
          </w:p>
        </w:tc>
        <w:tc>
          <w:tcPr>
            <w:tcW w:w="1212" w:type="dxa"/>
            <w:tcBorders>
              <w:top w:val="single" w:sz="8" w:space="0" w:color="000000"/>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12,2%</w:t>
            </w:r>
          </w:p>
        </w:tc>
        <w:tc>
          <w:tcPr>
            <w:tcW w:w="1122" w:type="dxa"/>
            <w:tcBorders>
              <w:top w:val="single" w:sz="8" w:space="0" w:color="000000"/>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9,1%</w:t>
            </w:r>
          </w:p>
        </w:tc>
        <w:tc>
          <w:tcPr>
            <w:tcW w:w="1389" w:type="dxa"/>
            <w:tcBorders>
              <w:top w:val="single" w:sz="4" w:space="0" w:color="000000"/>
              <w:left w:val="single" w:sz="4" w:space="0" w:color="000000"/>
              <w:bottom w:val="single" w:sz="4" w:space="0" w:color="000000"/>
              <w:right w:val="single" w:sz="4" w:space="0" w:color="000000"/>
            </w:tcBorders>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3,7%</w:t>
            </w:r>
          </w:p>
        </w:tc>
        <w:tc>
          <w:tcPr>
            <w:tcW w:w="1395" w:type="dxa"/>
            <w:tcBorders>
              <w:top w:val="single" w:sz="4" w:space="0" w:color="000000"/>
              <w:left w:val="single" w:sz="4" w:space="0" w:color="000000"/>
            </w:tcBorders>
            <w:shd w:val="clear" w:color="auto" w:fill="auto"/>
            <w:vAlign w:val="bottom"/>
          </w:tcPr>
          <w:p w:rsidR="00D227E2" w:rsidRDefault="00D227E2">
            <w:pPr>
              <w:suppressAutoHyphens w:val="0"/>
              <w:spacing w:after="0" w:line="240" w:lineRule="auto"/>
              <w:rPr>
                <w:rFonts w:ascii="Times New Roman" w:eastAsia="Times New Roman" w:hAnsi="Times New Roman" w:cs="Times New Roman"/>
                <w:bCs/>
                <w:color w:val="000000"/>
                <w:lang w:eastAsia="uk-UA"/>
              </w:rPr>
            </w:pPr>
          </w:p>
        </w:tc>
        <w:tc>
          <w:tcPr>
            <w:tcW w:w="984" w:type="dxa"/>
            <w:shd w:val="clear" w:color="auto" w:fill="auto"/>
            <w:vAlign w:val="bottom"/>
          </w:tcPr>
          <w:p w:rsidR="00D227E2" w:rsidRDefault="00D227E2">
            <w:pPr>
              <w:suppressAutoHyphens w:val="0"/>
              <w:spacing w:after="0" w:line="240" w:lineRule="auto"/>
              <w:rPr>
                <w:rFonts w:ascii="Times New Roman" w:eastAsia="Times New Roman" w:hAnsi="Times New Roman" w:cs="Times New Roman"/>
                <w:color w:val="000000"/>
                <w:lang w:eastAsia="uk-UA"/>
              </w:rPr>
            </w:pPr>
          </w:p>
        </w:tc>
      </w:tr>
    </w:tbl>
    <w:p w:rsidR="00D227E2" w:rsidRDefault="00D227E2">
      <w:pPr>
        <w:widowControl w:val="0"/>
        <w:spacing w:after="120" w:line="240" w:lineRule="auto"/>
        <w:jc w:val="center"/>
        <w:rPr>
          <w:rFonts w:ascii="Times New Roman" w:eastAsia="Times New Roman" w:hAnsi="Times New Roman" w:cs="Times New Roman"/>
          <w:sz w:val="24"/>
          <w:szCs w:val="24"/>
          <w:lang w:eastAsia="zh-CN"/>
        </w:rPr>
      </w:pPr>
    </w:p>
    <w:p w:rsidR="00D227E2" w:rsidRDefault="00D227E2">
      <w:pPr>
        <w:widowControl w:val="0"/>
        <w:spacing w:after="120" w:line="240" w:lineRule="auto"/>
        <w:jc w:val="center"/>
        <w:rPr>
          <w:rFonts w:ascii="Times New Roman" w:eastAsia="Times New Roman" w:hAnsi="Times New Roman" w:cs="Times New Roman"/>
          <w:sz w:val="24"/>
          <w:szCs w:val="24"/>
          <w:lang w:eastAsia="zh-CN"/>
        </w:rPr>
      </w:pPr>
    </w:p>
    <w:p w:rsidR="00D227E2" w:rsidRDefault="00D227E2">
      <w:pPr>
        <w:widowControl w:val="0"/>
        <w:spacing w:after="120" w:line="240" w:lineRule="auto"/>
        <w:jc w:val="center"/>
        <w:rPr>
          <w:rFonts w:ascii="Times New Roman" w:eastAsia="Times New Roman" w:hAnsi="Times New Roman" w:cs="Times New Roman"/>
          <w:sz w:val="24"/>
          <w:szCs w:val="24"/>
          <w:lang w:eastAsia="zh-CN"/>
        </w:rPr>
      </w:pPr>
    </w:p>
    <w:p w:rsidR="00D227E2" w:rsidRDefault="00D227E2">
      <w:pPr>
        <w:widowControl w:val="0"/>
        <w:spacing w:after="120" w:line="240" w:lineRule="auto"/>
        <w:jc w:val="center"/>
        <w:rPr>
          <w:rFonts w:ascii="Times New Roman" w:eastAsia="Times New Roman" w:hAnsi="Times New Roman" w:cs="Times New Roman"/>
          <w:sz w:val="24"/>
          <w:szCs w:val="24"/>
          <w:lang w:eastAsia="zh-CN"/>
        </w:rPr>
      </w:pPr>
    </w:p>
    <w:p w:rsidR="00D227E2" w:rsidRDefault="00D227E2">
      <w:pPr>
        <w:widowControl w:val="0"/>
        <w:spacing w:after="120" w:line="240" w:lineRule="auto"/>
        <w:jc w:val="center"/>
        <w:rPr>
          <w:rFonts w:ascii="Times New Roman" w:eastAsia="Times New Roman" w:hAnsi="Times New Roman" w:cs="Times New Roman"/>
          <w:sz w:val="24"/>
          <w:szCs w:val="24"/>
          <w:lang w:eastAsia="zh-CN"/>
        </w:rPr>
      </w:pPr>
    </w:p>
    <w:p w:rsidR="00D227E2" w:rsidRDefault="00D227E2">
      <w:pPr>
        <w:widowControl w:val="0"/>
        <w:spacing w:after="120" w:line="240" w:lineRule="auto"/>
        <w:jc w:val="center"/>
        <w:rPr>
          <w:rFonts w:ascii="Times New Roman" w:eastAsia="Times New Roman" w:hAnsi="Times New Roman" w:cs="Times New Roman"/>
          <w:sz w:val="24"/>
          <w:szCs w:val="24"/>
          <w:lang w:eastAsia="zh-CN"/>
        </w:rPr>
      </w:pPr>
    </w:p>
    <w:p w:rsidR="00D227E2" w:rsidRDefault="00D227E2">
      <w:pPr>
        <w:widowControl w:val="0"/>
        <w:spacing w:after="120" w:line="240" w:lineRule="auto"/>
        <w:jc w:val="center"/>
        <w:rPr>
          <w:rFonts w:ascii="Times New Roman" w:eastAsia="Times New Roman" w:hAnsi="Times New Roman" w:cs="Times New Roman"/>
          <w:sz w:val="24"/>
          <w:szCs w:val="24"/>
          <w:lang w:eastAsia="zh-CN"/>
        </w:rPr>
      </w:pPr>
    </w:p>
    <w:p w:rsidR="00D227E2" w:rsidRDefault="00D227E2">
      <w:pPr>
        <w:widowControl w:val="0"/>
        <w:spacing w:after="120" w:line="240" w:lineRule="auto"/>
        <w:jc w:val="center"/>
        <w:rPr>
          <w:rFonts w:ascii="Times New Roman" w:eastAsia="Times New Roman" w:hAnsi="Times New Roman" w:cs="Times New Roman"/>
          <w:sz w:val="24"/>
          <w:szCs w:val="24"/>
          <w:lang w:eastAsia="zh-CN"/>
        </w:rPr>
      </w:pPr>
    </w:p>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4"/>
          <w:szCs w:val="24"/>
          <w:lang w:eastAsia="zh-CN"/>
        </w:rPr>
        <w:t>Таблиця 76. Розрахунок викидів СО</w:t>
      </w:r>
      <w:r>
        <w:rPr>
          <w:rFonts w:ascii="Times New Roman" w:eastAsia="Times New Roman" w:hAnsi="Times New Roman" w:cs="Times New Roman"/>
          <w:sz w:val="24"/>
          <w:szCs w:val="24"/>
          <w:vertAlign w:val="subscript"/>
          <w:lang w:eastAsia="zh-CN"/>
        </w:rPr>
        <w:t>2</w:t>
      </w:r>
      <w:r>
        <w:rPr>
          <w:rFonts w:ascii="Times New Roman" w:eastAsia="Times New Roman" w:hAnsi="Times New Roman" w:cs="Times New Roman"/>
          <w:sz w:val="24"/>
          <w:szCs w:val="24"/>
          <w:lang w:eastAsia="zh-CN"/>
        </w:rPr>
        <w:t xml:space="preserve"> на 1 МВт виробленої теплової енергії</w:t>
      </w:r>
    </w:p>
    <w:p w:rsidR="00D227E2" w:rsidRDefault="00D227E2">
      <w:pPr>
        <w:spacing w:after="0" w:line="240" w:lineRule="auto"/>
        <w:rPr>
          <w:rFonts w:ascii="Times New Roman" w:eastAsia="Times New Roman" w:hAnsi="Times New Roman" w:cs="Times New Roman"/>
          <w:sz w:val="24"/>
          <w:szCs w:val="24"/>
          <w:lang w:eastAsia="zh-CN"/>
        </w:rPr>
      </w:pPr>
    </w:p>
    <w:tbl>
      <w:tblPr>
        <w:tblW w:w="15360" w:type="dxa"/>
        <w:tblInd w:w="39" w:type="dxa"/>
        <w:tblLayout w:type="fixed"/>
        <w:tblCellMar>
          <w:top w:w="55" w:type="dxa"/>
          <w:bottom w:w="55" w:type="dxa"/>
        </w:tblCellMar>
        <w:tblLook w:val="04A0" w:firstRow="1" w:lastRow="0" w:firstColumn="1" w:lastColumn="0" w:noHBand="0" w:noVBand="1"/>
      </w:tblPr>
      <w:tblGrid>
        <w:gridCol w:w="2627"/>
        <w:gridCol w:w="1929"/>
        <w:gridCol w:w="1470"/>
        <w:gridCol w:w="2265"/>
        <w:gridCol w:w="2220"/>
        <w:gridCol w:w="1530"/>
        <w:gridCol w:w="1124"/>
        <w:gridCol w:w="1081"/>
        <w:gridCol w:w="1114"/>
      </w:tblGrid>
      <w:tr w:rsidR="00D227E2">
        <w:trPr>
          <w:cantSplit/>
          <w:trHeight w:val="630"/>
        </w:trPr>
        <w:tc>
          <w:tcPr>
            <w:tcW w:w="2626" w:type="dxa"/>
            <w:vMerge w:val="restart"/>
            <w:tcBorders>
              <w:top w:val="single" w:sz="4" w:space="0" w:color="000000"/>
              <w:left w:val="single" w:sz="4" w:space="0" w:color="000000"/>
              <w:bottom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uk-UA"/>
              </w:rPr>
              <w:t>Тепло, що надано</w:t>
            </w:r>
          </w:p>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uk-UA"/>
              </w:rPr>
              <w:t>кінцевому споживачу, Гкал</w:t>
            </w:r>
          </w:p>
        </w:tc>
        <w:tc>
          <w:tcPr>
            <w:tcW w:w="3398" w:type="dxa"/>
            <w:gridSpan w:val="2"/>
            <w:tcBorders>
              <w:top w:val="single" w:sz="4" w:space="0" w:color="000000"/>
              <w:left w:val="single" w:sz="4" w:space="0" w:color="000000"/>
              <w:bottom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Енергетичне паливо</w:t>
            </w:r>
          </w:p>
        </w:tc>
        <w:tc>
          <w:tcPr>
            <w:tcW w:w="2265" w:type="dxa"/>
            <w:vMerge w:val="restart"/>
            <w:tcBorders>
              <w:top w:val="single" w:sz="4" w:space="0" w:color="000000"/>
              <w:left w:val="single" w:sz="4" w:space="0" w:color="000000"/>
              <w:bottom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uk-UA"/>
              </w:rPr>
              <w:t>Витрати</w:t>
            </w:r>
          </w:p>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uk-UA"/>
              </w:rPr>
              <w:t>енергетичних рес</w:t>
            </w:r>
            <w:r>
              <w:rPr>
                <w:rFonts w:ascii="Times New Roman" w:eastAsia="Times New Roman" w:hAnsi="Times New Roman" w:cs="Times New Roman"/>
                <w:bCs/>
                <w:color w:val="000000"/>
                <w:sz w:val="24"/>
                <w:szCs w:val="24"/>
                <w:lang w:eastAsia="uk-UA"/>
              </w:rPr>
              <w:t>у</w:t>
            </w:r>
            <w:r>
              <w:rPr>
                <w:rFonts w:ascii="Times New Roman" w:eastAsia="Times New Roman" w:hAnsi="Times New Roman" w:cs="Times New Roman"/>
                <w:bCs/>
                <w:color w:val="000000"/>
                <w:sz w:val="24"/>
                <w:szCs w:val="24"/>
                <w:lang w:eastAsia="uk-UA"/>
              </w:rPr>
              <w:t>рсів на 1 Гкал, що надана споживачу, в</w:t>
            </w:r>
          </w:p>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uk-UA"/>
              </w:rPr>
              <w:t>натуральних</w:t>
            </w:r>
          </w:p>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uk-UA"/>
              </w:rPr>
              <w:t>одиницях</w:t>
            </w:r>
          </w:p>
        </w:tc>
        <w:tc>
          <w:tcPr>
            <w:tcW w:w="2220" w:type="dxa"/>
            <w:vMerge w:val="restart"/>
            <w:tcBorders>
              <w:top w:val="single" w:sz="4" w:space="0" w:color="000000"/>
              <w:left w:val="single" w:sz="4" w:space="0" w:color="000000"/>
              <w:bottom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uk-UA"/>
              </w:rPr>
              <w:t>Витрати</w:t>
            </w:r>
          </w:p>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uk-UA"/>
              </w:rPr>
              <w:t>енергетичних</w:t>
            </w:r>
          </w:p>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uk-UA"/>
              </w:rPr>
              <w:t>ресурсів на 1 Гкал, що надана спож</w:t>
            </w:r>
            <w:r>
              <w:rPr>
                <w:rFonts w:ascii="Times New Roman" w:eastAsia="Times New Roman" w:hAnsi="Times New Roman" w:cs="Times New Roman"/>
                <w:bCs/>
                <w:color w:val="000000"/>
                <w:sz w:val="24"/>
                <w:szCs w:val="24"/>
                <w:lang w:eastAsia="uk-UA"/>
              </w:rPr>
              <w:t>и</w:t>
            </w:r>
            <w:r>
              <w:rPr>
                <w:rFonts w:ascii="Times New Roman" w:eastAsia="Times New Roman" w:hAnsi="Times New Roman" w:cs="Times New Roman"/>
                <w:bCs/>
                <w:color w:val="000000"/>
                <w:sz w:val="24"/>
                <w:szCs w:val="24"/>
                <w:lang w:eastAsia="uk-UA"/>
              </w:rPr>
              <w:t>вачу, в МВт.год</w:t>
            </w:r>
          </w:p>
        </w:tc>
        <w:tc>
          <w:tcPr>
            <w:tcW w:w="1530" w:type="dxa"/>
            <w:vMerge w:val="restart"/>
            <w:tcBorders>
              <w:top w:val="single" w:sz="4" w:space="0" w:color="000000"/>
              <w:left w:val="single" w:sz="4" w:space="0" w:color="000000"/>
              <w:bottom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uk-UA"/>
              </w:rPr>
              <w:t>Коефіцієнт викидів СО</w:t>
            </w:r>
            <w:r>
              <w:rPr>
                <w:rFonts w:ascii="Times New Roman" w:eastAsia="Times New Roman" w:hAnsi="Times New Roman" w:cs="Times New Roman"/>
                <w:bCs/>
                <w:color w:val="000000"/>
                <w:sz w:val="24"/>
                <w:szCs w:val="24"/>
                <w:vertAlign w:val="subscript"/>
                <w:lang w:eastAsia="uk-UA"/>
              </w:rPr>
              <w:t>2</w:t>
            </w:r>
            <w:r>
              <w:rPr>
                <w:rFonts w:ascii="Times New Roman" w:eastAsia="Times New Roman" w:hAnsi="Times New Roman" w:cs="Times New Roman"/>
                <w:bCs/>
                <w:color w:val="000000"/>
                <w:sz w:val="24"/>
                <w:szCs w:val="24"/>
                <w:lang w:eastAsia="uk-UA"/>
              </w:rPr>
              <w:t>, тонн</w:t>
            </w:r>
          </w:p>
        </w:tc>
        <w:tc>
          <w:tcPr>
            <w:tcW w:w="11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uk-UA"/>
              </w:rPr>
              <w:t>Викиди СО</w:t>
            </w:r>
            <w:r>
              <w:rPr>
                <w:rFonts w:ascii="Times New Roman" w:eastAsia="Times New Roman" w:hAnsi="Times New Roman" w:cs="Times New Roman"/>
                <w:bCs/>
                <w:color w:val="000000"/>
                <w:sz w:val="24"/>
                <w:szCs w:val="24"/>
                <w:vertAlign w:val="subscript"/>
                <w:lang w:eastAsia="uk-UA"/>
              </w:rPr>
              <w:t>2</w:t>
            </w:r>
            <w:r>
              <w:rPr>
                <w:rFonts w:ascii="Times New Roman" w:eastAsia="Times New Roman" w:hAnsi="Times New Roman" w:cs="Times New Roman"/>
                <w:bCs/>
                <w:color w:val="000000"/>
                <w:sz w:val="24"/>
                <w:szCs w:val="24"/>
                <w:lang w:eastAsia="uk-UA"/>
              </w:rPr>
              <w:t>, тонн</w:t>
            </w:r>
          </w:p>
        </w:tc>
        <w:tc>
          <w:tcPr>
            <w:tcW w:w="108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uk-UA"/>
              </w:rPr>
              <w:t>Сума</w:t>
            </w:r>
          </w:p>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uk-UA"/>
              </w:rPr>
              <w:t>викидів на 1Гкал, тонн</w:t>
            </w:r>
          </w:p>
        </w:tc>
        <w:tc>
          <w:tcPr>
            <w:tcW w:w="111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uk-UA"/>
              </w:rPr>
              <w:t>Сума викидів на 1МВт, тонн</w:t>
            </w:r>
          </w:p>
        </w:tc>
      </w:tr>
      <w:tr w:rsidR="00D227E2">
        <w:trPr>
          <w:cantSplit/>
          <w:trHeight w:val="1650"/>
        </w:trPr>
        <w:tc>
          <w:tcPr>
            <w:tcW w:w="2626" w:type="dxa"/>
            <w:vMerge/>
            <w:tcBorders>
              <w:left w:val="single" w:sz="4" w:space="0" w:color="000000"/>
              <w:bottom w:val="single" w:sz="4" w:space="0" w:color="000000"/>
            </w:tcBorders>
            <w:vAlign w:val="center"/>
          </w:tcPr>
          <w:p w:rsidR="00D227E2" w:rsidRDefault="00D227E2">
            <w:pPr>
              <w:suppressAutoHyphens w:val="0"/>
              <w:spacing w:after="0" w:line="240" w:lineRule="auto"/>
              <w:rPr>
                <w:rFonts w:ascii="Times New Roman" w:eastAsia="Times New Roman" w:hAnsi="Times New Roman" w:cs="Times New Roman"/>
                <w:bCs/>
                <w:color w:val="000000"/>
                <w:sz w:val="24"/>
                <w:szCs w:val="24"/>
                <w:lang w:eastAsia="uk-UA"/>
              </w:rPr>
            </w:pPr>
          </w:p>
        </w:tc>
        <w:tc>
          <w:tcPr>
            <w:tcW w:w="1928" w:type="dxa"/>
            <w:tcBorders>
              <w:left w:val="single" w:sz="4" w:space="0" w:color="000000"/>
              <w:bottom w:val="single" w:sz="4" w:space="0" w:color="000000"/>
            </w:tcBorders>
            <w:shd w:val="clear" w:color="auto" w:fill="auto"/>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Назва</w:t>
            </w:r>
          </w:p>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енергетичного палива</w:t>
            </w:r>
          </w:p>
        </w:tc>
        <w:tc>
          <w:tcPr>
            <w:tcW w:w="1470" w:type="dxa"/>
            <w:tcBorders>
              <w:left w:val="single" w:sz="4" w:space="0" w:color="000000"/>
              <w:bottom w:val="single" w:sz="4" w:space="0" w:color="000000"/>
            </w:tcBorders>
            <w:shd w:val="clear" w:color="auto" w:fill="auto"/>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Кількість спожитого палива</w:t>
            </w:r>
          </w:p>
        </w:tc>
        <w:tc>
          <w:tcPr>
            <w:tcW w:w="2265" w:type="dxa"/>
            <w:vMerge/>
            <w:tcBorders>
              <w:left w:val="single" w:sz="4" w:space="0" w:color="000000"/>
              <w:bottom w:val="single" w:sz="4" w:space="0" w:color="000000"/>
            </w:tcBorders>
            <w:vAlign w:val="center"/>
          </w:tcPr>
          <w:p w:rsidR="00D227E2" w:rsidRDefault="00D227E2">
            <w:pPr>
              <w:suppressAutoHyphens w:val="0"/>
              <w:spacing w:after="0" w:line="240" w:lineRule="auto"/>
              <w:rPr>
                <w:rFonts w:ascii="Times New Roman" w:eastAsia="Times New Roman" w:hAnsi="Times New Roman" w:cs="Times New Roman"/>
                <w:bCs/>
                <w:color w:val="000000"/>
                <w:sz w:val="24"/>
                <w:szCs w:val="24"/>
                <w:lang w:eastAsia="uk-UA"/>
              </w:rPr>
            </w:pPr>
          </w:p>
        </w:tc>
        <w:tc>
          <w:tcPr>
            <w:tcW w:w="2220" w:type="dxa"/>
            <w:vMerge/>
            <w:tcBorders>
              <w:left w:val="single" w:sz="4" w:space="0" w:color="000000"/>
              <w:bottom w:val="single" w:sz="4" w:space="0" w:color="000000"/>
            </w:tcBorders>
            <w:vAlign w:val="center"/>
          </w:tcPr>
          <w:p w:rsidR="00D227E2" w:rsidRDefault="00D227E2">
            <w:pPr>
              <w:suppressAutoHyphens w:val="0"/>
              <w:spacing w:after="0" w:line="240" w:lineRule="auto"/>
              <w:rPr>
                <w:rFonts w:ascii="Times New Roman" w:eastAsia="Times New Roman" w:hAnsi="Times New Roman" w:cs="Times New Roman"/>
                <w:bCs/>
                <w:color w:val="000000"/>
                <w:sz w:val="24"/>
                <w:szCs w:val="24"/>
                <w:lang w:eastAsia="uk-UA"/>
              </w:rPr>
            </w:pPr>
          </w:p>
        </w:tc>
        <w:tc>
          <w:tcPr>
            <w:tcW w:w="1530" w:type="dxa"/>
            <w:vMerge/>
            <w:tcBorders>
              <w:left w:val="single" w:sz="4" w:space="0" w:color="000000"/>
              <w:bottom w:val="single" w:sz="4" w:space="0" w:color="000000"/>
            </w:tcBorders>
            <w:vAlign w:val="center"/>
          </w:tcPr>
          <w:p w:rsidR="00D227E2" w:rsidRDefault="00D227E2">
            <w:pPr>
              <w:suppressAutoHyphens w:val="0"/>
              <w:spacing w:after="0" w:line="240" w:lineRule="auto"/>
              <w:rPr>
                <w:rFonts w:ascii="Times New Roman" w:eastAsia="Times New Roman" w:hAnsi="Times New Roman" w:cs="Times New Roman"/>
                <w:bCs/>
                <w:color w:val="000000"/>
                <w:sz w:val="24"/>
                <w:szCs w:val="24"/>
                <w:lang w:eastAsia="uk-UA"/>
              </w:rPr>
            </w:pPr>
          </w:p>
        </w:tc>
        <w:tc>
          <w:tcPr>
            <w:tcW w:w="1124" w:type="dxa"/>
            <w:vMerge/>
            <w:tcBorders>
              <w:left w:val="single" w:sz="4" w:space="0" w:color="000000"/>
              <w:bottom w:val="single" w:sz="4" w:space="0" w:color="000000"/>
              <w:right w:val="single" w:sz="4" w:space="0" w:color="000000"/>
            </w:tcBorders>
            <w:vAlign w:val="center"/>
          </w:tcPr>
          <w:p w:rsidR="00D227E2" w:rsidRDefault="00D227E2">
            <w:pPr>
              <w:suppressAutoHyphens w:val="0"/>
              <w:spacing w:after="0" w:line="240" w:lineRule="auto"/>
              <w:rPr>
                <w:rFonts w:ascii="Times New Roman" w:eastAsia="Times New Roman" w:hAnsi="Times New Roman" w:cs="Times New Roman"/>
                <w:bCs/>
                <w:color w:val="000000"/>
                <w:sz w:val="24"/>
                <w:szCs w:val="24"/>
                <w:lang w:eastAsia="uk-UA"/>
              </w:rPr>
            </w:pPr>
          </w:p>
        </w:tc>
        <w:tc>
          <w:tcPr>
            <w:tcW w:w="1081" w:type="dxa"/>
            <w:vMerge/>
            <w:tcBorders>
              <w:top w:val="single" w:sz="4" w:space="0" w:color="000000"/>
              <w:left w:val="single" w:sz="4" w:space="0" w:color="000000"/>
              <w:bottom w:val="single" w:sz="4" w:space="0" w:color="000000"/>
              <w:right w:val="single" w:sz="4" w:space="0" w:color="000000"/>
            </w:tcBorders>
            <w:tcMar>
              <w:top w:w="0" w:type="dxa"/>
              <w:bottom w:w="0" w:type="dxa"/>
            </w:tcMar>
            <w:vAlign w:val="center"/>
          </w:tcPr>
          <w:p w:rsidR="00D227E2" w:rsidRDefault="00D227E2">
            <w:pPr>
              <w:suppressAutoHyphens w:val="0"/>
              <w:spacing w:after="0" w:line="240" w:lineRule="auto"/>
              <w:rPr>
                <w:rFonts w:ascii="Times New Roman" w:eastAsia="Times New Roman" w:hAnsi="Times New Roman" w:cs="Times New Roman"/>
                <w:bCs/>
                <w:color w:val="000000"/>
                <w:sz w:val="24"/>
                <w:szCs w:val="24"/>
                <w:lang w:eastAsia="uk-UA"/>
              </w:rPr>
            </w:pPr>
          </w:p>
        </w:tc>
        <w:tc>
          <w:tcPr>
            <w:tcW w:w="1114" w:type="dxa"/>
            <w:vMerge/>
            <w:tcBorders>
              <w:top w:val="single" w:sz="4" w:space="0" w:color="000000"/>
              <w:left w:val="single" w:sz="4" w:space="0" w:color="000000"/>
              <w:bottom w:val="single" w:sz="4" w:space="0" w:color="000000"/>
              <w:right w:val="single" w:sz="4" w:space="0" w:color="000000"/>
            </w:tcBorders>
            <w:tcMar>
              <w:top w:w="0" w:type="dxa"/>
              <w:bottom w:w="0" w:type="dxa"/>
            </w:tcMar>
            <w:vAlign w:val="center"/>
          </w:tcPr>
          <w:p w:rsidR="00D227E2" w:rsidRDefault="00D227E2">
            <w:pPr>
              <w:suppressAutoHyphens w:val="0"/>
              <w:spacing w:after="0" w:line="240" w:lineRule="auto"/>
              <w:rPr>
                <w:rFonts w:ascii="Times New Roman" w:eastAsia="Times New Roman" w:hAnsi="Times New Roman" w:cs="Times New Roman"/>
                <w:bCs/>
                <w:color w:val="000000"/>
                <w:sz w:val="24"/>
                <w:szCs w:val="24"/>
                <w:lang w:eastAsia="uk-UA"/>
              </w:rPr>
            </w:pPr>
          </w:p>
        </w:tc>
      </w:tr>
      <w:tr w:rsidR="00D227E2">
        <w:trPr>
          <w:cantSplit/>
          <w:trHeight w:val="330"/>
        </w:trPr>
        <w:tc>
          <w:tcPr>
            <w:tcW w:w="15358" w:type="dxa"/>
            <w:gridSpan w:val="9"/>
            <w:tcBorders>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uk-UA"/>
              </w:rPr>
              <w:t>Розрахунок для 2020 року</w:t>
            </w:r>
          </w:p>
        </w:tc>
      </w:tr>
      <w:tr w:rsidR="00D227E2">
        <w:trPr>
          <w:cantSplit/>
          <w:trHeight w:val="330"/>
        </w:trPr>
        <w:tc>
          <w:tcPr>
            <w:tcW w:w="2626" w:type="dxa"/>
            <w:vMerge w:val="restart"/>
            <w:tcBorders>
              <w:left w:val="single" w:sz="4" w:space="0" w:color="000000"/>
              <w:bottom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370762,43</w:t>
            </w:r>
          </w:p>
        </w:tc>
        <w:tc>
          <w:tcPr>
            <w:tcW w:w="1928" w:type="dxa"/>
            <w:tcBorders>
              <w:left w:val="single" w:sz="4" w:space="0" w:color="000000"/>
              <w:bottom w:val="single" w:sz="4" w:space="0" w:color="000000"/>
            </w:tcBorders>
            <w:shd w:val="clear" w:color="auto" w:fill="auto"/>
            <w:vAlign w:val="bottom"/>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газ, тис. м</w:t>
            </w:r>
            <w:r>
              <w:rPr>
                <w:rFonts w:ascii="Times New Roman" w:eastAsia="Times New Roman" w:hAnsi="Times New Roman" w:cs="Times New Roman"/>
                <w:color w:val="000000"/>
                <w:sz w:val="24"/>
                <w:szCs w:val="24"/>
                <w:vertAlign w:val="superscript"/>
                <w:lang w:eastAsia="uk-UA"/>
              </w:rPr>
              <w:t>3</w:t>
            </w:r>
          </w:p>
        </w:tc>
        <w:tc>
          <w:tcPr>
            <w:tcW w:w="1470" w:type="dxa"/>
            <w:tcBorders>
              <w:left w:val="single" w:sz="4" w:space="0" w:color="000000"/>
              <w:bottom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60 131,04</w:t>
            </w:r>
          </w:p>
        </w:tc>
        <w:tc>
          <w:tcPr>
            <w:tcW w:w="2265" w:type="dxa"/>
            <w:tcBorders>
              <w:left w:val="single" w:sz="4" w:space="0" w:color="000000"/>
              <w:bottom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162,2</w:t>
            </w:r>
          </w:p>
        </w:tc>
        <w:tc>
          <w:tcPr>
            <w:tcW w:w="2220" w:type="dxa"/>
            <w:tcBorders>
              <w:left w:val="single" w:sz="4" w:space="0" w:color="000000"/>
              <w:bottom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1,53</w:t>
            </w:r>
          </w:p>
        </w:tc>
        <w:tc>
          <w:tcPr>
            <w:tcW w:w="1530" w:type="dxa"/>
            <w:tcBorders>
              <w:left w:val="single" w:sz="4" w:space="0" w:color="000000"/>
              <w:bottom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0,202</w:t>
            </w:r>
          </w:p>
        </w:tc>
        <w:tc>
          <w:tcPr>
            <w:tcW w:w="1124" w:type="dxa"/>
            <w:tcBorders>
              <w:left w:val="single" w:sz="4" w:space="0" w:color="000000"/>
              <w:bottom w:val="single" w:sz="4" w:space="0" w:color="000000"/>
              <w:right w:val="single" w:sz="4" w:space="0" w:color="000000"/>
            </w:tcBorders>
            <w:shd w:val="clear" w:color="auto" w:fill="auto"/>
            <w:vAlign w:val="bottom"/>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0,309</w:t>
            </w:r>
          </w:p>
        </w:tc>
        <w:tc>
          <w:tcPr>
            <w:tcW w:w="1081" w:type="dxa"/>
            <w:vMerge w:val="restart"/>
            <w:tcBorders>
              <w:top w:val="single" w:sz="4" w:space="0" w:color="000000"/>
              <w:left w:val="single" w:sz="4" w:space="0" w:color="000000"/>
              <w:bottom w:val="single" w:sz="4" w:space="0" w:color="000000"/>
            </w:tcBorders>
            <w:shd w:val="clear" w:color="auto" w:fill="auto"/>
            <w:tcMar>
              <w:left w:w="55" w:type="dxa"/>
              <w:right w:w="55" w:type="dxa"/>
            </w:tcMar>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uk-UA"/>
              </w:rPr>
              <w:t>0,343</w:t>
            </w:r>
          </w:p>
        </w:tc>
        <w:tc>
          <w:tcPr>
            <w:tcW w:w="1114" w:type="dxa"/>
            <w:vMerge w:val="restart"/>
            <w:tcBorders>
              <w:top w:val="single" w:sz="4" w:space="0" w:color="000000"/>
              <w:left w:val="single" w:sz="4" w:space="0" w:color="000000"/>
              <w:bottom w:val="single" w:sz="4" w:space="0" w:color="000000"/>
              <w:right w:val="single" w:sz="4" w:space="0" w:color="000000"/>
            </w:tcBorders>
            <w:shd w:val="clear" w:color="auto" w:fill="auto"/>
            <w:tcMar>
              <w:left w:w="55" w:type="dxa"/>
              <w:right w:w="55" w:type="dxa"/>
            </w:tcMar>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uk-UA"/>
              </w:rPr>
              <w:t>0,295</w:t>
            </w:r>
          </w:p>
        </w:tc>
      </w:tr>
      <w:tr w:rsidR="00D227E2">
        <w:trPr>
          <w:cantSplit/>
          <w:trHeight w:val="615"/>
        </w:trPr>
        <w:tc>
          <w:tcPr>
            <w:tcW w:w="2626" w:type="dxa"/>
            <w:vMerge/>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D227E2" w:rsidRDefault="00D227E2">
            <w:pPr>
              <w:suppressAutoHyphens w:val="0"/>
              <w:spacing w:after="0" w:line="240" w:lineRule="auto"/>
              <w:rPr>
                <w:rFonts w:ascii="Times New Roman" w:eastAsia="Times New Roman" w:hAnsi="Times New Roman" w:cs="Times New Roman"/>
                <w:color w:val="000000"/>
                <w:sz w:val="24"/>
                <w:szCs w:val="24"/>
                <w:lang w:eastAsia="uk-UA"/>
              </w:rPr>
            </w:pPr>
          </w:p>
        </w:tc>
        <w:tc>
          <w:tcPr>
            <w:tcW w:w="1928"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bottom"/>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електрика, МВт.год</w:t>
            </w:r>
          </w:p>
        </w:tc>
        <w:tc>
          <w:tcPr>
            <w:tcW w:w="1470"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20 253,2</w:t>
            </w:r>
          </w:p>
        </w:tc>
        <w:tc>
          <w:tcPr>
            <w:tcW w:w="2265"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0,055</w:t>
            </w:r>
          </w:p>
        </w:tc>
        <w:tc>
          <w:tcPr>
            <w:tcW w:w="2220"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0,055</w:t>
            </w:r>
          </w:p>
        </w:tc>
        <w:tc>
          <w:tcPr>
            <w:tcW w:w="1530"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0,614</w:t>
            </w:r>
          </w:p>
        </w:tc>
        <w:tc>
          <w:tcPr>
            <w:tcW w:w="1124" w:type="dxa"/>
            <w:tcBorders>
              <w:top w:val="single" w:sz="4" w:space="0" w:color="000000"/>
              <w:left w:val="single" w:sz="4" w:space="0" w:color="000000"/>
              <w:bottom w:val="single" w:sz="4" w:space="0" w:color="000000"/>
            </w:tcBorders>
            <w:shd w:val="clear" w:color="auto" w:fill="auto"/>
            <w:tcMar>
              <w:top w:w="0" w:type="dxa"/>
              <w:left w:w="0" w:type="dxa"/>
              <w:bottom w:w="0" w:type="dxa"/>
              <w:right w:w="0" w:type="dxa"/>
            </w:tcMar>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0,034</w:t>
            </w:r>
          </w:p>
        </w:tc>
        <w:tc>
          <w:tcPr>
            <w:tcW w:w="1081" w:type="dxa"/>
            <w:vMerge/>
            <w:tcBorders>
              <w:left w:val="single" w:sz="4" w:space="0" w:color="000000"/>
              <w:bottom w:val="single" w:sz="4" w:space="0" w:color="000000"/>
            </w:tcBorders>
            <w:tcMar>
              <w:left w:w="55" w:type="dxa"/>
              <w:right w:w="55" w:type="dxa"/>
            </w:tcMar>
            <w:vAlign w:val="center"/>
          </w:tcPr>
          <w:p w:rsidR="00D227E2" w:rsidRDefault="00D227E2">
            <w:pPr>
              <w:suppressAutoHyphens w:val="0"/>
              <w:spacing w:after="0" w:line="240" w:lineRule="auto"/>
              <w:rPr>
                <w:rFonts w:ascii="Times New Roman" w:eastAsia="Times New Roman" w:hAnsi="Times New Roman" w:cs="Times New Roman"/>
                <w:bCs/>
                <w:color w:val="000000"/>
                <w:sz w:val="24"/>
                <w:szCs w:val="24"/>
                <w:lang w:eastAsia="uk-UA"/>
              </w:rPr>
            </w:pPr>
          </w:p>
        </w:tc>
        <w:tc>
          <w:tcPr>
            <w:tcW w:w="1114" w:type="dxa"/>
            <w:vMerge/>
            <w:tcBorders>
              <w:left w:val="single" w:sz="4" w:space="0" w:color="000000"/>
              <w:bottom w:val="single" w:sz="4" w:space="0" w:color="000000"/>
              <w:right w:val="single" w:sz="4" w:space="0" w:color="000000"/>
            </w:tcBorders>
            <w:tcMar>
              <w:left w:w="55" w:type="dxa"/>
              <w:right w:w="55" w:type="dxa"/>
            </w:tcMar>
            <w:vAlign w:val="center"/>
          </w:tcPr>
          <w:p w:rsidR="00D227E2" w:rsidRDefault="00D227E2">
            <w:pPr>
              <w:suppressAutoHyphens w:val="0"/>
              <w:spacing w:after="0" w:line="240" w:lineRule="auto"/>
              <w:rPr>
                <w:rFonts w:ascii="Times New Roman" w:eastAsia="Times New Roman" w:hAnsi="Times New Roman" w:cs="Times New Roman"/>
                <w:bCs/>
                <w:color w:val="000000"/>
                <w:sz w:val="24"/>
                <w:szCs w:val="24"/>
                <w:lang w:eastAsia="uk-UA"/>
              </w:rPr>
            </w:pPr>
          </w:p>
        </w:tc>
      </w:tr>
      <w:tr w:rsidR="00D227E2">
        <w:trPr>
          <w:cantSplit/>
          <w:trHeight w:val="226"/>
        </w:trPr>
        <w:tc>
          <w:tcPr>
            <w:tcW w:w="2626" w:type="dxa"/>
            <w:vMerge/>
            <w:tcBorders>
              <w:left w:val="single" w:sz="4" w:space="0" w:color="000000"/>
              <w:bottom w:val="single" w:sz="4" w:space="0" w:color="000000"/>
            </w:tcBorders>
            <w:tcMar>
              <w:top w:w="0" w:type="dxa"/>
              <w:left w:w="0" w:type="dxa"/>
              <w:bottom w:w="0" w:type="dxa"/>
              <w:right w:w="0" w:type="dxa"/>
            </w:tcMar>
            <w:vAlign w:val="center"/>
          </w:tcPr>
          <w:p w:rsidR="00D227E2" w:rsidRDefault="00D227E2">
            <w:pPr>
              <w:suppressAutoHyphens w:val="0"/>
              <w:spacing w:after="0" w:line="240" w:lineRule="auto"/>
              <w:rPr>
                <w:rFonts w:ascii="Times New Roman" w:eastAsia="Times New Roman" w:hAnsi="Times New Roman" w:cs="Times New Roman"/>
                <w:color w:val="000000"/>
                <w:sz w:val="24"/>
                <w:szCs w:val="24"/>
                <w:lang w:eastAsia="uk-UA"/>
              </w:rPr>
            </w:pPr>
          </w:p>
        </w:tc>
        <w:tc>
          <w:tcPr>
            <w:tcW w:w="1928" w:type="dxa"/>
            <w:tcBorders>
              <w:left w:val="single" w:sz="4" w:space="0" w:color="000000"/>
              <w:bottom w:val="single" w:sz="4" w:space="0" w:color="000000"/>
            </w:tcBorders>
            <w:shd w:val="clear" w:color="auto" w:fill="auto"/>
            <w:tcMar>
              <w:top w:w="0" w:type="dxa"/>
              <w:left w:w="0" w:type="dxa"/>
              <w:bottom w:w="0" w:type="dxa"/>
              <w:right w:w="0" w:type="dxa"/>
            </w:tcMa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дрова, т</w:t>
            </w:r>
          </w:p>
        </w:tc>
        <w:tc>
          <w:tcPr>
            <w:tcW w:w="1470" w:type="dxa"/>
            <w:tcBorders>
              <w:left w:val="single" w:sz="4" w:space="0" w:color="000000"/>
              <w:bottom w:val="single" w:sz="4" w:space="0" w:color="000000"/>
            </w:tcBorders>
            <w:shd w:val="clear" w:color="auto" w:fill="auto"/>
            <w:tcMar>
              <w:top w:w="0" w:type="dxa"/>
              <w:left w:w="0" w:type="dxa"/>
              <w:bottom w:w="0" w:type="dxa"/>
              <w:right w:w="0" w:type="dxa"/>
            </w:tcMar>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10 010,16</w:t>
            </w:r>
          </w:p>
        </w:tc>
        <w:tc>
          <w:tcPr>
            <w:tcW w:w="2265" w:type="dxa"/>
            <w:tcBorders>
              <w:left w:val="single" w:sz="4" w:space="0" w:color="000000"/>
              <w:bottom w:val="single" w:sz="4" w:space="0" w:color="000000"/>
            </w:tcBorders>
            <w:shd w:val="clear" w:color="auto" w:fill="auto"/>
            <w:tcMar>
              <w:top w:w="0" w:type="dxa"/>
              <w:left w:w="0" w:type="dxa"/>
              <w:bottom w:w="0" w:type="dxa"/>
              <w:right w:w="0" w:type="dxa"/>
            </w:tcMar>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0,027</w:t>
            </w:r>
          </w:p>
        </w:tc>
        <w:tc>
          <w:tcPr>
            <w:tcW w:w="2220" w:type="dxa"/>
            <w:tcBorders>
              <w:left w:val="single" w:sz="4" w:space="0" w:color="000000"/>
              <w:bottom w:val="single" w:sz="4" w:space="0" w:color="000000"/>
            </w:tcBorders>
            <w:shd w:val="clear" w:color="auto" w:fill="auto"/>
            <w:tcMar>
              <w:top w:w="0" w:type="dxa"/>
              <w:left w:w="0" w:type="dxa"/>
              <w:bottom w:w="0" w:type="dxa"/>
              <w:right w:w="0" w:type="dxa"/>
            </w:tcMar>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0,11132</w:t>
            </w:r>
          </w:p>
        </w:tc>
        <w:tc>
          <w:tcPr>
            <w:tcW w:w="1530" w:type="dxa"/>
            <w:tcBorders>
              <w:left w:val="single" w:sz="4" w:space="0" w:color="000000"/>
              <w:bottom w:val="single" w:sz="4" w:space="0" w:color="000000"/>
            </w:tcBorders>
            <w:shd w:val="clear" w:color="auto" w:fill="auto"/>
            <w:tcMar>
              <w:top w:w="0" w:type="dxa"/>
              <w:left w:w="0" w:type="dxa"/>
              <w:bottom w:w="0" w:type="dxa"/>
              <w:right w:w="0" w:type="dxa"/>
            </w:tcMar>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0,007</w:t>
            </w:r>
          </w:p>
        </w:tc>
        <w:tc>
          <w:tcPr>
            <w:tcW w:w="1124" w:type="dxa"/>
            <w:tcBorders>
              <w:left w:val="single" w:sz="4" w:space="0" w:color="000000"/>
              <w:bottom w:val="single" w:sz="4" w:space="0" w:color="000000"/>
            </w:tcBorders>
            <w:shd w:val="clear" w:color="auto" w:fill="auto"/>
            <w:tcMar>
              <w:top w:w="0" w:type="dxa"/>
              <w:left w:w="0" w:type="dxa"/>
              <w:bottom w:w="0" w:type="dxa"/>
              <w:right w:w="0" w:type="dxa"/>
            </w:tcMar>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0,001</w:t>
            </w:r>
          </w:p>
        </w:tc>
        <w:tc>
          <w:tcPr>
            <w:tcW w:w="1081" w:type="dxa"/>
            <w:vMerge/>
            <w:tcBorders>
              <w:left w:val="single" w:sz="4" w:space="0" w:color="000000"/>
              <w:bottom w:val="single" w:sz="4" w:space="0" w:color="000000"/>
            </w:tcBorders>
            <w:tcMar>
              <w:left w:w="55" w:type="dxa"/>
              <w:right w:w="55" w:type="dxa"/>
            </w:tcMar>
            <w:vAlign w:val="center"/>
          </w:tcPr>
          <w:p w:rsidR="00D227E2" w:rsidRDefault="00D227E2">
            <w:pPr>
              <w:suppressAutoHyphens w:val="0"/>
              <w:spacing w:after="0" w:line="240" w:lineRule="auto"/>
              <w:rPr>
                <w:rFonts w:ascii="Times New Roman" w:eastAsia="Times New Roman" w:hAnsi="Times New Roman" w:cs="Times New Roman"/>
                <w:bCs/>
                <w:color w:val="000000"/>
                <w:sz w:val="24"/>
                <w:szCs w:val="24"/>
                <w:lang w:eastAsia="uk-UA"/>
              </w:rPr>
            </w:pPr>
          </w:p>
        </w:tc>
        <w:tc>
          <w:tcPr>
            <w:tcW w:w="1114" w:type="dxa"/>
            <w:vMerge/>
            <w:tcBorders>
              <w:left w:val="single" w:sz="4" w:space="0" w:color="000000"/>
              <w:bottom w:val="single" w:sz="4" w:space="0" w:color="000000"/>
              <w:right w:val="single" w:sz="4" w:space="0" w:color="000000"/>
            </w:tcBorders>
            <w:tcMar>
              <w:left w:w="55" w:type="dxa"/>
              <w:right w:w="55" w:type="dxa"/>
            </w:tcMar>
            <w:vAlign w:val="center"/>
          </w:tcPr>
          <w:p w:rsidR="00D227E2" w:rsidRDefault="00D227E2">
            <w:pPr>
              <w:suppressAutoHyphens w:val="0"/>
              <w:spacing w:after="0" w:line="240" w:lineRule="auto"/>
              <w:rPr>
                <w:rFonts w:ascii="Times New Roman" w:eastAsia="Times New Roman" w:hAnsi="Times New Roman" w:cs="Times New Roman"/>
                <w:bCs/>
                <w:color w:val="000000"/>
                <w:sz w:val="24"/>
                <w:szCs w:val="24"/>
                <w:lang w:eastAsia="uk-UA"/>
              </w:rPr>
            </w:pPr>
          </w:p>
        </w:tc>
      </w:tr>
    </w:tbl>
    <w:p w:rsidR="00D227E2" w:rsidRDefault="00D227E2">
      <w:pPr>
        <w:widowControl w:val="0"/>
        <w:spacing w:after="120" w:line="240" w:lineRule="auto"/>
        <w:ind w:firstLine="567"/>
        <w:rPr>
          <w:rFonts w:ascii="Times New Roman" w:eastAsia="NSimSun" w:hAnsi="Times New Roman" w:cs="Times New Roman"/>
          <w:kern w:val="2"/>
          <w:sz w:val="24"/>
          <w:szCs w:val="24"/>
          <w:lang w:eastAsia="zh-CN" w:bidi="hi-IN"/>
        </w:rPr>
      </w:pPr>
    </w:p>
    <w:p w:rsidR="00D227E2" w:rsidRDefault="00934FC4">
      <w:pPr>
        <w:widowControl w:val="0"/>
        <w:spacing w:after="120" w:line="240" w:lineRule="auto"/>
        <w:ind w:firstLine="567"/>
        <w:rPr>
          <w:rFonts w:ascii="Times New Roman" w:hAnsi="Times New Roman" w:cs="Times New Roman"/>
        </w:rPr>
      </w:pPr>
      <w:r>
        <w:rPr>
          <w:rFonts w:ascii="Times New Roman" w:eastAsia="NSimSun" w:hAnsi="Times New Roman" w:cs="Times New Roman"/>
          <w:kern w:val="2"/>
          <w:sz w:val="24"/>
          <w:szCs w:val="24"/>
          <w:lang w:eastAsia="zh-CN" w:bidi="hi-IN"/>
        </w:rPr>
        <w:t xml:space="preserve">Таким чином коефіцієнт </w:t>
      </w:r>
      <w:r>
        <w:rPr>
          <w:rFonts w:ascii="Times New Roman" w:hAnsi="Times New Roman" w:cs="Times New Roman"/>
          <w:sz w:val="24"/>
          <w:szCs w:val="24"/>
          <w:lang w:eastAsia="ru-RU"/>
        </w:rPr>
        <w:t>СО</w:t>
      </w:r>
      <w:r>
        <w:rPr>
          <w:rFonts w:ascii="Times New Roman" w:hAnsi="Times New Roman" w:cs="Times New Roman"/>
          <w:sz w:val="24"/>
          <w:szCs w:val="24"/>
          <w:vertAlign w:val="subscript"/>
          <w:lang w:eastAsia="ru-RU"/>
        </w:rPr>
        <w:t>2</w:t>
      </w:r>
      <w:r>
        <w:rPr>
          <w:rFonts w:ascii="Times New Roman" w:eastAsia="NSimSun" w:hAnsi="Times New Roman" w:cs="Times New Roman"/>
          <w:kern w:val="2"/>
          <w:sz w:val="24"/>
          <w:szCs w:val="24"/>
          <w:lang w:eastAsia="zh-CN" w:bidi="hi-IN"/>
        </w:rPr>
        <w:t xml:space="preserve"> </w:t>
      </w:r>
      <w:r>
        <w:rPr>
          <w:rFonts w:ascii="Times New Roman" w:eastAsia="NSimSun" w:hAnsi="Times New Roman" w:cs="Times New Roman"/>
          <w:kern w:val="2"/>
          <w:sz w:val="24"/>
          <w:szCs w:val="24"/>
          <w:vertAlign w:val="subscript"/>
          <w:lang w:eastAsia="zh-CN" w:bidi="hi-IN"/>
        </w:rPr>
        <w:t>екв.</w:t>
      </w:r>
      <w:r>
        <w:rPr>
          <w:rFonts w:ascii="Times New Roman" w:eastAsia="NSimSun" w:hAnsi="Times New Roman" w:cs="Times New Roman"/>
          <w:kern w:val="2"/>
          <w:sz w:val="24"/>
          <w:szCs w:val="24"/>
          <w:lang w:eastAsia="zh-CN" w:bidi="hi-IN"/>
        </w:rPr>
        <w:t xml:space="preserve"> для тепла, станом на 2020 рік дорівнює 0,295 тонн/МВт.год</w:t>
      </w:r>
    </w:p>
    <w:p w:rsidR="00D227E2" w:rsidRDefault="00D227E2">
      <w:pPr>
        <w:widowControl w:val="0"/>
        <w:spacing w:after="120" w:line="240" w:lineRule="auto"/>
        <w:jc w:val="center"/>
        <w:rPr>
          <w:rFonts w:ascii="Times New Roman" w:eastAsia="Times New Roman" w:hAnsi="Times New Roman" w:cs="Times New Roman"/>
          <w:color w:val="C9211E"/>
          <w:sz w:val="24"/>
          <w:szCs w:val="24"/>
          <w:lang w:eastAsia="zh-CN"/>
        </w:rPr>
      </w:pPr>
    </w:p>
    <w:p w:rsidR="00D227E2" w:rsidRDefault="00D227E2">
      <w:pPr>
        <w:widowControl w:val="0"/>
        <w:spacing w:after="120" w:line="240" w:lineRule="auto"/>
        <w:jc w:val="center"/>
        <w:rPr>
          <w:rFonts w:ascii="Times New Roman" w:eastAsia="Times New Roman" w:hAnsi="Times New Roman" w:cs="Times New Roman"/>
          <w:color w:val="C9211E"/>
          <w:sz w:val="24"/>
          <w:szCs w:val="24"/>
          <w:lang w:eastAsia="zh-CN"/>
        </w:rPr>
      </w:pPr>
    </w:p>
    <w:p w:rsidR="00D227E2" w:rsidRDefault="00D227E2">
      <w:pPr>
        <w:widowControl w:val="0"/>
        <w:spacing w:after="120" w:line="240" w:lineRule="auto"/>
        <w:jc w:val="center"/>
        <w:rPr>
          <w:rFonts w:ascii="Times New Roman" w:eastAsia="Times New Roman" w:hAnsi="Times New Roman" w:cs="Times New Roman"/>
          <w:color w:val="C9211E"/>
          <w:sz w:val="24"/>
          <w:szCs w:val="24"/>
          <w:lang w:eastAsia="zh-CN"/>
        </w:rPr>
      </w:pPr>
    </w:p>
    <w:p w:rsidR="00D227E2" w:rsidRDefault="00D227E2">
      <w:pPr>
        <w:widowControl w:val="0"/>
        <w:spacing w:after="120" w:line="240" w:lineRule="auto"/>
        <w:jc w:val="center"/>
        <w:rPr>
          <w:rFonts w:ascii="Times New Roman" w:eastAsia="Times New Roman" w:hAnsi="Times New Roman" w:cs="Times New Roman"/>
          <w:color w:val="C9211E"/>
          <w:sz w:val="24"/>
          <w:szCs w:val="24"/>
          <w:lang w:eastAsia="zh-CN"/>
        </w:rPr>
      </w:pPr>
    </w:p>
    <w:p w:rsidR="00D227E2" w:rsidRDefault="00D227E2">
      <w:pPr>
        <w:widowControl w:val="0"/>
        <w:spacing w:after="60" w:line="240" w:lineRule="auto"/>
        <w:jc w:val="center"/>
        <w:rPr>
          <w:rFonts w:ascii="Times New Roman" w:eastAsia="Times New Roman" w:hAnsi="Times New Roman" w:cs="Times New Roman"/>
          <w:color w:val="C9211E"/>
          <w:sz w:val="24"/>
          <w:szCs w:val="24"/>
          <w:lang w:eastAsia="zh-CN"/>
        </w:rPr>
      </w:pPr>
    </w:p>
    <w:p w:rsidR="00D227E2" w:rsidRDefault="00D227E2">
      <w:pPr>
        <w:widowControl w:val="0"/>
        <w:spacing w:after="60" w:line="240" w:lineRule="auto"/>
        <w:jc w:val="center"/>
        <w:rPr>
          <w:rFonts w:ascii="Times New Roman" w:eastAsia="Times New Roman" w:hAnsi="Times New Roman" w:cs="Times New Roman"/>
          <w:color w:val="C9211E"/>
          <w:sz w:val="24"/>
          <w:szCs w:val="24"/>
          <w:lang w:eastAsia="zh-CN"/>
        </w:rPr>
      </w:pPr>
    </w:p>
    <w:p w:rsidR="00D227E2" w:rsidRDefault="00D227E2">
      <w:pPr>
        <w:widowControl w:val="0"/>
        <w:spacing w:after="60" w:line="240" w:lineRule="auto"/>
        <w:jc w:val="center"/>
        <w:rPr>
          <w:rFonts w:ascii="Times New Roman" w:eastAsia="Times New Roman" w:hAnsi="Times New Roman" w:cs="Times New Roman"/>
          <w:color w:val="C9211E"/>
          <w:sz w:val="24"/>
          <w:szCs w:val="24"/>
          <w:lang w:eastAsia="zh-CN"/>
        </w:rPr>
      </w:pPr>
    </w:p>
    <w:p w:rsidR="00D227E2" w:rsidRDefault="00D227E2">
      <w:pPr>
        <w:widowControl w:val="0"/>
        <w:spacing w:after="60" w:line="240" w:lineRule="auto"/>
        <w:jc w:val="center"/>
        <w:rPr>
          <w:rFonts w:ascii="Times New Roman" w:eastAsia="Times New Roman" w:hAnsi="Times New Roman" w:cs="Times New Roman"/>
          <w:color w:val="C9211E"/>
          <w:sz w:val="24"/>
          <w:szCs w:val="24"/>
          <w:lang w:eastAsia="zh-CN"/>
        </w:rPr>
      </w:pPr>
    </w:p>
    <w:p w:rsidR="00D227E2" w:rsidRDefault="00D227E2">
      <w:pPr>
        <w:widowControl w:val="0"/>
        <w:spacing w:after="60" w:line="240" w:lineRule="auto"/>
        <w:jc w:val="center"/>
        <w:rPr>
          <w:rFonts w:ascii="Times New Roman" w:eastAsia="Times New Roman" w:hAnsi="Times New Roman" w:cs="Times New Roman"/>
          <w:color w:val="C9211E"/>
          <w:sz w:val="24"/>
          <w:szCs w:val="24"/>
          <w:lang w:eastAsia="zh-CN"/>
        </w:rPr>
      </w:pPr>
    </w:p>
    <w:p w:rsidR="00D227E2" w:rsidRDefault="00D227E2">
      <w:pPr>
        <w:widowControl w:val="0"/>
        <w:spacing w:after="60" w:line="240" w:lineRule="auto"/>
        <w:jc w:val="center"/>
        <w:rPr>
          <w:rFonts w:ascii="Times New Roman" w:eastAsia="Times New Roman" w:hAnsi="Times New Roman" w:cs="Times New Roman"/>
          <w:color w:val="C9211E"/>
          <w:sz w:val="24"/>
          <w:szCs w:val="24"/>
          <w:lang w:eastAsia="zh-CN"/>
        </w:rPr>
      </w:pPr>
    </w:p>
    <w:p w:rsidR="00D227E2" w:rsidRDefault="00D227E2">
      <w:pPr>
        <w:widowControl w:val="0"/>
        <w:spacing w:after="60" w:line="240" w:lineRule="auto"/>
        <w:jc w:val="center"/>
        <w:rPr>
          <w:rFonts w:ascii="Times New Roman" w:eastAsia="Times New Roman" w:hAnsi="Times New Roman" w:cs="Times New Roman"/>
          <w:color w:val="C9211E"/>
          <w:sz w:val="24"/>
          <w:szCs w:val="24"/>
          <w:lang w:eastAsia="zh-CN"/>
        </w:rPr>
      </w:pPr>
    </w:p>
    <w:p w:rsidR="00D227E2" w:rsidRDefault="00D227E2">
      <w:pPr>
        <w:widowControl w:val="0"/>
        <w:spacing w:after="60" w:line="240" w:lineRule="auto"/>
        <w:jc w:val="center"/>
        <w:rPr>
          <w:rFonts w:ascii="Times New Roman" w:eastAsia="Times New Roman" w:hAnsi="Times New Roman" w:cs="Times New Roman"/>
          <w:color w:val="C9211E"/>
          <w:sz w:val="24"/>
          <w:szCs w:val="24"/>
          <w:lang w:eastAsia="zh-CN"/>
        </w:rPr>
      </w:pPr>
    </w:p>
    <w:p w:rsidR="00D227E2" w:rsidRDefault="00D227E2">
      <w:pPr>
        <w:widowControl w:val="0"/>
        <w:spacing w:after="60" w:line="240" w:lineRule="auto"/>
        <w:jc w:val="center"/>
        <w:rPr>
          <w:rFonts w:ascii="Times New Roman" w:eastAsia="Times New Roman" w:hAnsi="Times New Roman" w:cs="Times New Roman"/>
          <w:color w:val="C9211E"/>
          <w:sz w:val="24"/>
          <w:szCs w:val="24"/>
          <w:lang w:eastAsia="zh-CN"/>
        </w:rPr>
      </w:pPr>
    </w:p>
    <w:p w:rsidR="00D227E2" w:rsidRDefault="00D227E2">
      <w:pPr>
        <w:widowControl w:val="0"/>
        <w:spacing w:after="60" w:line="240" w:lineRule="auto"/>
        <w:jc w:val="center"/>
        <w:rPr>
          <w:rFonts w:ascii="Times New Roman" w:eastAsia="Times New Roman" w:hAnsi="Times New Roman" w:cs="Times New Roman"/>
          <w:sz w:val="24"/>
          <w:szCs w:val="24"/>
          <w:lang w:eastAsia="zh-CN"/>
        </w:rPr>
      </w:pPr>
    </w:p>
    <w:p w:rsidR="00D227E2" w:rsidRDefault="00934FC4">
      <w:pPr>
        <w:widowControl w:val="0"/>
        <w:spacing w:after="60" w:line="240" w:lineRule="auto"/>
        <w:jc w:val="center"/>
        <w:rPr>
          <w:rFonts w:ascii="Times New Roman" w:hAnsi="Times New Roman" w:cs="Times New Roman"/>
        </w:rPr>
      </w:pPr>
      <w:r>
        <w:rPr>
          <w:rFonts w:ascii="Times New Roman" w:eastAsia="Times New Roman" w:hAnsi="Times New Roman" w:cs="Times New Roman"/>
          <w:sz w:val="24"/>
          <w:szCs w:val="24"/>
          <w:lang w:eastAsia="zh-CN"/>
        </w:rPr>
        <w:t>Таблиця 77. Кадастр викидів СО</w:t>
      </w:r>
      <w:r>
        <w:rPr>
          <w:rFonts w:ascii="Times New Roman" w:eastAsia="Times New Roman" w:hAnsi="Times New Roman" w:cs="Times New Roman"/>
          <w:sz w:val="24"/>
          <w:szCs w:val="24"/>
          <w:vertAlign w:val="subscript"/>
          <w:lang w:eastAsia="zh-CN"/>
        </w:rPr>
        <w:t>2</w:t>
      </w:r>
      <w:r>
        <w:rPr>
          <w:rFonts w:ascii="Times New Roman" w:eastAsia="Times New Roman" w:hAnsi="Times New Roman" w:cs="Times New Roman"/>
          <w:sz w:val="24"/>
          <w:szCs w:val="24"/>
          <w:lang w:eastAsia="zh-CN"/>
        </w:rPr>
        <w:t xml:space="preserve"> за 2020 рік, тонн</w:t>
      </w:r>
    </w:p>
    <w:tbl>
      <w:tblPr>
        <w:tblW w:w="15276" w:type="dxa"/>
        <w:tblLayout w:type="fixed"/>
        <w:tblLook w:val="04A0" w:firstRow="1" w:lastRow="0" w:firstColumn="1" w:lastColumn="0" w:noHBand="0" w:noVBand="1"/>
      </w:tblPr>
      <w:tblGrid>
        <w:gridCol w:w="3002"/>
        <w:gridCol w:w="1265"/>
        <w:gridCol w:w="1422"/>
        <w:gridCol w:w="1188"/>
        <w:gridCol w:w="1149"/>
        <w:gridCol w:w="1344"/>
        <w:gridCol w:w="1140"/>
        <w:gridCol w:w="1133"/>
        <w:gridCol w:w="1132"/>
        <w:gridCol w:w="1274"/>
        <w:gridCol w:w="1227"/>
      </w:tblGrid>
      <w:tr w:rsidR="00D227E2">
        <w:trPr>
          <w:cantSplit/>
          <w:trHeight w:val="330"/>
        </w:trPr>
        <w:tc>
          <w:tcPr>
            <w:tcW w:w="30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Сектори кінцевих спожив</w:t>
            </w:r>
            <w:r>
              <w:rPr>
                <w:rFonts w:ascii="Times New Roman" w:eastAsia="Times New Roman" w:hAnsi="Times New Roman" w:cs="Times New Roman"/>
                <w:bCs/>
                <w:lang w:eastAsia="uk-UA"/>
              </w:rPr>
              <w:t>а</w:t>
            </w:r>
            <w:r>
              <w:rPr>
                <w:rFonts w:ascii="Times New Roman" w:eastAsia="Times New Roman" w:hAnsi="Times New Roman" w:cs="Times New Roman"/>
                <w:bCs/>
                <w:lang w:eastAsia="uk-UA"/>
              </w:rPr>
              <w:t>чів енергоресурсів</w:t>
            </w:r>
          </w:p>
        </w:tc>
        <w:tc>
          <w:tcPr>
            <w:tcW w:w="9772" w:type="dxa"/>
            <w:gridSpan w:val="8"/>
            <w:tcBorders>
              <w:top w:val="single" w:sz="8" w:space="0" w:color="000000"/>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Обсяги викидів СО</w:t>
            </w:r>
            <w:r>
              <w:rPr>
                <w:rFonts w:ascii="Times New Roman" w:eastAsia="Times New Roman" w:hAnsi="Times New Roman" w:cs="Times New Roman"/>
                <w:bCs/>
                <w:vertAlign w:val="subscript"/>
                <w:lang w:eastAsia="uk-UA"/>
              </w:rPr>
              <w:t>2</w:t>
            </w:r>
            <w:r>
              <w:rPr>
                <w:rFonts w:ascii="Times New Roman" w:eastAsia="Times New Roman" w:hAnsi="Times New Roman" w:cs="Times New Roman"/>
                <w:bCs/>
                <w:lang w:eastAsia="uk-UA"/>
              </w:rPr>
              <w:t>, тонн</w:t>
            </w:r>
          </w:p>
        </w:tc>
        <w:tc>
          <w:tcPr>
            <w:tcW w:w="1274" w:type="dxa"/>
            <w:vMerge w:val="restart"/>
            <w:tcBorders>
              <w:top w:val="single" w:sz="8" w:space="0" w:color="000000"/>
              <w:left w:val="single" w:sz="4"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Сума в</w:t>
            </w:r>
            <w:r>
              <w:rPr>
                <w:rFonts w:ascii="Times New Roman" w:eastAsia="Times New Roman" w:hAnsi="Times New Roman" w:cs="Times New Roman"/>
                <w:color w:val="000000"/>
                <w:lang w:eastAsia="uk-UA"/>
              </w:rPr>
              <w:t>и</w:t>
            </w:r>
            <w:r>
              <w:rPr>
                <w:rFonts w:ascii="Times New Roman" w:eastAsia="Times New Roman" w:hAnsi="Times New Roman" w:cs="Times New Roman"/>
                <w:color w:val="000000"/>
                <w:lang w:eastAsia="uk-UA"/>
              </w:rPr>
              <w:t>кидів СО</w:t>
            </w:r>
            <w:r>
              <w:rPr>
                <w:rFonts w:ascii="Times New Roman" w:eastAsia="Times New Roman" w:hAnsi="Times New Roman" w:cs="Times New Roman"/>
                <w:color w:val="000000"/>
                <w:vertAlign w:val="subscript"/>
                <w:lang w:eastAsia="uk-UA"/>
              </w:rPr>
              <w:t>2</w:t>
            </w:r>
            <w:r>
              <w:rPr>
                <w:rFonts w:ascii="Times New Roman" w:eastAsia="Times New Roman" w:hAnsi="Times New Roman" w:cs="Times New Roman"/>
                <w:color w:val="000000"/>
                <w:lang w:eastAsia="uk-UA"/>
              </w:rPr>
              <w:t xml:space="preserve"> по сект</w:t>
            </w:r>
            <w:r>
              <w:rPr>
                <w:rFonts w:ascii="Times New Roman" w:eastAsia="Times New Roman" w:hAnsi="Times New Roman" w:cs="Times New Roman"/>
                <w:color w:val="000000"/>
                <w:lang w:eastAsia="uk-UA"/>
              </w:rPr>
              <w:t>о</w:t>
            </w:r>
            <w:r>
              <w:rPr>
                <w:rFonts w:ascii="Times New Roman" w:eastAsia="Times New Roman" w:hAnsi="Times New Roman" w:cs="Times New Roman"/>
                <w:color w:val="000000"/>
                <w:lang w:eastAsia="uk-UA"/>
              </w:rPr>
              <w:t>рах, тонн</w:t>
            </w:r>
          </w:p>
        </w:tc>
        <w:tc>
          <w:tcPr>
            <w:tcW w:w="1227" w:type="dxa"/>
            <w:vMerge w:val="restart"/>
            <w:tcBorders>
              <w:top w:val="single" w:sz="8" w:space="0" w:color="000000"/>
              <w:left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 по се</w:t>
            </w:r>
            <w:r>
              <w:rPr>
                <w:rFonts w:ascii="Times New Roman" w:eastAsia="Times New Roman" w:hAnsi="Times New Roman" w:cs="Times New Roman"/>
                <w:color w:val="000000"/>
                <w:lang w:eastAsia="uk-UA"/>
              </w:rPr>
              <w:t>к</w:t>
            </w:r>
            <w:r>
              <w:rPr>
                <w:rFonts w:ascii="Times New Roman" w:eastAsia="Times New Roman" w:hAnsi="Times New Roman" w:cs="Times New Roman"/>
                <w:color w:val="000000"/>
                <w:lang w:eastAsia="uk-UA"/>
              </w:rPr>
              <w:t>торах</w:t>
            </w:r>
          </w:p>
        </w:tc>
      </w:tr>
      <w:tr w:rsidR="00D227E2">
        <w:trPr>
          <w:cantSplit/>
          <w:trHeight w:val="241"/>
        </w:trPr>
        <w:tc>
          <w:tcPr>
            <w:tcW w:w="3001"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D227E2">
            <w:pPr>
              <w:suppressAutoHyphens w:val="0"/>
              <w:spacing w:after="0" w:line="240" w:lineRule="auto"/>
              <w:rPr>
                <w:rFonts w:ascii="Times New Roman" w:eastAsia="Times New Roman" w:hAnsi="Times New Roman" w:cs="Times New Roman"/>
                <w:bCs/>
                <w:lang w:eastAsia="uk-UA"/>
              </w:rPr>
            </w:pPr>
          </w:p>
        </w:tc>
        <w:tc>
          <w:tcPr>
            <w:tcW w:w="1264" w:type="dxa"/>
            <w:vMerge w:val="restart"/>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Електри</w:t>
            </w:r>
            <w:r>
              <w:rPr>
                <w:rFonts w:ascii="Times New Roman" w:eastAsia="Times New Roman" w:hAnsi="Times New Roman" w:cs="Times New Roman"/>
                <w:lang w:eastAsia="uk-UA"/>
              </w:rPr>
              <w:t>ч</w:t>
            </w:r>
            <w:r>
              <w:rPr>
                <w:rFonts w:ascii="Times New Roman" w:eastAsia="Times New Roman" w:hAnsi="Times New Roman" w:cs="Times New Roman"/>
                <w:lang w:eastAsia="uk-UA"/>
              </w:rPr>
              <w:t>на енергія</w:t>
            </w:r>
          </w:p>
        </w:tc>
        <w:tc>
          <w:tcPr>
            <w:tcW w:w="1422" w:type="dxa"/>
            <w:vMerge w:val="restart"/>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Теплова енергія</w:t>
            </w:r>
          </w:p>
        </w:tc>
        <w:tc>
          <w:tcPr>
            <w:tcW w:w="5954" w:type="dxa"/>
            <w:gridSpan w:val="5"/>
            <w:tcBorders>
              <w:top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Видобувні види палива</w:t>
            </w:r>
          </w:p>
        </w:tc>
        <w:tc>
          <w:tcPr>
            <w:tcW w:w="1132" w:type="dxa"/>
            <w:vMerge w:val="restart"/>
            <w:tcBorders>
              <w:top w:val="single" w:sz="8" w:space="0" w:color="000000"/>
              <w:bottom w:val="single" w:sz="8" w:space="0" w:color="000000"/>
              <w:right w:val="single" w:sz="4" w:space="0" w:color="000000"/>
            </w:tcBorders>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Деревина (дрова, щепа, пелети)</w:t>
            </w:r>
          </w:p>
        </w:tc>
        <w:tc>
          <w:tcPr>
            <w:tcW w:w="1274" w:type="dxa"/>
            <w:vMerge/>
            <w:tcBorders>
              <w:top w:val="single" w:sz="8" w:space="0" w:color="000000"/>
              <w:left w:val="single" w:sz="4" w:space="0" w:color="000000"/>
              <w:bottom w:val="single" w:sz="8" w:space="0" w:color="000000"/>
              <w:right w:val="single" w:sz="8" w:space="0" w:color="000000"/>
            </w:tcBorders>
            <w:shd w:val="clear" w:color="auto" w:fill="auto"/>
            <w:vAlign w:val="center"/>
          </w:tcPr>
          <w:p w:rsidR="00D227E2" w:rsidRDefault="00D227E2">
            <w:pPr>
              <w:suppressAutoHyphens w:val="0"/>
              <w:spacing w:after="0" w:line="240" w:lineRule="auto"/>
              <w:rPr>
                <w:rFonts w:ascii="Times New Roman" w:eastAsia="Times New Roman" w:hAnsi="Times New Roman" w:cs="Times New Roman"/>
                <w:color w:val="000000"/>
                <w:lang w:eastAsia="uk-UA"/>
              </w:rPr>
            </w:pPr>
          </w:p>
        </w:tc>
        <w:tc>
          <w:tcPr>
            <w:tcW w:w="1227" w:type="dxa"/>
            <w:vMerge/>
            <w:tcBorders>
              <w:top w:val="single" w:sz="8" w:space="0" w:color="000000"/>
              <w:left w:val="single" w:sz="8" w:space="0" w:color="000000"/>
              <w:right w:val="single" w:sz="8" w:space="0" w:color="000000"/>
            </w:tcBorders>
            <w:shd w:val="clear" w:color="auto" w:fill="auto"/>
            <w:vAlign w:val="center"/>
          </w:tcPr>
          <w:p w:rsidR="00D227E2" w:rsidRDefault="00D227E2">
            <w:pPr>
              <w:suppressAutoHyphens w:val="0"/>
              <w:spacing w:after="0" w:line="240" w:lineRule="auto"/>
              <w:rPr>
                <w:rFonts w:ascii="Times New Roman" w:eastAsia="Times New Roman" w:hAnsi="Times New Roman" w:cs="Times New Roman"/>
                <w:color w:val="000000"/>
                <w:lang w:eastAsia="uk-UA"/>
              </w:rPr>
            </w:pPr>
          </w:p>
        </w:tc>
      </w:tr>
      <w:tr w:rsidR="00D227E2">
        <w:trPr>
          <w:cantSplit/>
          <w:trHeight w:val="827"/>
        </w:trPr>
        <w:tc>
          <w:tcPr>
            <w:tcW w:w="3001"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D227E2">
            <w:pPr>
              <w:suppressAutoHyphens w:val="0"/>
              <w:spacing w:after="0" w:line="240" w:lineRule="auto"/>
              <w:rPr>
                <w:rFonts w:ascii="Times New Roman" w:eastAsia="Times New Roman" w:hAnsi="Times New Roman" w:cs="Times New Roman"/>
                <w:bCs/>
                <w:lang w:eastAsia="uk-UA"/>
              </w:rPr>
            </w:pPr>
          </w:p>
        </w:tc>
        <w:tc>
          <w:tcPr>
            <w:tcW w:w="1264" w:type="dxa"/>
            <w:vMerge/>
            <w:tcBorders>
              <w:left w:val="single" w:sz="8" w:space="0" w:color="000000"/>
              <w:bottom w:val="single" w:sz="8" w:space="0" w:color="000000"/>
              <w:right w:val="single" w:sz="8" w:space="0" w:color="000000"/>
            </w:tcBorders>
            <w:shd w:val="clear" w:color="auto" w:fill="auto"/>
            <w:vAlign w:val="center"/>
          </w:tcPr>
          <w:p w:rsidR="00D227E2" w:rsidRDefault="00D227E2">
            <w:pPr>
              <w:suppressAutoHyphens w:val="0"/>
              <w:spacing w:after="0" w:line="240" w:lineRule="auto"/>
              <w:rPr>
                <w:rFonts w:ascii="Times New Roman" w:eastAsia="Times New Roman" w:hAnsi="Times New Roman" w:cs="Times New Roman"/>
                <w:lang w:eastAsia="uk-UA"/>
              </w:rPr>
            </w:pPr>
          </w:p>
        </w:tc>
        <w:tc>
          <w:tcPr>
            <w:tcW w:w="1422" w:type="dxa"/>
            <w:vMerge/>
            <w:tcBorders>
              <w:left w:val="single" w:sz="8" w:space="0" w:color="000000"/>
              <w:bottom w:val="single" w:sz="8" w:space="0" w:color="000000"/>
              <w:right w:val="single" w:sz="8" w:space="0" w:color="000000"/>
            </w:tcBorders>
            <w:shd w:val="clear" w:color="auto" w:fill="auto"/>
            <w:vAlign w:val="center"/>
          </w:tcPr>
          <w:p w:rsidR="00D227E2" w:rsidRDefault="00D227E2">
            <w:pPr>
              <w:suppressAutoHyphens w:val="0"/>
              <w:spacing w:after="0" w:line="240" w:lineRule="auto"/>
              <w:rPr>
                <w:rFonts w:ascii="Times New Roman" w:eastAsia="Times New Roman" w:hAnsi="Times New Roman" w:cs="Times New Roman"/>
                <w:lang w:eastAsia="uk-UA"/>
              </w:rPr>
            </w:pPr>
          </w:p>
        </w:tc>
        <w:tc>
          <w:tcPr>
            <w:tcW w:w="1188" w:type="dxa"/>
            <w:tcBorders>
              <w:top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Приро</w:t>
            </w:r>
            <w:r>
              <w:rPr>
                <w:rFonts w:ascii="Times New Roman" w:eastAsia="Times New Roman" w:hAnsi="Times New Roman" w:cs="Times New Roman"/>
                <w:lang w:eastAsia="uk-UA"/>
              </w:rPr>
              <w:t>д</w:t>
            </w:r>
            <w:r>
              <w:rPr>
                <w:rFonts w:ascii="Times New Roman" w:eastAsia="Times New Roman" w:hAnsi="Times New Roman" w:cs="Times New Roman"/>
                <w:lang w:eastAsia="uk-UA"/>
              </w:rPr>
              <w:t>ний газ</w:t>
            </w:r>
          </w:p>
        </w:tc>
        <w:tc>
          <w:tcPr>
            <w:tcW w:w="1149" w:type="dxa"/>
            <w:tcBorders>
              <w:top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Стисн</w:t>
            </w:r>
            <w:r>
              <w:rPr>
                <w:rFonts w:ascii="Times New Roman" w:eastAsia="Times New Roman" w:hAnsi="Times New Roman" w:cs="Times New Roman"/>
                <w:lang w:eastAsia="uk-UA"/>
              </w:rPr>
              <w:t>е</w:t>
            </w:r>
            <w:r>
              <w:rPr>
                <w:rFonts w:ascii="Times New Roman" w:eastAsia="Times New Roman" w:hAnsi="Times New Roman" w:cs="Times New Roman"/>
                <w:lang w:eastAsia="uk-UA"/>
              </w:rPr>
              <w:t>ний газ (Метан)</w:t>
            </w:r>
          </w:p>
        </w:tc>
        <w:tc>
          <w:tcPr>
            <w:tcW w:w="1344" w:type="dxa"/>
            <w:tcBorders>
              <w:top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Скрапл</w:t>
            </w:r>
            <w:r>
              <w:rPr>
                <w:rFonts w:ascii="Times New Roman" w:eastAsia="Times New Roman" w:hAnsi="Times New Roman" w:cs="Times New Roman"/>
                <w:lang w:eastAsia="uk-UA"/>
              </w:rPr>
              <w:t>е</w:t>
            </w:r>
            <w:r>
              <w:rPr>
                <w:rFonts w:ascii="Times New Roman" w:eastAsia="Times New Roman" w:hAnsi="Times New Roman" w:cs="Times New Roman"/>
                <w:lang w:eastAsia="uk-UA"/>
              </w:rPr>
              <w:t>ний газ (Пропан-бутан)</w:t>
            </w:r>
          </w:p>
        </w:tc>
        <w:tc>
          <w:tcPr>
            <w:tcW w:w="1140" w:type="dxa"/>
            <w:tcBorders>
              <w:top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Дизель</w:t>
            </w:r>
          </w:p>
        </w:tc>
        <w:tc>
          <w:tcPr>
            <w:tcW w:w="1133" w:type="dxa"/>
            <w:tcBorders>
              <w:top w:val="single" w:sz="8" w:space="0" w:color="000000"/>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Бензин</w:t>
            </w:r>
          </w:p>
        </w:tc>
        <w:tc>
          <w:tcPr>
            <w:tcW w:w="1132" w:type="dxa"/>
            <w:vMerge/>
            <w:tcBorders>
              <w:bottom w:val="single" w:sz="8" w:space="0" w:color="000000"/>
              <w:right w:val="single" w:sz="4" w:space="0" w:color="000000"/>
            </w:tcBorders>
          </w:tcPr>
          <w:p w:rsidR="00D227E2" w:rsidRDefault="00D227E2">
            <w:pPr>
              <w:suppressAutoHyphens w:val="0"/>
              <w:spacing w:after="0" w:line="240" w:lineRule="auto"/>
              <w:jc w:val="center"/>
              <w:rPr>
                <w:rFonts w:ascii="Times New Roman" w:eastAsia="Times New Roman" w:hAnsi="Times New Roman" w:cs="Times New Roman"/>
                <w:color w:val="000000"/>
                <w:lang w:eastAsia="uk-UA"/>
              </w:rPr>
            </w:pPr>
          </w:p>
        </w:tc>
        <w:tc>
          <w:tcPr>
            <w:tcW w:w="1274" w:type="dxa"/>
            <w:vMerge/>
            <w:tcBorders>
              <w:top w:val="single" w:sz="8" w:space="0" w:color="000000"/>
              <w:left w:val="single" w:sz="4" w:space="0" w:color="000000"/>
              <w:bottom w:val="single" w:sz="8" w:space="0" w:color="000000"/>
              <w:right w:val="single" w:sz="8" w:space="0" w:color="000000"/>
            </w:tcBorders>
            <w:shd w:val="clear" w:color="auto" w:fill="auto"/>
            <w:vAlign w:val="center"/>
          </w:tcPr>
          <w:p w:rsidR="00D227E2" w:rsidRDefault="00D227E2">
            <w:pPr>
              <w:suppressAutoHyphens w:val="0"/>
              <w:spacing w:after="0" w:line="240" w:lineRule="auto"/>
              <w:rPr>
                <w:rFonts w:ascii="Times New Roman" w:eastAsia="Times New Roman" w:hAnsi="Times New Roman" w:cs="Times New Roman"/>
                <w:color w:val="000000"/>
                <w:lang w:eastAsia="uk-UA"/>
              </w:rPr>
            </w:pPr>
          </w:p>
        </w:tc>
        <w:tc>
          <w:tcPr>
            <w:tcW w:w="1227" w:type="dxa"/>
            <w:vMerge/>
            <w:tcBorders>
              <w:top w:val="single" w:sz="8" w:space="0" w:color="000000"/>
              <w:left w:val="single" w:sz="8" w:space="0" w:color="000000"/>
              <w:right w:val="single" w:sz="8" w:space="0" w:color="000000"/>
            </w:tcBorders>
            <w:shd w:val="clear" w:color="auto" w:fill="auto"/>
            <w:vAlign w:val="center"/>
          </w:tcPr>
          <w:p w:rsidR="00D227E2" w:rsidRDefault="00D227E2">
            <w:pPr>
              <w:suppressAutoHyphens w:val="0"/>
              <w:spacing w:after="0" w:line="240" w:lineRule="auto"/>
              <w:rPr>
                <w:rFonts w:ascii="Times New Roman" w:eastAsia="Times New Roman" w:hAnsi="Times New Roman" w:cs="Times New Roman"/>
                <w:color w:val="000000"/>
                <w:lang w:eastAsia="uk-UA"/>
              </w:rPr>
            </w:pPr>
          </w:p>
        </w:tc>
      </w:tr>
      <w:tr w:rsidR="00D227E2">
        <w:trPr>
          <w:cantSplit/>
          <w:trHeight w:val="330"/>
        </w:trPr>
        <w:tc>
          <w:tcPr>
            <w:tcW w:w="14047" w:type="dxa"/>
            <w:gridSpan w:val="10"/>
            <w:tcBorders>
              <w:left w:val="single" w:sz="8" w:space="0" w:color="000000"/>
              <w:bottom w:val="single" w:sz="8" w:space="0" w:color="000000"/>
              <w:right w:val="single" w:sz="8" w:space="0" w:color="000000"/>
            </w:tcBorders>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Будівлі, обладнання/об'єкти</w:t>
            </w:r>
          </w:p>
        </w:tc>
        <w:tc>
          <w:tcPr>
            <w:tcW w:w="1227" w:type="dxa"/>
            <w:tcBorders>
              <w:top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80,5%</w:t>
            </w:r>
          </w:p>
        </w:tc>
      </w:tr>
      <w:tr w:rsidR="00D227E2">
        <w:trPr>
          <w:cantSplit/>
          <w:trHeight w:val="525"/>
        </w:trPr>
        <w:tc>
          <w:tcPr>
            <w:tcW w:w="3001"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lang w:eastAsia="uk-UA"/>
              </w:rPr>
              <w:t>Муніципальні будівлі, обл</w:t>
            </w:r>
            <w:r>
              <w:rPr>
                <w:rFonts w:ascii="Times New Roman" w:eastAsia="Times New Roman" w:hAnsi="Times New Roman" w:cs="Times New Roman"/>
                <w:lang w:eastAsia="uk-UA"/>
              </w:rPr>
              <w:t>а</w:t>
            </w:r>
            <w:r>
              <w:rPr>
                <w:rFonts w:ascii="Times New Roman" w:eastAsia="Times New Roman" w:hAnsi="Times New Roman" w:cs="Times New Roman"/>
                <w:lang w:eastAsia="uk-UA"/>
              </w:rPr>
              <w:t>днання/об'єкти</w:t>
            </w:r>
          </w:p>
        </w:tc>
        <w:tc>
          <w:tcPr>
            <w:tcW w:w="1264"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30 576,8</w:t>
            </w:r>
          </w:p>
        </w:tc>
        <w:tc>
          <w:tcPr>
            <w:tcW w:w="1422"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16 869,0</w:t>
            </w:r>
          </w:p>
        </w:tc>
        <w:tc>
          <w:tcPr>
            <w:tcW w:w="118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5 488,3</w:t>
            </w:r>
          </w:p>
        </w:tc>
        <w:tc>
          <w:tcPr>
            <w:tcW w:w="1149"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344"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140" w:type="dxa"/>
            <w:tcBorders>
              <w:bottom w:val="single" w:sz="8" w:space="0" w:color="000000"/>
              <w:right w:val="single" w:sz="8" w:space="0" w:color="000000"/>
            </w:tcBorders>
            <w:shd w:val="clear" w:color="auto" w:fill="auto"/>
            <w:vAlign w:val="center"/>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133" w:type="dxa"/>
            <w:tcBorders>
              <w:bottom w:val="single" w:sz="8" w:space="0" w:color="000000"/>
              <w:right w:val="single" w:sz="4" w:space="0" w:color="000000"/>
            </w:tcBorders>
            <w:shd w:val="clear" w:color="auto" w:fill="auto"/>
            <w:vAlign w:val="center"/>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132" w:type="dxa"/>
            <w:tcBorders>
              <w:bottom w:val="single" w:sz="8" w:space="0" w:color="000000"/>
              <w:right w:val="single" w:sz="4" w:space="0" w:color="000000"/>
            </w:tcBorders>
            <w:vAlign w:val="center"/>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74" w:type="dxa"/>
            <w:tcBorders>
              <w:left w:val="single" w:sz="4"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52 934,1</w:t>
            </w:r>
          </w:p>
        </w:tc>
        <w:tc>
          <w:tcPr>
            <w:tcW w:w="1227" w:type="dxa"/>
            <w:tcBorders>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8,6%</w:t>
            </w:r>
          </w:p>
        </w:tc>
      </w:tr>
      <w:tr w:rsidR="00D227E2">
        <w:trPr>
          <w:cantSplit/>
          <w:trHeight w:val="330"/>
        </w:trPr>
        <w:tc>
          <w:tcPr>
            <w:tcW w:w="3001"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lang w:eastAsia="uk-UA"/>
              </w:rPr>
              <w:t>Муніципальне освітлення</w:t>
            </w:r>
          </w:p>
        </w:tc>
        <w:tc>
          <w:tcPr>
            <w:tcW w:w="1264"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2 528,6</w:t>
            </w:r>
          </w:p>
        </w:tc>
        <w:tc>
          <w:tcPr>
            <w:tcW w:w="1422"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18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149"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344"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140" w:type="dxa"/>
            <w:tcBorders>
              <w:bottom w:val="single" w:sz="8" w:space="0" w:color="000000"/>
              <w:right w:val="single" w:sz="8" w:space="0" w:color="000000"/>
            </w:tcBorders>
            <w:shd w:val="clear" w:color="auto" w:fill="auto"/>
            <w:vAlign w:val="center"/>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133" w:type="dxa"/>
            <w:tcBorders>
              <w:bottom w:val="single" w:sz="8" w:space="0" w:color="000000"/>
              <w:right w:val="single" w:sz="4" w:space="0" w:color="000000"/>
            </w:tcBorders>
            <w:shd w:val="clear" w:color="auto" w:fill="auto"/>
            <w:vAlign w:val="center"/>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132" w:type="dxa"/>
            <w:tcBorders>
              <w:bottom w:val="single" w:sz="8" w:space="0" w:color="000000"/>
              <w:right w:val="single" w:sz="4" w:space="0" w:color="000000"/>
            </w:tcBorders>
            <w:vAlign w:val="center"/>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74" w:type="dxa"/>
            <w:tcBorders>
              <w:left w:val="single" w:sz="4"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2 528,6</w:t>
            </w:r>
          </w:p>
        </w:tc>
        <w:tc>
          <w:tcPr>
            <w:tcW w:w="1227" w:type="dxa"/>
            <w:tcBorders>
              <w:top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0,4%</w:t>
            </w:r>
          </w:p>
        </w:tc>
      </w:tr>
      <w:tr w:rsidR="00D227E2">
        <w:trPr>
          <w:cantSplit/>
          <w:trHeight w:val="248"/>
        </w:trPr>
        <w:tc>
          <w:tcPr>
            <w:tcW w:w="14047" w:type="dxa"/>
            <w:gridSpan w:val="10"/>
            <w:tcBorders>
              <w:left w:val="single" w:sz="8" w:space="0" w:color="000000"/>
              <w:bottom w:val="single" w:sz="8" w:space="0" w:color="000000"/>
              <w:right w:val="single" w:sz="8" w:space="0" w:color="000000"/>
            </w:tcBorders>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Третинні будівлі, обладнання/об'єкти</w:t>
            </w:r>
          </w:p>
        </w:tc>
        <w:tc>
          <w:tcPr>
            <w:tcW w:w="1227"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11,8%</w:t>
            </w:r>
          </w:p>
        </w:tc>
      </w:tr>
      <w:tr w:rsidR="00D227E2">
        <w:trPr>
          <w:cantSplit/>
          <w:trHeight w:val="403"/>
        </w:trPr>
        <w:tc>
          <w:tcPr>
            <w:tcW w:w="3001"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lang w:eastAsia="uk-UA"/>
              </w:rPr>
              <w:t>Третинні будівлі, обладна</w:t>
            </w:r>
            <w:r>
              <w:rPr>
                <w:rFonts w:ascii="Times New Roman" w:eastAsia="Times New Roman" w:hAnsi="Times New Roman" w:cs="Times New Roman"/>
                <w:lang w:eastAsia="uk-UA"/>
              </w:rPr>
              <w:t>н</w:t>
            </w:r>
            <w:r>
              <w:rPr>
                <w:rFonts w:ascii="Times New Roman" w:eastAsia="Times New Roman" w:hAnsi="Times New Roman" w:cs="Times New Roman"/>
                <w:lang w:eastAsia="uk-UA"/>
              </w:rPr>
              <w:t>ня/об'єкти</w:t>
            </w:r>
          </w:p>
        </w:tc>
        <w:tc>
          <w:tcPr>
            <w:tcW w:w="1264"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64 514</w:t>
            </w:r>
          </w:p>
        </w:tc>
        <w:tc>
          <w:tcPr>
            <w:tcW w:w="1422"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3 602,7</w:t>
            </w:r>
          </w:p>
        </w:tc>
        <w:tc>
          <w:tcPr>
            <w:tcW w:w="118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3 188,1</w:t>
            </w:r>
          </w:p>
        </w:tc>
        <w:tc>
          <w:tcPr>
            <w:tcW w:w="1149"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344"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140" w:type="dxa"/>
            <w:tcBorders>
              <w:bottom w:val="single" w:sz="8" w:space="0" w:color="000000"/>
              <w:right w:val="single" w:sz="8" w:space="0" w:color="000000"/>
            </w:tcBorders>
            <w:shd w:val="clear" w:color="auto" w:fill="auto"/>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133" w:type="dxa"/>
            <w:tcBorders>
              <w:bottom w:val="single" w:sz="8" w:space="0" w:color="000000"/>
              <w:right w:val="single" w:sz="4" w:space="0" w:color="000000"/>
            </w:tcBorders>
            <w:shd w:val="clear" w:color="auto" w:fill="auto"/>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132" w:type="dxa"/>
            <w:tcBorders>
              <w:bottom w:val="single" w:sz="8" w:space="0" w:color="000000"/>
              <w:right w:val="single" w:sz="4" w:space="0" w:color="000000"/>
            </w:tcBorders>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74" w:type="dxa"/>
            <w:tcBorders>
              <w:left w:val="single" w:sz="4"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71304,9</w:t>
            </w:r>
          </w:p>
        </w:tc>
        <w:tc>
          <w:tcPr>
            <w:tcW w:w="1227" w:type="dxa"/>
            <w:tcBorders>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11,6%</w:t>
            </w:r>
          </w:p>
        </w:tc>
      </w:tr>
      <w:tr w:rsidR="00D227E2">
        <w:trPr>
          <w:cantSplit/>
          <w:trHeight w:val="330"/>
        </w:trPr>
        <w:tc>
          <w:tcPr>
            <w:tcW w:w="3001"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Житлові будинки</w:t>
            </w:r>
          </w:p>
        </w:tc>
        <w:tc>
          <w:tcPr>
            <w:tcW w:w="1264"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132 634,4</w:t>
            </w:r>
          </w:p>
        </w:tc>
        <w:tc>
          <w:tcPr>
            <w:tcW w:w="1422"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106 270,3</w:t>
            </w:r>
          </w:p>
        </w:tc>
        <w:tc>
          <w:tcPr>
            <w:tcW w:w="118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128 872,1</w:t>
            </w:r>
          </w:p>
        </w:tc>
        <w:tc>
          <w:tcPr>
            <w:tcW w:w="1149"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0,0</w:t>
            </w:r>
          </w:p>
        </w:tc>
        <w:tc>
          <w:tcPr>
            <w:tcW w:w="1344"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0,0</w:t>
            </w:r>
          </w:p>
        </w:tc>
        <w:tc>
          <w:tcPr>
            <w:tcW w:w="1140" w:type="dxa"/>
            <w:tcBorders>
              <w:bottom w:val="single" w:sz="8" w:space="0" w:color="000000"/>
              <w:right w:val="single" w:sz="8" w:space="0" w:color="000000"/>
            </w:tcBorders>
            <w:shd w:val="clear" w:color="auto" w:fill="auto"/>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133" w:type="dxa"/>
            <w:tcBorders>
              <w:bottom w:val="single" w:sz="8" w:space="0" w:color="000000"/>
              <w:right w:val="single" w:sz="4" w:space="0" w:color="000000"/>
            </w:tcBorders>
            <w:shd w:val="clear" w:color="auto" w:fill="auto"/>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132" w:type="dxa"/>
            <w:tcBorders>
              <w:bottom w:val="single" w:sz="8" w:space="0" w:color="000000"/>
              <w:right w:val="single" w:sz="4" w:space="0" w:color="000000"/>
            </w:tcBorders>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524,7</w:t>
            </w:r>
          </w:p>
        </w:tc>
        <w:tc>
          <w:tcPr>
            <w:tcW w:w="1274" w:type="dxa"/>
            <w:tcBorders>
              <w:left w:val="single" w:sz="4" w:space="0" w:color="000000"/>
              <w:bottom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368 301,4</w:t>
            </w:r>
          </w:p>
        </w:tc>
        <w:tc>
          <w:tcPr>
            <w:tcW w:w="122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59,9%</w:t>
            </w:r>
          </w:p>
        </w:tc>
      </w:tr>
      <w:tr w:rsidR="00D227E2">
        <w:trPr>
          <w:cantSplit/>
          <w:trHeight w:val="208"/>
        </w:trPr>
        <w:tc>
          <w:tcPr>
            <w:tcW w:w="14047" w:type="dxa"/>
            <w:gridSpan w:val="10"/>
            <w:tcBorders>
              <w:left w:val="single" w:sz="8" w:space="0" w:color="000000"/>
              <w:bottom w:val="single" w:sz="8" w:space="0" w:color="000000"/>
              <w:right w:val="single" w:sz="8" w:space="0" w:color="000000"/>
            </w:tcBorders>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Транспорт</w:t>
            </w:r>
          </w:p>
        </w:tc>
        <w:tc>
          <w:tcPr>
            <w:tcW w:w="1227"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19,5%</w:t>
            </w:r>
          </w:p>
        </w:tc>
      </w:tr>
      <w:tr w:rsidR="00D227E2">
        <w:trPr>
          <w:cantSplit/>
          <w:trHeight w:val="330"/>
        </w:trPr>
        <w:tc>
          <w:tcPr>
            <w:tcW w:w="3001"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lang w:eastAsia="uk-UA"/>
              </w:rPr>
              <w:t>Муніципальний транспорт</w:t>
            </w:r>
          </w:p>
        </w:tc>
        <w:tc>
          <w:tcPr>
            <w:tcW w:w="1264"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422"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18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149"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61,6</w:t>
            </w:r>
          </w:p>
        </w:tc>
        <w:tc>
          <w:tcPr>
            <w:tcW w:w="1344"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126,2</w:t>
            </w:r>
          </w:p>
        </w:tc>
        <w:tc>
          <w:tcPr>
            <w:tcW w:w="1140"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1 920,3</w:t>
            </w:r>
          </w:p>
        </w:tc>
        <w:tc>
          <w:tcPr>
            <w:tcW w:w="1133" w:type="dxa"/>
            <w:tcBorders>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860,0</w:t>
            </w:r>
          </w:p>
        </w:tc>
        <w:tc>
          <w:tcPr>
            <w:tcW w:w="1132" w:type="dxa"/>
            <w:tcBorders>
              <w:bottom w:val="single" w:sz="8" w:space="0" w:color="000000"/>
              <w:right w:val="single" w:sz="4" w:space="0" w:color="000000"/>
            </w:tcBorders>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74" w:type="dxa"/>
            <w:tcBorders>
              <w:left w:val="single" w:sz="4"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2 968,0</w:t>
            </w:r>
          </w:p>
        </w:tc>
        <w:tc>
          <w:tcPr>
            <w:tcW w:w="1227"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0,5%</w:t>
            </w:r>
          </w:p>
        </w:tc>
      </w:tr>
      <w:tr w:rsidR="00D227E2">
        <w:trPr>
          <w:cantSplit/>
          <w:trHeight w:val="330"/>
        </w:trPr>
        <w:tc>
          <w:tcPr>
            <w:tcW w:w="3001"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lang w:eastAsia="uk-UA"/>
              </w:rPr>
              <w:t>Громадський транспорт</w:t>
            </w:r>
          </w:p>
        </w:tc>
        <w:tc>
          <w:tcPr>
            <w:tcW w:w="1264"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2 971,9</w:t>
            </w:r>
          </w:p>
        </w:tc>
        <w:tc>
          <w:tcPr>
            <w:tcW w:w="1422"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18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149"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344"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140"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8 661,8</w:t>
            </w:r>
          </w:p>
        </w:tc>
        <w:tc>
          <w:tcPr>
            <w:tcW w:w="1133" w:type="dxa"/>
            <w:tcBorders>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132" w:type="dxa"/>
            <w:tcBorders>
              <w:bottom w:val="single" w:sz="8" w:space="0" w:color="000000"/>
              <w:right w:val="single" w:sz="4" w:space="0" w:color="000000"/>
            </w:tcBorders>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74" w:type="dxa"/>
            <w:tcBorders>
              <w:left w:val="single" w:sz="4"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11 633,7</w:t>
            </w:r>
          </w:p>
        </w:tc>
        <w:tc>
          <w:tcPr>
            <w:tcW w:w="1227"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1,9%</w:t>
            </w:r>
          </w:p>
        </w:tc>
      </w:tr>
      <w:tr w:rsidR="00D227E2">
        <w:trPr>
          <w:cantSplit/>
          <w:trHeight w:val="374"/>
        </w:trPr>
        <w:tc>
          <w:tcPr>
            <w:tcW w:w="3001"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lang w:eastAsia="uk-UA"/>
              </w:rPr>
              <w:t>Приватний та комерційний транспорт</w:t>
            </w:r>
          </w:p>
        </w:tc>
        <w:tc>
          <w:tcPr>
            <w:tcW w:w="1264"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671,5</w:t>
            </w:r>
          </w:p>
        </w:tc>
        <w:tc>
          <w:tcPr>
            <w:tcW w:w="1422"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188"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149"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45,1</w:t>
            </w:r>
          </w:p>
        </w:tc>
        <w:tc>
          <w:tcPr>
            <w:tcW w:w="1344"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4580,5</w:t>
            </w:r>
          </w:p>
        </w:tc>
        <w:tc>
          <w:tcPr>
            <w:tcW w:w="1140"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54 888,8</w:t>
            </w:r>
          </w:p>
        </w:tc>
        <w:tc>
          <w:tcPr>
            <w:tcW w:w="1133" w:type="dxa"/>
            <w:tcBorders>
              <w:bottom w:val="single" w:sz="8"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44 868,6</w:t>
            </w:r>
          </w:p>
        </w:tc>
        <w:tc>
          <w:tcPr>
            <w:tcW w:w="1132" w:type="dxa"/>
            <w:tcBorders>
              <w:bottom w:val="single" w:sz="8" w:space="0" w:color="000000"/>
              <w:right w:val="single" w:sz="4" w:space="0" w:color="000000"/>
            </w:tcBorders>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74" w:type="dxa"/>
            <w:tcBorders>
              <w:left w:val="single" w:sz="4"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105 054,5</w:t>
            </w:r>
          </w:p>
        </w:tc>
        <w:tc>
          <w:tcPr>
            <w:tcW w:w="1227" w:type="dxa"/>
            <w:tcBorders>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17,1%</w:t>
            </w:r>
          </w:p>
        </w:tc>
      </w:tr>
      <w:tr w:rsidR="00D227E2">
        <w:trPr>
          <w:cantSplit/>
          <w:trHeight w:val="287"/>
        </w:trPr>
        <w:tc>
          <w:tcPr>
            <w:tcW w:w="15274" w:type="dxa"/>
            <w:gridSpan w:val="11"/>
            <w:tcBorders>
              <w:left w:val="single" w:sz="8" w:space="0" w:color="000000"/>
              <w:bottom w:val="single" w:sz="8" w:space="0" w:color="000000"/>
              <w:right w:val="single" w:sz="8" w:space="0" w:color="000000"/>
            </w:tcBorders>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Сектори, що не пов'язані з енергетикою</w:t>
            </w:r>
          </w:p>
        </w:tc>
      </w:tr>
      <w:tr w:rsidR="00D227E2">
        <w:trPr>
          <w:cantSplit/>
          <w:trHeight w:val="336"/>
        </w:trPr>
        <w:tc>
          <w:tcPr>
            <w:tcW w:w="3001" w:type="dxa"/>
            <w:tcBorders>
              <w:left w:val="single" w:sz="8"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lang w:eastAsia="uk-UA"/>
              </w:rPr>
              <w:t>Управління відходами</w:t>
            </w:r>
          </w:p>
        </w:tc>
        <w:tc>
          <w:tcPr>
            <w:tcW w:w="9772" w:type="dxa"/>
            <w:gridSpan w:val="8"/>
            <w:tcBorders>
              <w:top w:val="single" w:sz="8" w:space="0" w:color="000000"/>
              <w:bottom w:val="single" w:sz="8" w:space="0" w:color="000000"/>
              <w:right w:val="single" w:sz="4" w:space="0" w:color="000000"/>
            </w:tcBorders>
            <w:shd w:val="clear" w:color="auto" w:fill="auto"/>
            <w:vAlign w:val="center"/>
          </w:tcPr>
          <w:p w:rsidR="00D227E2" w:rsidRDefault="00D227E2">
            <w:pPr>
              <w:suppressAutoHyphens w:val="0"/>
              <w:spacing w:after="0" w:line="240" w:lineRule="auto"/>
              <w:jc w:val="center"/>
              <w:rPr>
                <w:rFonts w:ascii="Times New Roman" w:eastAsia="Times New Roman" w:hAnsi="Times New Roman" w:cs="Times New Roman"/>
                <w:bCs/>
                <w:color w:val="000000"/>
                <w:lang w:eastAsia="uk-UA"/>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ind w:left="-253"/>
              <w:jc w:val="center"/>
              <w:rPr>
                <w:rFonts w:ascii="Times New Roman" w:hAnsi="Times New Roman" w:cs="Times New Roman"/>
              </w:rPr>
            </w:pPr>
            <w:r>
              <w:rPr>
                <w:rFonts w:ascii="Times New Roman" w:eastAsia="Times New Roman" w:hAnsi="Times New Roman" w:cs="Times New Roman"/>
                <w:bCs/>
                <w:color w:val="000000"/>
                <w:lang w:eastAsia="uk-UA"/>
              </w:rPr>
              <w:t>150,0</w:t>
            </w:r>
          </w:p>
        </w:tc>
        <w:tc>
          <w:tcPr>
            <w:tcW w:w="1227" w:type="dxa"/>
            <w:tcBorders>
              <w:left w:val="single" w:sz="4"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r>
      <w:tr w:rsidR="00D227E2">
        <w:trPr>
          <w:cantSplit/>
          <w:trHeight w:val="425"/>
        </w:trPr>
        <w:tc>
          <w:tcPr>
            <w:tcW w:w="3001" w:type="dxa"/>
            <w:tcBorders>
              <w:left w:val="single" w:sz="8" w:space="0" w:color="000000"/>
              <w:bottom w:val="single" w:sz="4" w:space="0" w:color="000000"/>
              <w:right w:val="single" w:sz="8" w:space="0" w:color="000000"/>
            </w:tcBorders>
            <w:shd w:val="clear" w:color="auto" w:fill="auto"/>
            <w:vAlign w:val="center"/>
          </w:tcPr>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lang w:eastAsia="uk-UA"/>
              </w:rPr>
              <w:t>Очищення та скидання сті</w:t>
            </w:r>
            <w:r>
              <w:rPr>
                <w:rFonts w:ascii="Times New Roman" w:eastAsia="Times New Roman" w:hAnsi="Times New Roman" w:cs="Times New Roman"/>
                <w:lang w:eastAsia="uk-UA"/>
              </w:rPr>
              <w:t>ч</w:t>
            </w:r>
            <w:r>
              <w:rPr>
                <w:rFonts w:ascii="Times New Roman" w:eastAsia="Times New Roman" w:hAnsi="Times New Roman" w:cs="Times New Roman"/>
                <w:lang w:eastAsia="uk-UA"/>
              </w:rPr>
              <w:t>них вод</w:t>
            </w:r>
          </w:p>
        </w:tc>
        <w:tc>
          <w:tcPr>
            <w:tcW w:w="9772" w:type="dxa"/>
            <w:gridSpan w:val="8"/>
            <w:tcBorders>
              <w:top w:val="single" w:sz="8" w:space="0" w:color="000000"/>
              <w:bottom w:val="single" w:sz="4" w:space="0" w:color="000000"/>
              <w:right w:val="single" w:sz="4" w:space="0" w:color="000000"/>
            </w:tcBorders>
            <w:shd w:val="clear" w:color="auto" w:fill="auto"/>
            <w:vAlign w:val="center"/>
          </w:tcPr>
          <w:p w:rsidR="00D227E2" w:rsidRDefault="00D227E2">
            <w:pPr>
              <w:suppressAutoHyphens w:val="0"/>
              <w:spacing w:after="0" w:line="240" w:lineRule="auto"/>
              <w:jc w:val="center"/>
              <w:rPr>
                <w:rFonts w:ascii="Times New Roman" w:eastAsia="Times New Roman" w:hAnsi="Times New Roman" w:cs="Times New Roman"/>
                <w:bCs/>
                <w:color w:val="000000"/>
                <w:lang w:eastAsia="uk-UA"/>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ind w:left="-253"/>
              <w:jc w:val="center"/>
              <w:rPr>
                <w:rFonts w:ascii="Times New Roman" w:hAnsi="Times New Roman" w:cs="Times New Roman"/>
              </w:rPr>
            </w:pPr>
            <w:r>
              <w:rPr>
                <w:rFonts w:ascii="Times New Roman" w:eastAsia="Times New Roman" w:hAnsi="Times New Roman" w:cs="Times New Roman"/>
                <w:bCs/>
                <w:color w:val="000000"/>
                <w:lang w:eastAsia="uk-UA"/>
              </w:rPr>
              <w:t>87,0</w:t>
            </w:r>
          </w:p>
        </w:tc>
        <w:tc>
          <w:tcPr>
            <w:tcW w:w="1227" w:type="dxa"/>
            <w:tcBorders>
              <w:left w:val="single" w:sz="4" w:space="0" w:color="000000"/>
              <w:bottom w:val="single" w:sz="8" w:space="0" w:color="000000"/>
              <w:right w:val="single" w:sz="8"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r>
      <w:tr w:rsidR="00D227E2">
        <w:trPr>
          <w:cantSplit/>
          <w:trHeight w:val="390"/>
        </w:trPr>
        <w:tc>
          <w:tcPr>
            <w:tcW w:w="3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Усього</w:t>
            </w: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233 897,2</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126 742,0</w:t>
            </w:r>
          </w:p>
        </w:tc>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137 548,5</w:t>
            </w:r>
          </w:p>
        </w:tc>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106,6</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4 706,7</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65 470,9</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45 728,5</w:t>
            </w:r>
          </w:p>
        </w:tc>
        <w:tc>
          <w:tcPr>
            <w:tcW w:w="1132" w:type="dxa"/>
            <w:tcBorders>
              <w:top w:val="single" w:sz="4" w:space="0" w:color="000000"/>
              <w:left w:val="single" w:sz="4" w:space="0" w:color="000000"/>
              <w:bottom w:val="single" w:sz="4" w:space="0" w:color="000000"/>
              <w:right w:val="single" w:sz="4" w:space="0" w:color="000000"/>
            </w:tcBorders>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524,7</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614 962,1</w:t>
            </w:r>
          </w:p>
        </w:tc>
        <w:tc>
          <w:tcPr>
            <w:tcW w:w="1227" w:type="dxa"/>
            <w:tcBorders>
              <w:left w:val="single" w:sz="4" w:space="0" w:color="000000"/>
            </w:tcBorders>
            <w:shd w:val="clear" w:color="auto" w:fill="auto"/>
            <w:vAlign w:val="bottom"/>
          </w:tcPr>
          <w:p w:rsidR="00D227E2" w:rsidRDefault="00D227E2">
            <w:pPr>
              <w:suppressAutoHyphens w:val="0"/>
              <w:spacing w:after="0" w:line="240" w:lineRule="auto"/>
              <w:rPr>
                <w:rFonts w:ascii="Times New Roman" w:eastAsia="Times New Roman" w:hAnsi="Times New Roman" w:cs="Times New Roman"/>
                <w:color w:val="000000"/>
                <w:lang w:eastAsia="uk-UA"/>
              </w:rPr>
            </w:pPr>
          </w:p>
        </w:tc>
      </w:tr>
      <w:tr w:rsidR="00D227E2">
        <w:trPr>
          <w:cantSplit/>
          <w:trHeight w:val="330"/>
        </w:trPr>
        <w:tc>
          <w:tcPr>
            <w:tcW w:w="3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У % за видами палива</w:t>
            </w: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38%</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20,6%</w:t>
            </w:r>
          </w:p>
        </w:tc>
        <w:tc>
          <w:tcPr>
            <w:tcW w:w="1188"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22,4%</w:t>
            </w:r>
          </w:p>
        </w:tc>
        <w:tc>
          <w:tcPr>
            <w:tcW w:w="1149"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0,0%</w:t>
            </w:r>
          </w:p>
        </w:tc>
        <w:tc>
          <w:tcPr>
            <w:tcW w:w="13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0,7%</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10,7%</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7,4%</w:t>
            </w:r>
          </w:p>
        </w:tc>
        <w:tc>
          <w:tcPr>
            <w:tcW w:w="1132" w:type="dxa"/>
            <w:tcBorders>
              <w:top w:val="single" w:sz="4" w:space="0" w:color="000000"/>
              <w:left w:val="single" w:sz="4" w:space="0" w:color="000000"/>
              <w:bottom w:val="single" w:sz="4" w:space="0" w:color="000000"/>
              <w:right w:val="single" w:sz="4" w:space="0" w:color="000000"/>
            </w:tcBorders>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0,1%</w:t>
            </w:r>
          </w:p>
        </w:tc>
        <w:tc>
          <w:tcPr>
            <w:tcW w:w="1274" w:type="dxa"/>
            <w:tcBorders>
              <w:top w:val="single" w:sz="4" w:space="0" w:color="000000"/>
              <w:left w:val="single" w:sz="4" w:space="0" w:color="000000"/>
            </w:tcBorders>
            <w:shd w:val="clear" w:color="auto" w:fill="auto"/>
            <w:vAlign w:val="bottom"/>
          </w:tcPr>
          <w:p w:rsidR="00D227E2" w:rsidRDefault="00D227E2">
            <w:pPr>
              <w:suppressAutoHyphens w:val="0"/>
              <w:spacing w:after="0" w:line="240" w:lineRule="auto"/>
              <w:rPr>
                <w:rFonts w:ascii="Times New Roman" w:eastAsia="Times New Roman" w:hAnsi="Times New Roman" w:cs="Times New Roman"/>
                <w:bCs/>
                <w:color w:val="000000"/>
                <w:lang w:eastAsia="uk-UA"/>
              </w:rPr>
            </w:pPr>
          </w:p>
        </w:tc>
        <w:tc>
          <w:tcPr>
            <w:tcW w:w="1227" w:type="dxa"/>
            <w:shd w:val="clear" w:color="auto" w:fill="auto"/>
            <w:vAlign w:val="bottom"/>
          </w:tcPr>
          <w:p w:rsidR="00D227E2" w:rsidRDefault="00D227E2">
            <w:pPr>
              <w:suppressAutoHyphens w:val="0"/>
              <w:spacing w:after="0" w:line="240" w:lineRule="auto"/>
              <w:rPr>
                <w:rFonts w:ascii="Times New Roman" w:eastAsia="Times New Roman" w:hAnsi="Times New Roman" w:cs="Times New Roman"/>
                <w:color w:val="000000"/>
                <w:lang w:eastAsia="uk-UA"/>
              </w:rPr>
            </w:pPr>
          </w:p>
        </w:tc>
      </w:tr>
    </w:tbl>
    <w:p w:rsidR="00D227E2" w:rsidRDefault="00D227E2">
      <w:pPr>
        <w:widowControl w:val="0"/>
        <w:spacing w:after="60" w:line="240" w:lineRule="auto"/>
        <w:jc w:val="center"/>
        <w:rPr>
          <w:rFonts w:ascii="Times New Roman" w:eastAsia="Times New Roman" w:hAnsi="Times New Roman" w:cs="Times New Roman"/>
          <w:color w:val="C9211E"/>
          <w:sz w:val="24"/>
          <w:szCs w:val="24"/>
          <w:lang w:eastAsia="zh-CN"/>
        </w:rPr>
      </w:pPr>
    </w:p>
    <w:p w:rsidR="00D227E2" w:rsidRDefault="00D227E2">
      <w:pPr>
        <w:spacing w:after="0" w:line="240" w:lineRule="auto"/>
        <w:rPr>
          <w:rFonts w:ascii="Times New Roman" w:eastAsia="Times New Roman" w:hAnsi="Times New Roman" w:cs="Times New Roman"/>
          <w:sz w:val="24"/>
          <w:szCs w:val="24"/>
          <w:lang w:eastAsia="zh-CN"/>
        </w:rPr>
      </w:pPr>
    </w:p>
    <w:p w:rsidR="00D227E2" w:rsidRDefault="00D227E2">
      <w:pPr>
        <w:spacing w:after="0" w:line="240" w:lineRule="auto"/>
        <w:rPr>
          <w:rFonts w:ascii="Times New Roman" w:eastAsia="Times New Roman" w:hAnsi="Times New Roman" w:cs="Times New Roman"/>
          <w:sz w:val="24"/>
          <w:szCs w:val="24"/>
          <w:lang w:eastAsia="zh-CN"/>
        </w:rPr>
      </w:pPr>
    </w:p>
    <w:p w:rsidR="00D227E2" w:rsidRDefault="00D227E2">
      <w:pPr>
        <w:spacing w:after="0" w:line="240" w:lineRule="auto"/>
        <w:rPr>
          <w:rFonts w:ascii="Times New Roman" w:eastAsia="Times New Roman" w:hAnsi="Times New Roman" w:cs="Times New Roman"/>
          <w:sz w:val="24"/>
          <w:szCs w:val="24"/>
          <w:lang w:eastAsia="zh-CN"/>
        </w:rPr>
      </w:pPr>
    </w:p>
    <w:p w:rsidR="00D227E2" w:rsidRDefault="00D227E2">
      <w:pPr>
        <w:spacing w:after="0" w:line="240" w:lineRule="auto"/>
        <w:rPr>
          <w:rFonts w:ascii="Times New Roman" w:eastAsia="Times New Roman" w:hAnsi="Times New Roman" w:cs="Times New Roman"/>
          <w:sz w:val="24"/>
          <w:szCs w:val="24"/>
          <w:lang w:eastAsia="zh-CN"/>
        </w:rPr>
      </w:pPr>
    </w:p>
    <w:p w:rsidR="00D227E2" w:rsidRDefault="00934FC4">
      <w:pPr>
        <w:widowControl w:val="0"/>
        <w:spacing w:after="60" w:line="240" w:lineRule="auto"/>
        <w:jc w:val="center"/>
        <w:rPr>
          <w:rFonts w:ascii="Times New Roman" w:hAnsi="Times New Roman" w:cs="Times New Roman"/>
        </w:rPr>
      </w:pPr>
      <w:r>
        <w:rPr>
          <w:rFonts w:ascii="Times New Roman" w:eastAsia="Times New Roman" w:hAnsi="Times New Roman" w:cs="Times New Roman"/>
          <w:sz w:val="24"/>
          <w:szCs w:val="24"/>
          <w:lang w:eastAsia="zh-CN"/>
        </w:rPr>
        <w:t xml:space="preserve">Таблиця 78. </w:t>
      </w:r>
      <w:r>
        <w:rPr>
          <w:rFonts w:ascii="Times New Roman" w:eastAsia="Times New Roman" w:hAnsi="Times New Roman" w:cs="Times New Roman"/>
          <w:bCs/>
          <w:lang w:eastAsia="uk-UA"/>
        </w:rPr>
        <w:t>Обсяги викидів СО</w:t>
      </w:r>
      <w:r>
        <w:rPr>
          <w:rFonts w:ascii="Times New Roman" w:eastAsia="Times New Roman" w:hAnsi="Times New Roman" w:cs="Times New Roman"/>
          <w:bCs/>
          <w:vertAlign w:val="subscript"/>
          <w:lang w:eastAsia="uk-UA"/>
        </w:rPr>
        <w:t>2</w:t>
      </w:r>
      <w:r>
        <w:rPr>
          <w:rFonts w:ascii="Times New Roman" w:eastAsia="Times New Roman" w:hAnsi="Times New Roman" w:cs="Times New Roman"/>
          <w:bCs/>
          <w:lang w:eastAsia="uk-UA"/>
        </w:rPr>
        <w:t>, кг/на 1 людину</w:t>
      </w:r>
    </w:p>
    <w:tbl>
      <w:tblPr>
        <w:tblW w:w="15014" w:type="dxa"/>
        <w:tblLayout w:type="fixed"/>
        <w:tblLook w:val="04A0" w:firstRow="1" w:lastRow="0" w:firstColumn="1" w:lastColumn="0" w:noHBand="0" w:noVBand="1"/>
      </w:tblPr>
      <w:tblGrid>
        <w:gridCol w:w="2844"/>
        <w:gridCol w:w="1321"/>
        <w:gridCol w:w="1081"/>
        <w:gridCol w:w="1285"/>
        <w:gridCol w:w="1267"/>
        <w:gridCol w:w="1416"/>
        <w:gridCol w:w="993"/>
        <w:gridCol w:w="879"/>
        <w:gridCol w:w="1395"/>
        <w:gridCol w:w="1668"/>
        <w:gridCol w:w="865"/>
      </w:tblGrid>
      <w:tr w:rsidR="00D227E2">
        <w:trPr>
          <w:cantSplit/>
          <w:trHeight w:val="330"/>
        </w:trPr>
        <w:tc>
          <w:tcPr>
            <w:tcW w:w="28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Сектори кінцевих спож</w:t>
            </w:r>
            <w:r>
              <w:rPr>
                <w:rFonts w:ascii="Times New Roman" w:eastAsia="Times New Roman" w:hAnsi="Times New Roman" w:cs="Times New Roman"/>
                <w:bCs/>
                <w:lang w:eastAsia="uk-UA"/>
              </w:rPr>
              <w:t>и</w:t>
            </w:r>
            <w:r>
              <w:rPr>
                <w:rFonts w:ascii="Times New Roman" w:eastAsia="Times New Roman" w:hAnsi="Times New Roman" w:cs="Times New Roman"/>
                <w:bCs/>
                <w:lang w:eastAsia="uk-UA"/>
              </w:rPr>
              <w:t>вачів енергоресурсів</w:t>
            </w:r>
          </w:p>
        </w:tc>
        <w:tc>
          <w:tcPr>
            <w:tcW w:w="963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Обсяги викидів СО</w:t>
            </w:r>
            <w:r>
              <w:rPr>
                <w:rFonts w:ascii="Times New Roman" w:eastAsia="Times New Roman" w:hAnsi="Times New Roman" w:cs="Times New Roman"/>
                <w:bCs/>
                <w:vertAlign w:val="subscript"/>
                <w:lang w:eastAsia="uk-UA"/>
              </w:rPr>
              <w:t>2</w:t>
            </w:r>
            <w:r>
              <w:rPr>
                <w:rFonts w:ascii="Times New Roman" w:eastAsia="Times New Roman" w:hAnsi="Times New Roman" w:cs="Times New Roman"/>
                <w:bCs/>
                <w:lang w:eastAsia="uk-UA"/>
              </w:rPr>
              <w:t>, кг/на 1 людину</w:t>
            </w:r>
          </w:p>
        </w:tc>
        <w:tc>
          <w:tcPr>
            <w:tcW w:w="16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Сума викидів СО</w:t>
            </w:r>
            <w:r>
              <w:rPr>
                <w:rFonts w:ascii="Times New Roman" w:eastAsia="Times New Roman" w:hAnsi="Times New Roman" w:cs="Times New Roman"/>
                <w:color w:val="000000"/>
                <w:vertAlign w:val="subscript"/>
                <w:lang w:eastAsia="uk-UA"/>
              </w:rPr>
              <w:t>2</w:t>
            </w:r>
            <w:r>
              <w:rPr>
                <w:rFonts w:ascii="Times New Roman" w:eastAsia="Times New Roman" w:hAnsi="Times New Roman" w:cs="Times New Roman"/>
                <w:color w:val="000000"/>
                <w:lang w:eastAsia="uk-UA"/>
              </w:rPr>
              <w:t xml:space="preserve"> по сект</w:t>
            </w:r>
            <w:r>
              <w:rPr>
                <w:rFonts w:ascii="Times New Roman" w:eastAsia="Times New Roman" w:hAnsi="Times New Roman" w:cs="Times New Roman"/>
                <w:color w:val="000000"/>
                <w:lang w:eastAsia="uk-UA"/>
              </w:rPr>
              <w:t>о</w:t>
            </w:r>
            <w:r>
              <w:rPr>
                <w:rFonts w:ascii="Times New Roman" w:eastAsia="Times New Roman" w:hAnsi="Times New Roman" w:cs="Times New Roman"/>
                <w:color w:val="000000"/>
                <w:lang w:eastAsia="uk-UA"/>
              </w:rPr>
              <w:t>рах, тонн</w:t>
            </w:r>
          </w:p>
        </w:tc>
        <w:tc>
          <w:tcPr>
            <w:tcW w:w="8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 по сект</w:t>
            </w:r>
            <w:r>
              <w:rPr>
                <w:rFonts w:ascii="Times New Roman" w:eastAsia="Times New Roman" w:hAnsi="Times New Roman" w:cs="Times New Roman"/>
                <w:color w:val="000000"/>
                <w:lang w:eastAsia="uk-UA"/>
              </w:rPr>
              <w:t>о</w:t>
            </w:r>
            <w:r>
              <w:rPr>
                <w:rFonts w:ascii="Times New Roman" w:eastAsia="Times New Roman" w:hAnsi="Times New Roman" w:cs="Times New Roman"/>
                <w:color w:val="000000"/>
                <w:lang w:eastAsia="uk-UA"/>
              </w:rPr>
              <w:t>рах</w:t>
            </w:r>
          </w:p>
        </w:tc>
      </w:tr>
      <w:tr w:rsidR="00D227E2">
        <w:trPr>
          <w:cantSplit/>
          <w:trHeight w:val="190"/>
        </w:trPr>
        <w:tc>
          <w:tcPr>
            <w:tcW w:w="2843"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suppressAutoHyphens w:val="0"/>
              <w:spacing w:after="0" w:line="240" w:lineRule="auto"/>
              <w:rPr>
                <w:rFonts w:ascii="Times New Roman" w:eastAsia="Times New Roman" w:hAnsi="Times New Roman" w:cs="Times New Roman"/>
                <w:bCs/>
                <w:lang w:eastAsia="uk-UA"/>
              </w:rPr>
            </w:pPr>
          </w:p>
        </w:tc>
        <w:tc>
          <w:tcPr>
            <w:tcW w:w="13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Електрична енергія</w:t>
            </w:r>
          </w:p>
        </w:tc>
        <w:tc>
          <w:tcPr>
            <w:tcW w:w="108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Теплова енергія</w:t>
            </w:r>
          </w:p>
        </w:tc>
        <w:tc>
          <w:tcPr>
            <w:tcW w:w="584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Видобувні види палива</w:t>
            </w:r>
          </w:p>
        </w:tc>
        <w:tc>
          <w:tcPr>
            <w:tcW w:w="1395" w:type="dxa"/>
            <w:tcBorders>
              <w:top w:val="single" w:sz="4" w:space="0" w:color="000000"/>
              <w:left w:val="single" w:sz="4" w:space="0" w:color="000000"/>
              <w:bottom w:val="single" w:sz="4" w:space="0" w:color="000000"/>
              <w:right w:val="single" w:sz="4" w:space="0" w:color="000000"/>
            </w:tcBorders>
          </w:tcPr>
          <w:p w:rsidR="00D227E2" w:rsidRDefault="00D227E2">
            <w:pPr>
              <w:suppressAutoHyphens w:val="0"/>
              <w:spacing w:after="0" w:line="240" w:lineRule="auto"/>
              <w:jc w:val="center"/>
              <w:rPr>
                <w:rFonts w:ascii="Times New Roman" w:eastAsia="Times New Roman" w:hAnsi="Times New Roman" w:cs="Times New Roman"/>
                <w:color w:val="000000"/>
                <w:lang w:eastAsia="uk-UA"/>
              </w:rPr>
            </w:pPr>
          </w:p>
        </w:tc>
        <w:tc>
          <w:tcPr>
            <w:tcW w:w="1668"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suppressAutoHyphens w:val="0"/>
              <w:spacing w:after="0" w:line="240" w:lineRule="auto"/>
              <w:rPr>
                <w:rFonts w:ascii="Times New Roman" w:eastAsia="Times New Roman" w:hAnsi="Times New Roman" w:cs="Times New Roman"/>
                <w:color w:val="000000"/>
                <w:lang w:eastAsia="uk-UA"/>
              </w:rPr>
            </w:pPr>
          </w:p>
        </w:tc>
        <w:tc>
          <w:tcPr>
            <w:tcW w:w="865"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suppressAutoHyphens w:val="0"/>
              <w:spacing w:after="0" w:line="240" w:lineRule="auto"/>
              <w:rPr>
                <w:rFonts w:ascii="Times New Roman" w:eastAsia="Times New Roman" w:hAnsi="Times New Roman" w:cs="Times New Roman"/>
                <w:color w:val="000000"/>
                <w:lang w:eastAsia="uk-UA"/>
              </w:rPr>
            </w:pPr>
          </w:p>
        </w:tc>
      </w:tr>
      <w:tr w:rsidR="00D227E2">
        <w:trPr>
          <w:cantSplit/>
          <w:trHeight w:val="789"/>
        </w:trPr>
        <w:tc>
          <w:tcPr>
            <w:tcW w:w="2843"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suppressAutoHyphens w:val="0"/>
              <w:spacing w:after="0" w:line="240" w:lineRule="auto"/>
              <w:rPr>
                <w:rFonts w:ascii="Times New Roman" w:eastAsia="Times New Roman" w:hAnsi="Times New Roman" w:cs="Times New Roman"/>
                <w:bCs/>
                <w:lang w:eastAsia="uk-UA"/>
              </w:rPr>
            </w:pPr>
          </w:p>
        </w:tc>
        <w:tc>
          <w:tcPr>
            <w:tcW w:w="1320"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suppressAutoHyphens w:val="0"/>
              <w:spacing w:after="0" w:line="240" w:lineRule="auto"/>
              <w:jc w:val="center"/>
              <w:rPr>
                <w:rFonts w:ascii="Times New Roman" w:eastAsia="Times New Roman" w:hAnsi="Times New Roman" w:cs="Times New Roman"/>
                <w:lang w:eastAsia="uk-UA"/>
              </w:rPr>
            </w:pPr>
          </w:p>
        </w:tc>
        <w:tc>
          <w:tcPr>
            <w:tcW w:w="1081"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suppressAutoHyphens w:val="0"/>
              <w:spacing w:after="0" w:line="240" w:lineRule="auto"/>
              <w:jc w:val="center"/>
              <w:rPr>
                <w:rFonts w:ascii="Times New Roman" w:eastAsia="Times New Roman" w:hAnsi="Times New Roman" w:cs="Times New Roman"/>
                <w:lang w:eastAsia="uk-UA"/>
              </w:rPr>
            </w:pP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Приро</w:t>
            </w:r>
            <w:r>
              <w:rPr>
                <w:rFonts w:ascii="Times New Roman" w:eastAsia="Times New Roman" w:hAnsi="Times New Roman" w:cs="Times New Roman"/>
                <w:lang w:eastAsia="uk-UA"/>
              </w:rPr>
              <w:t>д</w:t>
            </w:r>
            <w:r>
              <w:rPr>
                <w:rFonts w:ascii="Times New Roman" w:eastAsia="Times New Roman" w:hAnsi="Times New Roman" w:cs="Times New Roman"/>
                <w:lang w:eastAsia="uk-UA"/>
              </w:rPr>
              <w:t>ний газ</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Стиснений газ (М</w:t>
            </w:r>
            <w:r>
              <w:rPr>
                <w:rFonts w:ascii="Times New Roman" w:eastAsia="Times New Roman" w:hAnsi="Times New Roman" w:cs="Times New Roman"/>
                <w:lang w:eastAsia="uk-UA"/>
              </w:rPr>
              <w:t>е</w:t>
            </w:r>
            <w:r>
              <w:rPr>
                <w:rFonts w:ascii="Times New Roman" w:eastAsia="Times New Roman" w:hAnsi="Times New Roman" w:cs="Times New Roman"/>
                <w:lang w:eastAsia="uk-UA"/>
              </w:rPr>
              <w:t>тан)</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Скраплений газ (Пропан-бутан)</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Дизель</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Бе</w:t>
            </w:r>
            <w:r>
              <w:rPr>
                <w:rFonts w:ascii="Times New Roman" w:eastAsia="Times New Roman" w:hAnsi="Times New Roman" w:cs="Times New Roman"/>
                <w:lang w:eastAsia="uk-UA"/>
              </w:rPr>
              <w:t>н</w:t>
            </w:r>
            <w:r>
              <w:rPr>
                <w:rFonts w:ascii="Times New Roman" w:eastAsia="Times New Roman" w:hAnsi="Times New Roman" w:cs="Times New Roman"/>
                <w:lang w:eastAsia="uk-UA"/>
              </w:rPr>
              <w:t>зин</w:t>
            </w:r>
          </w:p>
        </w:tc>
        <w:tc>
          <w:tcPr>
            <w:tcW w:w="1395" w:type="dxa"/>
            <w:tcBorders>
              <w:top w:val="single" w:sz="4" w:space="0" w:color="000000"/>
              <w:left w:val="single" w:sz="4" w:space="0" w:color="000000"/>
              <w:bottom w:val="single" w:sz="4" w:space="0" w:color="000000"/>
              <w:right w:val="single" w:sz="4" w:space="0" w:color="000000"/>
            </w:tcBorders>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Деревина (дрова, щ</w:t>
            </w:r>
            <w:r>
              <w:rPr>
                <w:rFonts w:ascii="Times New Roman" w:eastAsia="Times New Roman" w:hAnsi="Times New Roman" w:cs="Times New Roman"/>
                <w:color w:val="000000"/>
                <w:lang w:eastAsia="uk-UA"/>
              </w:rPr>
              <w:t>е</w:t>
            </w:r>
            <w:r>
              <w:rPr>
                <w:rFonts w:ascii="Times New Roman" w:eastAsia="Times New Roman" w:hAnsi="Times New Roman" w:cs="Times New Roman"/>
                <w:color w:val="000000"/>
                <w:lang w:eastAsia="uk-UA"/>
              </w:rPr>
              <w:t>па, пелети)</w:t>
            </w:r>
          </w:p>
        </w:tc>
        <w:tc>
          <w:tcPr>
            <w:tcW w:w="1668"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suppressAutoHyphens w:val="0"/>
              <w:spacing w:after="0" w:line="240" w:lineRule="auto"/>
              <w:rPr>
                <w:rFonts w:ascii="Times New Roman" w:eastAsia="Times New Roman" w:hAnsi="Times New Roman" w:cs="Times New Roman"/>
                <w:color w:val="000000"/>
                <w:lang w:eastAsia="uk-UA"/>
              </w:rPr>
            </w:pPr>
          </w:p>
        </w:tc>
        <w:tc>
          <w:tcPr>
            <w:tcW w:w="865" w:type="dxa"/>
            <w:vMerge/>
            <w:tcBorders>
              <w:top w:val="single" w:sz="4" w:space="0" w:color="000000"/>
              <w:left w:val="single" w:sz="4" w:space="0" w:color="000000"/>
              <w:bottom w:val="single" w:sz="4" w:space="0" w:color="000000"/>
              <w:right w:val="single" w:sz="4" w:space="0" w:color="000000"/>
            </w:tcBorders>
            <w:vAlign w:val="center"/>
          </w:tcPr>
          <w:p w:rsidR="00D227E2" w:rsidRDefault="00D227E2">
            <w:pPr>
              <w:suppressAutoHyphens w:val="0"/>
              <w:spacing w:after="0" w:line="240" w:lineRule="auto"/>
              <w:rPr>
                <w:rFonts w:ascii="Times New Roman" w:eastAsia="Times New Roman" w:hAnsi="Times New Roman" w:cs="Times New Roman"/>
                <w:color w:val="000000"/>
                <w:lang w:eastAsia="uk-UA"/>
              </w:rPr>
            </w:pPr>
          </w:p>
        </w:tc>
      </w:tr>
      <w:tr w:rsidR="00D227E2">
        <w:trPr>
          <w:cantSplit/>
          <w:trHeight w:val="248"/>
        </w:trPr>
        <w:tc>
          <w:tcPr>
            <w:tcW w:w="14147" w:type="dxa"/>
            <w:gridSpan w:val="10"/>
            <w:tcBorders>
              <w:top w:val="single" w:sz="4" w:space="0" w:color="000000"/>
              <w:left w:val="single" w:sz="4" w:space="0" w:color="000000"/>
              <w:bottom w:val="single" w:sz="4" w:space="0" w:color="000000"/>
              <w:right w:val="single" w:sz="4" w:space="0" w:color="000000"/>
            </w:tcBorders>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Будівлі, обладнання/об'єкти</w:t>
            </w:r>
          </w:p>
        </w:tc>
        <w:tc>
          <w:tcPr>
            <w:tcW w:w="8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80,5%</w:t>
            </w:r>
          </w:p>
        </w:tc>
      </w:tr>
      <w:tr w:rsidR="00D227E2">
        <w:trPr>
          <w:cantSplit/>
          <w:trHeight w:val="645"/>
        </w:trPr>
        <w:tc>
          <w:tcPr>
            <w:tcW w:w="2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lang w:eastAsia="uk-UA"/>
              </w:rPr>
              <w:t>Муніципальні будівлі, о</w:t>
            </w:r>
            <w:r>
              <w:rPr>
                <w:rFonts w:ascii="Times New Roman" w:eastAsia="Times New Roman" w:hAnsi="Times New Roman" w:cs="Times New Roman"/>
                <w:lang w:eastAsia="uk-UA"/>
              </w:rPr>
              <w:t>б</w:t>
            </w:r>
            <w:r>
              <w:rPr>
                <w:rFonts w:ascii="Times New Roman" w:eastAsia="Times New Roman" w:hAnsi="Times New Roman" w:cs="Times New Roman"/>
                <w:lang w:eastAsia="uk-UA"/>
              </w:rPr>
              <w:t>ладнання/об'єкти</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125,6</w:t>
            </w:r>
          </w:p>
        </w:tc>
        <w:tc>
          <w:tcPr>
            <w:tcW w:w="1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69,3</w:t>
            </w: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22,5</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395" w:type="dxa"/>
            <w:tcBorders>
              <w:top w:val="single" w:sz="4" w:space="0" w:color="000000"/>
              <w:left w:val="single" w:sz="4" w:space="0" w:color="000000"/>
              <w:bottom w:val="single" w:sz="4" w:space="0" w:color="000000"/>
              <w:right w:val="single" w:sz="4" w:space="0" w:color="000000"/>
            </w:tcBorders>
            <w:vAlign w:val="center"/>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217,4</w:t>
            </w:r>
          </w:p>
        </w:tc>
        <w:tc>
          <w:tcPr>
            <w:tcW w:w="8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8,6%</w:t>
            </w:r>
          </w:p>
        </w:tc>
      </w:tr>
      <w:tr w:rsidR="00D227E2">
        <w:trPr>
          <w:cantSplit/>
          <w:trHeight w:val="330"/>
        </w:trPr>
        <w:tc>
          <w:tcPr>
            <w:tcW w:w="2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lang w:eastAsia="uk-UA"/>
              </w:rPr>
              <w:t>Муніципальне освітлення</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10,4</w:t>
            </w:r>
          </w:p>
        </w:tc>
        <w:tc>
          <w:tcPr>
            <w:tcW w:w="1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395" w:type="dxa"/>
            <w:tcBorders>
              <w:top w:val="single" w:sz="4" w:space="0" w:color="000000"/>
              <w:left w:val="single" w:sz="4" w:space="0" w:color="000000"/>
              <w:bottom w:val="single" w:sz="4" w:space="0" w:color="000000"/>
              <w:right w:val="single" w:sz="4" w:space="0" w:color="000000"/>
            </w:tcBorders>
            <w:vAlign w:val="center"/>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10,4</w:t>
            </w:r>
          </w:p>
        </w:tc>
        <w:tc>
          <w:tcPr>
            <w:tcW w:w="8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0,4%</w:t>
            </w:r>
          </w:p>
        </w:tc>
      </w:tr>
      <w:tr w:rsidR="00D227E2">
        <w:trPr>
          <w:cantSplit/>
          <w:trHeight w:val="330"/>
        </w:trPr>
        <w:tc>
          <w:tcPr>
            <w:tcW w:w="14147" w:type="dxa"/>
            <w:gridSpan w:val="10"/>
            <w:tcBorders>
              <w:top w:val="single" w:sz="4" w:space="0" w:color="000000"/>
              <w:left w:val="single" w:sz="4" w:space="0" w:color="000000"/>
              <w:bottom w:val="single" w:sz="4" w:space="0" w:color="000000"/>
              <w:right w:val="single" w:sz="4" w:space="0" w:color="000000"/>
            </w:tcBorders>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Третинні будівлі, обладнання/об'єкти</w:t>
            </w:r>
          </w:p>
        </w:tc>
        <w:tc>
          <w:tcPr>
            <w:tcW w:w="8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11,6%</w:t>
            </w:r>
          </w:p>
        </w:tc>
      </w:tr>
      <w:tr w:rsidR="00D227E2">
        <w:trPr>
          <w:cantSplit/>
          <w:trHeight w:val="645"/>
        </w:trPr>
        <w:tc>
          <w:tcPr>
            <w:tcW w:w="2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lang w:eastAsia="uk-UA"/>
              </w:rPr>
              <w:t>Третинні будівлі, обла</w:t>
            </w:r>
            <w:r>
              <w:rPr>
                <w:rFonts w:ascii="Times New Roman" w:eastAsia="Times New Roman" w:hAnsi="Times New Roman" w:cs="Times New Roman"/>
                <w:lang w:eastAsia="uk-UA"/>
              </w:rPr>
              <w:t>д</w:t>
            </w:r>
            <w:r>
              <w:rPr>
                <w:rFonts w:ascii="Times New Roman" w:eastAsia="Times New Roman" w:hAnsi="Times New Roman" w:cs="Times New Roman"/>
                <w:lang w:eastAsia="uk-UA"/>
              </w:rPr>
              <w:t>нання/об'єкти</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265</w:t>
            </w:r>
          </w:p>
        </w:tc>
        <w:tc>
          <w:tcPr>
            <w:tcW w:w="1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14,8</w:t>
            </w: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13,1</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395" w:type="dxa"/>
            <w:tcBorders>
              <w:top w:val="single" w:sz="4" w:space="0" w:color="000000"/>
              <w:left w:val="single" w:sz="4" w:space="0" w:color="000000"/>
              <w:bottom w:val="single" w:sz="4" w:space="0" w:color="000000"/>
              <w:right w:val="single" w:sz="4" w:space="0" w:color="000000"/>
            </w:tcBorders>
            <w:vAlign w:val="center"/>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292,9</w:t>
            </w:r>
          </w:p>
        </w:tc>
        <w:tc>
          <w:tcPr>
            <w:tcW w:w="8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11,6%</w:t>
            </w:r>
          </w:p>
        </w:tc>
      </w:tr>
      <w:tr w:rsidR="00D227E2">
        <w:trPr>
          <w:cantSplit/>
          <w:trHeight w:val="364"/>
        </w:trPr>
        <w:tc>
          <w:tcPr>
            <w:tcW w:w="2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Житлові будинки</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544,7</w:t>
            </w:r>
          </w:p>
        </w:tc>
        <w:tc>
          <w:tcPr>
            <w:tcW w:w="1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436,5</w:t>
            </w: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529,3</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0,0</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395" w:type="dxa"/>
            <w:tcBorders>
              <w:top w:val="single" w:sz="4" w:space="0" w:color="000000"/>
              <w:left w:val="single" w:sz="4" w:space="0" w:color="000000"/>
              <w:bottom w:val="single" w:sz="4" w:space="0" w:color="000000"/>
              <w:right w:val="single" w:sz="4" w:space="0" w:color="000000"/>
            </w:tcBorders>
            <w:vAlign w:val="center"/>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2,2</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1512,6</w:t>
            </w:r>
          </w:p>
        </w:tc>
        <w:tc>
          <w:tcPr>
            <w:tcW w:w="8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59,9%</w:t>
            </w:r>
          </w:p>
        </w:tc>
      </w:tr>
      <w:tr w:rsidR="00D227E2">
        <w:trPr>
          <w:cantSplit/>
          <w:trHeight w:val="330"/>
        </w:trPr>
        <w:tc>
          <w:tcPr>
            <w:tcW w:w="14147" w:type="dxa"/>
            <w:gridSpan w:val="10"/>
            <w:tcBorders>
              <w:top w:val="single" w:sz="4" w:space="0" w:color="000000"/>
              <w:left w:val="single" w:sz="4" w:space="0" w:color="000000"/>
              <w:bottom w:val="single" w:sz="4" w:space="0" w:color="000000"/>
              <w:right w:val="single" w:sz="4" w:space="0" w:color="000000"/>
            </w:tcBorders>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Транспорт</w:t>
            </w:r>
          </w:p>
        </w:tc>
        <w:tc>
          <w:tcPr>
            <w:tcW w:w="8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lang w:eastAsia="uk-UA"/>
              </w:rPr>
              <w:t>19,5%</w:t>
            </w:r>
          </w:p>
        </w:tc>
      </w:tr>
      <w:tr w:rsidR="00D227E2">
        <w:trPr>
          <w:cantSplit/>
          <w:trHeight w:val="375"/>
        </w:trPr>
        <w:tc>
          <w:tcPr>
            <w:tcW w:w="2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lang w:eastAsia="uk-UA"/>
              </w:rPr>
              <w:t>Муніципальний транспорт</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0,3</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0,5</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7,9</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3,5</w:t>
            </w:r>
          </w:p>
        </w:tc>
        <w:tc>
          <w:tcPr>
            <w:tcW w:w="1395" w:type="dxa"/>
            <w:tcBorders>
              <w:top w:val="single" w:sz="4" w:space="0" w:color="000000"/>
              <w:left w:val="single" w:sz="4" w:space="0" w:color="000000"/>
              <w:bottom w:val="single" w:sz="4" w:space="0" w:color="000000"/>
              <w:right w:val="single" w:sz="4" w:space="0" w:color="000000"/>
            </w:tcBorders>
            <w:vAlign w:val="center"/>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12,2</w:t>
            </w:r>
          </w:p>
        </w:tc>
        <w:tc>
          <w:tcPr>
            <w:tcW w:w="8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0,5%</w:t>
            </w:r>
          </w:p>
        </w:tc>
      </w:tr>
      <w:tr w:rsidR="00D227E2">
        <w:trPr>
          <w:cantSplit/>
          <w:trHeight w:val="330"/>
        </w:trPr>
        <w:tc>
          <w:tcPr>
            <w:tcW w:w="2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lang w:eastAsia="uk-UA"/>
              </w:rPr>
              <w:t>Громадський транспорт</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12,2</w:t>
            </w:r>
          </w:p>
        </w:tc>
        <w:tc>
          <w:tcPr>
            <w:tcW w:w="1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35,6</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395" w:type="dxa"/>
            <w:tcBorders>
              <w:top w:val="single" w:sz="4" w:space="0" w:color="000000"/>
              <w:left w:val="single" w:sz="4" w:space="0" w:color="000000"/>
              <w:bottom w:val="single" w:sz="4" w:space="0" w:color="000000"/>
              <w:right w:val="single" w:sz="4" w:space="0" w:color="000000"/>
            </w:tcBorders>
            <w:vAlign w:val="center"/>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47,8</w:t>
            </w:r>
          </w:p>
        </w:tc>
        <w:tc>
          <w:tcPr>
            <w:tcW w:w="8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1,9%</w:t>
            </w:r>
          </w:p>
        </w:tc>
      </w:tr>
      <w:tr w:rsidR="00D227E2">
        <w:trPr>
          <w:cantSplit/>
          <w:trHeight w:val="645"/>
        </w:trPr>
        <w:tc>
          <w:tcPr>
            <w:tcW w:w="2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lang w:eastAsia="uk-UA"/>
              </w:rPr>
              <w:t>Приватний та комерційний транспорт</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2,8</w:t>
            </w:r>
          </w:p>
        </w:tc>
        <w:tc>
          <w:tcPr>
            <w:tcW w:w="1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0,2</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18,8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225,4</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184,3</w:t>
            </w:r>
          </w:p>
        </w:tc>
        <w:tc>
          <w:tcPr>
            <w:tcW w:w="1395" w:type="dxa"/>
            <w:tcBorders>
              <w:top w:val="single" w:sz="4" w:space="0" w:color="000000"/>
              <w:left w:val="single" w:sz="4" w:space="0" w:color="000000"/>
              <w:bottom w:val="single" w:sz="4" w:space="0" w:color="000000"/>
              <w:right w:val="single" w:sz="4" w:space="0" w:color="000000"/>
            </w:tcBorders>
            <w:vAlign w:val="center"/>
          </w:tcPr>
          <w:p w:rsidR="00D227E2" w:rsidRDefault="00934FC4">
            <w:pPr>
              <w:jc w:val="center"/>
              <w:rPr>
                <w:rFonts w:ascii="Times New Roman" w:hAnsi="Times New Roman" w:cs="Times New Roman"/>
              </w:rPr>
            </w:pPr>
            <w:r>
              <w:rPr>
                <w:rFonts w:ascii="Times New Roman" w:eastAsia="Times New Roman" w:hAnsi="Times New Roman" w:cs="Times New Roman"/>
                <w:color w:val="000000"/>
                <w:lang w:eastAsia="uk-UA"/>
              </w:rPr>
              <w:t>0,0</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431,5</w:t>
            </w:r>
          </w:p>
        </w:tc>
        <w:tc>
          <w:tcPr>
            <w:tcW w:w="8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17,1%</w:t>
            </w:r>
          </w:p>
        </w:tc>
      </w:tr>
      <w:tr w:rsidR="00D227E2">
        <w:trPr>
          <w:cantSplit/>
          <w:trHeight w:val="295"/>
        </w:trPr>
        <w:tc>
          <w:tcPr>
            <w:tcW w:w="14147" w:type="dxa"/>
            <w:gridSpan w:val="10"/>
            <w:tcBorders>
              <w:top w:val="single" w:sz="4" w:space="0" w:color="000000"/>
              <w:left w:val="single" w:sz="4" w:space="0" w:color="000000"/>
              <w:bottom w:val="single" w:sz="4" w:space="0" w:color="000000"/>
              <w:right w:val="single" w:sz="4" w:space="0" w:color="000000"/>
            </w:tcBorders>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Сектори, що не пов'язані з енергетикою</w:t>
            </w:r>
          </w:p>
        </w:tc>
        <w:tc>
          <w:tcPr>
            <w:tcW w:w="8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D227E2">
            <w:pPr>
              <w:suppressAutoHyphens w:val="0"/>
              <w:spacing w:after="0" w:line="240" w:lineRule="auto"/>
              <w:jc w:val="center"/>
              <w:rPr>
                <w:rFonts w:ascii="Times New Roman" w:eastAsia="Times New Roman" w:hAnsi="Times New Roman" w:cs="Times New Roman"/>
                <w:lang w:eastAsia="uk-UA"/>
              </w:rPr>
            </w:pPr>
          </w:p>
        </w:tc>
      </w:tr>
      <w:tr w:rsidR="00D227E2">
        <w:trPr>
          <w:cantSplit/>
          <w:trHeight w:val="116"/>
        </w:trPr>
        <w:tc>
          <w:tcPr>
            <w:tcW w:w="2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lang w:eastAsia="uk-UA"/>
              </w:rPr>
              <w:t>Управління відходами</w:t>
            </w:r>
          </w:p>
        </w:tc>
        <w:tc>
          <w:tcPr>
            <w:tcW w:w="963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D227E2">
            <w:pPr>
              <w:suppressAutoHyphens w:val="0"/>
              <w:spacing w:after="0" w:line="240" w:lineRule="auto"/>
              <w:jc w:val="center"/>
              <w:rPr>
                <w:rFonts w:ascii="Times New Roman" w:eastAsia="Times New Roman" w:hAnsi="Times New Roman" w:cs="Times New Roman"/>
                <w:bCs/>
                <w:color w:val="000000"/>
                <w:lang w:eastAsia="uk-UA"/>
              </w:rPr>
            </w:pP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0,6</w:t>
            </w:r>
          </w:p>
        </w:tc>
        <w:tc>
          <w:tcPr>
            <w:tcW w:w="8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r>
      <w:tr w:rsidR="00D227E2">
        <w:trPr>
          <w:cantSplit/>
          <w:trHeight w:val="262"/>
        </w:trPr>
        <w:tc>
          <w:tcPr>
            <w:tcW w:w="2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rPr>
                <w:rFonts w:ascii="Times New Roman" w:hAnsi="Times New Roman" w:cs="Times New Roman"/>
              </w:rPr>
            </w:pPr>
            <w:r>
              <w:rPr>
                <w:rFonts w:ascii="Times New Roman" w:eastAsia="Times New Roman" w:hAnsi="Times New Roman" w:cs="Times New Roman"/>
                <w:lang w:eastAsia="uk-UA"/>
              </w:rPr>
              <w:t>Очищення та скидання стічних вод</w:t>
            </w:r>
          </w:p>
        </w:tc>
        <w:tc>
          <w:tcPr>
            <w:tcW w:w="9636"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D227E2">
            <w:pPr>
              <w:suppressAutoHyphens w:val="0"/>
              <w:spacing w:after="0" w:line="240" w:lineRule="auto"/>
              <w:jc w:val="center"/>
              <w:rPr>
                <w:rFonts w:ascii="Times New Roman" w:eastAsia="Times New Roman" w:hAnsi="Times New Roman" w:cs="Times New Roman"/>
                <w:bCs/>
                <w:color w:val="000000"/>
                <w:lang w:eastAsia="uk-UA"/>
              </w:rPr>
            </w:pP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0,4</w:t>
            </w:r>
          </w:p>
        </w:tc>
        <w:tc>
          <w:tcPr>
            <w:tcW w:w="8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0,0%</w:t>
            </w:r>
          </w:p>
        </w:tc>
      </w:tr>
      <w:tr w:rsidR="00D227E2">
        <w:trPr>
          <w:cantSplit/>
          <w:trHeight w:val="169"/>
        </w:trPr>
        <w:tc>
          <w:tcPr>
            <w:tcW w:w="2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Усього</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960,6</w:t>
            </w:r>
          </w:p>
        </w:tc>
        <w:tc>
          <w:tcPr>
            <w:tcW w:w="1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520,5</w:t>
            </w: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564,9</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0,4</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19,3</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268,9</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187,8</w:t>
            </w:r>
          </w:p>
        </w:tc>
        <w:tc>
          <w:tcPr>
            <w:tcW w:w="1395" w:type="dxa"/>
            <w:tcBorders>
              <w:top w:val="single" w:sz="4" w:space="0" w:color="000000"/>
              <w:left w:val="single" w:sz="4" w:space="0" w:color="000000"/>
              <w:bottom w:val="single" w:sz="4" w:space="0" w:color="000000"/>
              <w:right w:val="single" w:sz="4" w:space="0" w:color="000000"/>
            </w:tcBorders>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2,2</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2 524,7</w:t>
            </w:r>
          </w:p>
        </w:tc>
        <w:tc>
          <w:tcPr>
            <w:tcW w:w="865" w:type="dxa"/>
            <w:tcBorders>
              <w:top w:val="single" w:sz="4" w:space="0" w:color="000000"/>
              <w:left w:val="single" w:sz="4" w:space="0" w:color="000000"/>
            </w:tcBorders>
            <w:shd w:val="clear" w:color="auto" w:fill="auto"/>
            <w:vAlign w:val="bottom"/>
          </w:tcPr>
          <w:p w:rsidR="00D227E2" w:rsidRDefault="00D227E2">
            <w:pPr>
              <w:suppressAutoHyphens w:val="0"/>
              <w:spacing w:after="0" w:line="240" w:lineRule="auto"/>
              <w:rPr>
                <w:rFonts w:ascii="Times New Roman" w:eastAsia="Times New Roman" w:hAnsi="Times New Roman" w:cs="Times New Roman"/>
                <w:color w:val="000000"/>
                <w:lang w:eastAsia="uk-UA"/>
              </w:rPr>
            </w:pPr>
          </w:p>
        </w:tc>
      </w:tr>
      <w:tr w:rsidR="00D227E2">
        <w:trPr>
          <w:cantSplit/>
          <w:trHeight w:val="70"/>
        </w:trPr>
        <w:tc>
          <w:tcPr>
            <w:tcW w:w="2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lang w:eastAsia="uk-UA"/>
              </w:rPr>
              <w:t>У % за видами палива</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38%</w:t>
            </w:r>
          </w:p>
        </w:tc>
        <w:tc>
          <w:tcPr>
            <w:tcW w:w="1081"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20,6%</w:t>
            </w:r>
          </w:p>
        </w:tc>
        <w:tc>
          <w:tcPr>
            <w:tcW w:w="128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22,4%</w:t>
            </w:r>
          </w:p>
        </w:tc>
        <w:tc>
          <w:tcPr>
            <w:tcW w:w="1267"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0,0%</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0,8%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10,7%</w:t>
            </w:r>
          </w:p>
        </w:tc>
        <w:tc>
          <w:tcPr>
            <w:tcW w:w="879"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7,4%</w:t>
            </w:r>
          </w:p>
        </w:tc>
        <w:tc>
          <w:tcPr>
            <w:tcW w:w="1395" w:type="dxa"/>
            <w:tcBorders>
              <w:top w:val="single" w:sz="4" w:space="0" w:color="000000"/>
              <w:left w:val="single" w:sz="4" w:space="0" w:color="000000"/>
              <w:bottom w:val="single" w:sz="4" w:space="0" w:color="000000"/>
              <w:right w:val="single" w:sz="4" w:space="0" w:color="000000"/>
            </w:tcBorders>
          </w:tcPr>
          <w:p w:rsidR="00D227E2" w:rsidRDefault="00934FC4">
            <w:pPr>
              <w:suppressAutoHyphens w:val="0"/>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0,1%</w:t>
            </w:r>
          </w:p>
        </w:tc>
        <w:tc>
          <w:tcPr>
            <w:tcW w:w="1668" w:type="dxa"/>
            <w:tcBorders>
              <w:top w:val="single" w:sz="4" w:space="0" w:color="000000"/>
              <w:left w:val="single" w:sz="4" w:space="0" w:color="000000"/>
            </w:tcBorders>
            <w:shd w:val="clear" w:color="auto" w:fill="auto"/>
            <w:vAlign w:val="bottom"/>
          </w:tcPr>
          <w:p w:rsidR="00D227E2" w:rsidRDefault="00D227E2">
            <w:pPr>
              <w:suppressAutoHyphens w:val="0"/>
              <w:spacing w:after="0" w:line="240" w:lineRule="auto"/>
              <w:rPr>
                <w:rFonts w:ascii="Times New Roman" w:eastAsia="Times New Roman" w:hAnsi="Times New Roman" w:cs="Times New Roman"/>
                <w:bCs/>
                <w:color w:val="000000"/>
                <w:lang w:eastAsia="uk-UA"/>
              </w:rPr>
            </w:pPr>
          </w:p>
        </w:tc>
        <w:tc>
          <w:tcPr>
            <w:tcW w:w="865" w:type="dxa"/>
            <w:shd w:val="clear" w:color="auto" w:fill="auto"/>
            <w:vAlign w:val="bottom"/>
          </w:tcPr>
          <w:p w:rsidR="00D227E2" w:rsidRDefault="00D227E2">
            <w:pPr>
              <w:suppressAutoHyphens w:val="0"/>
              <w:spacing w:after="0" w:line="240" w:lineRule="auto"/>
              <w:rPr>
                <w:rFonts w:ascii="Times New Roman" w:eastAsia="Times New Roman" w:hAnsi="Times New Roman" w:cs="Times New Roman"/>
                <w:color w:val="000000"/>
                <w:lang w:eastAsia="uk-UA"/>
              </w:rPr>
            </w:pPr>
          </w:p>
        </w:tc>
      </w:tr>
    </w:tbl>
    <w:p w:rsidR="00D227E2" w:rsidRDefault="00D227E2">
      <w:pPr>
        <w:sectPr w:rsidR="00D227E2">
          <w:headerReference w:type="even" r:id="rId98"/>
          <w:headerReference w:type="default" r:id="rId99"/>
          <w:footerReference w:type="even" r:id="rId100"/>
          <w:footerReference w:type="default" r:id="rId101"/>
          <w:headerReference w:type="first" r:id="rId102"/>
          <w:footerReference w:type="first" r:id="rId103"/>
          <w:pgSz w:w="16838" w:h="11906" w:orient="landscape"/>
          <w:pgMar w:top="567" w:right="1134" w:bottom="567" w:left="1134" w:header="0" w:footer="0" w:gutter="0"/>
          <w:cols w:space="720"/>
          <w:formProt w:val="0"/>
          <w:docGrid w:linePitch="360" w:charSpace="143360"/>
        </w:sectPr>
      </w:pPr>
    </w:p>
    <w:p w:rsidR="00D227E2" w:rsidRDefault="00934FC4">
      <w:pPr>
        <w:spacing w:after="0" w:line="240" w:lineRule="auto"/>
        <w:jc w:val="center"/>
        <w:rPr>
          <w:rFonts w:ascii="Times New Roman" w:hAnsi="Times New Roman" w:cs="Times New Roman"/>
        </w:rPr>
      </w:pPr>
      <w:bookmarkStart w:id="17" w:name="_bookmark17"/>
      <w:bookmarkEnd w:id="17"/>
      <w:r>
        <w:rPr>
          <w:rFonts w:ascii="Times New Roman" w:eastAsia="Times New Roman" w:hAnsi="Times New Roman" w:cs="Times New Roman"/>
          <w:sz w:val="24"/>
          <w:szCs w:val="24"/>
          <w:lang w:eastAsia="zh-CN"/>
        </w:rPr>
        <w:lastRenderedPageBreak/>
        <w:t>Таблиця 79. Показники витрат енергоресурсів на виробництво теплової енергії</w:t>
      </w:r>
    </w:p>
    <w:p w:rsidR="00D227E2" w:rsidRDefault="00D227E2">
      <w:pPr>
        <w:spacing w:after="0" w:line="240" w:lineRule="auto"/>
        <w:jc w:val="center"/>
        <w:rPr>
          <w:rFonts w:ascii="Times New Roman" w:eastAsia="Times New Roman" w:hAnsi="Times New Roman" w:cs="Times New Roman"/>
          <w:sz w:val="24"/>
          <w:szCs w:val="24"/>
          <w:lang w:eastAsia="zh-CN"/>
        </w:rPr>
      </w:pPr>
    </w:p>
    <w:tbl>
      <w:tblPr>
        <w:tblW w:w="9359" w:type="dxa"/>
        <w:tblInd w:w="29" w:type="dxa"/>
        <w:tblLayout w:type="fixed"/>
        <w:tblCellMar>
          <w:left w:w="10" w:type="dxa"/>
          <w:right w:w="5" w:type="dxa"/>
        </w:tblCellMar>
        <w:tblLook w:val="0000" w:firstRow="0" w:lastRow="0" w:firstColumn="0" w:lastColumn="0" w:noHBand="0" w:noVBand="0"/>
      </w:tblPr>
      <w:tblGrid>
        <w:gridCol w:w="3752"/>
        <w:gridCol w:w="2803"/>
        <w:gridCol w:w="2804"/>
      </w:tblGrid>
      <w:tr w:rsidR="00D227E2">
        <w:trPr>
          <w:trHeight w:val="259"/>
        </w:trPr>
        <w:tc>
          <w:tcPr>
            <w:tcW w:w="3752" w:type="dxa"/>
            <w:vMerge w:val="restart"/>
            <w:tcBorders>
              <w:top w:val="single" w:sz="8" w:space="0" w:color="000000"/>
              <w:left w:val="single" w:sz="8"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sz w:val="24"/>
                <w:szCs w:val="24"/>
                <w:lang w:eastAsia="zh-CN"/>
              </w:rPr>
              <w:t>Назва параметрів</w:t>
            </w:r>
          </w:p>
        </w:tc>
        <w:tc>
          <w:tcPr>
            <w:tcW w:w="5607" w:type="dxa"/>
            <w:gridSpan w:val="2"/>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sz w:val="24"/>
                <w:szCs w:val="24"/>
                <w:lang w:eastAsia="zh-CN"/>
              </w:rPr>
              <w:t>Роки</w:t>
            </w:r>
          </w:p>
        </w:tc>
      </w:tr>
      <w:tr w:rsidR="00D227E2">
        <w:trPr>
          <w:trHeight w:val="253"/>
        </w:trPr>
        <w:tc>
          <w:tcPr>
            <w:tcW w:w="3752" w:type="dxa"/>
            <w:vMerge/>
            <w:tcBorders>
              <w:top w:val="single" w:sz="8" w:space="0" w:color="000000"/>
              <w:left w:val="single" w:sz="8" w:space="0" w:color="000000"/>
              <w:bottom w:val="single" w:sz="4" w:space="0" w:color="000000"/>
              <w:right w:val="single" w:sz="4" w:space="0" w:color="000000"/>
            </w:tcBorders>
            <w:shd w:val="clear" w:color="auto" w:fill="auto"/>
          </w:tcPr>
          <w:p w:rsidR="00D227E2" w:rsidRDefault="00D227E2">
            <w:pPr>
              <w:widowControl w:val="0"/>
              <w:snapToGrid w:val="0"/>
              <w:spacing w:after="0" w:line="240" w:lineRule="auto"/>
              <w:jc w:val="center"/>
              <w:rPr>
                <w:rFonts w:ascii="Times New Roman" w:eastAsia="Times New Roman" w:hAnsi="Times New Roman" w:cs="Times New Roman"/>
                <w:sz w:val="24"/>
                <w:szCs w:val="24"/>
                <w:lang w:eastAsia="zh-CN"/>
              </w:rPr>
            </w:pPr>
          </w:p>
        </w:tc>
        <w:tc>
          <w:tcPr>
            <w:tcW w:w="2803"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sz w:val="24"/>
                <w:szCs w:val="24"/>
                <w:lang w:eastAsia="zh-CN"/>
              </w:rPr>
              <w:t>2007</w:t>
            </w:r>
          </w:p>
        </w:tc>
        <w:tc>
          <w:tcPr>
            <w:tcW w:w="2804"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sz w:val="24"/>
                <w:szCs w:val="24"/>
                <w:lang w:eastAsia="zh-CN"/>
              </w:rPr>
              <w:t>2020</w:t>
            </w:r>
          </w:p>
        </w:tc>
      </w:tr>
      <w:tr w:rsidR="00D227E2">
        <w:trPr>
          <w:trHeight w:val="295"/>
        </w:trPr>
        <w:tc>
          <w:tcPr>
            <w:tcW w:w="3752" w:type="dxa"/>
            <w:tcBorders>
              <w:top w:val="single" w:sz="2" w:space="0" w:color="000000"/>
              <w:left w:val="single" w:sz="2" w:space="0" w:color="000000"/>
              <w:bottom w:val="single" w:sz="4" w:space="0" w:color="000000"/>
              <w:right w:val="single" w:sz="2"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sz w:val="24"/>
                <w:szCs w:val="24"/>
                <w:lang w:eastAsia="zh-CN"/>
              </w:rPr>
              <w:t>Виробництво теплової енергії, Гкал</w:t>
            </w:r>
          </w:p>
        </w:tc>
        <w:tc>
          <w:tcPr>
            <w:tcW w:w="2803"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sz w:val="24"/>
                <w:szCs w:val="24"/>
                <w:lang w:eastAsia="zh-CN"/>
              </w:rPr>
              <w:t>608 410,0</w:t>
            </w:r>
          </w:p>
        </w:tc>
        <w:tc>
          <w:tcPr>
            <w:tcW w:w="2804"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sz w:val="24"/>
                <w:szCs w:val="24"/>
                <w:lang w:eastAsia="zh-CN"/>
              </w:rPr>
              <w:t>475 905,8</w:t>
            </w:r>
          </w:p>
        </w:tc>
      </w:tr>
      <w:tr w:rsidR="00D227E2">
        <w:trPr>
          <w:trHeight w:val="506"/>
        </w:trPr>
        <w:tc>
          <w:tcPr>
            <w:tcW w:w="3752" w:type="dxa"/>
            <w:tcBorders>
              <w:top w:val="single" w:sz="4" w:space="0" w:color="000000"/>
              <w:left w:val="single" w:sz="4" w:space="0" w:color="000000"/>
              <w:bottom w:val="single" w:sz="2" w:space="0" w:color="000000"/>
              <w:right w:val="single" w:sz="2"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sz w:val="24"/>
                <w:szCs w:val="24"/>
                <w:lang w:eastAsia="zh-CN"/>
              </w:rPr>
              <w:t>Кількість теплової енергії, що надана кінцевим споживачам, Гкал</w:t>
            </w:r>
          </w:p>
        </w:tc>
        <w:tc>
          <w:tcPr>
            <w:tcW w:w="2803"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sz w:val="24"/>
                <w:szCs w:val="24"/>
                <w:lang w:eastAsia="zh-CN"/>
              </w:rPr>
              <w:t>520 800,0</w:t>
            </w:r>
          </w:p>
        </w:tc>
        <w:tc>
          <w:tcPr>
            <w:tcW w:w="2804"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370 762,43</w:t>
            </w:r>
          </w:p>
        </w:tc>
      </w:tr>
      <w:tr w:rsidR="00D227E2">
        <w:trPr>
          <w:trHeight w:val="251"/>
        </w:trPr>
        <w:tc>
          <w:tcPr>
            <w:tcW w:w="3752" w:type="dxa"/>
            <w:tcBorders>
              <w:left w:val="single" w:sz="4" w:space="0" w:color="000000"/>
              <w:bottom w:val="single" w:sz="2" w:space="0" w:color="000000"/>
              <w:right w:val="single" w:sz="2"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sz w:val="24"/>
                <w:szCs w:val="24"/>
                <w:lang w:eastAsia="zh-CN"/>
              </w:rPr>
              <w:t>Споживання газу, тис.м</w:t>
            </w:r>
            <w:r>
              <w:rPr>
                <w:rFonts w:ascii="Times New Roman" w:eastAsia="Microsoft Sans Serif" w:hAnsi="Times New Roman" w:cs="Times New Roman"/>
                <w:sz w:val="24"/>
                <w:szCs w:val="24"/>
                <w:vertAlign w:val="superscript"/>
                <w:lang w:eastAsia="zh-CN"/>
              </w:rPr>
              <w:t>3</w:t>
            </w:r>
          </w:p>
        </w:tc>
        <w:tc>
          <w:tcPr>
            <w:tcW w:w="2803"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hd w:val="clear" w:color="auto" w:fill="FFFFFF"/>
              </w:rPr>
              <w:t>105159,019</w:t>
            </w:r>
          </w:p>
        </w:tc>
        <w:tc>
          <w:tcPr>
            <w:tcW w:w="2804"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sz w:val="24"/>
                <w:szCs w:val="24"/>
                <w:lang w:eastAsia="zh-CN"/>
              </w:rPr>
              <w:t>60 131,039</w:t>
            </w:r>
          </w:p>
        </w:tc>
      </w:tr>
      <w:tr w:rsidR="00D227E2">
        <w:trPr>
          <w:trHeight w:val="506"/>
        </w:trPr>
        <w:tc>
          <w:tcPr>
            <w:tcW w:w="3752" w:type="dxa"/>
            <w:tcBorders>
              <w:left w:val="single" w:sz="4" w:space="0" w:color="000000"/>
              <w:bottom w:val="single" w:sz="2" w:space="0" w:color="000000"/>
              <w:right w:val="single" w:sz="2"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sz w:val="24"/>
                <w:szCs w:val="24"/>
                <w:lang w:eastAsia="zh-CN"/>
              </w:rPr>
              <w:t>Споживання електроенергії,</w:t>
            </w:r>
          </w:p>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sz w:val="24"/>
                <w:szCs w:val="24"/>
                <w:lang w:eastAsia="zh-CN"/>
              </w:rPr>
              <w:t>МВт.год</w:t>
            </w:r>
          </w:p>
        </w:tc>
        <w:tc>
          <w:tcPr>
            <w:tcW w:w="2803"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sz w:val="24"/>
                <w:szCs w:val="24"/>
                <w:lang w:eastAsia="zh-CN"/>
              </w:rPr>
              <w:t>24 657,4</w:t>
            </w:r>
          </w:p>
        </w:tc>
        <w:tc>
          <w:tcPr>
            <w:tcW w:w="2804"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sz w:val="24"/>
                <w:szCs w:val="24"/>
                <w:lang w:eastAsia="zh-CN"/>
              </w:rPr>
              <w:t>20 253,2</w:t>
            </w:r>
          </w:p>
        </w:tc>
      </w:tr>
      <w:tr w:rsidR="00D227E2">
        <w:trPr>
          <w:trHeight w:val="251"/>
        </w:trPr>
        <w:tc>
          <w:tcPr>
            <w:tcW w:w="3752" w:type="dxa"/>
            <w:tcBorders>
              <w:left w:val="single" w:sz="4" w:space="0" w:color="000000"/>
              <w:bottom w:val="single" w:sz="2" w:space="0" w:color="000000"/>
              <w:right w:val="single" w:sz="2"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Microsoft Sans Serif" w:hAnsi="Times New Roman" w:cs="Times New Roman"/>
                <w:sz w:val="24"/>
                <w:szCs w:val="24"/>
                <w:lang w:eastAsia="zh-CN"/>
              </w:rPr>
              <w:t>Споживання тріски (тонн)</w:t>
            </w:r>
          </w:p>
        </w:tc>
        <w:tc>
          <w:tcPr>
            <w:tcW w:w="2803"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sz w:val="24"/>
                <w:szCs w:val="24"/>
                <w:lang w:eastAsia="zh-CN"/>
              </w:rPr>
              <w:t>-</w:t>
            </w:r>
          </w:p>
        </w:tc>
        <w:tc>
          <w:tcPr>
            <w:tcW w:w="2804"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jc w:val="center"/>
              <w:rPr>
                <w:rFonts w:ascii="Times New Roman" w:hAnsi="Times New Roman" w:cs="Times New Roman"/>
              </w:rPr>
            </w:pPr>
            <w:r>
              <w:rPr>
                <w:rFonts w:ascii="Times New Roman" w:eastAsia="Microsoft Sans Serif" w:hAnsi="Times New Roman" w:cs="Times New Roman"/>
                <w:sz w:val="24"/>
                <w:szCs w:val="24"/>
                <w:lang w:eastAsia="zh-CN"/>
              </w:rPr>
              <w:t>10 010,163</w:t>
            </w:r>
          </w:p>
        </w:tc>
      </w:tr>
    </w:tbl>
    <w:p w:rsidR="00D227E2" w:rsidRDefault="00D227E2">
      <w:pPr>
        <w:spacing w:after="0" w:line="240" w:lineRule="auto"/>
        <w:ind w:firstLine="360"/>
        <w:rPr>
          <w:rFonts w:ascii="Times New Roman" w:eastAsia="Times New Roman" w:hAnsi="Times New Roman" w:cs="Times New Roman"/>
          <w:sz w:val="24"/>
          <w:szCs w:val="24"/>
          <w:lang w:eastAsia="zh-CN"/>
        </w:rPr>
      </w:pPr>
    </w:p>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
          <w:bCs/>
          <w:sz w:val="24"/>
          <w:szCs w:val="24"/>
          <w:lang w:eastAsia="zh-CN"/>
        </w:rPr>
        <w:t>Висновки</w:t>
      </w:r>
    </w:p>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
          <w:bCs/>
          <w:sz w:val="24"/>
          <w:szCs w:val="24"/>
          <w:lang w:eastAsia="zh-CN"/>
        </w:rPr>
        <w:t>Скорочення викидів СО</w:t>
      </w:r>
      <w:r>
        <w:rPr>
          <w:rFonts w:ascii="Times New Roman" w:eastAsia="Times New Roman" w:hAnsi="Times New Roman" w:cs="Times New Roman"/>
          <w:b/>
          <w:bCs/>
          <w:sz w:val="24"/>
          <w:szCs w:val="24"/>
          <w:vertAlign w:val="subscript"/>
          <w:lang w:eastAsia="zh-CN"/>
        </w:rPr>
        <w:t>2</w:t>
      </w:r>
      <w:r>
        <w:rPr>
          <w:rFonts w:ascii="Times New Roman" w:eastAsia="Times New Roman" w:hAnsi="Times New Roman" w:cs="Times New Roman"/>
          <w:b/>
          <w:bCs/>
          <w:sz w:val="24"/>
          <w:szCs w:val="24"/>
          <w:lang w:eastAsia="zh-CN"/>
        </w:rPr>
        <w:t xml:space="preserve"> станом на 2020 рік </w:t>
      </w:r>
      <w:r>
        <w:rPr>
          <w:rFonts w:ascii="Times New Roman" w:eastAsia="Times New Roman" w:hAnsi="Times New Roman" w:cs="Times New Roman"/>
          <w:b/>
          <w:bCs/>
          <w:sz w:val="24"/>
          <w:szCs w:val="24"/>
          <w:lang w:eastAsia="zh-CN"/>
        </w:rPr>
        <w:br/>
        <w:t>(за період від базового 2007 року)</w:t>
      </w:r>
    </w:p>
    <w:p w:rsidR="00D227E2" w:rsidRDefault="00D227E2">
      <w:pPr>
        <w:spacing w:after="0" w:line="240" w:lineRule="auto"/>
        <w:ind w:firstLine="720"/>
        <w:jc w:val="center"/>
        <w:rPr>
          <w:rFonts w:ascii="Times New Roman" w:eastAsia="Times New Roman" w:hAnsi="Times New Roman" w:cs="Times New Roman"/>
          <w:sz w:val="24"/>
          <w:szCs w:val="24"/>
          <w:lang w:eastAsia="zh-CN"/>
        </w:rPr>
      </w:pPr>
    </w:p>
    <w:p w:rsidR="00D227E2" w:rsidRDefault="00934FC4">
      <w:pPr>
        <w:tabs>
          <w:tab w:val="left" w:pos="0"/>
        </w:tabs>
        <w:spacing w:after="0" w:line="240" w:lineRule="auto"/>
        <w:ind w:firstLine="567"/>
        <w:jc w:val="both"/>
        <w:rPr>
          <w:rFonts w:ascii="Times New Roman" w:hAnsi="Times New Roman" w:cs="Times New Roman"/>
        </w:rPr>
      </w:pPr>
      <w:r>
        <w:rPr>
          <w:rFonts w:ascii="Times New Roman" w:eastAsia="Times New Roman" w:hAnsi="Times New Roman" w:cs="Times New Roman"/>
          <w:sz w:val="24"/>
          <w:szCs w:val="24"/>
          <w:lang w:eastAsia="zh-CN"/>
        </w:rPr>
        <w:t>Відповідно до «</w:t>
      </w:r>
      <w:r>
        <w:rPr>
          <w:rFonts w:ascii="Times New Roman" w:eastAsia="Times New Roman" w:hAnsi="Times New Roman" w:cs="Times New Roman"/>
          <w:iCs/>
          <w:sz w:val="24"/>
          <w:szCs w:val="24"/>
          <w:lang w:eastAsia="zh-CN"/>
        </w:rPr>
        <w:t>Плану дій зі сталого енергетичного розвитку міста Луцька на 2012-2025 роки (оновлена версія 2015 року)</w:t>
      </w:r>
      <w:r>
        <w:rPr>
          <w:rFonts w:ascii="Times New Roman" w:eastAsia="Times New Roman" w:hAnsi="Times New Roman" w:cs="Times New Roman"/>
          <w:sz w:val="24"/>
          <w:szCs w:val="24"/>
          <w:lang w:eastAsia="zh-CN"/>
        </w:rPr>
        <w:t>» зобов’язання м. Луцька щодо зменшення викидів СО</w:t>
      </w:r>
      <w:r>
        <w:rPr>
          <w:rFonts w:ascii="Times New Roman" w:eastAsia="Times New Roman" w:hAnsi="Times New Roman" w:cs="Times New Roman"/>
          <w:sz w:val="24"/>
          <w:szCs w:val="24"/>
          <w:vertAlign w:val="subscript"/>
          <w:lang w:eastAsia="zh-CN"/>
        </w:rPr>
        <w:t>2</w:t>
      </w:r>
      <w:r>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color w:val="000000"/>
          <w:sz w:val="24"/>
          <w:szCs w:val="24"/>
          <w:lang w:eastAsia="zh-CN"/>
        </w:rPr>
        <w:t>становили до 2020 року</w:t>
      </w:r>
      <w:r>
        <w:rPr>
          <w:rFonts w:ascii="Times New Roman" w:eastAsia="Times New Roman" w:hAnsi="Times New Roman" w:cs="Times New Roman"/>
          <w:sz w:val="24"/>
          <w:szCs w:val="24"/>
          <w:lang w:eastAsia="zh-CN"/>
        </w:rPr>
        <w:t xml:space="preserve"> 20 %.</w:t>
      </w:r>
    </w:p>
    <w:p w:rsidR="00D227E2" w:rsidRDefault="00934FC4">
      <w:pPr>
        <w:tabs>
          <w:tab w:val="left" w:pos="0"/>
          <w:tab w:val="left" w:pos="993"/>
        </w:tabs>
        <w:spacing w:after="0" w:line="240" w:lineRule="auto"/>
        <w:ind w:firstLine="567"/>
        <w:jc w:val="both"/>
        <w:rPr>
          <w:rFonts w:ascii="Times New Roman" w:hAnsi="Times New Roman" w:cs="Times New Roman"/>
        </w:rPr>
      </w:pPr>
      <w:r>
        <w:rPr>
          <w:rFonts w:ascii="Times New Roman" w:eastAsia="Times New Roman" w:hAnsi="Times New Roman" w:cs="Times New Roman"/>
          <w:sz w:val="24"/>
          <w:szCs w:val="24"/>
          <w:lang w:eastAsia="zh-CN"/>
        </w:rPr>
        <w:t>Відповідно до даних моніторингового кадастру викидів за 2020 рік зроблені оцінки проміжних результатів щодо зменшення енергоспоживання та скорочення викидів СО</w:t>
      </w:r>
      <w:r>
        <w:rPr>
          <w:rFonts w:ascii="Times New Roman" w:eastAsia="Times New Roman" w:hAnsi="Times New Roman" w:cs="Times New Roman"/>
          <w:sz w:val="24"/>
          <w:szCs w:val="24"/>
          <w:vertAlign w:val="subscript"/>
          <w:lang w:eastAsia="zh-CN"/>
        </w:rPr>
        <w:t xml:space="preserve">2 </w:t>
      </w:r>
      <w:r>
        <w:rPr>
          <w:rFonts w:ascii="Times New Roman" w:eastAsia="Times New Roman" w:hAnsi="Times New Roman" w:cs="Times New Roman"/>
          <w:sz w:val="24"/>
          <w:szCs w:val="24"/>
          <w:lang w:eastAsia="zh-CN"/>
        </w:rPr>
        <w:t>для Луцької МТГ:</w:t>
      </w:r>
    </w:p>
    <w:p w:rsidR="00D227E2" w:rsidRDefault="00934FC4">
      <w:pPr>
        <w:numPr>
          <w:ilvl w:val="0"/>
          <w:numId w:val="37"/>
        </w:numPr>
        <w:tabs>
          <w:tab w:val="clear" w:pos="720"/>
          <w:tab w:val="left" w:pos="0"/>
          <w:tab w:val="left" w:pos="960"/>
          <w:tab w:val="left" w:pos="993"/>
        </w:tabs>
        <w:spacing w:after="0" w:line="240" w:lineRule="auto"/>
        <w:ind w:left="0" w:firstLine="567"/>
        <w:jc w:val="both"/>
        <w:rPr>
          <w:rFonts w:ascii="Times New Roman" w:hAnsi="Times New Roman" w:cs="Times New Roman"/>
        </w:rPr>
      </w:pPr>
      <w:r>
        <w:rPr>
          <w:rFonts w:ascii="Times New Roman" w:eastAsia="Times New Roman" w:hAnsi="Times New Roman" w:cs="Times New Roman"/>
          <w:sz w:val="24"/>
          <w:szCs w:val="24"/>
          <w:lang w:eastAsia="zh-CN"/>
        </w:rPr>
        <w:t>зменшення річного обсягу споживання енергоресурсів у порівнянні з базовим 2007 роком становить 360 951,9 тонн/МВт.год або 15,3 %;</w:t>
      </w:r>
    </w:p>
    <w:p w:rsidR="00D227E2" w:rsidRDefault="00934FC4">
      <w:pPr>
        <w:numPr>
          <w:ilvl w:val="0"/>
          <w:numId w:val="37"/>
        </w:numPr>
        <w:tabs>
          <w:tab w:val="clear" w:pos="720"/>
          <w:tab w:val="left" w:pos="0"/>
          <w:tab w:val="left" w:pos="960"/>
          <w:tab w:val="left" w:pos="993"/>
        </w:tabs>
        <w:spacing w:after="0" w:line="240" w:lineRule="auto"/>
        <w:ind w:left="0" w:firstLine="567"/>
        <w:jc w:val="both"/>
        <w:rPr>
          <w:rFonts w:ascii="Times New Roman" w:hAnsi="Times New Roman" w:cs="Times New Roman"/>
        </w:rPr>
      </w:pPr>
      <w:r>
        <w:rPr>
          <w:rFonts w:ascii="Times New Roman" w:eastAsia="Times New Roman" w:hAnsi="Times New Roman" w:cs="Times New Roman"/>
          <w:sz w:val="24"/>
          <w:szCs w:val="24"/>
          <w:lang w:eastAsia="zh-CN"/>
        </w:rPr>
        <w:t>скорочення викидів СО</w:t>
      </w:r>
      <w:r>
        <w:rPr>
          <w:rFonts w:ascii="Times New Roman" w:eastAsia="Times New Roman" w:hAnsi="Times New Roman" w:cs="Times New Roman"/>
          <w:sz w:val="24"/>
          <w:szCs w:val="24"/>
          <w:vertAlign w:val="subscript"/>
          <w:lang w:eastAsia="zh-CN"/>
        </w:rPr>
        <w:t>2</w:t>
      </w:r>
      <w:r>
        <w:rPr>
          <w:rFonts w:ascii="Times New Roman" w:eastAsia="Times New Roman" w:hAnsi="Times New Roman" w:cs="Times New Roman"/>
          <w:sz w:val="24"/>
          <w:szCs w:val="24"/>
          <w:lang w:eastAsia="zh-CN"/>
        </w:rPr>
        <w:t xml:space="preserve"> у порівнянні до базового 2007 року на 93 810,6 тонн, що становить 13,2 %;</w:t>
      </w:r>
    </w:p>
    <w:p w:rsidR="00D227E2" w:rsidRDefault="00934FC4">
      <w:pPr>
        <w:pStyle w:val="28"/>
        <w:numPr>
          <w:ilvl w:val="0"/>
          <w:numId w:val="37"/>
        </w:numPr>
        <w:tabs>
          <w:tab w:val="clear" w:pos="720"/>
          <w:tab w:val="left" w:pos="0"/>
          <w:tab w:val="left" w:pos="993"/>
        </w:tabs>
        <w:ind w:left="0" w:firstLine="567"/>
        <w:jc w:val="both"/>
      </w:pPr>
      <w:r>
        <w:t>скорочення питомих викидів СО</w:t>
      </w:r>
      <w:r>
        <w:rPr>
          <w:vertAlign w:val="subscript"/>
        </w:rPr>
        <w:t>2</w:t>
      </w:r>
      <w:r>
        <w:t>, кг/1 людину у порівнянні до базового 2007 року на 586,1 тонн, що становить 18,8 %.</w:t>
      </w:r>
    </w:p>
    <w:p w:rsidR="00D227E2" w:rsidRDefault="00934FC4">
      <w:pPr>
        <w:keepNext/>
        <w:spacing w:after="0" w:line="240" w:lineRule="auto"/>
        <w:jc w:val="center"/>
        <w:rPr>
          <w:rFonts w:ascii="Times New Roman" w:hAnsi="Times New Roman" w:cs="Times New Roman"/>
        </w:rPr>
      </w:pPr>
      <w:r>
        <w:rPr>
          <w:noProof/>
          <w:lang w:eastAsia="uk-UA"/>
        </w:rPr>
        <w:drawing>
          <wp:inline distT="0" distB="0" distL="0" distR="0" wp14:anchorId="10743718" wp14:editId="55725967">
            <wp:extent cx="5162550" cy="2836545"/>
            <wp:effectExtent l="0" t="0" r="0" b="0"/>
            <wp:docPr id="65" name="Диаграмма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rsidR="00D227E2" w:rsidRDefault="00934FC4">
      <w:pPr>
        <w:suppressLineNumbers/>
        <w:spacing w:before="120" w:after="120" w:line="240" w:lineRule="auto"/>
        <w:jc w:val="center"/>
        <w:rPr>
          <w:rFonts w:ascii="Times New Roman" w:hAnsi="Times New Roman" w:cs="Times New Roman"/>
        </w:rPr>
      </w:pPr>
      <w:r>
        <w:rPr>
          <w:rFonts w:ascii="Times New Roman" w:eastAsia="Times New Roman" w:hAnsi="Times New Roman" w:cs="Times New Roman"/>
          <w:iCs/>
          <w:sz w:val="24"/>
          <w:szCs w:val="24"/>
          <w:lang w:eastAsia="zh-CN"/>
        </w:rPr>
        <w:t>Рисунок 44. Сума викидів СО</w:t>
      </w:r>
      <w:r>
        <w:rPr>
          <w:rFonts w:ascii="Times New Roman" w:eastAsia="Times New Roman" w:hAnsi="Times New Roman" w:cs="Times New Roman"/>
          <w:iCs/>
          <w:sz w:val="24"/>
          <w:szCs w:val="24"/>
          <w:vertAlign w:val="subscript"/>
          <w:lang w:eastAsia="zh-CN"/>
        </w:rPr>
        <w:t>2</w:t>
      </w:r>
      <w:r>
        <w:rPr>
          <w:rFonts w:ascii="Times New Roman" w:eastAsia="Times New Roman" w:hAnsi="Times New Roman" w:cs="Times New Roman"/>
          <w:iCs/>
          <w:sz w:val="24"/>
          <w:szCs w:val="24"/>
          <w:lang w:eastAsia="zh-CN"/>
        </w:rPr>
        <w:t xml:space="preserve"> по секторах за 2007 та 2020 роки, тонн</w:t>
      </w:r>
    </w:p>
    <w:p w:rsidR="00D227E2" w:rsidRDefault="00D227E2">
      <w:pPr>
        <w:spacing w:after="0"/>
        <w:ind w:firstLine="567"/>
        <w:jc w:val="both"/>
        <w:outlineLvl w:val="0"/>
        <w:rPr>
          <w:rFonts w:ascii="Times New Roman" w:eastAsia="Times New Roman" w:hAnsi="Times New Roman" w:cs="Times New Roman"/>
          <w:b/>
          <w:bCs/>
          <w:kern w:val="2"/>
          <w:sz w:val="24"/>
          <w:szCs w:val="24"/>
        </w:rPr>
      </w:pPr>
    </w:p>
    <w:p w:rsidR="00D227E2" w:rsidRDefault="00D227E2">
      <w:pPr>
        <w:spacing w:after="0"/>
        <w:ind w:firstLine="567"/>
        <w:jc w:val="both"/>
        <w:outlineLvl w:val="0"/>
        <w:rPr>
          <w:rFonts w:ascii="Times New Roman" w:eastAsia="Times New Roman" w:hAnsi="Times New Roman" w:cs="Times New Roman"/>
          <w:b/>
          <w:bCs/>
          <w:kern w:val="2"/>
          <w:sz w:val="24"/>
          <w:szCs w:val="24"/>
        </w:rPr>
      </w:pPr>
    </w:p>
    <w:p w:rsidR="00D227E2" w:rsidRDefault="00D227E2">
      <w:pPr>
        <w:spacing w:after="0"/>
        <w:ind w:firstLine="567"/>
        <w:jc w:val="both"/>
        <w:outlineLvl w:val="0"/>
        <w:rPr>
          <w:rFonts w:ascii="Times New Roman" w:eastAsia="Times New Roman" w:hAnsi="Times New Roman" w:cs="Times New Roman"/>
          <w:b/>
          <w:bCs/>
          <w:kern w:val="2"/>
          <w:sz w:val="24"/>
          <w:szCs w:val="24"/>
        </w:rPr>
      </w:pPr>
    </w:p>
    <w:p w:rsidR="00D227E2" w:rsidRDefault="00934FC4">
      <w:pPr>
        <w:spacing w:after="0"/>
        <w:ind w:firstLine="567"/>
        <w:jc w:val="both"/>
        <w:outlineLvl w:val="0"/>
        <w:rPr>
          <w:rFonts w:ascii="Times New Roman" w:hAnsi="Times New Roman" w:cs="Times New Roman"/>
        </w:rPr>
      </w:pPr>
      <w:r>
        <w:rPr>
          <w:rFonts w:ascii="Times New Roman" w:eastAsia="Times New Roman" w:hAnsi="Times New Roman" w:cs="Times New Roman"/>
          <w:b/>
          <w:bCs/>
          <w:kern w:val="2"/>
          <w:sz w:val="24"/>
          <w:szCs w:val="24"/>
        </w:rPr>
        <w:lastRenderedPageBreak/>
        <w:t>РОЗДІЛ 6. ОЦІНКА РИЗИКІВ ТА ВРАЗЛИВОСТІ ГРОМАДИ ДО ЗМІНИ КЛІМАТУ</w:t>
      </w:r>
    </w:p>
    <w:p w:rsidR="00D227E2" w:rsidRDefault="00934FC4">
      <w:pPr>
        <w:spacing w:after="0"/>
        <w:ind w:firstLine="567"/>
        <w:jc w:val="both"/>
        <w:outlineLvl w:val="0"/>
        <w:rPr>
          <w:rFonts w:ascii="Times New Roman" w:hAnsi="Times New Roman" w:cs="Times New Roman"/>
        </w:rPr>
      </w:pPr>
      <w:r>
        <w:rPr>
          <w:rFonts w:ascii="Times New Roman" w:eastAsia="Times New Roman" w:hAnsi="Times New Roman" w:cs="Times New Roman"/>
          <w:b/>
          <w:bCs/>
          <w:kern w:val="2"/>
          <w:sz w:val="24"/>
          <w:szCs w:val="24"/>
        </w:rPr>
        <w:t>6.1. Кліматична характеристика громади</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 xml:space="preserve">Клімат громади за оцінками кліматичного періоду 1960-1990 роки – помірно континентальний з м’якою зимою та теплим літом. На сьогодні через зміну клімату кліматична група може відрізнятися, але остаточні оцінки ще не були проведені. </w:t>
      </w:r>
    </w:p>
    <w:p w:rsidR="00D227E2" w:rsidRDefault="00934FC4">
      <w:pPr>
        <w:spacing w:after="0"/>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На рисунку 45 можна побачити середньорічні показники температури та опадів у Луцьку</w:t>
      </w:r>
    </w:p>
    <w:p w:rsidR="00D227E2" w:rsidRDefault="00934FC4">
      <w:pPr>
        <w:spacing w:after="0"/>
        <w:ind w:firstLine="567"/>
        <w:jc w:val="both"/>
        <w:rPr>
          <w:rFonts w:ascii="Times New Roman" w:eastAsia="NSimSun" w:hAnsi="Times New Roman" w:cs="Times New Roman"/>
          <w:color w:val="000000"/>
          <w:kern w:val="2"/>
          <w:sz w:val="24"/>
          <w:szCs w:val="24"/>
          <w:shd w:val="clear" w:color="auto" w:fill="FFFFFF"/>
          <w:lang w:eastAsia="zh-CN" w:bidi="hi-IN"/>
        </w:rPr>
      </w:pPr>
      <w:r>
        <w:rPr>
          <w:rFonts w:ascii="Times New Roman" w:eastAsia="NSimSun" w:hAnsi="Times New Roman" w:cs="Times New Roman"/>
          <w:noProof/>
          <w:color w:val="000000"/>
          <w:kern w:val="2"/>
          <w:sz w:val="24"/>
          <w:szCs w:val="24"/>
          <w:shd w:val="clear" w:color="auto" w:fill="FFFFFF"/>
          <w:lang w:eastAsia="uk-UA"/>
        </w:rPr>
        <mc:AlternateContent>
          <mc:Choice Requires="wps">
            <w:drawing>
              <wp:anchor distT="95250" distB="85725" distL="19050" distR="56515" simplePos="0" relativeHeight="44" behindDoc="1" locked="0" layoutInCell="0" allowOverlap="1" wp14:anchorId="1EDC9B69" wp14:editId="1042E091">
                <wp:simplePos x="0" y="0"/>
                <wp:positionH relativeFrom="column">
                  <wp:posOffset>713740</wp:posOffset>
                </wp:positionH>
                <wp:positionV relativeFrom="paragraph">
                  <wp:posOffset>64770</wp:posOffset>
                </wp:positionV>
                <wp:extent cx="5334000" cy="2790825"/>
                <wp:effectExtent l="0" t="0" r="0" b="0"/>
                <wp:wrapTight wrapText="bothSides">
                  <wp:wrapPolygon edited="0">
                    <wp:start x="154" y="737"/>
                    <wp:lineTo x="77" y="1917"/>
                    <wp:lineTo x="386" y="3391"/>
                    <wp:lineTo x="463" y="5750"/>
                    <wp:lineTo x="8563" y="5750"/>
                    <wp:lineTo x="1466" y="6782"/>
                    <wp:lineTo x="463" y="7519"/>
                    <wp:lineTo x="463" y="10468"/>
                    <wp:lineTo x="694" y="12827"/>
                    <wp:lineTo x="309" y="14744"/>
                    <wp:lineTo x="309" y="17545"/>
                    <wp:lineTo x="1466" y="19904"/>
                    <wp:lineTo x="1466" y="20494"/>
                    <wp:lineTo x="3240" y="20937"/>
                    <wp:lineTo x="8254" y="20937"/>
                    <wp:lineTo x="9334" y="20642"/>
                    <wp:lineTo x="18283" y="20052"/>
                    <wp:lineTo x="19826" y="19904"/>
                    <wp:lineTo x="20983" y="18872"/>
                    <wp:lineTo x="20983" y="17545"/>
                    <wp:lineTo x="20289" y="16366"/>
                    <wp:lineTo x="19440" y="15186"/>
                    <wp:lineTo x="20983" y="14007"/>
                    <wp:lineTo x="20983" y="13417"/>
                    <wp:lineTo x="19517" y="12827"/>
                    <wp:lineTo x="21214" y="10173"/>
                    <wp:lineTo x="20211" y="9584"/>
                    <wp:lineTo x="17049" y="8109"/>
                    <wp:lineTo x="21060" y="7814"/>
                    <wp:lineTo x="20983" y="6192"/>
                    <wp:lineTo x="18900" y="5750"/>
                    <wp:lineTo x="21137" y="4866"/>
                    <wp:lineTo x="21060" y="3391"/>
                    <wp:lineTo x="21369" y="2801"/>
                    <wp:lineTo x="20134" y="2506"/>
                    <wp:lineTo x="10183" y="737"/>
                    <wp:lineTo x="154" y="737"/>
                  </wp:wrapPolygon>
                </wp:wrapTight>
                <wp:docPr id="66" name="Рисунок 20"/>
                <wp:cNvGraphicFramePr/>
                <a:graphic xmlns:a="http://schemas.openxmlformats.org/drawingml/2006/main">
                  <a:graphicData uri="http://schemas.openxmlformats.org/drawingml/2006/picture">
                    <pic:pic xmlns:pic="http://schemas.openxmlformats.org/drawingml/2006/picture">
                      <pic:nvPicPr>
                        <pic:cNvPr id="67" name="Рисунок 20"/>
                        <pic:cNvPicPr/>
                      </pic:nvPicPr>
                      <pic:blipFill>
                        <a:blip r:embed="rId105">
                          <a:extLst>
                            <a:ext uri="{BEBA8EAE-BF5A-486C-A8C5-ECC9F3942E4B}">
                              <a14:imgProps xmlns:a14="http://schemas.microsoft.com/office/drawing/2010/main">
                                <a14:imgLayer r:embed="rId106">
                                  <a14:imgEffect>
                                    <a14:sharpenSoften amount="50000"/>
                                  </a14:imgEffect>
                                </a14:imgLayer>
                              </a14:imgProps>
                            </a:ext>
                          </a:extLst>
                        </a:blip>
                        <a:stretch/>
                      </pic:blipFill>
                      <pic:spPr>
                        <a:xfrm>
                          <a:off x="0" y="0"/>
                          <a:ext cx="5334120" cy="2790720"/>
                        </a:xfrm>
                        <a:prstGeom prst="rect">
                          <a:avLst/>
                        </a:prstGeom>
                        <a:ln w="0">
                          <a:noFill/>
                        </a:ln>
                      </pic:spPr>
                    </pic:pic>
                  </a:graphicData>
                </a:graphic>
              </wp:anchor>
            </w:drawing>
          </mc:Choice>
          <mc:Fallback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Рисунок 20" stroked="f" o:allowincell="f" style="position:absolute;margin-left:56.2pt;margin-top:5.1pt;width:419.95pt;height:219.7pt;mso-wrap-style:none;v-text-anchor:middle" wp14:anchorId="6E0D819E" type="_x0000_t75">
                <v:imagedata r:id="rId109" o:detectmouseclick="t"/>
                <v:stroke color="#3465a4" joinstyle="round" endcap="flat"/>
                <w10:wrap type="square"/>
              </v:shape>
            </w:pict>
          </mc:Fallback>
        </mc:AlternateContent>
      </w: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934FC4">
      <w:pPr>
        <w:spacing w:after="0"/>
        <w:ind w:firstLine="567"/>
        <w:jc w:val="center"/>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 xml:space="preserve">Рисунок 45. Середньорічні показники температури та опадів у Луцьку </w:t>
      </w:r>
      <w:r>
        <w:rPr>
          <w:rFonts w:ascii="Symbol" w:eastAsia="Symbol" w:hAnsi="Symbol" w:cs="Symbol"/>
          <w:color w:val="000000"/>
          <w:kern w:val="2"/>
          <w:sz w:val="24"/>
          <w:szCs w:val="24"/>
          <w:shd w:val="clear" w:color="auto" w:fill="FFFFFF"/>
          <w:lang w:eastAsia="zh-CN" w:bidi="hi-IN"/>
        </w:rPr>
        <w:sym w:font="Symbol" w:char="F05B"/>
      </w:r>
      <w:r>
        <w:rPr>
          <w:rFonts w:ascii="Times New Roman" w:eastAsia="NSimSun" w:hAnsi="Times New Roman" w:cs="Times New Roman"/>
          <w:color w:val="000000"/>
          <w:kern w:val="2"/>
          <w:sz w:val="24"/>
          <w:szCs w:val="24"/>
          <w:shd w:val="clear" w:color="auto" w:fill="FFFFFF"/>
          <w:lang w:eastAsia="zh-CN" w:bidi="hi-IN"/>
        </w:rPr>
        <w:t>10</w:t>
      </w:r>
      <w:r>
        <w:rPr>
          <w:rFonts w:ascii="Symbol" w:eastAsia="Symbol" w:hAnsi="Symbol" w:cs="Symbol"/>
          <w:color w:val="000000"/>
          <w:kern w:val="2"/>
          <w:sz w:val="24"/>
          <w:szCs w:val="24"/>
          <w:shd w:val="clear" w:color="auto" w:fill="FFFFFF"/>
          <w:lang w:eastAsia="zh-CN" w:bidi="hi-IN"/>
        </w:rPr>
        <w:sym w:font="Symbol" w:char="F05D"/>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shd w:val="clear" w:color="auto" w:fill="FFFFFF"/>
          <w:lang w:eastAsia="zh-CN" w:bidi="hi-IN"/>
        </w:rPr>
        <w:t>За даними Волинського обласного центру з гідрометеорології (Волинський ЦГМ) середньорічна температура повітря у 2022 році становила (+9,4)°С. За багаторічний період спостережень, температура повітря становила: абсолютний мінімум (-33,6)°С, абсолютний максимум (+36,2)°С. Середня максимальна температура повітря в літній сезон у 2022 році становила (+20,4)°С. Середня мінімальна температура повітря в зимовий сезон у 2022 році становила (-0,1)°С.</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 xml:space="preserve">Середня річна відносна вологість повітря в січні 84 %, в липні 71 % та річна 74,9 %. Найменша хмарність спостерігається в серпні, найбільша в грудні. Найбільшу повторюваність у місті мають вітри із заходу, найменшу з північного сходу. Найбільша швидкість вітру у листопаді, найменша влітку. У січні вона в середньому становить 4,1 м/с, у липні 2,8 м/с.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У середньому за рік у Луцьку випадає 560 мм атмосферних опадів, найменше у березні, найбільше в липні.</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Мінімальна річна кількість опадів (310 мм) спостерігалась у 1961 р., максимальна (822 мм) в 1931 р. Максимальну добову кількість опадів (114 мм) зафіксовано 4 серпня 1959 р. У середньому за рік у місті спостерігають 148 днів з опадами; найменше їх (10) у серпні, найбільше (16) у грудні. Щороку в Луцьку утворюється сніговий покрив, проте його висота незначна.</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Відносна вологість повітря в середньому за рік становить 78 %, найменша вона у травні (64 %), найбільша у грудні (89 %).</w:t>
      </w:r>
    </w:p>
    <w:p w:rsidR="00D227E2" w:rsidRDefault="00934FC4">
      <w:pPr>
        <w:spacing w:after="0"/>
        <w:ind w:firstLine="567"/>
        <w:jc w:val="both"/>
        <w:outlineLvl w:val="0"/>
        <w:rPr>
          <w:rFonts w:ascii="Times New Roman" w:hAnsi="Times New Roman" w:cs="Times New Roman"/>
        </w:rPr>
      </w:pPr>
      <w:r>
        <w:rPr>
          <w:rFonts w:ascii="Times New Roman" w:eastAsia="Times New Roman" w:hAnsi="Times New Roman" w:cs="Times New Roman"/>
          <w:kern w:val="2"/>
          <w:sz w:val="24"/>
          <w:szCs w:val="24"/>
          <w:u w:val="single"/>
        </w:rPr>
        <w:t>Зміна кліматичних умов на території Луцької МТГ у сучасний період (1970-2022 роки) та прогнозування</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lastRenderedPageBreak/>
        <w:t>У продовж останніх десятиліть, як в Україні, так і на Волині чітко спостерігаються прояви зміни клімату. Результати досліджень свідчать, що середньорічна температура повітря та деякі інші метеорологічні параметри відрізняються від значень кліматичної норми (усередненого значення за період 1961−1990 роки). За даними метеорологічних спостережень, проведених на найближчій метеорологічній станції Луцьк в період з 1970 по 2022 роки, середньорічна температура у цьому регіоні зросла приблизно на +2,4°С порівняно з кліматичною нормою 1961-1990 років (рисунок 46).</w:t>
      </w:r>
    </w:p>
    <w:p w:rsidR="00D227E2" w:rsidRDefault="00934FC4">
      <w:pPr>
        <w:spacing w:after="0"/>
        <w:ind w:firstLine="567"/>
        <w:jc w:val="both"/>
        <w:rPr>
          <w:rFonts w:ascii="Times New Roman" w:eastAsia="NSimSun" w:hAnsi="Times New Roman" w:cs="Times New Roman"/>
          <w:kern w:val="2"/>
          <w:sz w:val="24"/>
          <w:szCs w:val="24"/>
          <w:lang w:eastAsia="uk-UA"/>
        </w:rPr>
      </w:pPr>
      <w:r>
        <w:rPr>
          <w:rFonts w:ascii="Times New Roman" w:eastAsia="NSimSun" w:hAnsi="Times New Roman" w:cs="Times New Roman"/>
          <w:noProof/>
          <w:kern w:val="2"/>
          <w:sz w:val="24"/>
          <w:szCs w:val="24"/>
          <w:lang w:eastAsia="uk-UA"/>
        </w:rPr>
        <w:drawing>
          <wp:anchor distT="0" distB="0" distL="0" distR="0" simplePos="0" relativeHeight="34" behindDoc="0" locked="0" layoutInCell="0" allowOverlap="1" wp14:anchorId="70ADD0D9" wp14:editId="5731FB2F">
            <wp:simplePos x="0" y="0"/>
            <wp:positionH relativeFrom="column">
              <wp:posOffset>1080770</wp:posOffset>
            </wp:positionH>
            <wp:positionV relativeFrom="paragraph">
              <wp:posOffset>124460</wp:posOffset>
            </wp:positionV>
            <wp:extent cx="4334510" cy="2438400"/>
            <wp:effectExtent l="0" t="0" r="0" b="0"/>
            <wp:wrapSquare wrapText="largest"/>
            <wp:docPr id="68" name="Об'єкт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anchor>
        </w:drawing>
      </w:r>
    </w:p>
    <w:p w:rsidR="00D227E2" w:rsidRDefault="00D227E2">
      <w:pPr>
        <w:spacing w:after="0"/>
        <w:ind w:firstLine="567"/>
        <w:jc w:val="both"/>
        <w:rPr>
          <w:rFonts w:ascii="Times New Roman" w:eastAsia="NSimSun" w:hAnsi="Times New Roman" w:cs="Times New Roman"/>
          <w:kern w:val="2"/>
          <w:sz w:val="24"/>
          <w:szCs w:val="24"/>
          <w:lang w:eastAsia="uk-UA"/>
        </w:rPr>
      </w:pPr>
    </w:p>
    <w:p w:rsidR="00D227E2" w:rsidRDefault="00D227E2">
      <w:pPr>
        <w:spacing w:after="0"/>
        <w:ind w:firstLine="567"/>
        <w:jc w:val="both"/>
        <w:rPr>
          <w:rFonts w:ascii="Times New Roman" w:eastAsia="NSimSun" w:hAnsi="Times New Roman" w:cs="Times New Roman"/>
          <w:kern w:val="2"/>
          <w:sz w:val="24"/>
          <w:szCs w:val="24"/>
          <w:lang w:eastAsia="uk-UA"/>
        </w:rPr>
      </w:pPr>
    </w:p>
    <w:p w:rsidR="00D227E2" w:rsidRDefault="00D227E2">
      <w:pPr>
        <w:spacing w:after="0"/>
        <w:ind w:firstLine="567"/>
        <w:jc w:val="both"/>
        <w:rPr>
          <w:rFonts w:ascii="Times New Roman" w:eastAsia="NSimSun" w:hAnsi="Times New Roman" w:cs="Times New Roman"/>
          <w:kern w:val="2"/>
          <w:sz w:val="24"/>
          <w:szCs w:val="24"/>
          <w:lang w:eastAsia="uk-UA"/>
        </w:rPr>
      </w:pPr>
    </w:p>
    <w:p w:rsidR="00D227E2" w:rsidRDefault="00D227E2">
      <w:pPr>
        <w:spacing w:after="0"/>
        <w:ind w:firstLine="567"/>
        <w:jc w:val="both"/>
        <w:rPr>
          <w:rFonts w:ascii="Times New Roman" w:eastAsia="NSimSun" w:hAnsi="Times New Roman" w:cs="Times New Roman"/>
          <w:kern w:val="2"/>
          <w:sz w:val="24"/>
          <w:szCs w:val="24"/>
          <w:lang w:eastAsia="uk-UA"/>
        </w:rPr>
      </w:pPr>
    </w:p>
    <w:p w:rsidR="00D227E2" w:rsidRDefault="00D227E2">
      <w:pPr>
        <w:spacing w:after="0"/>
        <w:ind w:firstLine="567"/>
        <w:jc w:val="both"/>
        <w:rPr>
          <w:rFonts w:ascii="Times New Roman" w:eastAsia="NSimSun" w:hAnsi="Times New Roman" w:cs="Times New Roman"/>
          <w:kern w:val="2"/>
          <w:sz w:val="24"/>
          <w:szCs w:val="24"/>
          <w:lang w:eastAsia="uk-UA"/>
        </w:rPr>
      </w:pPr>
    </w:p>
    <w:p w:rsidR="00D227E2" w:rsidRDefault="00D227E2">
      <w:pPr>
        <w:spacing w:after="0"/>
        <w:ind w:firstLine="567"/>
        <w:jc w:val="both"/>
        <w:rPr>
          <w:rFonts w:ascii="Times New Roman" w:eastAsia="NSimSun" w:hAnsi="Times New Roman" w:cs="Times New Roman"/>
          <w:kern w:val="2"/>
          <w:sz w:val="24"/>
          <w:szCs w:val="24"/>
          <w:lang w:eastAsia="uk-UA"/>
        </w:rPr>
      </w:pPr>
    </w:p>
    <w:p w:rsidR="00D227E2" w:rsidRDefault="00D227E2">
      <w:pPr>
        <w:spacing w:after="0"/>
        <w:ind w:firstLine="567"/>
        <w:jc w:val="both"/>
        <w:rPr>
          <w:rFonts w:ascii="Times New Roman" w:eastAsia="NSimSun" w:hAnsi="Times New Roman" w:cs="Times New Roman"/>
          <w:kern w:val="2"/>
          <w:sz w:val="24"/>
          <w:szCs w:val="24"/>
          <w:lang w:eastAsia="uk-UA"/>
        </w:rPr>
      </w:pPr>
    </w:p>
    <w:p w:rsidR="00D227E2" w:rsidRDefault="00D227E2">
      <w:pPr>
        <w:spacing w:after="0"/>
        <w:ind w:firstLine="567"/>
        <w:jc w:val="both"/>
        <w:rPr>
          <w:rFonts w:ascii="Times New Roman" w:eastAsia="NSimSun" w:hAnsi="Times New Roman" w:cs="Times New Roman"/>
          <w:kern w:val="2"/>
          <w:sz w:val="24"/>
          <w:szCs w:val="24"/>
          <w:lang w:eastAsia="uk-UA"/>
        </w:rPr>
      </w:pPr>
    </w:p>
    <w:p w:rsidR="00D227E2" w:rsidRDefault="00D227E2">
      <w:pPr>
        <w:spacing w:after="0"/>
        <w:ind w:firstLine="567"/>
        <w:jc w:val="both"/>
        <w:rPr>
          <w:rFonts w:ascii="Times New Roman" w:eastAsia="NSimSun" w:hAnsi="Times New Roman" w:cs="Times New Roman"/>
          <w:kern w:val="2"/>
          <w:sz w:val="24"/>
          <w:szCs w:val="24"/>
          <w:lang w:eastAsia="uk-UA"/>
        </w:rPr>
      </w:pPr>
    </w:p>
    <w:p w:rsidR="00D227E2" w:rsidRDefault="00D227E2">
      <w:pPr>
        <w:spacing w:after="0"/>
        <w:ind w:firstLine="567"/>
        <w:jc w:val="both"/>
        <w:rPr>
          <w:rFonts w:ascii="Times New Roman" w:eastAsia="NSimSun" w:hAnsi="Times New Roman" w:cs="Times New Roman"/>
          <w:kern w:val="2"/>
          <w:sz w:val="24"/>
          <w:szCs w:val="24"/>
          <w:lang w:eastAsia="uk-UA"/>
        </w:rPr>
      </w:pPr>
    </w:p>
    <w:p w:rsidR="00D227E2" w:rsidRDefault="00D227E2">
      <w:pPr>
        <w:spacing w:after="0"/>
        <w:ind w:firstLine="567"/>
        <w:jc w:val="both"/>
        <w:rPr>
          <w:rFonts w:ascii="Times New Roman" w:eastAsia="NSimSun" w:hAnsi="Times New Roman" w:cs="Times New Roman"/>
          <w:kern w:val="2"/>
          <w:sz w:val="24"/>
          <w:szCs w:val="24"/>
          <w:lang w:eastAsia="uk-UA"/>
        </w:rPr>
      </w:pPr>
    </w:p>
    <w:p w:rsidR="00D227E2" w:rsidRDefault="00D227E2">
      <w:pPr>
        <w:spacing w:after="0"/>
        <w:ind w:firstLine="567"/>
        <w:jc w:val="both"/>
        <w:rPr>
          <w:rFonts w:ascii="Times New Roman" w:eastAsia="NSimSun" w:hAnsi="Times New Roman" w:cs="Times New Roman"/>
          <w:kern w:val="2"/>
          <w:sz w:val="24"/>
          <w:szCs w:val="24"/>
          <w:lang w:eastAsia="uk-UA"/>
        </w:rPr>
      </w:pPr>
    </w:p>
    <w:p w:rsidR="00D227E2" w:rsidRDefault="00934FC4">
      <w:pPr>
        <w:spacing w:after="0"/>
        <w:ind w:firstLine="567"/>
        <w:jc w:val="center"/>
        <w:rPr>
          <w:rFonts w:ascii="Times New Roman" w:hAnsi="Times New Roman" w:cs="Times New Roman"/>
        </w:rPr>
      </w:pPr>
      <w:r>
        <w:rPr>
          <w:rFonts w:ascii="Times New Roman" w:eastAsia="NSimSun" w:hAnsi="Times New Roman" w:cs="Times New Roman"/>
          <w:kern w:val="2"/>
          <w:sz w:val="24"/>
          <w:szCs w:val="24"/>
          <w:lang w:eastAsia="zh-CN" w:bidi="hi-IN"/>
        </w:rPr>
        <w:t>Рисунок 46. Середньорічна температура (t) повітря з 1970 по 2022 роки за даними спостереження найближчої метеорологічної станції Луцьк</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Зростання середньорічної температури відбулось переважно за рахунок збільшення середньої температури повітря в зимовий та літній періоди. Також зросла і середня температура повітря у більшості місяців року.</w:t>
      </w:r>
    </w:p>
    <w:p w:rsidR="00D227E2" w:rsidRDefault="00934FC4">
      <w:pPr>
        <w:pStyle w:val="a1"/>
        <w:spacing w:after="0"/>
        <w:ind w:firstLine="567"/>
        <w:jc w:val="both"/>
        <w:rPr>
          <w:rFonts w:ascii="Times New Roman" w:hAnsi="Times New Roman" w:cs="Times New Roman"/>
        </w:rPr>
      </w:pPr>
      <w:bookmarkStart w:id="18" w:name="docs-internal-guid-45397bdf-7fff-a0d4-87"/>
      <w:bookmarkEnd w:id="18"/>
      <w:r>
        <w:rPr>
          <w:rFonts w:ascii="Times New Roman" w:eastAsia="NSimSun" w:hAnsi="Times New Roman" w:cs="Times New Roman"/>
          <w:kern w:val="2"/>
          <w:sz w:val="24"/>
          <w:szCs w:val="24"/>
          <w:lang w:eastAsia="zh-CN" w:bidi="hi-IN"/>
        </w:rPr>
        <w:t>Для прогнозування кліматичних змін на довготривалий період використовується методика взаємопорівняння пов’язаних моделей CMIP5 (Coupled Model Intercomparison Project 5), яка була погоджена в 2008 році під час зустрічі двадцяти наукових груп з усього світу, що займалися моделюванням кліматичних змін. Суть домовленостей – координація експериментів для прогнозування клімату, аналіз відмінностей різних моделей та їх причин, оцінка здатності моделей передбачати клімат тощо.</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sz w:val="24"/>
          <w:szCs w:val="24"/>
          <w:shd w:val="clear" w:color="auto" w:fill="FFFFFF"/>
        </w:rPr>
        <w:t>Для прогнозування клімату поширеними є моделі, що описують сценарії зростання рівня парникового газу (Representative Concentration Pathways) вуглекислого газу та позначаються абревіатурою RCP 4.5 та RCP 8.5.</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sz w:val="24"/>
          <w:szCs w:val="24"/>
          <w:shd w:val="clear" w:color="auto" w:fill="FFFFFF"/>
        </w:rPr>
        <w:t>RCP 4.5 описується Міжурядовою групою експертів зі зміни клімату (IPCC) як помірний сценарій, за яким пік викидів досягається приблизно в 2040 році, а потім зменшується. RCP 8.5 – це сценарій найбільших викидів, за яким викиди продовжують зростати протягом двадцять першого століття. Тому зміни клімату, прогнозовані згідно з RCP 8.5, зазвичай більш серйозні, ніж згідно з RCP 4.5.</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sz w:val="24"/>
          <w:szCs w:val="24"/>
          <w:shd w:val="clear" w:color="auto" w:fill="FFFFFF"/>
        </w:rPr>
        <w:t>В наступній таблиці подані прогнози змін температури та опадів в регіоні на основі сценаріїв RCP 4.5 та RCP 8.5. </w:t>
      </w:r>
    </w:p>
    <w:p w:rsidR="00D227E2" w:rsidRDefault="00D227E2">
      <w:pPr>
        <w:pStyle w:val="a1"/>
        <w:rPr>
          <w:rFonts w:ascii="Times New Roman" w:hAnsi="Times New Roman" w:cs="Times New Roman"/>
        </w:rPr>
      </w:pPr>
    </w:p>
    <w:p w:rsidR="00D227E2" w:rsidRDefault="00934FC4">
      <w:pPr>
        <w:pStyle w:val="a1"/>
        <w:rPr>
          <w:rFonts w:ascii="Times New Roman" w:hAnsi="Times New Roman" w:cs="Times New Roman"/>
        </w:rPr>
      </w:pPr>
      <w:r>
        <w:rPr>
          <w:rFonts w:ascii="Times New Roman" w:hAnsi="Times New Roman" w:cs="Times New Roman"/>
        </w:rPr>
        <w:br/>
      </w:r>
    </w:p>
    <w:p w:rsidR="00D227E2" w:rsidRDefault="00934FC4">
      <w:pPr>
        <w:pStyle w:val="2007"/>
        <w:jc w:val="center"/>
        <w:rPr>
          <w:rFonts w:ascii="Times New Roman" w:hAnsi="Times New Roman" w:cs="Times New Roman"/>
        </w:rPr>
      </w:pPr>
      <w:r>
        <w:rPr>
          <w:rFonts w:ascii="Times New Roman" w:hAnsi="Times New Roman" w:cs="Times New Roman"/>
          <w:i w:val="0"/>
          <w:sz w:val="20"/>
          <w:szCs w:val="20"/>
        </w:rPr>
        <w:lastRenderedPageBreak/>
        <w:t>Кліматичні проекції, що базуються на CMIP5*</w:t>
      </w:r>
    </w:p>
    <w:tbl>
      <w:tblPr>
        <w:tblStyle w:val="110"/>
        <w:tblW w:w="9781" w:type="dxa"/>
        <w:tblInd w:w="108" w:type="dxa"/>
        <w:tblLayout w:type="fixed"/>
        <w:tblLook w:val="04A0" w:firstRow="1" w:lastRow="0" w:firstColumn="1" w:lastColumn="0" w:noHBand="0" w:noVBand="1"/>
      </w:tblPr>
      <w:tblGrid>
        <w:gridCol w:w="2272"/>
        <w:gridCol w:w="713"/>
        <w:gridCol w:w="1130"/>
        <w:gridCol w:w="1135"/>
        <w:gridCol w:w="995"/>
        <w:gridCol w:w="1130"/>
        <w:gridCol w:w="1134"/>
        <w:gridCol w:w="1272"/>
      </w:tblGrid>
      <w:tr w:rsidR="00D227E2">
        <w:trPr>
          <w:trHeight w:val="340"/>
        </w:trPr>
        <w:tc>
          <w:tcPr>
            <w:tcW w:w="2271" w:type="dxa"/>
            <w:vMerge w:val="restart"/>
          </w:tcPr>
          <w:p w:rsidR="00D227E2" w:rsidRDefault="00D227E2">
            <w:pPr>
              <w:suppressAutoHyphens w:val="0"/>
              <w:spacing w:after="0" w:line="240" w:lineRule="auto"/>
              <w:rPr>
                <w:rFonts w:ascii="Times New Roman" w:hAnsi="Times New Roman" w:cs="Times New Roman"/>
                <w:sz w:val="20"/>
                <w:szCs w:val="20"/>
              </w:rPr>
            </w:pPr>
          </w:p>
        </w:tc>
        <w:tc>
          <w:tcPr>
            <w:tcW w:w="712" w:type="dxa"/>
            <w:vMerge w:val="restart"/>
          </w:tcPr>
          <w:p w:rsidR="00D227E2" w:rsidRDefault="00934FC4">
            <w:pPr>
              <w:suppressAutoHyphens w:val="0"/>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2021</w:t>
            </w:r>
          </w:p>
        </w:tc>
        <w:tc>
          <w:tcPr>
            <w:tcW w:w="3260" w:type="dxa"/>
            <w:gridSpan w:val="3"/>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RCP 4.5</w:t>
            </w:r>
          </w:p>
        </w:tc>
        <w:tc>
          <w:tcPr>
            <w:tcW w:w="3536" w:type="dxa"/>
            <w:gridSpan w:val="3"/>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RCP 8.5</w:t>
            </w:r>
          </w:p>
        </w:tc>
      </w:tr>
      <w:tr w:rsidR="00D227E2">
        <w:trPr>
          <w:trHeight w:val="192"/>
        </w:trPr>
        <w:tc>
          <w:tcPr>
            <w:tcW w:w="2271" w:type="dxa"/>
            <w:vMerge/>
          </w:tcPr>
          <w:p w:rsidR="00D227E2" w:rsidRDefault="00D227E2">
            <w:pPr>
              <w:suppressAutoHyphens w:val="0"/>
              <w:spacing w:after="0" w:line="240" w:lineRule="auto"/>
              <w:rPr>
                <w:rFonts w:ascii="Times New Roman" w:hAnsi="Times New Roman" w:cs="Times New Roman"/>
                <w:sz w:val="20"/>
                <w:szCs w:val="20"/>
              </w:rPr>
            </w:pPr>
          </w:p>
        </w:tc>
        <w:tc>
          <w:tcPr>
            <w:tcW w:w="712" w:type="dxa"/>
            <w:vMerge/>
          </w:tcPr>
          <w:p w:rsidR="00D227E2" w:rsidRDefault="00D227E2">
            <w:pPr>
              <w:suppressAutoHyphens w:val="0"/>
              <w:spacing w:after="0" w:line="240" w:lineRule="auto"/>
              <w:rPr>
                <w:rFonts w:ascii="Times New Roman" w:hAnsi="Times New Roman" w:cs="Times New Roman"/>
                <w:sz w:val="20"/>
                <w:szCs w:val="20"/>
              </w:rPr>
            </w:pPr>
          </w:p>
        </w:tc>
        <w:tc>
          <w:tcPr>
            <w:tcW w:w="1130" w:type="dxa"/>
          </w:tcPr>
          <w:p w:rsidR="00D227E2" w:rsidRDefault="00934FC4">
            <w:pPr>
              <w:suppressAutoHyphens w:val="0"/>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до 2040</w:t>
            </w:r>
          </w:p>
        </w:tc>
        <w:tc>
          <w:tcPr>
            <w:tcW w:w="1135" w:type="dxa"/>
          </w:tcPr>
          <w:p w:rsidR="00D227E2" w:rsidRDefault="00934FC4">
            <w:pPr>
              <w:suppressAutoHyphens w:val="0"/>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до 2060</w:t>
            </w:r>
          </w:p>
        </w:tc>
        <w:tc>
          <w:tcPr>
            <w:tcW w:w="995" w:type="dxa"/>
          </w:tcPr>
          <w:p w:rsidR="00D227E2" w:rsidRDefault="00934FC4">
            <w:pPr>
              <w:suppressAutoHyphens w:val="0"/>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до 2080</w:t>
            </w:r>
          </w:p>
        </w:tc>
        <w:tc>
          <w:tcPr>
            <w:tcW w:w="1130" w:type="dxa"/>
          </w:tcPr>
          <w:p w:rsidR="00D227E2" w:rsidRDefault="00934FC4">
            <w:pPr>
              <w:suppressAutoHyphens w:val="0"/>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до 2040</w:t>
            </w:r>
          </w:p>
        </w:tc>
        <w:tc>
          <w:tcPr>
            <w:tcW w:w="1134" w:type="dxa"/>
          </w:tcPr>
          <w:p w:rsidR="00D227E2" w:rsidRDefault="00934FC4">
            <w:pPr>
              <w:suppressAutoHyphens w:val="0"/>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до 2060</w:t>
            </w:r>
          </w:p>
        </w:tc>
        <w:tc>
          <w:tcPr>
            <w:tcW w:w="1272" w:type="dxa"/>
          </w:tcPr>
          <w:p w:rsidR="00D227E2" w:rsidRDefault="00934FC4">
            <w:pPr>
              <w:suppressAutoHyphens w:val="0"/>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до 2080</w:t>
            </w:r>
          </w:p>
        </w:tc>
      </w:tr>
      <w:tr w:rsidR="00D227E2">
        <w:trPr>
          <w:trHeight w:val="237"/>
        </w:trPr>
        <w:tc>
          <w:tcPr>
            <w:tcW w:w="2271" w:type="dxa"/>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Середня температура, ˚С</w:t>
            </w:r>
          </w:p>
        </w:tc>
        <w:tc>
          <w:tcPr>
            <w:tcW w:w="712" w:type="dxa"/>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+8,5</w:t>
            </w:r>
          </w:p>
        </w:tc>
        <w:tc>
          <w:tcPr>
            <w:tcW w:w="1130" w:type="dxa"/>
            <w:vAlign w:val="center"/>
          </w:tcPr>
          <w:p w:rsidR="00D227E2" w:rsidRDefault="00D227E2">
            <w:pPr>
              <w:suppressAutoHyphens w:val="0"/>
              <w:spacing w:after="0" w:line="240" w:lineRule="auto"/>
              <w:jc w:val="center"/>
              <w:rPr>
                <w:rFonts w:ascii="Times New Roman" w:hAnsi="Times New Roman" w:cs="Times New Roman"/>
                <w:sz w:val="20"/>
                <w:szCs w:val="20"/>
              </w:rPr>
            </w:pPr>
          </w:p>
        </w:tc>
        <w:tc>
          <w:tcPr>
            <w:tcW w:w="1135" w:type="dxa"/>
            <w:vAlign w:val="center"/>
          </w:tcPr>
          <w:p w:rsidR="00D227E2" w:rsidRDefault="00D227E2">
            <w:pPr>
              <w:suppressAutoHyphens w:val="0"/>
              <w:spacing w:after="0" w:line="240" w:lineRule="auto"/>
              <w:jc w:val="center"/>
              <w:rPr>
                <w:rFonts w:ascii="Times New Roman" w:hAnsi="Times New Roman" w:cs="Times New Roman"/>
                <w:sz w:val="20"/>
                <w:szCs w:val="20"/>
              </w:rPr>
            </w:pPr>
          </w:p>
        </w:tc>
        <w:tc>
          <w:tcPr>
            <w:tcW w:w="995" w:type="dxa"/>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+1,5…2</w:t>
            </w:r>
          </w:p>
        </w:tc>
        <w:tc>
          <w:tcPr>
            <w:tcW w:w="1130" w:type="dxa"/>
            <w:vAlign w:val="center"/>
          </w:tcPr>
          <w:p w:rsidR="00D227E2" w:rsidRDefault="00D227E2">
            <w:pPr>
              <w:suppressAutoHyphens w:val="0"/>
              <w:spacing w:after="0" w:line="240" w:lineRule="auto"/>
              <w:jc w:val="center"/>
              <w:rPr>
                <w:rFonts w:ascii="Times New Roman" w:hAnsi="Times New Roman" w:cs="Times New Roman"/>
                <w:sz w:val="20"/>
                <w:szCs w:val="20"/>
              </w:rPr>
            </w:pPr>
          </w:p>
        </w:tc>
        <w:tc>
          <w:tcPr>
            <w:tcW w:w="1134" w:type="dxa"/>
            <w:vAlign w:val="center"/>
          </w:tcPr>
          <w:p w:rsidR="00D227E2" w:rsidRDefault="00D227E2">
            <w:pPr>
              <w:suppressAutoHyphens w:val="0"/>
              <w:spacing w:after="0" w:line="240" w:lineRule="auto"/>
              <w:jc w:val="center"/>
              <w:rPr>
                <w:rFonts w:ascii="Times New Roman" w:hAnsi="Times New Roman" w:cs="Times New Roman"/>
                <w:sz w:val="20"/>
                <w:szCs w:val="20"/>
              </w:rPr>
            </w:pPr>
          </w:p>
        </w:tc>
        <w:tc>
          <w:tcPr>
            <w:tcW w:w="1272" w:type="dxa"/>
            <w:tcMar>
              <w:left w:w="17" w:type="dxa"/>
              <w:right w:w="17" w:type="dxa"/>
            </w:tcMar>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+2,5…4,2</w:t>
            </w:r>
          </w:p>
        </w:tc>
      </w:tr>
      <w:tr w:rsidR="00D227E2">
        <w:trPr>
          <w:trHeight w:val="340"/>
        </w:trPr>
        <w:tc>
          <w:tcPr>
            <w:tcW w:w="2271" w:type="dxa"/>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Середні опади, мм</w:t>
            </w:r>
          </w:p>
        </w:tc>
        <w:tc>
          <w:tcPr>
            <w:tcW w:w="712" w:type="dxa"/>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723,9</w:t>
            </w:r>
          </w:p>
        </w:tc>
        <w:tc>
          <w:tcPr>
            <w:tcW w:w="1130" w:type="dxa"/>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+5…10 %</w:t>
            </w:r>
          </w:p>
        </w:tc>
        <w:tc>
          <w:tcPr>
            <w:tcW w:w="1135" w:type="dxa"/>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+5…10 %</w:t>
            </w:r>
          </w:p>
        </w:tc>
        <w:tc>
          <w:tcPr>
            <w:tcW w:w="995" w:type="dxa"/>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+0…5 %</w:t>
            </w:r>
          </w:p>
        </w:tc>
        <w:tc>
          <w:tcPr>
            <w:tcW w:w="1130" w:type="dxa"/>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+5…10 %</w:t>
            </w:r>
          </w:p>
        </w:tc>
        <w:tc>
          <w:tcPr>
            <w:tcW w:w="1134" w:type="dxa"/>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+5…10 %</w:t>
            </w:r>
          </w:p>
        </w:tc>
        <w:tc>
          <w:tcPr>
            <w:tcW w:w="1272" w:type="dxa"/>
            <w:vAlign w:val="center"/>
          </w:tcPr>
          <w:p w:rsidR="00D227E2" w:rsidRDefault="00934FC4">
            <w:pPr>
              <w:suppressAutoHyphens w:val="0"/>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+15…20 %</w:t>
            </w:r>
          </w:p>
        </w:tc>
      </w:tr>
    </w:tbl>
    <w:p w:rsidR="00D227E2" w:rsidRDefault="00934FC4">
      <w:pPr>
        <w:suppressAutoHyphens w:val="0"/>
        <w:spacing w:before="240" w:after="160" w:line="259" w:lineRule="auto"/>
        <w:ind w:right="567"/>
        <w:jc w:val="right"/>
        <w:rPr>
          <w:rFonts w:ascii="Times New Roman" w:hAnsi="Times New Roman" w:cs="Times New Roman"/>
        </w:rPr>
      </w:pPr>
      <w:r>
        <w:rPr>
          <w:rFonts w:ascii="Times New Roman" w:hAnsi="Times New Roman" w:cs="Times New Roman"/>
          <w:kern w:val="2"/>
          <w:sz w:val="18"/>
          <w:szCs w:val="18"/>
          <w:shd w:val="clear" w:color="auto" w:fill="FFFFFF"/>
        </w:rPr>
        <w:t xml:space="preserve">Прогнозовані за сценаріями </w:t>
      </w:r>
      <w:r>
        <w:rPr>
          <w:rFonts w:ascii="Times New Roman" w:eastAsia="NSimSun" w:hAnsi="Times New Roman" w:cs="Times New Roman"/>
          <w:kern w:val="2"/>
          <w:sz w:val="18"/>
          <w:szCs w:val="18"/>
          <w:shd w:val="clear" w:color="auto" w:fill="FFFFFF"/>
        </w:rPr>
        <w:t>RCP</w:t>
      </w:r>
      <w:r>
        <w:rPr>
          <w:rFonts w:ascii="Times New Roman" w:hAnsi="Times New Roman" w:cs="Times New Roman"/>
          <w:kern w:val="2"/>
          <w:sz w:val="18"/>
          <w:szCs w:val="18"/>
          <w:shd w:val="clear" w:color="auto" w:fill="FFFFFF"/>
        </w:rPr>
        <w:t xml:space="preserve"> 4.5 та </w:t>
      </w:r>
      <w:r>
        <w:rPr>
          <w:rFonts w:ascii="Times New Roman" w:eastAsia="NSimSun" w:hAnsi="Times New Roman" w:cs="Times New Roman"/>
          <w:kern w:val="2"/>
          <w:sz w:val="18"/>
          <w:szCs w:val="18"/>
          <w:shd w:val="clear" w:color="auto" w:fill="FFFFFF"/>
        </w:rPr>
        <w:t>RCP</w:t>
      </w:r>
      <w:r>
        <w:rPr>
          <w:rFonts w:ascii="Times New Roman" w:hAnsi="Times New Roman" w:cs="Times New Roman"/>
          <w:kern w:val="2"/>
          <w:sz w:val="18"/>
          <w:szCs w:val="18"/>
          <w:shd w:val="clear" w:color="auto" w:fill="FFFFFF"/>
        </w:rPr>
        <w:t xml:space="preserve"> 8.5 зміни подані в порівнянні з температурною нормою 1991-2010 рр.</w:t>
      </w:r>
    </w:p>
    <w:tbl>
      <w:tblPr>
        <w:tblStyle w:val="110"/>
        <w:tblW w:w="9753" w:type="dxa"/>
        <w:tblInd w:w="117" w:type="dxa"/>
        <w:tblLayout w:type="fixed"/>
        <w:tblLook w:val="04A0" w:firstRow="1" w:lastRow="0" w:firstColumn="1" w:lastColumn="0" w:noHBand="0" w:noVBand="1"/>
      </w:tblPr>
      <w:tblGrid>
        <w:gridCol w:w="2764"/>
        <w:gridCol w:w="1091"/>
        <w:gridCol w:w="5898"/>
      </w:tblGrid>
      <w:tr w:rsidR="00D227E2">
        <w:trPr>
          <w:trHeight w:val="159"/>
        </w:trPr>
        <w:tc>
          <w:tcPr>
            <w:tcW w:w="3855" w:type="dxa"/>
            <w:gridSpan w:val="2"/>
            <w:tcBorders>
              <w:top w:val="single" w:sz="2" w:space="0" w:color="000000"/>
              <w:left w:val="single" w:sz="2" w:space="0" w:color="000000"/>
              <w:bottom w:val="single" w:sz="2" w:space="0" w:color="000000"/>
              <w:right w:val="nil"/>
            </w:tcBorders>
          </w:tcPr>
          <w:p w:rsidR="00D227E2" w:rsidRDefault="00934FC4">
            <w:pPr>
              <w:suppressAutoHyphens w:val="0"/>
              <w:spacing w:after="0" w:line="240" w:lineRule="auto"/>
              <w:jc w:val="center"/>
              <w:rPr>
                <w:rFonts w:ascii="Times New Roman" w:hAnsi="Times New Roman" w:cs="Times New Roman"/>
              </w:rPr>
            </w:pPr>
            <w:r>
              <w:rPr>
                <w:rFonts w:ascii="Times New Roman" w:eastAsia="NSimSun" w:hAnsi="Times New Roman" w:cs="Times New Roman"/>
                <w:bCs/>
                <w:kern w:val="2"/>
                <w:sz w:val="20"/>
                <w:szCs w:val="20"/>
                <w:shd w:val="clear" w:color="auto" w:fill="FFFFFF"/>
              </w:rPr>
              <w:t>До 2030 року</w:t>
            </w:r>
          </w:p>
        </w:tc>
        <w:tc>
          <w:tcPr>
            <w:tcW w:w="5898" w:type="dxa"/>
            <w:vMerge w:val="restart"/>
            <w:tcBorders>
              <w:top w:val="single" w:sz="2" w:space="0" w:color="000000"/>
              <w:left w:val="single" w:sz="2" w:space="0" w:color="000000"/>
              <w:bottom w:val="single" w:sz="2" w:space="0" w:color="000000"/>
              <w:right w:val="single" w:sz="2" w:space="0" w:color="000000"/>
            </w:tcBorders>
          </w:tcPr>
          <w:p w:rsidR="00D227E2" w:rsidRDefault="00934FC4">
            <w:pPr>
              <w:suppressAutoHyphens w:val="0"/>
              <w:spacing w:after="0" w:line="240" w:lineRule="auto"/>
              <w:jc w:val="center"/>
              <w:rPr>
                <w:rFonts w:ascii="Times New Roman" w:hAnsi="Times New Roman" w:cs="Times New Roman"/>
              </w:rPr>
            </w:pPr>
            <w:r>
              <w:rPr>
                <w:rFonts w:ascii="Times New Roman" w:eastAsia="NSimSun" w:hAnsi="Times New Roman" w:cs="Times New Roman"/>
                <w:bCs/>
                <w:kern w:val="2"/>
                <w:sz w:val="20"/>
                <w:szCs w:val="20"/>
                <w:shd w:val="clear" w:color="auto" w:fill="FFFFFF"/>
              </w:rPr>
              <w:t xml:space="preserve">Деякі зі змін, пов’язаних </w:t>
            </w:r>
            <w:r>
              <w:rPr>
                <w:rFonts w:ascii="Times New Roman" w:eastAsia="NSimSun" w:hAnsi="Times New Roman" w:cs="Times New Roman"/>
                <w:bCs/>
                <w:kern w:val="2"/>
                <w:sz w:val="20"/>
                <w:szCs w:val="20"/>
                <w:shd w:val="clear" w:color="auto" w:fill="FFFFFF"/>
              </w:rPr>
              <w:br/>
              <w:t>з підвищенням температури на кожен 1 ˚С:</w:t>
            </w:r>
          </w:p>
          <w:p w:rsidR="00D227E2" w:rsidRDefault="00D227E2">
            <w:pPr>
              <w:suppressAutoHyphens w:val="0"/>
              <w:spacing w:after="0" w:line="240" w:lineRule="auto"/>
              <w:rPr>
                <w:rFonts w:ascii="Times New Roman" w:hAnsi="Times New Roman" w:cs="Times New Roman"/>
                <w:sz w:val="20"/>
                <w:szCs w:val="20"/>
                <w:shd w:val="clear" w:color="auto" w:fill="FFFFFF"/>
              </w:rPr>
            </w:pPr>
          </w:p>
          <w:p w:rsidR="00D227E2" w:rsidRDefault="00934FC4">
            <w:pPr>
              <w:numPr>
                <w:ilvl w:val="0"/>
                <w:numId w:val="3"/>
              </w:numPr>
              <w:suppressAutoHyphens w:val="0"/>
              <w:spacing w:after="0" w:line="240" w:lineRule="auto"/>
              <w:ind w:left="317" w:hanging="284"/>
              <w:contextualSpacing/>
              <w:rPr>
                <w:rFonts w:ascii="Times New Roman" w:hAnsi="Times New Roman" w:cs="Times New Roman"/>
              </w:rPr>
            </w:pPr>
            <w:r>
              <w:rPr>
                <w:rFonts w:ascii="Times New Roman" w:eastAsia="NSimSun" w:hAnsi="Times New Roman" w:cs="Times New Roman"/>
                <w:kern w:val="2"/>
                <w:sz w:val="20"/>
                <w:szCs w:val="20"/>
                <w:shd w:val="clear" w:color="auto" w:fill="FFFFFF"/>
              </w:rPr>
              <w:t>Зростання кінетичної енергії граду на 2 % за рік</w:t>
            </w:r>
          </w:p>
          <w:p w:rsidR="00D227E2" w:rsidRDefault="00934FC4">
            <w:pPr>
              <w:numPr>
                <w:ilvl w:val="0"/>
                <w:numId w:val="3"/>
              </w:numPr>
              <w:suppressAutoHyphens w:val="0"/>
              <w:spacing w:after="0" w:line="240" w:lineRule="auto"/>
              <w:ind w:left="317" w:hanging="284"/>
              <w:contextualSpacing/>
              <w:rPr>
                <w:rFonts w:ascii="Times New Roman" w:hAnsi="Times New Roman" w:cs="Times New Roman"/>
              </w:rPr>
            </w:pPr>
            <w:r>
              <w:rPr>
                <w:rFonts w:ascii="Times New Roman" w:eastAsia="NSimSun" w:hAnsi="Times New Roman" w:cs="Times New Roman"/>
                <w:kern w:val="2"/>
                <w:sz w:val="20"/>
                <w:szCs w:val="20"/>
                <w:shd w:val="clear" w:color="auto" w:fill="FFFFFF"/>
              </w:rPr>
              <w:t>Зростання масштабів підтоплень на 7 %</w:t>
            </w:r>
          </w:p>
          <w:p w:rsidR="00D227E2" w:rsidRDefault="00934FC4">
            <w:pPr>
              <w:numPr>
                <w:ilvl w:val="0"/>
                <w:numId w:val="3"/>
              </w:numPr>
              <w:suppressAutoHyphens w:val="0"/>
              <w:spacing w:after="0" w:line="240" w:lineRule="auto"/>
              <w:ind w:left="317" w:hanging="284"/>
              <w:contextualSpacing/>
              <w:rPr>
                <w:rFonts w:ascii="Times New Roman" w:hAnsi="Times New Roman" w:cs="Times New Roman"/>
              </w:rPr>
            </w:pPr>
            <w:r>
              <w:rPr>
                <w:rFonts w:ascii="Times New Roman" w:eastAsia="NSimSun" w:hAnsi="Times New Roman" w:cs="Times New Roman"/>
                <w:kern w:val="2"/>
                <w:sz w:val="20"/>
                <w:szCs w:val="20"/>
                <w:shd w:val="clear" w:color="auto" w:fill="FFFFFF"/>
              </w:rPr>
              <w:t>Зростання сили блискавки на 12 %</w:t>
            </w:r>
          </w:p>
          <w:p w:rsidR="00D227E2" w:rsidRDefault="00934FC4">
            <w:pPr>
              <w:numPr>
                <w:ilvl w:val="0"/>
                <w:numId w:val="3"/>
              </w:numPr>
              <w:suppressAutoHyphens w:val="0"/>
              <w:spacing w:after="0" w:line="240" w:lineRule="auto"/>
              <w:ind w:left="317" w:hanging="284"/>
              <w:contextualSpacing/>
              <w:rPr>
                <w:rFonts w:ascii="Times New Roman" w:hAnsi="Times New Roman" w:cs="Times New Roman"/>
              </w:rPr>
            </w:pPr>
            <w:r>
              <w:rPr>
                <w:rFonts w:ascii="Times New Roman" w:eastAsia="NSimSun" w:hAnsi="Times New Roman" w:cs="Times New Roman"/>
                <w:kern w:val="2"/>
                <w:sz w:val="20"/>
                <w:szCs w:val="20"/>
                <w:shd w:val="clear" w:color="auto" w:fill="FFFFFF"/>
              </w:rPr>
              <w:t>Зменшення кількості днів і ночей з температурами нижче 0 ˚С між тим кількість ночей з температурою вище ніж +20 ˚С (тропічних ночей) та кількість літніх днів з середньою темп</w:t>
            </w:r>
            <w:r>
              <w:rPr>
                <w:rFonts w:ascii="Times New Roman" w:eastAsia="NSimSun" w:hAnsi="Times New Roman" w:cs="Times New Roman"/>
                <w:kern w:val="2"/>
                <w:sz w:val="20"/>
                <w:szCs w:val="20"/>
                <w:shd w:val="clear" w:color="auto" w:fill="FFFFFF"/>
              </w:rPr>
              <w:t>е</w:t>
            </w:r>
            <w:r>
              <w:rPr>
                <w:rFonts w:ascii="Times New Roman" w:eastAsia="NSimSun" w:hAnsi="Times New Roman" w:cs="Times New Roman"/>
                <w:kern w:val="2"/>
                <w:sz w:val="20"/>
                <w:szCs w:val="20"/>
                <w:shd w:val="clear" w:color="auto" w:fill="FFFFFF"/>
              </w:rPr>
              <w:t>ратурою понад +15 ˚С буде зростати (більш ніж 100 тропічних ночей і більш ніж 135 днів умовного літа на рік в південних областях)</w:t>
            </w:r>
          </w:p>
          <w:p w:rsidR="00D227E2" w:rsidRDefault="00934FC4">
            <w:pPr>
              <w:numPr>
                <w:ilvl w:val="0"/>
                <w:numId w:val="3"/>
              </w:numPr>
              <w:suppressAutoHyphens w:val="0"/>
              <w:spacing w:after="0" w:line="240" w:lineRule="auto"/>
              <w:ind w:left="317" w:hanging="284"/>
              <w:contextualSpacing/>
              <w:rPr>
                <w:rFonts w:ascii="Times New Roman" w:hAnsi="Times New Roman" w:cs="Times New Roman"/>
              </w:rPr>
            </w:pPr>
            <w:r>
              <w:rPr>
                <w:rFonts w:ascii="Times New Roman" w:eastAsia="NSimSun" w:hAnsi="Times New Roman" w:cs="Times New Roman"/>
                <w:kern w:val="2"/>
                <w:sz w:val="20"/>
                <w:szCs w:val="20"/>
                <w:shd w:val="clear" w:color="auto" w:fill="FFFFFF"/>
              </w:rPr>
              <w:t>Значне скорочення територій, придатних для зростання ялини, бука, сосни та дубу</w:t>
            </w:r>
          </w:p>
          <w:p w:rsidR="00D227E2" w:rsidRDefault="00934FC4">
            <w:pPr>
              <w:numPr>
                <w:ilvl w:val="0"/>
                <w:numId w:val="3"/>
              </w:numPr>
              <w:suppressAutoHyphens w:val="0"/>
              <w:spacing w:after="0" w:line="240" w:lineRule="auto"/>
              <w:ind w:left="317" w:hanging="284"/>
              <w:contextualSpacing/>
              <w:rPr>
                <w:rFonts w:ascii="Times New Roman" w:hAnsi="Times New Roman" w:cs="Times New Roman"/>
              </w:rPr>
            </w:pPr>
            <w:r>
              <w:rPr>
                <w:rFonts w:ascii="Times New Roman" w:eastAsia="NSimSun" w:hAnsi="Times New Roman" w:cs="Times New Roman"/>
                <w:kern w:val="2"/>
                <w:sz w:val="20"/>
                <w:szCs w:val="20"/>
                <w:shd w:val="clear" w:color="auto" w:fill="FFFFFF"/>
              </w:rPr>
              <w:t>Зростання місячного споживання електроенергії населенням на 4-8,5%</w:t>
            </w:r>
          </w:p>
          <w:p w:rsidR="00D227E2" w:rsidRDefault="00934FC4">
            <w:pPr>
              <w:suppressAutoHyphens w:val="0"/>
              <w:spacing w:after="0" w:line="240" w:lineRule="auto"/>
              <w:rPr>
                <w:rFonts w:ascii="Times New Roman" w:hAnsi="Times New Roman" w:cs="Times New Roman"/>
              </w:rPr>
            </w:pPr>
            <w:r>
              <w:rPr>
                <w:rFonts w:ascii="Times New Roman" w:eastAsia="NSimSun" w:hAnsi="Times New Roman" w:cs="Times New Roman"/>
                <w:kern w:val="2"/>
                <w:sz w:val="20"/>
                <w:szCs w:val="20"/>
                <w:shd w:val="clear" w:color="auto" w:fill="FFFFFF"/>
              </w:rPr>
              <w:t>Також, з 2010 року швидкість вітру зросла на 7 % та очікується її подальше зростання</w:t>
            </w:r>
          </w:p>
        </w:tc>
      </w:tr>
      <w:tr w:rsidR="00D227E2">
        <w:trPr>
          <w:trHeight w:val="159"/>
        </w:trPr>
        <w:tc>
          <w:tcPr>
            <w:tcW w:w="2764" w:type="dxa"/>
            <w:tcBorders>
              <w:top w:val="nil"/>
              <w:left w:val="single" w:sz="2" w:space="0" w:color="000000"/>
              <w:bottom w:val="single" w:sz="2" w:space="0" w:color="000000"/>
              <w:right w:val="nil"/>
            </w:tcBorders>
          </w:tcPr>
          <w:p w:rsidR="00D227E2" w:rsidRDefault="00934FC4">
            <w:pPr>
              <w:suppressAutoHyphens w:val="0"/>
              <w:spacing w:after="0" w:line="240" w:lineRule="auto"/>
              <w:rPr>
                <w:rFonts w:ascii="Times New Roman" w:hAnsi="Times New Roman" w:cs="Times New Roman"/>
              </w:rPr>
            </w:pPr>
            <w:r>
              <w:rPr>
                <w:rFonts w:ascii="Times New Roman" w:eastAsia="NSimSun" w:hAnsi="Times New Roman" w:cs="Times New Roman"/>
                <w:kern w:val="2"/>
                <w:sz w:val="20"/>
                <w:szCs w:val="20"/>
                <w:shd w:val="clear" w:color="auto" w:fill="FFFFFF"/>
              </w:rPr>
              <w:t xml:space="preserve">Передбачається </w:t>
            </w:r>
            <w:r>
              <w:rPr>
                <w:rFonts w:ascii="Times New Roman" w:eastAsia="NSimSun" w:hAnsi="Times New Roman" w:cs="Times New Roman"/>
                <w:kern w:val="2"/>
                <w:sz w:val="20"/>
                <w:szCs w:val="20"/>
                <w:shd w:val="clear" w:color="auto" w:fill="FFFFFF"/>
              </w:rPr>
              <w:br/>
              <w:t>негативний вплив в напря</w:t>
            </w:r>
            <w:r>
              <w:rPr>
                <w:rFonts w:ascii="Times New Roman" w:eastAsia="NSimSun" w:hAnsi="Times New Roman" w:cs="Times New Roman"/>
                <w:kern w:val="2"/>
                <w:sz w:val="20"/>
                <w:szCs w:val="20"/>
                <w:shd w:val="clear" w:color="auto" w:fill="FFFFFF"/>
              </w:rPr>
              <w:t>м</w:t>
            </w:r>
            <w:r>
              <w:rPr>
                <w:rFonts w:ascii="Times New Roman" w:eastAsia="NSimSun" w:hAnsi="Times New Roman" w:cs="Times New Roman"/>
                <w:kern w:val="2"/>
                <w:sz w:val="20"/>
                <w:szCs w:val="20"/>
                <w:shd w:val="clear" w:color="auto" w:fill="FFFFFF"/>
              </w:rPr>
              <w:t>ках:</w:t>
            </w:r>
            <w:r>
              <w:rPr>
                <w:rFonts w:ascii="Times New Roman" w:eastAsia="NSimSun" w:hAnsi="Times New Roman" w:cs="Times New Roman"/>
                <w:kern w:val="2"/>
                <w:sz w:val="20"/>
                <w:szCs w:val="20"/>
                <w:shd w:val="clear" w:color="auto" w:fill="FFFFFF"/>
              </w:rPr>
              <w:br/>
              <w:t>Сільське господарство</w:t>
            </w:r>
            <w:r>
              <w:rPr>
                <w:rFonts w:ascii="Times New Roman" w:eastAsia="NSimSun" w:hAnsi="Times New Roman" w:cs="Times New Roman"/>
                <w:kern w:val="2"/>
                <w:sz w:val="20"/>
                <w:szCs w:val="20"/>
                <w:shd w:val="clear" w:color="auto" w:fill="FFFFFF"/>
              </w:rPr>
              <w:br/>
              <w:t>(порівняно з періодом</w:t>
            </w:r>
            <w:r>
              <w:rPr>
                <w:rFonts w:ascii="Times New Roman" w:eastAsia="NSimSun" w:hAnsi="Times New Roman" w:cs="Times New Roman"/>
                <w:kern w:val="2"/>
                <w:sz w:val="20"/>
                <w:szCs w:val="20"/>
                <w:shd w:val="clear" w:color="auto" w:fill="FFFFFF"/>
              </w:rPr>
              <w:br/>
              <w:t>1991-2010 рр.)</w:t>
            </w:r>
            <w:r>
              <w:rPr>
                <w:rFonts w:ascii="Times New Roman" w:eastAsia="NSimSun" w:hAnsi="Times New Roman" w:cs="Times New Roman"/>
                <w:kern w:val="2"/>
                <w:sz w:val="20"/>
                <w:szCs w:val="20"/>
                <w:shd w:val="clear" w:color="auto" w:fill="FFFFFF"/>
              </w:rPr>
              <w:br/>
            </w:r>
          </w:p>
          <w:p w:rsidR="00D227E2" w:rsidRDefault="00D227E2">
            <w:pPr>
              <w:suppressAutoHyphens w:val="0"/>
              <w:spacing w:after="0" w:line="240" w:lineRule="auto"/>
              <w:rPr>
                <w:rFonts w:ascii="Times New Roman" w:hAnsi="Times New Roman" w:cs="Times New Roman"/>
                <w:sz w:val="20"/>
                <w:szCs w:val="20"/>
                <w:shd w:val="clear" w:color="auto" w:fill="FFFFFF"/>
              </w:rPr>
            </w:pPr>
          </w:p>
          <w:p w:rsidR="00D227E2" w:rsidRDefault="00934FC4">
            <w:pPr>
              <w:suppressAutoHyphens w:val="0"/>
              <w:spacing w:after="0" w:line="240" w:lineRule="auto"/>
              <w:rPr>
                <w:rFonts w:ascii="Times New Roman" w:hAnsi="Times New Roman" w:cs="Times New Roman"/>
              </w:rPr>
            </w:pPr>
            <w:r>
              <w:rPr>
                <w:rFonts w:ascii="Times New Roman" w:eastAsia="NSimSun" w:hAnsi="Times New Roman" w:cs="Times New Roman"/>
                <w:kern w:val="2"/>
                <w:sz w:val="20"/>
                <w:szCs w:val="20"/>
                <w:shd w:val="clear" w:color="auto" w:fill="FFFFFF"/>
              </w:rPr>
              <w:t>Дохід, бідність, нерівність</w:t>
            </w:r>
            <w:r>
              <w:rPr>
                <w:rFonts w:ascii="Times New Roman" w:eastAsia="NSimSun" w:hAnsi="Times New Roman" w:cs="Times New Roman"/>
                <w:kern w:val="2"/>
                <w:sz w:val="20"/>
                <w:szCs w:val="20"/>
                <w:shd w:val="clear" w:color="auto" w:fill="FFFFFF"/>
              </w:rPr>
              <w:br/>
              <w:t>(порівняно з періодом</w:t>
            </w:r>
            <w:r>
              <w:rPr>
                <w:rFonts w:ascii="Times New Roman" w:eastAsia="NSimSun" w:hAnsi="Times New Roman" w:cs="Times New Roman"/>
                <w:kern w:val="2"/>
                <w:sz w:val="20"/>
                <w:szCs w:val="20"/>
                <w:shd w:val="clear" w:color="auto" w:fill="FFFFFF"/>
              </w:rPr>
              <w:br/>
              <w:t>1991-2010 рр.)</w:t>
            </w:r>
          </w:p>
        </w:tc>
        <w:tc>
          <w:tcPr>
            <w:tcW w:w="1091" w:type="dxa"/>
            <w:tcBorders>
              <w:top w:val="nil"/>
              <w:left w:val="single" w:sz="2" w:space="0" w:color="000000"/>
              <w:bottom w:val="single" w:sz="2" w:space="0" w:color="000000"/>
              <w:right w:val="nil"/>
            </w:tcBorders>
          </w:tcPr>
          <w:p w:rsidR="00D227E2" w:rsidRDefault="00934FC4">
            <w:pPr>
              <w:suppressAutoHyphens w:val="0"/>
              <w:spacing w:after="0" w:line="240" w:lineRule="auto"/>
              <w:rPr>
                <w:rFonts w:ascii="Times New Roman" w:hAnsi="Times New Roman" w:cs="Times New Roman"/>
              </w:rPr>
            </w:pPr>
            <w:r>
              <w:rPr>
                <w:rFonts w:ascii="Times New Roman" w:eastAsia="NSimSun" w:hAnsi="Times New Roman" w:cs="Times New Roman"/>
                <w:kern w:val="2"/>
                <w:sz w:val="20"/>
                <w:szCs w:val="20"/>
                <w:shd w:val="clear" w:color="auto" w:fill="FFFFFF"/>
              </w:rPr>
              <w:t>Північ:</w:t>
            </w:r>
            <w:r>
              <w:rPr>
                <w:rFonts w:ascii="Times New Roman" w:eastAsia="NSimSun" w:hAnsi="Times New Roman" w:cs="Times New Roman"/>
                <w:kern w:val="2"/>
                <w:sz w:val="20"/>
                <w:szCs w:val="20"/>
                <w:shd w:val="clear" w:color="auto" w:fill="FFFFFF"/>
              </w:rPr>
              <w:br/>
              <w:t>середній – високий</w:t>
            </w:r>
            <w:r>
              <w:rPr>
                <w:rFonts w:ascii="Times New Roman" w:eastAsia="NSimSun" w:hAnsi="Times New Roman" w:cs="Times New Roman"/>
                <w:kern w:val="2"/>
                <w:sz w:val="20"/>
                <w:szCs w:val="20"/>
                <w:shd w:val="clear" w:color="auto" w:fill="FFFFFF"/>
              </w:rPr>
              <w:br/>
            </w:r>
            <w:r>
              <w:rPr>
                <w:rFonts w:ascii="Times New Roman" w:eastAsia="NSimSun" w:hAnsi="Times New Roman" w:cs="Times New Roman"/>
                <w:kern w:val="2"/>
                <w:sz w:val="20"/>
                <w:szCs w:val="20"/>
                <w:shd w:val="clear" w:color="auto" w:fill="FFFFFF"/>
              </w:rPr>
              <w:br/>
              <w:t>Південь:</w:t>
            </w:r>
            <w:r>
              <w:rPr>
                <w:rFonts w:ascii="Times New Roman" w:eastAsia="NSimSun" w:hAnsi="Times New Roman" w:cs="Times New Roman"/>
                <w:kern w:val="2"/>
                <w:sz w:val="20"/>
                <w:szCs w:val="20"/>
                <w:shd w:val="clear" w:color="auto" w:fill="FFFFFF"/>
              </w:rPr>
              <w:br/>
              <w:t>високий</w:t>
            </w:r>
          </w:p>
          <w:p w:rsidR="00D227E2" w:rsidRDefault="00D227E2">
            <w:pPr>
              <w:suppressAutoHyphens w:val="0"/>
              <w:spacing w:after="0" w:line="240" w:lineRule="auto"/>
              <w:rPr>
                <w:rFonts w:ascii="Times New Roman" w:hAnsi="Times New Roman" w:cs="Times New Roman"/>
                <w:sz w:val="20"/>
                <w:szCs w:val="20"/>
                <w:shd w:val="clear" w:color="auto" w:fill="FFFFFF"/>
              </w:rPr>
            </w:pPr>
          </w:p>
          <w:p w:rsidR="00D227E2" w:rsidRDefault="00934FC4">
            <w:pPr>
              <w:suppressAutoHyphens w:val="0"/>
              <w:spacing w:after="0" w:line="240" w:lineRule="auto"/>
              <w:rPr>
                <w:rFonts w:ascii="Times New Roman" w:hAnsi="Times New Roman" w:cs="Times New Roman"/>
              </w:rPr>
            </w:pPr>
            <w:r>
              <w:rPr>
                <w:rFonts w:ascii="Times New Roman" w:eastAsia="NSimSun" w:hAnsi="Times New Roman" w:cs="Times New Roman"/>
                <w:kern w:val="2"/>
                <w:sz w:val="20"/>
                <w:szCs w:val="20"/>
                <w:shd w:val="clear" w:color="auto" w:fill="FFFFFF"/>
              </w:rPr>
              <w:t>середній – високий</w:t>
            </w:r>
          </w:p>
        </w:tc>
        <w:tc>
          <w:tcPr>
            <w:tcW w:w="5898" w:type="dxa"/>
            <w:vMerge/>
            <w:tcBorders>
              <w:top w:val="nil"/>
              <w:left w:val="single" w:sz="2" w:space="0" w:color="000000"/>
              <w:bottom w:val="single" w:sz="2" w:space="0" w:color="000000"/>
              <w:right w:val="single" w:sz="2" w:space="0" w:color="000000"/>
            </w:tcBorders>
          </w:tcPr>
          <w:p w:rsidR="00D227E2" w:rsidRDefault="00D227E2">
            <w:pPr>
              <w:suppressAutoHyphens w:val="0"/>
              <w:spacing w:after="0" w:line="240" w:lineRule="auto"/>
              <w:rPr>
                <w:rFonts w:ascii="Times New Roman" w:hAnsi="Times New Roman" w:cs="Times New Roman"/>
                <w:sz w:val="20"/>
                <w:szCs w:val="20"/>
                <w:shd w:val="clear" w:color="auto" w:fill="FFFFFF"/>
              </w:rPr>
            </w:pPr>
          </w:p>
        </w:tc>
      </w:tr>
    </w:tbl>
    <w:p w:rsidR="00D227E2" w:rsidRDefault="00D227E2">
      <w:pPr>
        <w:suppressAutoHyphens w:val="0"/>
        <w:spacing w:after="0" w:line="240" w:lineRule="auto"/>
        <w:rPr>
          <w:rFonts w:ascii="Times New Roman" w:hAnsi="Times New Roman" w:cs="Times New Roman"/>
          <w:kern w:val="2"/>
          <w:sz w:val="20"/>
          <w:szCs w:val="20"/>
          <w:shd w:val="clear" w:color="auto" w:fill="FFFFFF"/>
        </w:rPr>
      </w:pPr>
    </w:p>
    <w:p w:rsidR="00D227E2" w:rsidRDefault="00934FC4">
      <w:pPr>
        <w:suppressAutoHyphens w:val="0"/>
        <w:spacing w:after="160" w:line="259" w:lineRule="auto"/>
        <w:rPr>
          <w:rFonts w:ascii="Times New Roman" w:hAnsi="Times New Roman" w:cs="Times New Roman"/>
        </w:rPr>
      </w:pPr>
      <w:r>
        <w:rPr>
          <w:rFonts w:ascii="Times New Roman" w:hAnsi="Times New Roman" w:cs="Times New Roman"/>
          <w:kern w:val="2"/>
          <w:sz w:val="20"/>
          <w:szCs w:val="20"/>
          <w:shd w:val="clear" w:color="auto" w:fill="FFFFFF"/>
        </w:rPr>
        <w:t>* - Coupled Model Intercomparison Project 5 (Проєкт 5 взаємопорівняння суміщених моделей)</w:t>
      </w:r>
    </w:p>
    <w:p w:rsidR="00D227E2" w:rsidRDefault="00934FC4">
      <w:pPr>
        <w:spacing w:after="0"/>
        <w:ind w:firstLine="567"/>
        <w:jc w:val="center"/>
        <w:rPr>
          <w:rFonts w:ascii="Times New Roman" w:hAnsi="Times New Roman" w:cs="Times New Roman"/>
        </w:rPr>
      </w:pPr>
      <w:r>
        <w:rPr>
          <w:rFonts w:ascii="Times New Roman" w:eastAsia="NSimSun" w:hAnsi="Times New Roman" w:cs="Times New Roman"/>
          <w:kern w:val="2"/>
          <w:sz w:val="24"/>
          <w:szCs w:val="24"/>
          <w:lang w:eastAsia="zh-CN" w:bidi="hi-IN"/>
        </w:rPr>
        <w:t xml:space="preserve">Рисунок 47. Прогноз зміни клімату в області </w:t>
      </w:r>
      <w:r>
        <w:rPr>
          <w:rFonts w:ascii="Symbol" w:eastAsia="Symbol" w:hAnsi="Symbol" w:cs="Symbol"/>
          <w:color w:val="000000"/>
          <w:kern w:val="2"/>
          <w:sz w:val="24"/>
          <w:szCs w:val="24"/>
          <w:shd w:val="clear" w:color="auto" w:fill="FFFFFF"/>
          <w:lang w:eastAsia="zh-CN" w:bidi="hi-IN"/>
        </w:rPr>
        <w:sym w:font="Symbol" w:char="F05B"/>
      </w:r>
      <w:r>
        <w:rPr>
          <w:rFonts w:ascii="Times New Roman" w:eastAsia="NSimSun" w:hAnsi="Times New Roman" w:cs="Times New Roman"/>
          <w:color w:val="000000"/>
          <w:kern w:val="2"/>
          <w:sz w:val="24"/>
          <w:szCs w:val="24"/>
          <w:shd w:val="clear" w:color="auto" w:fill="FFFFFF"/>
          <w:lang w:eastAsia="zh-CN" w:bidi="hi-IN"/>
        </w:rPr>
        <w:t>10</w:t>
      </w:r>
      <w:r>
        <w:rPr>
          <w:rFonts w:ascii="Symbol" w:eastAsia="Symbol" w:hAnsi="Symbol" w:cs="Symbol"/>
          <w:color w:val="000000"/>
          <w:kern w:val="2"/>
          <w:sz w:val="24"/>
          <w:szCs w:val="24"/>
          <w:shd w:val="clear" w:color="auto" w:fill="FFFFFF"/>
          <w:lang w:eastAsia="zh-CN" w:bidi="hi-IN"/>
        </w:rPr>
        <w:sym w:font="Symbol" w:char="F05D"/>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Зважаючи на вищевказане можна зробити висновок, що клімат у Луцькій громаді станом на момент складання цього ПДСЕРК порівняно з попередніми 50 роками змінився у бік потепління. Наслідки зміни клімату стали більш відчутними і мають вплив на соціально-економічний стан громади. Тому для Луцької МТГ важливо розробити ефективні заходи з адаптації до зміни клімату.</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u w:val="single"/>
          <w:lang w:eastAsia="zh-CN" w:bidi="hi-IN"/>
        </w:rPr>
        <w:t>Методика дослідження</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Для проведення оцінки ризиків вразливості громади до зміни клімату застосовано методологію Угоди мерів щодо клімату та енергії, що передбачає наступні етапи розроблення та реалізації адаптаційного циклу:</w:t>
      </w:r>
    </w:p>
    <w:p w:rsidR="00D227E2" w:rsidRDefault="00934FC4">
      <w:pPr>
        <w:numPr>
          <w:ilvl w:val="0"/>
          <w:numId w:val="16"/>
        </w:numPr>
        <w:spacing w:after="0"/>
        <w:jc w:val="both"/>
        <w:rPr>
          <w:rFonts w:ascii="Times New Roman" w:hAnsi="Times New Roman" w:cs="Times New Roman"/>
        </w:rPr>
      </w:pPr>
      <w:r>
        <w:rPr>
          <w:rFonts w:ascii="Times New Roman" w:eastAsia="Times New Roman" w:hAnsi="Times New Roman" w:cs="Times New Roman"/>
          <w:kern w:val="2"/>
          <w:sz w:val="24"/>
          <w:szCs w:val="24"/>
        </w:rPr>
        <w:t>підготовка основи для адаптації: збір даних;</w:t>
      </w:r>
    </w:p>
    <w:p w:rsidR="00D227E2" w:rsidRDefault="00934FC4">
      <w:pPr>
        <w:numPr>
          <w:ilvl w:val="0"/>
          <w:numId w:val="16"/>
        </w:numPr>
        <w:spacing w:after="0"/>
        <w:jc w:val="both"/>
        <w:rPr>
          <w:rFonts w:ascii="Times New Roman" w:hAnsi="Times New Roman" w:cs="Times New Roman"/>
        </w:rPr>
      </w:pPr>
      <w:r>
        <w:rPr>
          <w:rFonts w:ascii="Times New Roman" w:eastAsia="Times New Roman" w:hAnsi="Times New Roman" w:cs="Times New Roman"/>
          <w:kern w:val="2"/>
          <w:sz w:val="24"/>
          <w:szCs w:val="24"/>
        </w:rPr>
        <w:t>оцінка ризиків та вразливості;</w:t>
      </w:r>
    </w:p>
    <w:p w:rsidR="00D227E2" w:rsidRDefault="00934FC4">
      <w:pPr>
        <w:numPr>
          <w:ilvl w:val="0"/>
          <w:numId w:val="16"/>
        </w:numPr>
        <w:spacing w:after="0"/>
        <w:jc w:val="both"/>
        <w:rPr>
          <w:rFonts w:ascii="Times New Roman" w:hAnsi="Times New Roman" w:cs="Times New Roman"/>
        </w:rPr>
      </w:pPr>
      <w:r>
        <w:rPr>
          <w:rFonts w:ascii="Times New Roman" w:eastAsia="Times New Roman" w:hAnsi="Times New Roman" w:cs="Times New Roman"/>
          <w:kern w:val="2"/>
          <w:sz w:val="24"/>
          <w:szCs w:val="24"/>
        </w:rPr>
        <w:t>визначення можливих варіантів для адаптації;</w:t>
      </w:r>
    </w:p>
    <w:p w:rsidR="00D227E2" w:rsidRDefault="00934FC4">
      <w:pPr>
        <w:numPr>
          <w:ilvl w:val="0"/>
          <w:numId w:val="16"/>
        </w:numPr>
        <w:spacing w:after="0"/>
        <w:jc w:val="both"/>
        <w:rPr>
          <w:rFonts w:ascii="Times New Roman" w:hAnsi="Times New Roman" w:cs="Times New Roman"/>
        </w:rPr>
      </w:pPr>
      <w:r>
        <w:rPr>
          <w:rFonts w:ascii="Times New Roman" w:eastAsia="Times New Roman" w:hAnsi="Times New Roman" w:cs="Times New Roman"/>
          <w:kern w:val="2"/>
          <w:sz w:val="24"/>
          <w:szCs w:val="24"/>
        </w:rPr>
        <w:t>вибір варіантів адаптації;</w:t>
      </w:r>
    </w:p>
    <w:p w:rsidR="00D227E2" w:rsidRDefault="00934FC4">
      <w:pPr>
        <w:numPr>
          <w:ilvl w:val="0"/>
          <w:numId w:val="16"/>
        </w:numPr>
        <w:spacing w:after="0"/>
        <w:jc w:val="both"/>
        <w:rPr>
          <w:rFonts w:ascii="Times New Roman" w:hAnsi="Times New Roman" w:cs="Times New Roman"/>
        </w:rPr>
      </w:pPr>
      <w:r>
        <w:rPr>
          <w:rFonts w:ascii="Times New Roman" w:eastAsia="Times New Roman" w:hAnsi="Times New Roman" w:cs="Times New Roman"/>
          <w:kern w:val="2"/>
          <w:sz w:val="24"/>
          <w:szCs w:val="24"/>
        </w:rPr>
        <w:t>впровадження заходів;</w:t>
      </w:r>
    </w:p>
    <w:p w:rsidR="00D227E2" w:rsidRDefault="00934FC4">
      <w:pPr>
        <w:numPr>
          <w:ilvl w:val="0"/>
          <w:numId w:val="16"/>
        </w:numPr>
        <w:spacing w:after="0"/>
        <w:jc w:val="both"/>
        <w:rPr>
          <w:rFonts w:ascii="Times New Roman" w:hAnsi="Times New Roman" w:cs="Times New Roman"/>
        </w:rPr>
      </w:pPr>
      <w:r>
        <w:rPr>
          <w:rFonts w:ascii="Times New Roman" w:eastAsia="Times New Roman" w:hAnsi="Times New Roman" w:cs="Times New Roman"/>
          <w:kern w:val="2"/>
          <w:sz w:val="24"/>
          <w:szCs w:val="24"/>
        </w:rPr>
        <w:t>моніторинг та оцінювання.</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 xml:space="preserve">Для проведення оцінки вразливості до зміни клімату опрацьовано наявні статистичні дані міста, дані Генерального плану та пояснювальної записки до нього, враховано дані Стратегії розвитку Волинської області на період до 2027 року, Екологічного паспорта Волинської області, Екологічного паспорта м. Луцьк, проаналізовано показники структурних  підрозділів виконкому Луцької міської ради, комунальних підприємств (установ, організацій), </w:t>
      </w:r>
      <w:r>
        <w:rPr>
          <w:rFonts w:ascii="Times New Roman" w:eastAsia="NSimSun" w:hAnsi="Times New Roman" w:cs="Times New Roman"/>
          <w:color w:val="000000"/>
          <w:kern w:val="2"/>
          <w:sz w:val="24"/>
          <w:szCs w:val="24"/>
          <w:shd w:val="clear" w:color="auto" w:fill="FFFFFF"/>
          <w:lang w:eastAsia="zh-CN" w:bidi="hi-IN"/>
        </w:rPr>
        <w:lastRenderedPageBreak/>
        <w:t>ГУ ДСНС України у Волинській області, Волинського обласного центру з гідрометеорології, ДУ «Волинський обласний центр контролю та профілактики хвороб МОЗ України», опрацьовано матеріали серії тренінгів з планування адаптації міст України до зміни клімату» (14-15 вересня 2023 року) в рамках реалізації проєкту APENA 3 за підтримки Європейського Союзу (команда проєкту «Угода Мерів – Схід»), проаналізовано низку наукових досліджень щодо екологічного стану р. Стир, а також проведено опитування Луцької громади, в якому взяли участь мешканці усіх вікових категорій.</w:t>
      </w: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b/>
          <w:bCs/>
          <w:kern w:val="2"/>
          <w:sz w:val="24"/>
          <w:szCs w:val="24"/>
          <w:lang w:eastAsia="zh-CN" w:bidi="hi-IN"/>
        </w:rPr>
        <w:t>6.2. Визначення та оцінка основних кліматичних загроз для громади</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Відповідно до методичних рекомендацій Угоди мерів проведено детальний аналіз показників вразливості Луцької МТГ до кліматичних загроз, що становлять потенційні ризики для громади.</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Таблиця 80. Кліматичні загрози та їхній вплив, прогнозування впливу у майбутньому</w:t>
      </w:r>
    </w:p>
    <w:tbl>
      <w:tblPr>
        <w:tblW w:w="9781" w:type="dxa"/>
        <w:tblInd w:w="5" w:type="dxa"/>
        <w:tblLayout w:type="fixed"/>
        <w:tblCellMar>
          <w:left w:w="5" w:type="dxa"/>
          <w:right w:w="5" w:type="dxa"/>
        </w:tblCellMar>
        <w:tblLook w:val="01E0" w:firstRow="1" w:lastRow="1" w:firstColumn="1" w:lastColumn="1" w:noHBand="0" w:noVBand="0"/>
      </w:tblPr>
      <w:tblGrid>
        <w:gridCol w:w="2412"/>
        <w:gridCol w:w="1429"/>
        <w:gridCol w:w="1121"/>
        <w:gridCol w:w="1559"/>
        <w:gridCol w:w="1295"/>
        <w:gridCol w:w="1965"/>
      </w:tblGrid>
      <w:tr w:rsidR="00D227E2">
        <w:trPr>
          <w:trHeight w:val="472"/>
        </w:trPr>
        <w:tc>
          <w:tcPr>
            <w:tcW w:w="241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227E2" w:rsidRDefault="00D227E2">
            <w:pPr>
              <w:widowControl w:val="0"/>
              <w:spacing w:after="0" w:line="240" w:lineRule="auto"/>
              <w:ind w:hanging="5"/>
              <w:jc w:val="center"/>
              <w:rPr>
                <w:rFonts w:ascii="Times New Roman" w:eastAsia="Times New Roman" w:hAnsi="Times New Roman" w:cs="Times New Roman"/>
                <w:i/>
                <w:kern w:val="2"/>
              </w:rPr>
            </w:pPr>
          </w:p>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Кліматичні загрози</w:t>
            </w:r>
          </w:p>
        </w:tc>
        <w:tc>
          <w:tcPr>
            <w:tcW w:w="2550" w:type="dxa"/>
            <w:gridSpan w:val="2"/>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Поточний ризик виникнення загрози</w:t>
            </w:r>
          </w:p>
        </w:tc>
        <w:tc>
          <w:tcPr>
            <w:tcW w:w="4819" w:type="dxa"/>
            <w:gridSpan w:val="3"/>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Прогнозування</w:t>
            </w:r>
          </w:p>
        </w:tc>
      </w:tr>
      <w:tr w:rsidR="00D227E2">
        <w:trPr>
          <w:trHeight w:val="698"/>
        </w:trPr>
        <w:tc>
          <w:tcPr>
            <w:tcW w:w="2411" w:type="dxa"/>
            <w:vMerge/>
            <w:tcBorders>
              <w:top w:val="single" w:sz="4" w:space="0" w:color="000000"/>
              <w:left w:val="single" w:sz="4" w:space="0" w:color="000000"/>
              <w:bottom w:val="single" w:sz="4" w:space="0" w:color="000000"/>
              <w:right w:val="single" w:sz="4" w:space="0" w:color="000000"/>
            </w:tcBorders>
            <w:shd w:val="clear" w:color="auto" w:fill="auto"/>
          </w:tcPr>
          <w:p w:rsidR="00D227E2" w:rsidRDefault="00D227E2">
            <w:pPr>
              <w:widowControl w:val="0"/>
              <w:spacing w:after="0" w:line="240" w:lineRule="auto"/>
              <w:ind w:hanging="5"/>
              <w:jc w:val="center"/>
              <w:rPr>
                <w:rFonts w:ascii="Times New Roman" w:eastAsia="NSimSun" w:hAnsi="Times New Roman" w:cs="Times New Roman"/>
                <w:kern w:val="2"/>
                <w:lang w:eastAsia="zh-CN" w:bidi="hi-IN"/>
              </w:rPr>
            </w:pPr>
          </w:p>
        </w:tc>
        <w:tc>
          <w:tcPr>
            <w:tcW w:w="142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Можливість виникнення загрози</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Вплив загрози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Зміна</w:t>
            </w:r>
          </w:p>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інтенсивності</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Зміна частоти проявів</w:t>
            </w:r>
          </w:p>
        </w:tc>
        <w:tc>
          <w:tcPr>
            <w:tcW w:w="196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Часові рамки</w:t>
            </w:r>
          </w:p>
        </w:tc>
      </w:tr>
      <w:tr w:rsidR="00D227E2">
        <w:trPr>
          <w:trHeight w:val="273"/>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rPr>
                <w:rFonts w:ascii="Times New Roman" w:hAnsi="Times New Roman" w:cs="Times New Roman"/>
              </w:rPr>
            </w:pPr>
            <w:r>
              <w:rPr>
                <w:rFonts w:ascii="Times New Roman" w:eastAsia="Times New Roman" w:hAnsi="Times New Roman" w:cs="Times New Roman"/>
                <w:kern w:val="2"/>
              </w:rPr>
              <w:t>Екстремальна спека</w:t>
            </w:r>
          </w:p>
        </w:tc>
        <w:tc>
          <w:tcPr>
            <w:tcW w:w="142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Висока</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Високий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Зростання</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Зростання</w:t>
            </w:r>
          </w:p>
        </w:tc>
        <w:tc>
          <w:tcPr>
            <w:tcW w:w="196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Короткостроково</w:t>
            </w:r>
          </w:p>
        </w:tc>
      </w:tr>
      <w:tr w:rsidR="00D227E2">
        <w:trPr>
          <w:trHeight w:val="273"/>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rPr>
                <w:rFonts w:ascii="Times New Roman" w:hAnsi="Times New Roman" w:cs="Times New Roman"/>
              </w:rPr>
            </w:pPr>
            <w:r>
              <w:rPr>
                <w:rFonts w:ascii="Times New Roman" w:eastAsia="Times New Roman" w:hAnsi="Times New Roman" w:cs="Times New Roman"/>
                <w:kern w:val="2"/>
              </w:rPr>
              <w:t>Екстремальний холод</w:t>
            </w:r>
          </w:p>
        </w:tc>
        <w:tc>
          <w:tcPr>
            <w:tcW w:w="142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Висока</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Високий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Зростання</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Зростання</w:t>
            </w:r>
          </w:p>
        </w:tc>
        <w:tc>
          <w:tcPr>
            <w:tcW w:w="196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Короткостроково</w:t>
            </w:r>
          </w:p>
        </w:tc>
      </w:tr>
      <w:tr w:rsidR="00D227E2">
        <w:trPr>
          <w:trHeight w:val="270"/>
        </w:trPr>
        <w:tc>
          <w:tcPr>
            <w:tcW w:w="9780" w:type="dxa"/>
            <w:gridSpan w:val="6"/>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rPr>
                <w:rFonts w:ascii="Times New Roman" w:hAnsi="Times New Roman" w:cs="Times New Roman"/>
              </w:rPr>
            </w:pPr>
            <w:r>
              <w:rPr>
                <w:rFonts w:ascii="Times New Roman" w:eastAsia="Times New Roman" w:hAnsi="Times New Roman" w:cs="Times New Roman"/>
                <w:kern w:val="2"/>
              </w:rPr>
              <w:t>Екстремальні опади та підтоплення:</w:t>
            </w:r>
          </w:p>
        </w:tc>
      </w:tr>
      <w:tr w:rsidR="00D227E2">
        <w:trPr>
          <w:trHeight w:val="26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rPr>
                <w:rFonts w:ascii="Times New Roman" w:hAnsi="Times New Roman" w:cs="Times New Roman"/>
              </w:rPr>
            </w:pPr>
            <w:r>
              <w:rPr>
                <w:rFonts w:ascii="Times New Roman" w:eastAsia="Times New Roman" w:hAnsi="Times New Roman" w:cs="Times New Roman"/>
                <w:kern w:val="2"/>
              </w:rPr>
              <w:t>1.Екстремальні зливи</w:t>
            </w:r>
          </w:p>
        </w:tc>
        <w:tc>
          <w:tcPr>
            <w:tcW w:w="142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Висока</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Високий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Зростання</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Зростання</w:t>
            </w:r>
          </w:p>
        </w:tc>
        <w:tc>
          <w:tcPr>
            <w:tcW w:w="196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Короткостроково</w:t>
            </w:r>
          </w:p>
        </w:tc>
      </w:tr>
      <w:tr w:rsidR="00D227E2">
        <w:trPr>
          <w:trHeight w:val="268"/>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rPr>
                <w:rFonts w:ascii="Times New Roman" w:hAnsi="Times New Roman" w:cs="Times New Roman"/>
              </w:rPr>
            </w:pPr>
            <w:r>
              <w:rPr>
                <w:rFonts w:ascii="Times New Roman" w:eastAsia="Times New Roman" w:hAnsi="Times New Roman" w:cs="Times New Roman"/>
                <w:kern w:val="2"/>
              </w:rPr>
              <w:t>2.Екстремальні снігопади</w:t>
            </w:r>
          </w:p>
        </w:tc>
        <w:tc>
          <w:tcPr>
            <w:tcW w:w="142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Висока</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Помірний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Зменшення</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Зменшення</w:t>
            </w:r>
          </w:p>
        </w:tc>
        <w:tc>
          <w:tcPr>
            <w:tcW w:w="196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Середньостроково</w:t>
            </w:r>
          </w:p>
        </w:tc>
      </w:tr>
      <w:tr w:rsidR="00D227E2">
        <w:trPr>
          <w:trHeight w:val="252"/>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rPr>
                <w:rFonts w:ascii="Times New Roman" w:hAnsi="Times New Roman" w:cs="Times New Roman"/>
              </w:rPr>
            </w:pPr>
            <w:r>
              <w:rPr>
                <w:rFonts w:ascii="Times New Roman" w:eastAsia="Times New Roman" w:hAnsi="Times New Roman" w:cs="Times New Roman"/>
                <w:kern w:val="2"/>
              </w:rPr>
              <w:t>3.Град</w:t>
            </w:r>
          </w:p>
        </w:tc>
        <w:tc>
          <w:tcPr>
            <w:tcW w:w="142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Помірна</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Високий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Зростання</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Зростання</w:t>
            </w:r>
          </w:p>
        </w:tc>
        <w:tc>
          <w:tcPr>
            <w:tcW w:w="196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Короткостроково</w:t>
            </w:r>
          </w:p>
        </w:tc>
      </w:tr>
      <w:tr w:rsidR="00D227E2">
        <w:trPr>
          <w:trHeight w:val="171"/>
        </w:trPr>
        <w:tc>
          <w:tcPr>
            <w:tcW w:w="9780" w:type="dxa"/>
            <w:gridSpan w:val="6"/>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hAnsi="Times New Roman" w:cs="Times New Roman"/>
              </w:rPr>
            </w:pPr>
            <w:r>
              <w:rPr>
                <w:rFonts w:ascii="Times New Roman" w:hAnsi="Times New Roman" w:cs="Times New Roman"/>
              </w:rPr>
              <w:t>Повені та підвищення рівня води:</w:t>
            </w:r>
          </w:p>
        </w:tc>
      </w:tr>
      <w:tr w:rsidR="00D227E2">
        <w:trPr>
          <w:trHeight w:val="240"/>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rPr>
                <w:rFonts w:ascii="Times New Roman" w:hAnsi="Times New Roman" w:cs="Times New Roman"/>
              </w:rPr>
            </w:pPr>
            <w:r>
              <w:rPr>
                <w:rFonts w:ascii="Times New Roman" w:eastAsia="Times New Roman" w:hAnsi="Times New Roman" w:cs="Times New Roman"/>
                <w:kern w:val="2"/>
              </w:rPr>
              <w:t>1.Річкові повені</w:t>
            </w:r>
          </w:p>
        </w:tc>
        <w:tc>
          <w:tcPr>
            <w:tcW w:w="142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Помірна</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Помірний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Без змін</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Без змін</w:t>
            </w:r>
          </w:p>
        </w:tc>
        <w:tc>
          <w:tcPr>
            <w:tcW w:w="196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Середньостроково</w:t>
            </w:r>
          </w:p>
        </w:tc>
      </w:tr>
      <w:tr w:rsidR="00D227E2">
        <w:trPr>
          <w:trHeight w:val="240"/>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rPr>
                <w:rFonts w:ascii="Times New Roman" w:hAnsi="Times New Roman" w:cs="Times New Roman"/>
              </w:rPr>
            </w:pPr>
            <w:r>
              <w:rPr>
                <w:rFonts w:ascii="Times New Roman" w:eastAsia="Times New Roman" w:hAnsi="Times New Roman" w:cs="Times New Roman"/>
                <w:kern w:val="2"/>
              </w:rPr>
              <w:t>Посухи та нестача води</w:t>
            </w:r>
          </w:p>
        </w:tc>
        <w:tc>
          <w:tcPr>
            <w:tcW w:w="142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Висока</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Високий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Зростання</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Зростання</w:t>
            </w:r>
          </w:p>
        </w:tc>
        <w:tc>
          <w:tcPr>
            <w:tcW w:w="196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Короткостроково</w:t>
            </w:r>
          </w:p>
        </w:tc>
      </w:tr>
      <w:tr w:rsidR="00D227E2">
        <w:trPr>
          <w:trHeight w:val="257"/>
        </w:trPr>
        <w:tc>
          <w:tcPr>
            <w:tcW w:w="9780" w:type="dxa"/>
            <w:gridSpan w:val="6"/>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rPr>
                <w:rFonts w:ascii="Times New Roman" w:hAnsi="Times New Roman" w:cs="Times New Roman"/>
              </w:rPr>
            </w:pPr>
            <w:r>
              <w:rPr>
                <w:rFonts w:ascii="Times New Roman" w:eastAsia="Times New Roman" w:hAnsi="Times New Roman" w:cs="Times New Roman"/>
                <w:kern w:val="2"/>
              </w:rPr>
              <w:t>Бурі:</w:t>
            </w:r>
          </w:p>
        </w:tc>
      </w:tr>
      <w:tr w:rsidR="00D227E2">
        <w:trPr>
          <w:trHeight w:val="278"/>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rPr>
                <w:rFonts w:ascii="Times New Roman" w:hAnsi="Times New Roman" w:cs="Times New Roman"/>
              </w:rPr>
            </w:pPr>
            <w:r>
              <w:rPr>
                <w:rFonts w:ascii="Times New Roman" w:eastAsia="Times New Roman" w:hAnsi="Times New Roman" w:cs="Times New Roman"/>
                <w:kern w:val="2"/>
              </w:rPr>
              <w:t>1.Сильний вітер</w:t>
            </w:r>
          </w:p>
        </w:tc>
        <w:tc>
          <w:tcPr>
            <w:tcW w:w="142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Помірний</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Помірний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Зростання</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Зростання</w:t>
            </w:r>
          </w:p>
        </w:tc>
        <w:tc>
          <w:tcPr>
            <w:tcW w:w="196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Середньостроково</w:t>
            </w:r>
          </w:p>
        </w:tc>
      </w:tr>
      <w:tr w:rsidR="00D227E2">
        <w:trPr>
          <w:trHeight w:val="278"/>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rPr>
                <w:rFonts w:ascii="Times New Roman" w:hAnsi="Times New Roman" w:cs="Times New Roman"/>
              </w:rPr>
            </w:pPr>
            <w:r>
              <w:rPr>
                <w:rFonts w:ascii="Times New Roman" w:eastAsia="Times New Roman" w:hAnsi="Times New Roman" w:cs="Times New Roman"/>
                <w:kern w:val="2"/>
              </w:rPr>
              <w:t>2.Гроза (блискавка/грім)</w:t>
            </w:r>
          </w:p>
        </w:tc>
        <w:tc>
          <w:tcPr>
            <w:tcW w:w="142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Низька</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Помірний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Без змін</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Без змін</w:t>
            </w:r>
          </w:p>
        </w:tc>
        <w:tc>
          <w:tcPr>
            <w:tcW w:w="196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Середньостроково</w:t>
            </w:r>
          </w:p>
        </w:tc>
      </w:tr>
      <w:tr w:rsidR="00D227E2">
        <w:trPr>
          <w:trHeight w:val="253"/>
        </w:trPr>
        <w:tc>
          <w:tcPr>
            <w:tcW w:w="9780" w:type="dxa"/>
            <w:gridSpan w:val="6"/>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rPr>
                <w:rFonts w:ascii="Times New Roman" w:hAnsi="Times New Roman" w:cs="Times New Roman"/>
              </w:rPr>
            </w:pPr>
            <w:r>
              <w:rPr>
                <w:rFonts w:ascii="Times New Roman" w:eastAsia="Times New Roman" w:hAnsi="Times New Roman" w:cs="Times New Roman"/>
                <w:kern w:val="2"/>
              </w:rPr>
              <w:t>Стихійні пожежі:</w:t>
            </w:r>
          </w:p>
        </w:tc>
      </w:tr>
      <w:tr w:rsidR="00D227E2">
        <w:trPr>
          <w:trHeight w:val="273"/>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rPr>
                <w:rFonts w:ascii="Times New Roman" w:hAnsi="Times New Roman" w:cs="Times New Roman"/>
              </w:rPr>
            </w:pPr>
            <w:r>
              <w:rPr>
                <w:rFonts w:ascii="Times New Roman" w:eastAsia="Times New Roman" w:hAnsi="Times New Roman" w:cs="Times New Roman"/>
                <w:kern w:val="2"/>
              </w:rPr>
              <w:t>1.Лісові пожежі</w:t>
            </w:r>
          </w:p>
        </w:tc>
        <w:tc>
          <w:tcPr>
            <w:tcW w:w="142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Помірна</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Помірний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Зростання</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Зростання</w:t>
            </w:r>
          </w:p>
        </w:tc>
        <w:tc>
          <w:tcPr>
            <w:tcW w:w="196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Короткостроково</w:t>
            </w:r>
          </w:p>
        </w:tc>
      </w:tr>
      <w:tr w:rsidR="00D227E2">
        <w:trPr>
          <w:trHeight w:val="238"/>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rPr>
                <w:rFonts w:ascii="Times New Roman" w:hAnsi="Times New Roman" w:cs="Times New Roman"/>
              </w:rPr>
            </w:pPr>
            <w:r>
              <w:rPr>
                <w:rFonts w:ascii="Times New Roman" w:eastAsia="Times New Roman" w:hAnsi="Times New Roman" w:cs="Times New Roman"/>
                <w:kern w:val="2"/>
              </w:rPr>
              <w:t>2. Пожежі на землі</w:t>
            </w:r>
          </w:p>
        </w:tc>
        <w:tc>
          <w:tcPr>
            <w:tcW w:w="142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Помірна</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Помірний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Зростання</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Зростання</w:t>
            </w:r>
          </w:p>
        </w:tc>
        <w:tc>
          <w:tcPr>
            <w:tcW w:w="196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Короткостроково</w:t>
            </w:r>
          </w:p>
        </w:tc>
      </w:tr>
      <w:tr w:rsidR="00D227E2">
        <w:trPr>
          <w:trHeight w:val="153"/>
        </w:trPr>
        <w:tc>
          <w:tcPr>
            <w:tcW w:w="9780" w:type="dxa"/>
            <w:gridSpan w:val="6"/>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rPr>
                <w:rFonts w:ascii="Times New Roman" w:hAnsi="Times New Roman" w:cs="Times New Roman"/>
              </w:rPr>
            </w:pPr>
            <w:r>
              <w:rPr>
                <w:rFonts w:ascii="Times New Roman" w:eastAsia="Times New Roman" w:hAnsi="Times New Roman" w:cs="Times New Roman"/>
                <w:kern w:val="2"/>
              </w:rPr>
              <w:t>Біологічні загрози:</w:t>
            </w:r>
          </w:p>
        </w:tc>
      </w:tr>
      <w:tr w:rsidR="00D227E2">
        <w:trPr>
          <w:trHeight w:val="513"/>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rPr>
                <w:rFonts w:ascii="Times New Roman" w:hAnsi="Times New Roman" w:cs="Times New Roman"/>
              </w:rPr>
            </w:pPr>
            <w:r>
              <w:rPr>
                <w:rFonts w:ascii="Times New Roman" w:eastAsia="Times New Roman" w:hAnsi="Times New Roman" w:cs="Times New Roman"/>
                <w:kern w:val="2"/>
              </w:rPr>
              <w:t>1.Захворювання спричинені водою</w:t>
            </w:r>
          </w:p>
        </w:tc>
        <w:tc>
          <w:tcPr>
            <w:tcW w:w="142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Низька</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Низький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Зростання</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Невідомо</w:t>
            </w:r>
          </w:p>
        </w:tc>
        <w:tc>
          <w:tcPr>
            <w:tcW w:w="196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Короткостроково</w:t>
            </w:r>
          </w:p>
        </w:tc>
      </w:tr>
      <w:tr w:rsidR="00D227E2">
        <w:trPr>
          <w:trHeight w:val="501"/>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rPr>
                <w:rFonts w:ascii="Times New Roman" w:hAnsi="Times New Roman" w:cs="Times New Roman"/>
              </w:rPr>
            </w:pPr>
            <w:r>
              <w:rPr>
                <w:rFonts w:ascii="Times New Roman" w:eastAsia="Times New Roman" w:hAnsi="Times New Roman" w:cs="Times New Roman"/>
                <w:kern w:val="2"/>
              </w:rPr>
              <w:t>2.Захворювання викликані комахами</w:t>
            </w:r>
          </w:p>
        </w:tc>
        <w:tc>
          <w:tcPr>
            <w:tcW w:w="142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Помірна</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Помірний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Зростання</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Зростання</w:t>
            </w:r>
          </w:p>
        </w:tc>
        <w:tc>
          <w:tcPr>
            <w:tcW w:w="196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Середньостроково</w:t>
            </w:r>
          </w:p>
        </w:tc>
      </w:tr>
      <w:tr w:rsidR="00D227E2">
        <w:trPr>
          <w:trHeight w:val="871"/>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rPr>
                <w:rFonts w:ascii="Times New Roman" w:hAnsi="Times New Roman" w:cs="Times New Roman"/>
              </w:rPr>
            </w:pPr>
            <w:r>
              <w:rPr>
                <w:rFonts w:ascii="Times New Roman" w:eastAsia="Times New Roman" w:hAnsi="Times New Roman" w:cs="Times New Roman"/>
                <w:kern w:val="2"/>
              </w:rPr>
              <w:t>3.Захворювання викликані поширенням алергенів</w:t>
            </w:r>
          </w:p>
          <w:p w:rsidR="00D227E2" w:rsidRDefault="00934FC4">
            <w:pPr>
              <w:widowControl w:val="0"/>
              <w:spacing w:after="0" w:line="240" w:lineRule="auto"/>
              <w:ind w:hanging="5"/>
              <w:rPr>
                <w:rFonts w:ascii="Times New Roman" w:hAnsi="Times New Roman" w:cs="Times New Roman"/>
              </w:rPr>
            </w:pPr>
            <w:r>
              <w:rPr>
                <w:rFonts w:ascii="Times New Roman" w:eastAsia="Times New Roman" w:hAnsi="Times New Roman" w:cs="Times New Roman"/>
                <w:kern w:val="2"/>
              </w:rPr>
              <w:t>інвазивних видів рослин</w:t>
            </w:r>
          </w:p>
        </w:tc>
        <w:tc>
          <w:tcPr>
            <w:tcW w:w="142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Високий</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Високий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Зростання</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Зростання</w:t>
            </w:r>
          </w:p>
        </w:tc>
        <w:tc>
          <w:tcPr>
            <w:tcW w:w="196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5"/>
              <w:jc w:val="center"/>
              <w:rPr>
                <w:rFonts w:ascii="Times New Roman" w:hAnsi="Times New Roman" w:cs="Times New Roman"/>
              </w:rPr>
            </w:pPr>
            <w:r>
              <w:rPr>
                <w:rFonts w:ascii="Times New Roman" w:eastAsia="Times New Roman" w:hAnsi="Times New Roman" w:cs="Times New Roman"/>
                <w:kern w:val="2"/>
              </w:rPr>
              <w:t>Середньостроково</w:t>
            </w:r>
          </w:p>
        </w:tc>
      </w:tr>
    </w:tbl>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Відповідно до результатів оцінки вразливості Луцької МТГ до зміни клімату було проаналізовано та визначено ряд кліматичних загроз, що мають вплив на громаду, серед них найбільший ризик становлять: екстремальна спека, екстремальні опади та підтоплення, посуха та нестача води, а також біологічні загрози, пов’язані з поширенням інфекційних захворювань та інвазивних видів рослин.</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У таблиці 80 вказано ймовірність їхнього виникнення і потенційний вплив на громаду.</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lastRenderedPageBreak/>
        <w:t>Також здійснено прогнозування зміни інтенсивності, частоти та часових рамок виникнення цих кліматичних загроз.</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Ймовірність виникнення загроз та їхній вплив оцінено за шкалою: низька (малозначущі перебої у наданні послуг населенню), помірна (порушення нормального функціонування громади, суттєві збитки), висока (надзвичайні ситуації, висока загроза життю) та невідома (немає даних щодо загрози або загроза взагалі відсутня, вплив мінімальний).</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Зміна інтенсивності та частоти проявів оцінені за шкалою: зростання, спадання, без змін або невідомо.</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Часові рамки: короткостроково (10-20 років), середньостроково (до 2060 року) та довгостроково (до 2100 року).</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Далі детальніше розглянемо інформацію щодо кожного кліматичного ризику. </w:t>
      </w:r>
    </w:p>
    <w:p w:rsidR="00D227E2" w:rsidRDefault="00934FC4">
      <w:pPr>
        <w:spacing w:after="0"/>
        <w:ind w:firstLine="567"/>
        <w:jc w:val="both"/>
        <w:outlineLvl w:val="0"/>
        <w:rPr>
          <w:rFonts w:ascii="Times New Roman" w:hAnsi="Times New Roman" w:cs="Times New Roman"/>
        </w:rPr>
      </w:pPr>
      <w:r>
        <w:rPr>
          <w:rFonts w:ascii="Times New Roman" w:eastAsia="Times New Roman" w:hAnsi="Times New Roman" w:cs="Times New Roman"/>
          <w:kern w:val="2"/>
          <w:sz w:val="24"/>
          <w:szCs w:val="24"/>
          <w:u w:val="single"/>
        </w:rPr>
        <w:t>Екстремальна спека</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Наявність екстремальної спеки та хвиль тепла є характерними для Луцької МТГ. Про це свідчить збільшення кількості днів з температурою повітря вище (+30)°С (рисунок 48), а також поступове підвищення середньорічної температури (Рисунок 48).</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w:t>
      </w:r>
    </w:p>
    <w:p w:rsidR="00D227E2" w:rsidRDefault="00934FC4">
      <w:pPr>
        <w:spacing w:after="0"/>
        <w:ind w:firstLine="567"/>
        <w:jc w:val="both"/>
        <w:rPr>
          <w:rFonts w:ascii="Times New Roman" w:eastAsia="NSimSun" w:hAnsi="Times New Roman" w:cs="Times New Roman"/>
          <w:kern w:val="2"/>
          <w:sz w:val="24"/>
          <w:szCs w:val="24"/>
          <w:lang w:eastAsia="zh-CN" w:bidi="hi-IN"/>
        </w:rPr>
      </w:pPr>
      <w:r>
        <w:rPr>
          <w:rFonts w:ascii="Times New Roman" w:eastAsia="NSimSun" w:hAnsi="Times New Roman" w:cs="Times New Roman"/>
          <w:noProof/>
          <w:kern w:val="2"/>
          <w:sz w:val="24"/>
          <w:szCs w:val="24"/>
          <w:lang w:eastAsia="uk-UA"/>
        </w:rPr>
        <w:drawing>
          <wp:anchor distT="0" distB="0" distL="0" distR="0" simplePos="0" relativeHeight="32" behindDoc="0" locked="0" layoutInCell="0" allowOverlap="1" wp14:anchorId="0769C90E" wp14:editId="0052D3AA">
            <wp:simplePos x="0" y="0"/>
            <wp:positionH relativeFrom="column">
              <wp:posOffset>852170</wp:posOffset>
            </wp:positionH>
            <wp:positionV relativeFrom="paragraph">
              <wp:posOffset>24765</wp:posOffset>
            </wp:positionV>
            <wp:extent cx="4124325" cy="2123440"/>
            <wp:effectExtent l="0" t="0" r="0" b="0"/>
            <wp:wrapSquare wrapText="largest"/>
            <wp:docPr id="69" name="Об'єкт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anchor>
        </w:drawing>
      </w: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center"/>
        <w:rPr>
          <w:rFonts w:ascii="Times New Roman" w:eastAsia="NSimSun" w:hAnsi="Times New Roman" w:cs="Times New Roman"/>
          <w:i/>
          <w:kern w:val="2"/>
          <w:sz w:val="24"/>
          <w:szCs w:val="24"/>
          <w:lang w:eastAsia="zh-CN" w:bidi="hi-IN"/>
        </w:rPr>
      </w:pPr>
    </w:p>
    <w:p w:rsidR="00D227E2" w:rsidRDefault="00934FC4">
      <w:pPr>
        <w:spacing w:after="0"/>
        <w:ind w:firstLine="567"/>
        <w:jc w:val="center"/>
        <w:rPr>
          <w:rFonts w:ascii="Times New Roman" w:hAnsi="Times New Roman" w:cs="Times New Roman"/>
        </w:rPr>
      </w:pPr>
      <w:r>
        <w:rPr>
          <w:rFonts w:ascii="Times New Roman" w:eastAsia="NSimSun" w:hAnsi="Times New Roman" w:cs="Times New Roman"/>
          <w:kern w:val="2"/>
          <w:sz w:val="24"/>
          <w:szCs w:val="24"/>
          <w:lang w:eastAsia="zh-CN" w:bidi="hi-IN"/>
        </w:rPr>
        <w:t xml:space="preserve">Рисунок 48. Кількість днів на рік з максимальною температурою вище +30°С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За останні роки спостерігається зростання кількості та інтенсивності хвиль тепла (це метеорологічне явище, яке проявляється у вигляді аномально спекотної, сухої погоди, що зберігається протягом певного періоду і охоплює значні території Волинської області).</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shd w:val="clear" w:color="auto" w:fill="FFFFFF"/>
          <w:lang w:eastAsia="zh-CN" w:bidi="hi-IN"/>
        </w:rPr>
        <w:t>Відповідно до наукових досліджень температура повітря надалі зростатиме, а прояви зміни клімату будуть більш відчутними, що буде мати негативний вплив на самопочуття та здоров’я населення.</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shd w:val="clear" w:color="auto" w:fill="FFFFFF"/>
          <w:lang w:eastAsia="zh-CN" w:bidi="hi-IN"/>
        </w:rPr>
        <w:t>Для оцінювання вразливості Луцької МТГ до екстремальної спеки була використана інформація про нагрівання поверхні за даними знімків супутника (рисунок 49).</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111111"/>
          <w:kern w:val="2"/>
          <w:sz w:val="24"/>
          <w:szCs w:val="24"/>
          <w:shd w:val="clear" w:color="auto" w:fill="FFFFFF"/>
          <w:lang w:eastAsia="zh-CN" w:bidi="hi-IN"/>
        </w:rPr>
        <w:t>Слід зауважити, що температура нагрівання поверхні залежить від кута падіння сонячних променів (якщо кут падіння променів наближений до 90</w:t>
      </w:r>
      <w:r>
        <w:rPr>
          <w:rFonts w:ascii="Times New Roman" w:eastAsia="NSimSun" w:hAnsi="Times New Roman" w:cs="Times New Roman"/>
          <w:kern w:val="2"/>
          <w:sz w:val="24"/>
          <w:szCs w:val="24"/>
          <w:shd w:val="clear" w:color="auto" w:fill="FFFFFF"/>
          <w:lang w:eastAsia="zh-CN" w:bidi="hi-IN"/>
        </w:rPr>
        <w:t>°</w:t>
      </w:r>
      <w:r>
        <w:rPr>
          <w:rFonts w:ascii="Times New Roman" w:eastAsia="NSimSun" w:hAnsi="Times New Roman" w:cs="Times New Roman"/>
          <w:color w:val="111111"/>
          <w:kern w:val="2"/>
          <w:sz w:val="24"/>
          <w:szCs w:val="24"/>
          <w:shd w:val="clear" w:color="auto" w:fill="FFFFFF"/>
          <w:lang w:eastAsia="zh-CN" w:bidi="hi-IN"/>
        </w:rPr>
        <w:t xml:space="preserve"> то температура нагрівання поверхні стає більшою). І навпаки, там, де кут падіння сонячних променів невеликий, поверхня нагрівається менше. Вплив на кут падіння та інтенсивність сонячних променів мають міська забудова, зелені насадження, рельєф, покриття поверхні тощо. </w:t>
      </w:r>
      <w:r>
        <w:rPr>
          <w:rFonts w:ascii="Times New Roman" w:eastAsia="NSimSun" w:hAnsi="Times New Roman" w:cs="Times New Roman"/>
          <w:kern w:val="2"/>
          <w:sz w:val="24"/>
          <w:szCs w:val="24"/>
          <w:shd w:val="clear" w:color="auto" w:fill="FFFFFF"/>
          <w:lang w:eastAsia="zh-CN" w:bidi="hi-IN"/>
        </w:rPr>
        <w:t xml:space="preserve">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shd w:val="clear" w:color="auto" w:fill="FFFFFF"/>
          <w:lang w:eastAsia="zh-CN" w:bidi="hi-IN"/>
        </w:rPr>
        <w:t>На знімку чітко простежується значне нагрівання поверхонь у центральній частині міста. Це зумовлено передусім щільною забудовою, недостатньою кількістю зелених насаджень, а також великою площею штучних поверхонь, які швидко нагріваються та довго зберігають тепло (бетон, асфальт, тротуарна плитка, покриття дахів тощо).</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lastRenderedPageBreak/>
        <w:t>Натомість можемо простежити значно менше нагрівання у ділянках, де більша кількість зелених насаджень, а також біля берегів річки Стир.</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Підвищення середньої та максимальної температури повітря, а також збільшення інтенсивності хвиль тепла призводять до скорочення водних ресурсів, зниження рівня води в р. Стир, а також зниження рівня ґрунтових вод, що своєю чергою призводить до нестачі питної води.</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shd w:val="clear" w:color="auto" w:fill="FFFFFF"/>
          <w:lang w:eastAsia="zh-CN" w:bidi="hi-IN"/>
        </w:rPr>
        <w:t>Аномально спекотна погода має негативний вплив практично на всі сектори економіки громади: інфраструктуру, енергетичну систему, водопостачання, сільське господарство, охорону здоров’я.</w:t>
      </w:r>
    </w:p>
    <w:p w:rsidR="00D227E2" w:rsidRDefault="00934FC4">
      <w:pPr>
        <w:spacing w:after="0"/>
        <w:jc w:val="center"/>
        <w:rPr>
          <w:rFonts w:ascii="Times New Roman" w:hAnsi="Times New Roman" w:cs="Times New Roman"/>
        </w:rPr>
      </w:pPr>
      <w:r>
        <w:rPr>
          <w:noProof/>
          <w:lang w:eastAsia="uk-UA"/>
        </w:rPr>
        <w:lastRenderedPageBreak/>
        <w:drawing>
          <wp:anchor distT="0" distB="0" distL="0" distR="0" simplePos="0" relativeHeight="30" behindDoc="0" locked="0" layoutInCell="0" allowOverlap="1" wp14:anchorId="048EDADE" wp14:editId="776F3806">
            <wp:simplePos x="0" y="0"/>
            <wp:positionH relativeFrom="column">
              <wp:posOffset>-51435</wp:posOffset>
            </wp:positionH>
            <wp:positionV relativeFrom="paragraph">
              <wp:posOffset>7620</wp:posOffset>
            </wp:positionV>
            <wp:extent cx="6531610" cy="7442835"/>
            <wp:effectExtent l="0" t="0" r="0" b="0"/>
            <wp:wrapSquare wrapText="bothSides"/>
            <wp:docPr id="70" name="Зображення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Зображення12"/>
                    <pic:cNvPicPr>
                      <a:picLocks noChangeAspect="1" noChangeArrowheads="1"/>
                    </pic:cNvPicPr>
                  </pic:nvPicPr>
                  <pic:blipFill>
                    <a:blip r:embed="rId112"/>
                    <a:stretch>
                      <a:fillRect/>
                    </a:stretch>
                  </pic:blipFill>
                  <pic:spPr bwMode="auto">
                    <a:xfrm>
                      <a:off x="0" y="0"/>
                      <a:ext cx="6531610" cy="7442835"/>
                    </a:xfrm>
                    <a:prstGeom prst="rect">
                      <a:avLst/>
                    </a:prstGeom>
                  </pic:spPr>
                </pic:pic>
              </a:graphicData>
            </a:graphic>
          </wp:anchor>
        </w:drawing>
      </w:r>
      <w:r>
        <w:rPr>
          <w:rFonts w:ascii="Times New Roman" w:eastAsia="Symbol" w:hAnsi="Times New Roman" w:cs="Times New Roman"/>
          <w:kern w:val="2"/>
          <w:lang w:eastAsia="zh-CN" w:bidi="hi-IN"/>
        </w:rPr>
        <w:t xml:space="preserve">Рисунок 49. Температура нагрівання поверхонь Луцька (середнє значення з 2003-2020 роки) </w:t>
      </w:r>
      <w:r>
        <w:rPr>
          <w:rFonts w:ascii="Symbol" w:eastAsia="Symbol" w:hAnsi="Symbol" w:cs="Symbol"/>
          <w:color w:val="000000"/>
          <w:kern w:val="2"/>
          <w:sz w:val="24"/>
          <w:szCs w:val="24"/>
          <w:shd w:val="clear" w:color="auto" w:fill="FFFFFF"/>
          <w:lang w:eastAsia="zh-CN" w:bidi="hi-IN"/>
        </w:rPr>
        <w:sym w:font="Symbol" w:char="F05B"/>
      </w:r>
      <w:r>
        <w:rPr>
          <w:rFonts w:ascii="Times New Roman" w:eastAsia="NSimSun" w:hAnsi="Times New Roman" w:cs="Times New Roman"/>
          <w:color w:val="000000"/>
          <w:kern w:val="2"/>
          <w:sz w:val="24"/>
          <w:szCs w:val="24"/>
          <w:shd w:val="clear" w:color="auto" w:fill="FFFFFF"/>
          <w:lang w:eastAsia="zh-CN" w:bidi="hi-IN"/>
        </w:rPr>
        <w:t>10</w:t>
      </w:r>
      <w:r>
        <w:rPr>
          <w:rFonts w:ascii="Symbol" w:eastAsia="Symbol" w:hAnsi="Symbol" w:cs="Symbol"/>
          <w:color w:val="000000"/>
          <w:kern w:val="2"/>
          <w:sz w:val="24"/>
          <w:szCs w:val="24"/>
          <w:shd w:val="clear" w:color="auto" w:fill="FFFFFF"/>
          <w:lang w:eastAsia="zh-CN" w:bidi="hi-IN"/>
        </w:rPr>
        <w:sym w:font="Symbol" w:char="F05D"/>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Під час опитування мешканці вказали, що вони відчувають дискомфорт від теплового впливу та наголосили на необхідності збільшення площі зелених насаджень, а також створення зелених коридорів і охолоджуючих рамок для комфортного переміщення містом у спекотний період.</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Зважаючи на вищевикладене, можна зробити висновок, що ймовірність виникнення екстремальної спеки у Луцькій МТГ є високою з високим впливом. З високою ймовірністю стверджуємо, що клімат протягом наступних років зазнає змін, що в першу чергу буде </w:t>
      </w:r>
      <w:r>
        <w:rPr>
          <w:rFonts w:ascii="Times New Roman" w:eastAsia="NSimSun" w:hAnsi="Times New Roman" w:cs="Times New Roman"/>
          <w:kern w:val="2"/>
          <w:sz w:val="24"/>
          <w:szCs w:val="24"/>
          <w:lang w:eastAsia="zh-CN" w:bidi="hi-IN"/>
        </w:rPr>
        <w:lastRenderedPageBreak/>
        <w:t>проявлятися через збільшення термінів тривалої спеки у літній сезон та скорочення кількості холодних днів взимку.</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u w:val="single"/>
          <w:lang w:eastAsia="zh-CN" w:bidi="hi-IN"/>
        </w:rPr>
        <w:t>Екстремальний холод</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Кількість днів з мінімальною температурою нижчою -20°С значно зменшилась за останні роки (рисунок 50)</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noProof/>
          <w:kern w:val="2"/>
          <w:sz w:val="24"/>
          <w:szCs w:val="24"/>
          <w:lang w:eastAsia="uk-UA"/>
        </w:rPr>
        <w:drawing>
          <wp:anchor distT="0" distB="0" distL="0" distR="0" simplePos="0" relativeHeight="22" behindDoc="0" locked="0" layoutInCell="0" allowOverlap="1" wp14:anchorId="00C525AF" wp14:editId="264357E8">
            <wp:simplePos x="0" y="0"/>
            <wp:positionH relativeFrom="column">
              <wp:align>center</wp:align>
            </wp:positionH>
            <wp:positionV relativeFrom="paragraph">
              <wp:posOffset>635</wp:posOffset>
            </wp:positionV>
            <wp:extent cx="4430395" cy="2105025"/>
            <wp:effectExtent l="0" t="0" r="0" b="0"/>
            <wp:wrapSquare wrapText="largest"/>
            <wp:docPr id="71" name="Об'єкт38" descr="діаграма"/>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anchor>
        </w:drawing>
      </w:r>
      <w:r>
        <w:rPr>
          <w:rFonts w:ascii="Times New Roman" w:eastAsia="NSimSun" w:hAnsi="Times New Roman" w:cs="Times New Roman"/>
          <w:kern w:val="2"/>
          <w:sz w:val="24"/>
          <w:szCs w:val="24"/>
          <w:lang w:eastAsia="zh-CN" w:bidi="hi-IN"/>
        </w:rPr>
        <w:t> </w:t>
      </w: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934FC4">
      <w:pPr>
        <w:spacing w:after="0"/>
        <w:ind w:firstLine="567"/>
        <w:jc w:val="center"/>
        <w:rPr>
          <w:rFonts w:ascii="Times New Roman" w:hAnsi="Times New Roman" w:cs="Times New Roman"/>
        </w:rPr>
      </w:pPr>
      <w:r>
        <w:rPr>
          <w:rFonts w:ascii="Times New Roman" w:eastAsia="NSimSun" w:hAnsi="Times New Roman" w:cs="Times New Roman"/>
          <w:kern w:val="2"/>
          <w:sz w:val="24"/>
          <w:szCs w:val="24"/>
          <w:lang w:eastAsia="zh-CN" w:bidi="hi-IN"/>
        </w:rPr>
        <w:t>Рисунок 50. Кількість днів на рік з мінімальною температурою нижчою -20°С у м. Луцьку</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Спостерігаються зміни екстремальних (максимальної та мінімальної) температур у зимовий період.</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Мінімальна температура зросла у переважній більшості місяців зимового періоду.</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За останні роки на Волині змістилися календарні дати настання кліматичних сезонів. Наприклад, кліматична весна часто наступає раніше на 2-3 тижні, але у травні зазвичай спостерігається вторгнення холодного арктичного повітря та заморозки на поверхні ґрунту.</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Можна зробити висновок, що ймовірність ризиків екстремального холоду є високою із високим впливом. В майбутньому прогнозується зростання інтенсивності та частоти проявів.</w:t>
      </w:r>
    </w:p>
    <w:p w:rsidR="00D227E2" w:rsidRDefault="00934FC4">
      <w:pPr>
        <w:spacing w:after="0"/>
        <w:ind w:firstLine="567"/>
        <w:jc w:val="both"/>
        <w:outlineLvl w:val="0"/>
        <w:rPr>
          <w:rFonts w:ascii="Times New Roman" w:hAnsi="Times New Roman" w:cs="Times New Roman"/>
        </w:rPr>
      </w:pPr>
      <w:r>
        <w:rPr>
          <w:rFonts w:ascii="Times New Roman" w:eastAsia="Times New Roman" w:hAnsi="Times New Roman" w:cs="Times New Roman"/>
          <w:bCs/>
          <w:kern w:val="2"/>
          <w:sz w:val="24"/>
          <w:szCs w:val="24"/>
          <w:u w:val="single"/>
        </w:rPr>
        <w:t>Екстремальні опади та підтоплення внаслідок злив</w:t>
      </w:r>
    </w:p>
    <w:p w:rsidR="00D227E2" w:rsidRDefault="00934FC4">
      <w:pPr>
        <w:spacing w:after="0"/>
        <w:ind w:firstLine="567"/>
        <w:jc w:val="both"/>
        <w:outlineLvl w:val="0"/>
        <w:rPr>
          <w:rFonts w:ascii="Times New Roman" w:hAnsi="Times New Roman" w:cs="Times New Roman"/>
        </w:rPr>
      </w:pPr>
      <w:r>
        <w:rPr>
          <w:rFonts w:ascii="Times New Roman" w:eastAsia="Times New Roman" w:hAnsi="Times New Roman" w:cs="Times New Roman"/>
          <w:bCs/>
          <w:kern w:val="2"/>
          <w:sz w:val="24"/>
          <w:szCs w:val="24"/>
        </w:rPr>
        <w:t>1. Екстремальні зливи</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Відповідно до даних Волинського ЦГМ середня кількість опадів в рік у Луцькій МТГ за останні десятиліття дещо збільшилась та в середньому складає 606 мм. </w:t>
      </w:r>
      <w:r>
        <w:rPr>
          <w:rFonts w:ascii="Times New Roman" w:eastAsia="NSimSun" w:hAnsi="Times New Roman" w:cs="Times New Roman"/>
          <w:color w:val="000000"/>
          <w:kern w:val="2"/>
          <w:sz w:val="24"/>
          <w:szCs w:val="24"/>
          <w:lang w:eastAsia="zh-CN" w:bidi="hi-IN"/>
        </w:rPr>
        <w:t>Кількість опадів стабільно зростає з 2000 до 2010 року, у 2011 році відбулося різке падіння із-за посушливої погоди, в наступні роки трималася у діапазоні від 500 до 800 мм/рік (рисунок 51).</w:t>
      </w:r>
    </w:p>
    <w:p w:rsidR="00D227E2" w:rsidRDefault="00934FC4">
      <w:pPr>
        <w:spacing w:after="0"/>
        <w:ind w:firstLine="567"/>
        <w:jc w:val="both"/>
        <w:rPr>
          <w:rFonts w:ascii="Times New Roman" w:eastAsia="NSimSun" w:hAnsi="Times New Roman" w:cs="Times New Roman"/>
          <w:kern w:val="2"/>
          <w:sz w:val="24"/>
          <w:szCs w:val="24"/>
          <w:lang w:eastAsia="zh-CN" w:bidi="hi-IN"/>
        </w:rPr>
      </w:pPr>
      <w:r>
        <w:rPr>
          <w:rFonts w:ascii="Times New Roman" w:eastAsia="NSimSun" w:hAnsi="Times New Roman" w:cs="Times New Roman"/>
          <w:noProof/>
          <w:kern w:val="2"/>
          <w:sz w:val="24"/>
          <w:szCs w:val="24"/>
          <w:lang w:eastAsia="uk-UA"/>
        </w:rPr>
        <w:drawing>
          <wp:anchor distT="0" distB="0" distL="0" distR="0" simplePos="0" relativeHeight="20" behindDoc="0" locked="0" layoutInCell="0" allowOverlap="1" wp14:anchorId="00903501" wp14:editId="374E1E8D">
            <wp:simplePos x="0" y="0"/>
            <wp:positionH relativeFrom="column">
              <wp:posOffset>1539240</wp:posOffset>
            </wp:positionH>
            <wp:positionV relativeFrom="paragraph">
              <wp:posOffset>12065</wp:posOffset>
            </wp:positionV>
            <wp:extent cx="3810000" cy="1990725"/>
            <wp:effectExtent l="0" t="0" r="0" b="0"/>
            <wp:wrapSquare wrapText="largest"/>
            <wp:docPr id="72" name="Об'єкт39" descr="діаграма"/>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14:sizeRelH relativeFrom="margin">
              <wp14:pctWidth>0</wp14:pctWidth>
            </wp14:sizeRelH>
            <wp14:sizeRelV relativeFrom="margin">
              <wp14:pctHeight>0</wp14:pctHeight>
            </wp14:sizeRelV>
          </wp:anchor>
        </w:drawing>
      </w: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center"/>
        <w:rPr>
          <w:rFonts w:ascii="Times New Roman" w:hAnsi="Times New Roman" w:cs="Times New Roman"/>
        </w:rPr>
      </w:pPr>
    </w:p>
    <w:p w:rsidR="00D227E2" w:rsidRDefault="00D227E2">
      <w:pPr>
        <w:spacing w:after="0"/>
        <w:ind w:firstLine="567"/>
        <w:jc w:val="center"/>
        <w:rPr>
          <w:rFonts w:ascii="Times New Roman" w:hAnsi="Times New Roman" w:cs="Times New Roman"/>
        </w:rPr>
      </w:pPr>
    </w:p>
    <w:p w:rsidR="00D227E2" w:rsidRDefault="00D227E2">
      <w:pPr>
        <w:spacing w:after="0"/>
        <w:ind w:firstLine="567"/>
        <w:jc w:val="center"/>
        <w:rPr>
          <w:rFonts w:ascii="Times New Roman" w:hAnsi="Times New Roman" w:cs="Times New Roman"/>
        </w:rPr>
      </w:pPr>
    </w:p>
    <w:p w:rsidR="00D227E2" w:rsidRDefault="00D227E2">
      <w:pPr>
        <w:spacing w:after="0"/>
        <w:ind w:firstLine="567"/>
        <w:jc w:val="center"/>
        <w:rPr>
          <w:rFonts w:ascii="Times New Roman" w:hAnsi="Times New Roman" w:cs="Times New Roman"/>
        </w:rPr>
      </w:pPr>
    </w:p>
    <w:p w:rsidR="00D227E2" w:rsidRDefault="00D227E2">
      <w:pPr>
        <w:spacing w:after="0"/>
        <w:ind w:firstLine="567"/>
        <w:jc w:val="center"/>
        <w:rPr>
          <w:rFonts w:ascii="Times New Roman" w:eastAsia="NSimSun" w:hAnsi="Times New Roman" w:cs="Times New Roman"/>
          <w:kern w:val="2"/>
          <w:sz w:val="24"/>
          <w:szCs w:val="24"/>
          <w:lang w:eastAsia="zh-CN" w:bidi="hi-IN"/>
        </w:rPr>
      </w:pPr>
    </w:p>
    <w:p w:rsidR="00D227E2" w:rsidRDefault="00934FC4">
      <w:pPr>
        <w:spacing w:after="0"/>
        <w:ind w:firstLine="567"/>
        <w:jc w:val="center"/>
        <w:rPr>
          <w:rFonts w:ascii="Times New Roman" w:hAnsi="Times New Roman" w:cs="Times New Roman"/>
        </w:rPr>
      </w:pPr>
      <w:r>
        <w:rPr>
          <w:rFonts w:ascii="Times New Roman" w:eastAsia="NSimSun" w:hAnsi="Times New Roman" w:cs="Times New Roman"/>
          <w:kern w:val="2"/>
          <w:sz w:val="24"/>
          <w:szCs w:val="24"/>
          <w:lang w:eastAsia="zh-CN" w:bidi="hi-IN"/>
        </w:rPr>
        <w:t>Рисунок 51. Середньорічна кількість опадів, зафіксована на метеостанції Луцьк, у період з 2000 по 2022 роки</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lastRenderedPageBreak/>
        <w:t>Середньорічна кількість опадів за останні роки дещо збільшилась та в середньому складає 606 мм. Якщо проаналізувати дані в розрізі років, то середньорічні показники коливаються приблизно межах 469-815 мм. (див. додаток 3).</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Відчутно частіше проходять зливні дощі та грози з градом, що випадають із купчасто-дощових хмар. Вони нетривалі, але можуть бути дуже інтенсивними та мати локальний характер.</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Підвищення температури повітря та нерівномірний розподіл опадів, що мають зливовий характер у теплий період і не забезпечують ефективне накопичення вологи в ґрунті, спричиняють повторюваність та зростання інтенсивності посухи та недостатнього зволоження ґрунтів.</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За даними Волинського ЦГМ суттєвого збільшення частоти стихійних метеорологічних явищ (СМЯ) на території області не спостерігається, однак були випадки дуже сильних дощів та злив у 2013 та 2014 роках (таблиця 81). Також за останні роки фіксуються суховії.</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Таблиця 81. Випадки стихійних метеорологічних явищ на території м. Луцьк за період з 2000 по 2022 роки</w:t>
      </w:r>
    </w:p>
    <w:tbl>
      <w:tblPr>
        <w:tblW w:w="9573" w:type="dxa"/>
        <w:tblInd w:w="174" w:type="dxa"/>
        <w:tblLayout w:type="fixed"/>
        <w:tblLook w:val="0000" w:firstRow="0" w:lastRow="0" w:firstColumn="0" w:lastColumn="0" w:noHBand="0" w:noVBand="0"/>
      </w:tblPr>
      <w:tblGrid>
        <w:gridCol w:w="1457"/>
        <w:gridCol w:w="3856"/>
        <w:gridCol w:w="4260"/>
      </w:tblGrid>
      <w:tr w:rsidR="00D227E2">
        <w:tc>
          <w:tcPr>
            <w:tcW w:w="145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Рік</w:t>
            </w:r>
          </w:p>
        </w:tc>
        <w:tc>
          <w:tcPr>
            <w:tcW w:w="385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Дуже сильний дощ (СМЯ)</w:t>
            </w:r>
          </w:p>
        </w:tc>
        <w:tc>
          <w:tcPr>
            <w:tcW w:w="42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Суховій</w:t>
            </w:r>
          </w:p>
        </w:tc>
      </w:tr>
      <w:tr w:rsidR="00D227E2">
        <w:tc>
          <w:tcPr>
            <w:tcW w:w="145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2000</w:t>
            </w:r>
          </w:p>
        </w:tc>
        <w:tc>
          <w:tcPr>
            <w:tcW w:w="385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napToGrid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w:t>
            </w:r>
          </w:p>
        </w:tc>
        <w:tc>
          <w:tcPr>
            <w:tcW w:w="42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w:t>
            </w:r>
          </w:p>
        </w:tc>
      </w:tr>
      <w:tr w:rsidR="00D227E2">
        <w:tc>
          <w:tcPr>
            <w:tcW w:w="145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2001</w:t>
            </w:r>
          </w:p>
        </w:tc>
        <w:tc>
          <w:tcPr>
            <w:tcW w:w="385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napToGrid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w:t>
            </w:r>
          </w:p>
        </w:tc>
        <w:tc>
          <w:tcPr>
            <w:tcW w:w="42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0</w:t>
            </w:r>
          </w:p>
        </w:tc>
      </w:tr>
      <w:tr w:rsidR="00D227E2">
        <w:tc>
          <w:tcPr>
            <w:tcW w:w="145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2002</w:t>
            </w:r>
          </w:p>
        </w:tc>
        <w:tc>
          <w:tcPr>
            <w:tcW w:w="385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napToGrid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w:t>
            </w:r>
          </w:p>
        </w:tc>
        <w:tc>
          <w:tcPr>
            <w:tcW w:w="42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8</w:t>
            </w:r>
          </w:p>
        </w:tc>
      </w:tr>
      <w:tr w:rsidR="00D227E2">
        <w:tc>
          <w:tcPr>
            <w:tcW w:w="145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2003</w:t>
            </w:r>
          </w:p>
        </w:tc>
        <w:tc>
          <w:tcPr>
            <w:tcW w:w="385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napToGrid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w:t>
            </w:r>
          </w:p>
        </w:tc>
        <w:tc>
          <w:tcPr>
            <w:tcW w:w="42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4</w:t>
            </w:r>
          </w:p>
        </w:tc>
      </w:tr>
      <w:tr w:rsidR="00D227E2">
        <w:tc>
          <w:tcPr>
            <w:tcW w:w="145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2004</w:t>
            </w:r>
          </w:p>
        </w:tc>
        <w:tc>
          <w:tcPr>
            <w:tcW w:w="385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napToGrid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w:t>
            </w:r>
          </w:p>
        </w:tc>
        <w:tc>
          <w:tcPr>
            <w:tcW w:w="42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1</w:t>
            </w:r>
          </w:p>
        </w:tc>
      </w:tr>
      <w:tr w:rsidR="00D227E2">
        <w:tc>
          <w:tcPr>
            <w:tcW w:w="145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2005</w:t>
            </w:r>
          </w:p>
        </w:tc>
        <w:tc>
          <w:tcPr>
            <w:tcW w:w="385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napToGrid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w:t>
            </w:r>
          </w:p>
        </w:tc>
        <w:tc>
          <w:tcPr>
            <w:tcW w:w="42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0</w:t>
            </w:r>
          </w:p>
        </w:tc>
      </w:tr>
      <w:tr w:rsidR="00D227E2">
        <w:tc>
          <w:tcPr>
            <w:tcW w:w="145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2006</w:t>
            </w:r>
          </w:p>
        </w:tc>
        <w:tc>
          <w:tcPr>
            <w:tcW w:w="385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napToGrid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w:t>
            </w:r>
          </w:p>
        </w:tc>
        <w:tc>
          <w:tcPr>
            <w:tcW w:w="42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6</w:t>
            </w:r>
          </w:p>
        </w:tc>
      </w:tr>
      <w:tr w:rsidR="00D227E2">
        <w:tc>
          <w:tcPr>
            <w:tcW w:w="145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2007</w:t>
            </w:r>
          </w:p>
        </w:tc>
        <w:tc>
          <w:tcPr>
            <w:tcW w:w="385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napToGrid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w:t>
            </w:r>
          </w:p>
        </w:tc>
        <w:tc>
          <w:tcPr>
            <w:tcW w:w="42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4</w:t>
            </w:r>
          </w:p>
        </w:tc>
      </w:tr>
      <w:tr w:rsidR="00D227E2">
        <w:tc>
          <w:tcPr>
            <w:tcW w:w="145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2008</w:t>
            </w:r>
          </w:p>
        </w:tc>
        <w:tc>
          <w:tcPr>
            <w:tcW w:w="385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napToGrid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w:t>
            </w:r>
          </w:p>
        </w:tc>
        <w:tc>
          <w:tcPr>
            <w:tcW w:w="42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4</w:t>
            </w:r>
          </w:p>
        </w:tc>
      </w:tr>
      <w:tr w:rsidR="00D227E2">
        <w:tc>
          <w:tcPr>
            <w:tcW w:w="145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2009</w:t>
            </w:r>
          </w:p>
        </w:tc>
        <w:tc>
          <w:tcPr>
            <w:tcW w:w="385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napToGrid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w:t>
            </w:r>
          </w:p>
        </w:tc>
        <w:tc>
          <w:tcPr>
            <w:tcW w:w="42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4</w:t>
            </w:r>
          </w:p>
        </w:tc>
      </w:tr>
      <w:tr w:rsidR="00D227E2">
        <w:tc>
          <w:tcPr>
            <w:tcW w:w="145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2010</w:t>
            </w:r>
          </w:p>
        </w:tc>
        <w:tc>
          <w:tcPr>
            <w:tcW w:w="385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napToGrid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w:t>
            </w:r>
          </w:p>
        </w:tc>
        <w:tc>
          <w:tcPr>
            <w:tcW w:w="42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0</w:t>
            </w:r>
          </w:p>
        </w:tc>
      </w:tr>
      <w:tr w:rsidR="00D227E2">
        <w:tc>
          <w:tcPr>
            <w:tcW w:w="145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2011</w:t>
            </w:r>
          </w:p>
        </w:tc>
        <w:tc>
          <w:tcPr>
            <w:tcW w:w="385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napToGrid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w:t>
            </w:r>
          </w:p>
        </w:tc>
        <w:tc>
          <w:tcPr>
            <w:tcW w:w="42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10</w:t>
            </w:r>
          </w:p>
        </w:tc>
      </w:tr>
      <w:tr w:rsidR="00D227E2">
        <w:tc>
          <w:tcPr>
            <w:tcW w:w="145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2012</w:t>
            </w:r>
          </w:p>
        </w:tc>
        <w:tc>
          <w:tcPr>
            <w:tcW w:w="385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napToGrid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w:t>
            </w:r>
          </w:p>
        </w:tc>
        <w:tc>
          <w:tcPr>
            <w:tcW w:w="42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4</w:t>
            </w:r>
          </w:p>
        </w:tc>
      </w:tr>
      <w:tr w:rsidR="00D227E2">
        <w:tc>
          <w:tcPr>
            <w:tcW w:w="145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2013</w:t>
            </w:r>
          </w:p>
        </w:tc>
        <w:tc>
          <w:tcPr>
            <w:tcW w:w="385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1 (122 мм)</w:t>
            </w:r>
          </w:p>
        </w:tc>
        <w:tc>
          <w:tcPr>
            <w:tcW w:w="42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6</w:t>
            </w:r>
          </w:p>
        </w:tc>
      </w:tr>
      <w:tr w:rsidR="00D227E2">
        <w:tc>
          <w:tcPr>
            <w:tcW w:w="145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2014</w:t>
            </w:r>
          </w:p>
        </w:tc>
        <w:tc>
          <w:tcPr>
            <w:tcW w:w="385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1 (64 мм)</w:t>
            </w:r>
          </w:p>
        </w:tc>
        <w:tc>
          <w:tcPr>
            <w:tcW w:w="42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4</w:t>
            </w:r>
          </w:p>
        </w:tc>
      </w:tr>
      <w:tr w:rsidR="00D227E2">
        <w:tc>
          <w:tcPr>
            <w:tcW w:w="145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2015</w:t>
            </w:r>
          </w:p>
        </w:tc>
        <w:tc>
          <w:tcPr>
            <w:tcW w:w="385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napToGrid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w:t>
            </w:r>
          </w:p>
        </w:tc>
        <w:tc>
          <w:tcPr>
            <w:tcW w:w="42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16</w:t>
            </w:r>
          </w:p>
        </w:tc>
      </w:tr>
      <w:tr w:rsidR="00D227E2">
        <w:tc>
          <w:tcPr>
            <w:tcW w:w="145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2016</w:t>
            </w:r>
          </w:p>
        </w:tc>
        <w:tc>
          <w:tcPr>
            <w:tcW w:w="385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napToGrid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w:t>
            </w:r>
          </w:p>
        </w:tc>
        <w:tc>
          <w:tcPr>
            <w:tcW w:w="42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5</w:t>
            </w:r>
          </w:p>
        </w:tc>
      </w:tr>
      <w:tr w:rsidR="00D227E2">
        <w:tc>
          <w:tcPr>
            <w:tcW w:w="145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2017</w:t>
            </w:r>
          </w:p>
        </w:tc>
        <w:tc>
          <w:tcPr>
            <w:tcW w:w="385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napToGrid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w:t>
            </w:r>
          </w:p>
        </w:tc>
        <w:tc>
          <w:tcPr>
            <w:tcW w:w="42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3</w:t>
            </w:r>
          </w:p>
        </w:tc>
      </w:tr>
      <w:tr w:rsidR="00D227E2">
        <w:tc>
          <w:tcPr>
            <w:tcW w:w="145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2018</w:t>
            </w:r>
          </w:p>
        </w:tc>
        <w:tc>
          <w:tcPr>
            <w:tcW w:w="385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napToGrid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w:t>
            </w:r>
          </w:p>
        </w:tc>
        <w:tc>
          <w:tcPr>
            <w:tcW w:w="42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12</w:t>
            </w:r>
          </w:p>
        </w:tc>
      </w:tr>
      <w:tr w:rsidR="00D227E2">
        <w:tc>
          <w:tcPr>
            <w:tcW w:w="145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2019</w:t>
            </w:r>
          </w:p>
        </w:tc>
        <w:tc>
          <w:tcPr>
            <w:tcW w:w="385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napToGrid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w:t>
            </w:r>
          </w:p>
        </w:tc>
        <w:tc>
          <w:tcPr>
            <w:tcW w:w="42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4</w:t>
            </w:r>
          </w:p>
        </w:tc>
      </w:tr>
      <w:tr w:rsidR="00D227E2">
        <w:tc>
          <w:tcPr>
            <w:tcW w:w="145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2020</w:t>
            </w:r>
          </w:p>
        </w:tc>
        <w:tc>
          <w:tcPr>
            <w:tcW w:w="385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napToGrid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w:t>
            </w:r>
          </w:p>
        </w:tc>
        <w:tc>
          <w:tcPr>
            <w:tcW w:w="42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1</w:t>
            </w:r>
          </w:p>
        </w:tc>
      </w:tr>
      <w:tr w:rsidR="00D227E2">
        <w:tc>
          <w:tcPr>
            <w:tcW w:w="145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2021</w:t>
            </w:r>
          </w:p>
        </w:tc>
        <w:tc>
          <w:tcPr>
            <w:tcW w:w="385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napToGrid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w:t>
            </w:r>
          </w:p>
        </w:tc>
        <w:tc>
          <w:tcPr>
            <w:tcW w:w="42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1</w:t>
            </w:r>
          </w:p>
        </w:tc>
      </w:tr>
      <w:tr w:rsidR="00D227E2">
        <w:tc>
          <w:tcPr>
            <w:tcW w:w="145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2022</w:t>
            </w:r>
          </w:p>
        </w:tc>
        <w:tc>
          <w:tcPr>
            <w:tcW w:w="385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napToGrid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w:t>
            </w:r>
          </w:p>
        </w:tc>
        <w:tc>
          <w:tcPr>
            <w:tcW w:w="4260"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jc w:val="center"/>
              <w:rPr>
                <w:rFonts w:ascii="Times New Roman" w:hAnsi="Times New Roman" w:cs="Times New Roman"/>
              </w:rPr>
            </w:pPr>
            <w:r>
              <w:rPr>
                <w:rFonts w:ascii="Times New Roman" w:eastAsia="NSimSun" w:hAnsi="Times New Roman" w:cs="Times New Roman"/>
                <w:kern w:val="2"/>
                <w:lang w:eastAsia="zh-CN" w:bidi="hi-IN"/>
              </w:rPr>
              <w:t>5</w:t>
            </w:r>
          </w:p>
        </w:tc>
      </w:tr>
    </w:tbl>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Мешканці громади під час опитування також відзначили, що більш часто стали спостерігати підтоплення після злив.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Інтенсивні опади передусім впливають на роботу міської системи водовідведення, загальна протяжність якої складає 226,2 км. </w:t>
      </w:r>
    </w:p>
    <w:p w:rsidR="00D227E2" w:rsidRDefault="00934FC4">
      <w:pPr>
        <w:spacing w:after="0"/>
        <w:ind w:firstLine="567"/>
        <w:jc w:val="both"/>
        <w:rPr>
          <w:rFonts w:ascii="Times New Roman" w:eastAsia="NSimSun" w:hAnsi="Times New Roman" w:cs="Times New Roman"/>
          <w:color w:val="000000"/>
          <w:kern w:val="2"/>
          <w:sz w:val="24"/>
          <w:szCs w:val="24"/>
          <w:shd w:val="clear" w:color="auto" w:fill="FFFFFF"/>
          <w:lang w:eastAsia="zh-CN" w:bidi="hi-IN"/>
        </w:rPr>
      </w:pPr>
      <w:r>
        <w:rPr>
          <w:rFonts w:ascii="Times New Roman" w:eastAsia="Times New Roman" w:hAnsi="Times New Roman" w:cs="Times New Roman"/>
          <w:color w:val="000000"/>
          <w:kern w:val="2"/>
          <w:sz w:val="24"/>
          <w:szCs w:val="24"/>
          <w:shd w:val="clear" w:color="auto" w:fill="FFFFFF"/>
          <w:lang w:eastAsia="de-DE" w:bidi="hi-IN"/>
        </w:rPr>
        <w:t xml:space="preserve">За інформацією </w:t>
      </w:r>
      <w:r>
        <w:rPr>
          <w:rFonts w:ascii="Times New Roman" w:eastAsia="NSimSun" w:hAnsi="Times New Roman" w:cs="Times New Roman"/>
          <w:color w:val="000000"/>
          <w:kern w:val="2"/>
          <w:sz w:val="24"/>
          <w:szCs w:val="24"/>
          <w:shd w:val="clear" w:color="auto" w:fill="FFFFFF"/>
          <w:lang w:eastAsia="zh-CN" w:bidi="hi-IN"/>
        </w:rPr>
        <w:t>ГУ ДСНС України у Волинській області (лист від 13.09.2023 № 4803-4527/4818) протягом 2007-2022 років зафіксовано 4 надзвичайні ситуації у 2013 році, пов’язані із наслідками несприятливих погодних умов (сильного снігопаду, хуртовини, пориву вітру до 20 м/с, снігових заметів, випаданням опадів у вигляді дощу, сильними зливами і т.д.).</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lastRenderedPageBreak/>
        <w:t>Під час розроблення заходів з адаптації до змін клімату важливо передбачити збільшення навантаження на систему водовідведення, через зростання щільної багатоквартирної забудови міста та навколишніх старостинських округів, які користуються системою централізованого водовідведення та врахувати ймовірність збільшення екстремальних опадів у літній період.</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В цілому можна зробити висновок, що ймовірність ризиків екстремальних злив є високими із високим впливом. В подальшому прогнозується зростання інтенсивності зі зростанням частоти проявів.</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2. Екстремальні снігопади</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Випадання снігу в останні десятиріччя зменшилося, але такі опади набули більш стихійного характеру (за добу може випасти понад 20 см снігу). Такі снігопади ускладнюють рух на автошляхах, спричиняють налипання снігу на проводи електромережі, утворення великого снігового покрову на покрівлях будинків тощо.</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В майбутньому ймовірність ризиків екстремальних снігопадів є високими із помірним впливом. Прогнозується зменшення інтенсивності зі зменшенням частоти проявів.</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3. Град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Незважаючи на те, що відповідно до інформації Волинського ЦГМ випадки випадання граду не були зафіксовані, фактичні спостереження вказують, що кожного року трапляється 2-3 локальних випадки випадання граду (розмір до 1,2 см). Причому найбільшої шкоди при цьому зазнають сільські території через часткову втрату врожаю.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Висновок: ймовірність випадіння граду в майбутніх періодах є помірним із високим впливом. В подальшому прогнозується зростання інтенсивності зі зростанням частоти проявів.</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u w:val="single"/>
          <w:lang w:eastAsia="zh-CN" w:bidi="hi-IN"/>
        </w:rPr>
        <w:t>Повені та підвищення рівня води</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1. Річкові повені</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В адміністративно-територіальних межах Луцької МТГ протікають річка Стир (основними притоками річки є: праві (р. Конопелька (поза межами міста), р. Сапалаївка), ліві (р. Чорногузка, р. Омеляник, струмки Жидувка та Зміїнець)).  Три малі річки: Сапалаївка (довжинa – 12,4 км),  Омеляник (12,6 км) та Жидувка (4 км) протікають у межах Луцька.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Загальна площа водоохоронних зон річок, що протікають територією Луцька, становить 450 га. Площа водних об'єктів міста – понад 100 га.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 На рисунку 52 можна побачити зони підтоплень у Луцьку та прилеглих територіях.</w:t>
      </w:r>
    </w:p>
    <w:p w:rsidR="00D227E2" w:rsidRDefault="00934FC4">
      <w:pPr>
        <w:spacing w:after="0"/>
        <w:ind w:firstLine="567"/>
        <w:jc w:val="center"/>
        <w:rPr>
          <w:rFonts w:ascii="Times New Roman" w:hAnsi="Times New Roman" w:cs="Times New Roman"/>
        </w:rPr>
      </w:pPr>
      <w:r>
        <w:rPr>
          <w:noProof/>
          <w:lang w:eastAsia="uk-UA"/>
        </w:rPr>
        <w:lastRenderedPageBreak/>
        <mc:AlternateContent>
          <mc:Choice Requires="wps">
            <w:drawing>
              <wp:anchor distT="0" distB="25400" distL="0" distR="19050" simplePos="0" relativeHeight="42" behindDoc="1" locked="0" layoutInCell="0" allowOverlap="1" wp14:anchorId="18A7922D" wp14:editId="6F9F7959">
                <wp:simplePos x="0" y="0"/>
                <wp:positionH relativeFrom="column">
                  <wp:posOffset>-26035</wp:posOffset>
                </wp:positionH>
                <wp:positionV relativeFrom="paragraph">
                  <wp:posOffset>49530</wp:posOffset>
                </wp:positionV>
                <wp:extent cx="6172200" cy="3797300"/>
                <wp:effectExtent l="0" t="0" r="0" b="0"/>
                <wp:wrapTight wrapText="bothSides">
                  <wp:wrapPolygon edited="0">
                    <wp:start x="0" y="0"/>
                    <wp:lineTo x="0" y="21456"/>
                    <wp:lineTo x="21533" y="21456"/>
                    <wp:lineTo x="21533" y="0"/>
                    <wp:lineTo x="0" y="0"/>
                  </wp:wrapPolygon>
                </wp:wrapTight>
                <wp:docPr id="73" name="Рисунок 24"/>
                <wp:cNvGraphicFramePr/>
                <a:graphic xmlns:a="http://schemas.openxmlformats.org/drawingml/2006/main">
                  <a:graphicData uri="http://schemas.openxmlformats.org/drawingml/2006/picture">
                    <pic:pic xmlns:pic="http://schemas.openxmlformats.org/drawingml/2006/picture">
                      <pic:nvPicPr>
                        <pic:cNvPr id="74" name="Рисунок 24"/>
                        <pic:cNvPicPr/>
                      </pic:nvPicPr>
                      <pic:blipFill>
                        <a:blip r:embed="rId115">
                          <a:extLst>
                            <a:ext uri="{BEBA8EAE-BF5A-486C-A8C5-ECC9F3942E4B}">
                              <a14:imgProps xmlns:a14="http://schemas.microsoft.com/office/drawing/2010/main">
                                <a14:imgLayer r:embed="rId116">
                                  <a14:imgEffect>
                                    <a14:sharpenSoften amount="50000"/>
                                  </a14:imgEffect>
                                </a14:imgLayer>
                              </a14:imgProps>
                            </a:ext>
                          </a:extLst>
                        </a:blip>
                        <a:stretch/>
                      </pic:blipFill>
                      <pic:spPr>
                        <a:xfrm>
                          <a:off x="0" y="0"/>
                          <a:ext cx="6172200" cy="3797280"/>
                        </a:xfrm>
                        <a:prstGeom prst="rect">
                          <a:avLst/>
                        </a:prstGeom>
                        <a:ln w="0">
                          <a:noFill/>
                        </a:ln>
                      </pic:spPr>
                    </pic:pic>
                  </a:graphicData>
                </a:graphic>
              </wp:anchor>
            </w:drawing>
          </mc:Choice>
          <mc:Fallback xmlns:w15="http://schemas.microsoft.com/office/word/2012/wordml">
            <w:pict>
              <v:shape id="shape_0" ID="Рисунок 24" stroked="f" o:allowincell="f" style="position:absolute;margin-left:-2.05pt;margin-top:3.9pt;width:485.95pt;height:298.95pt;mso-wrap-style:none;v-text-anchor:middle" wp14:anchorId="423DAA7A" type="_x0000_t75">
                <v:imagedata r:id="rId117" o:detectmouseclick="t"/>
                <v:stroke color="#3465a4" joinstyle="round" endcap="flat"/>
                <w10:wrap type="square"/>
              </v:shape>
            </w:pict>
          </mc:Fallback>
        </mc:AlternateContent>
      </w:r>
      <w:r>
        <w:rPr>
          <w:rFonts w:ascii="Times New Roman" w:eastAsia="NSimSun" w:hAnsi="Times New Roman" w:cs="Times New Roman"/>
          <w:kern w:val="2"/>
          <w:sz w:val="24"/>
          <w:szCs w:val="24"/>
          <w:lang w:eastAsia="zh-CN" w:bidi="hi-IN"/>
        </w:rPr>
        <w:t xml:space="preserve">Рисунок 52. Зони підтоплень у Луцьку та навколишніх громадах </w:t>
      </w:r>
      <w:r>
        <w:rPr>
          <w:rFonts w:ascii="Symbol" w:eastAsia="Symbol" w:hAnsi="Symbol" w:cs="Symbol"/>
          <w:color w:val="000000"/>
          <w:kern w:val="2"/>
          <w:sz w:val="24"/>
          <w:szCs w:val="24"/>
          <w:shd w:val="clear" w:color="auto" w:fill="FFFFFF"/>
          <w:lang w:eastAsia="zh-CN" w:bidi="hi-IN"/>
        </w:rPr>
        <w:sym w:font="Symbol" w:char="F05B"/>
      </w:r>
      <w:r>
        <w:rPr>
          <w:rFonts w:ascii="Times New Roman" w:eastAsia="NSimSun" w:hAnsi="Times New Roman" w:cs="Times New Roman"/>
          <w:color w:val="000000"/>
          <w:kern w:val="2"/>
          <w:sz w:val="24"/>
          <w:szCs w:val="24"/>
          <w:shd w:val="clear" w:color="auto" w:fill="FFFFFF"/>
          <w:lang w:eastAsia="zh-CN" w:bidi="hi-IN"/>
        </w:rPr>
        <w:t>10</w:t>
      </w:r>
      <w:r>
        <w:rPr>
          <w:rFonts w:ascii="Symbol" w:eastAsia="Symbol" w:hAnsi="Symbol" w:cs="Symbol"/>
          <w:color w:val="000000"/>
          <w:kern w:val="2"/>
          <w:sz w:val="24"/>
          <w:szCs w:val="24"/>
          <w:shd w:val="clear" w:color="auto" w:fill="FFFFFF"/>
          <w:lang w:eastAsia="zh-CN" w:bidi="hi-IN"/>
        </w:rPr>
        <w:sym w:font="Symbol" w:char="F05D"/>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Загальний напрям річки північно/північно-східний. Середній спад водної поверхні 0,27 ‰.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Річний хід рівня води характеризується високим весняним повноводдям, низкою літньо-осінньою меженню, майже щорічно порушеною дощовими паводками і малостійкою, через відлиги, зимовою меженню. Підйом рівня води навесні починається звичайно в першій половині березня, в окремі роки в лютому або квітні; його середня інтенсивність 0,2-0,5 м/добу, максимальна 1,0 м/добу.</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Найвищий рівень спостерігається найчастіше в другій половині березня, висота його при звичайному весняному повноводді становить: 0,3-2,5 м у верхній течії, 2,0-2,8 м у середній і 1,5-2,3 м у нижній; при винятково високому повноводді відповідно: 0,5-3,8; 3,2-4,8 і 2,0-3,3 м. Зменшення висоти весняного повноводдя в нижній течії пояснюється наявністю досить широкої заболоченої заплави. Строки встановлення літньої межені коливаються в значних межах від кінця квітня (у верхів'ї) до липня (у низов'ї). Триває межень до жовтня-листопада. Найнижчі рівні спостерігаються найчастіше в червні-липні, рідше в листопаді у верхній течії та у серпні-вересні в нижній. Майже щорічно по річці проходить кілька дощових паводків, заввишки 0,4-1,6 м.</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Відзначаються також осінні й зимові підйоми рівня води. Перші викликаються дощами, другі відлигами, висота їх досягає іноді 2,0-2,6 м. Найнижчі зимові рівні бувають найчастіше наприкінці грудня або в січні.</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Середня річна витрата води в м. Луцьку (за 1923, 1941, 1943-1949 рр.) становила 29,8 м³/сек, що відповідає модулю стоку 4,0 дм³/сек з 1 км². Середній багаторічний модуль стоку в м. Луцьку дорівнює 4,00 дм³/сек з 1 км².</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Замерзання річки починається зазвичай наприкінці листопада, початку грудня. Льодостав встановлюється в грудні, іноді на початку січня або навіть у лютому. Скресання </w:t>
      </w:r>
      <w:r>
        <w:rPr>
          <w:rFonts w:ascii="Times New Roman" w:eastAsia="NSimSun" w:hAnsi="Times New Roman" w:cs="Times New Roman"/>
          <w:kern w:val="2"/>
          <w:sz w:val="24"/>
          <w:szCs w:val="24"/>
          <w:lang w:eastAsia="zh-CN" w:bidi="hi-IN"/>
        </w:rPr>
        <w:lastRenderedPageBreak/>
        <w:t>відбувається в середині березня, йому передує поява вимоїн. Весняний льодохід буває майже щорічно; він триває від 2-3 до 10 днів, супроводжуючись короткочасними заторами криги біля мостів і на поворотах річки. Наприкінці березня, початку квітня річка повністю очищається від криги.</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Річка частково використовується для потреб сільського господарства та водопостачання Луцька, а також є приймачем стічних вод.</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Екологічну ємність водного середовища забезпечують добре розвинута лугово-болотна заплава, а також фітомаса вищої водної рослинності.</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Останніми десятиліттями кількість води в річці знижується, і однією з причин такого зниження є зміна клімату.</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На рисунку 53 можна побачити території, затоплювані паводковими водами та з підвищеним рівнем залягання </w:t>
      </w:r>
      <w:r>
        <w:rPr>
          <w:rStyle w:val="a8"/>
          <w:rFonts w:ascii="Times New Roman" w:hAnsi="Times New Roman" w:cs="Times New Roman"/>
          <w:bCs/>
          <w:i w:val="0"/>
          <w:iCs w:val="0"/>
          <w:sz w:val="24"/>
          <w:szCs w:val="24"/>
          <w:shd w:val="clear" w:color="auto" w:fill="FFFFFF"/>
        </w:rPr>
        <w:t>ґ</w:t>
      </w:r>
      <w:r>
        <w:rPr>
          <w:rFonts w:ascii="Times New Roman" w:eastAsia="NSimSun" w:hAnsi="Times New Roman" w:cs="Times New Roman"/>
          <w:kern w:val="2"/>
          <w:sz w:val="24"/>
          <w:szCs w:val="24"/>
          <w:lang w:eastAsia="zh-CN" w:bidi="hi-IN"/>
        </w:rPr>
        <w:t xml:space="preserve">рунтових вод в між паводковий період.  </w:t>
      </w:r>
    </w:p>
    <w:p w:rsidR="00D227E2" w:rsidRDefault="00934FC4">
      <w:pPr>
        <w:spacing w:after="0"/>
        <w:ind w:firstLine="567"/>
        <w:jc w:val="both"/>
        <w:rPr>
          <w:rFonts w:ascii="Times New Roman" w:hAnsi="Times New Roman" w:cs="Times New Roman"/>
        </w:rPr>
      </w:pPr>
      <w:r>
        <w:rPr>
          <w:noProof/>
          <w:lang w:eastAsia="uk-UA"/>
        </w:rPr>
        <w:drawing>
          <wp:anchor distT="0" distB="0" distL="0" distR="0" simplePos="0" relativeHeight="40" behindDoc="1" locked="0" layoutInCell="0" allowOverlap="1" wp14:anchorId="53FF4397" wp14:editId="02D0E63B">
            <wp:simplePos x="0" y="0"/>
            <wp:positionH relativeFrom="page">
              <wp:posOffset>-4325620</wp:posOffset>
            </wp:positionH>
            <wp:positionV relativeFrom="page">
              <wp:posOffset>-4712335</wp:posOffset>
            </wp:positionV>
            <wp:extent cx="3506470" cy="4356100"/>
            <wp:effectExtent l="0" t="0" r="0" b="0"/>
            <wp:wrapNone/>
            <wp:docPr id="75" name="Рисунок 14" descr="ooxWord://word/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14" descr="ooxWord://word/media/image1.jpeg"/>
                    <pic:cNvPicPr>
                      <a:picLocks noChangeAspect="1" noChangeArrowheads="1"/>
                    </pic:cNvPicPr>
                  </pic:nvPicPr>
                  <pic:blipFill>
                    <a:blip r:embed="rId118"/>
                    <a:stretch>
                      <a:fillRect/>
                    </a:stretch>
                  </pic:blipFill>
                  <pic:spPr bwMode="auto">
                    <a:xfrm>
                      <a:off x="0" y="0"/>
                      <a:ext cx="3506470" cy="4356100"/>
                    </a:xfrm>
                    <a:prstGeom prst="rect">
                      <a:avLst/>
                    </a:prstGeom>
                  </pic:spPr>
                </pic:pic>
              </a:graphicData>
            </a:graphic>
          </wp:anchor>
        </w:drawing>
      </w:r>
      <w:r>
        <w:rPr>
          <w:rFonts w:ascii="Times New Roman" w:eastAsia="NSimSun" w:hAnsi="Times New Roman" w:cs="Times New Roman"/>
          <w:kern w:val="2"/>
          <w:sz w:val="24"/>
          <w:szCs w:val="24"/>
          <w:lang w:eastAsia="zh-CN" w:bidi="hi-IN"/>
        </w:rPr>
        <w:t xml:space="preserve">Температурний режим навколишнього середовища під час усіх сезонів у Луцькій МТГ має ознаки постійного підвищення. Опади в літній період частіше мають ознаки зливового характеру та не забезпечують достатнього накопичення вологи в ґрунті, що призводить до збільшення кількості посушливих днів протягом року.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Внаслідок зміни клімату та господарського впливу людини у Луцькій МТГ фіксується зниження рівня води у річках та озерах, що призводить до зниження або повного зникнення води у колодязях в сільській місцевості.</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Підвищення температури у річках та зменшення швидкості їх течії має наслідки «цвітіння» води.</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Висновок: ймовірність ризиків повені та підвищення рівня води (річкові повені) є помірним із помірним впливом. Надалі зміна інтенсивності та частоти проявів прогнозується без змін.</w:t>
      </w:r>
    </w:p>
    <w:p w:rsidR="00D227E2" w:rsidRDefault="00D227E2">
      <w:pPr>
        <w:spacing w:after="0"/>
        <w:ind w:firstLine="567"/>
        <w:jc w:val="both"/>
        <w:rPr>
          <w:rFonts w:ascii="Times New Roman" w:eastAsia="NSimSun" w:hAnsi="Times New Roman" w:cs="Times New Roman"/>
          <w:color w:val="000000"/>
          <w:kern w:val="2"/>
          <w:sz w:val="24"/>
          <w:szCs w:val="24"/>
          <w:lang w:eastAsia="zh-CN" w:bidi="hi-IN"/>
        </w:rPr>
      </w:pPr>
    </w:p>
    <w:p w:rsidR="00D227E2" w:rsidRDefault="00D227E2">
      <w:pPr>
        <w:spacing w:after="0"/>
        <w:ind w:firstLine="567"/>
        <w:jc w:val="both"/>
        <w:rPr>
          <w:rFonts w:ascii="Times New Roman" w:eastAsia="NSimSun" w:hAnsi="Times New Roman" w:cs="Times New Roman"/>
          <w:color w:val="000000"/>
          <w:kern w:val="2"/>
          <w:sz w:val="24"/>
          <w:szCs w:val="24"/>
          <w:lang w:eastAsia="zh-CN" w:bidi="hi-IN"/>
        </w:rPr>
      </w:pPr>
    </w:p>
    <w:p w:rsidR="00D227E2" w:rsidRDefault="00D227E2">
      <w:pPr>
        <w:spacing w:after="0"/>
        <w:ind w:firstLine="567"/>
        <w:jc w:val="both"/>
        <w:rPr>
          <w:rFonts w:ascii="Times New Roman" w:eastAsia="NSimSun" w:hAnsi="Times New Roman" w:cs="Times New Roman"/>
          <w:color w:val="000000"/>
          <w:kern w:val="2"/>
          <w:sz w:val="24"/>
          <w:szCs w:val="24"/>
          <w:lang w:eastAsia="zh-CN" w:bidi="hi-IN"/>
        </w:rPr>
      </w:pPr>
    </w:p>
    <w:p w:rsidR="00D227E2" w:rsidRDefault="00D227E2">
      <w:pPr>
        <w:spacing w:after="0"/>
        <w:ind w:firstLine="567"/>
        <w:jc w:val="both"/>
        <w:rPr>
          <w:rFonts w:ascii="Times New Roman" w:eastAsia="NSimSun" w:hAnsi="Times New Roman" w:cs="Times New Roman"/>
          <w:color w:val="000000"/>
          <w:kern w:val="2"/>
          <w:sz w:val="24"/>
          <w:szCs w:val="24"/>
          <w:lang w:eastAsia="zh-CN" w:bidi="hi-IN"/>
        </w:rPr>
      </w:pPr>
    </w:p>
    <w:p w:rsidR="00D227E2" w:rsidRDefault="00D227E2">
      <w:pPr>
        <w:spacing w:after="0"/>
        <w:ind w:firstLine="567"/>
        <w:jc w:val="both"/>
        <w:rPr>
          <w:rFonts w:ascii="Times New Roman" w:eastAsia="NSimSun" w:hAnsi="Times New Roman" w:cs="Times New Roman"/>
          <w:color w:val="000000"/>
          <w:kern w:val="2"/>
          <w:sz w:val="24"/>
          <w:szCs w:val="24"/>
          <w:lang w:eastAsia="zh-CN" w:bidi="hi-IN"/>
        </w:rPr>
      </w:pPr>
    </w:p>
    <w:p w:rsidR="00D227E2" w:rsidRDefault="00D227E2">
      <w:pPr>
        <w:spacing w:after="0"/>
        <w:ind w:firstLine="567"/>
        <w:jc w:val="both"/>
        <w:rPr>
          <w:rFonts w:ascii="Times New Roman" w:eastAsia="NSimSun" w:hAnsi="Times New Roman" w:cs="Times New Roman"/>
          <w:color w:val="000000"/>
          <w:kern w:val="2"/>
          <w:sz w:val="24"/>
          <w:szCs w:val="24"/>
          <w:lang w:eastAsia="zh-CN" w:bidi="hi-IN"/>
        </w:rPr>
      </w:pPr>
    </w:p>
    <w:p w:rsidR="00D227E2" w:rsidRDefault="00D227E2">
      <w:pPr>
        <w:spacing w:after="0"/>
        <w:ind w:firstLine="567"/>
        <w:jc w:val="both"/>
        <w:rPr>
          <w:rFonts w:ascii="Times New Roman" w:eastAsia="NSimSun" w:hAnsi="Times New Roman" w:cs="Times New Roman"/>
          <w:color w:val="000000"/>
          <w:kern w:val="2"/>
          <w:sz w:val="24"/>
          <w:szCs w:val="24"/>
          <w:lang w:eastAsia="zh-CN" w:bidi="hi-IN"/>
        </w:rPr>
      </w:pPr>
    </w:p>
    <w:p w:rsidR="00D227E2" w:rsidRDefault="00D227E2">
      <w:pPr>
        <w:spacing w:after="0"/>
        <w:ind w:firstLine="567"/>
        <w:jc w:val="both"/>
        <w:rPr>
          <w:rFonts w:ascii="Times New Roman" w:eastAsia="NSimSun" w:hAnsi="Times New Roman" w:cs="Times New Roman"/>
          <w:color w:val="000000"/>
          <w:kern w:val="2"/>
          <w:sz w:val="24"/>
          <w:szCs w:val="24"/>
          <w:lang w:eastAsia="zh-CN" w:bidi="hi-IN"/>
        </w:rPr>
      </w:pPr>
    </w:p>
    <w:p w:rsidR="00D227E2" w:rsidRDefault="00D227E2">
      <w:pPr>
        <w:spacing w:after="0"/>
        <w:ind w:firstLine="567"/>
        <w:jc w:val="both"/>
        <w:rPr>
          <w:rFonts w:ascii="Times New Roman" w:eastAsia="NSimSun" w:hAnsi="Times New Roman" w:cs="Times New Roman"/>
          <w:color w:val="000000"/>
          <w:kern w:val="2"/>
          <w:sz w:val="24"/>
          <w:szCs w:val="24"/>
          <w:lang w:eastAsia="zh-CN" w:bidi="hi-IN"/>
        </w:rPr>
      </w:pPr>
    </w:p>
    <w:p w:rsidR="00D227E2" w:rsidRDefault="00D227E2">
      <w:pPr>
        <w:spacing w:after="0"/>
        <w:ind w:firstLine="567"/>
        <w:jc w:val="both"/>
        <w:rPr>
          <w:rFonts w:ascii="Times New Roman" w:eastAsia="NSimSun" w:hAnsi="Times New Roman" w:cs="Times New Roman"/>
          <w:color w:val="000000"/>
          <w:kern w:val="2"/>
          <w:sz w:val="24"/>
          <w:szCs w:val="24"/>
          <w:lang w:eastAsia="zh-CN" w:bidi="hi-IN"/>
        </w:rPr>
      </w:pPr>
    </w:p>
    <w:p w:rsidR="00D227E2" w:rsidRDefault="00D227E2">
      <w:pPr>
        <w:spacing w:after="0"/>
        <w:ind w:firstLine="567"/>
        <w:jc w:val="both"/>
        <w:rPr>
          <w:rFonts w:ascii="Times New Roman" w:eastAsia="NSimSun" w:hAnsi="Times New Roman" w:cs="Times New Roman"/>
          <w:color w:val="000000"/>
          <w:kern w:val="2"/>
          <w:sz w:val="24"/>
          <w:szCs w:val="24"/>
          <w:lang w:eastAsia="zh-CN" w:bidi="hi-IN"/>
        </w:rPr>
      </w:pPr>
    </w:p>
    <w:p w:rsidR="00D227E2" w:rsidRDefault="00D227E2">
      <w:pPr>
        <w:spacing w:after="0"/>
        <w:ind w:firstLine="567"/>
        <w:jc w:val="both"/>
        <w:rPr>
          <w:rFonts w:ascii="Times New Roman" w:eastAsia="NSimSun" w:hAnsi="Times New Roman" w:cs="Times New Roman"/>
          <w:color w:val="000000"/>
          <w:kern w:val="2"/>
          <w:sz w:val="24"/>
          <w:szCs w:val="24"/>
          <w:lang w:eastAsia="zh-CN" w:bidi="hi-IN"/>
        </w:rPr>
      </w:pPr>
    </w:p>
    <w:p w:rsidR="00D227E2" w:rsidRDefault="00D227E2">
      <w:pPr>
        <w:spacing w:after="0"/>
        <w:ind w:firstLine="567"/>
        <w:jc w:val="both"/>
        <w:rPr>
          <w:rFonts w:ascii="Times New Roman" w:eastAsia="NSimSun" w:hAnsi="Times New Roman" w:cs="Times New Roman"/>
          <w:color w:val="000000"/>
          <w:kern w:val="2"/>
          <w:sz w:val="24"/>
          <w:szCs w:val="24"/>
          <w:lang w:eastAsia="zh-CN" w:bidi="hi-IN"/>
        </w:rPr>
      </w:pPr>
    </w:p>
    <w:p w:rsidR="00D227E2" w:rsidRDefault="00D227E2">
      <w:pPr>
        <w:spacing w:after="0"/>
        <w:ind w:firstLine="567"/>
        <w:jc w:val="both"/>
        <w:rPr>
          <w:rFonts w:ascii="Times New Roman" w:eastAsia="NSimSun" w:hAnsi="Times New Roman" w:cs="Times New Roman"/>
          <w:color w:val="000000"/>
          <w:kern w:val="2"/>
          <w:sz w:val="24"/>
          <w:szCs w:val="24"/>
          <w:lang w:eastAsia="zh-CN" w:bidi="hi-IN"/>
        </w:rPr>
      </w:pPr>
    </w:p>
    <w:p w:rsidR="00D227E2" w:rsidRDefault="00D227E2">
      <w:pPr>
        <w:spacing w:after="0"/>
        <w:ind w:firstLine="567"/>
        <w:jc w:val="both"/>
        <w:rPr>
          <w:rFonts w:ascii="Times New Roman" w:eastAsia="NSimSun" w:hAnsi="Times New Roman" w:cs="Times New Roman"/>
          <w:color w:val="000000"/>
          <w:kern w:val="2"/>
          <w:sz w:val="24"/>
          <w:szCs w:val="24"/>
          <w:lang w:eastAsia="zh-CN" w:bidi="hi-IN"/>
        </w:rPr>
      </w:pPr>
    </w:p>
    <w:p w:rsidR="00D227E2" w:rsidRDefault="00D227E2">
      <w:pPr>
        <w:spacing w:after="0"/>
        <w:ind w:firstLine="567"/>
        <w:jc w:val="both"/>
        <w:rPr>
          <w:rFonts w:ascii="Times New Roman" w:eastAsia="NSimSun" w:hAnsi="Times New Roman" w:cs="Times New Roman"/>
          <w:color w:val="000000"/>
          <w:kern w:val="2"/>
          <w:sz w:val="24"/>
          <w:szCs w:val="24"/>
          <w:lang w:eastAsia="zh-CN" w:bidi="hi-IN"/>
        </w:rPr>
      </w:pPr>
    </w:p>
    <w:p w:rsidR="00D227E2" w:rsidRDefault="00D227E2">
      <w:pPr>
        <w:spacing w:after="0"/>
        <w:ind w:firstLine="567"/>
        <w:jc w:val="both"/>
        <w:rPr>
          <w:rFonts w:ascii="Times New Roman" w:eastAsia="NSimSun" w:hAnsi="Times New Roman" w:cs="Times New Roman"/>
          <w:color w:val="000000"/>
          <w:kern w:val="2"/>
          <w:sz w:val="24"/>
          <w:szCs w:val="24"/>
          <w:lang w:eastAsia="zh-CN" w:bidi="hi-IN"/>
        </w:rPr>
      </w:pPr>
    </w:p>
    <w:p w:rsidR="00D227E2" w:rsidRDefault="00D227E2">
      <w:pPr>
        <w:spacing w:after="0"/>
        <w:ind w:firstLine="567"/>
        <w:jc w:val="both"/>
        <w:rPr>
          <w:rFonts w:ascii="Times New Roman" w:eastAsia="NSimSun" w:hAnsi="Times New Roman" w:cs="Times New Roman"/>
          <w:color w:val="000000"/>
          <w:kern w:val="2"/>
          <w:sz w:val="24"/>
          <w:szCs w:val="24"/>
          <w:lang w:eastAsia="zh-CN" w:bidi="hi-IN"/>
        </w:rPr>
      </w:pPr>
    </w:p>
    <w:p w:rsidR="00D227E2" w:rsidRDefault="00D227E2">
      <w:pPr>
        <w:spacing w:after="0"/>
        <w:ind w:firstLine="567"/>
        <w:jc w:val="both"/>
        <w:rPr>
          <w:rFonts w:ascii="Times New Roman" w:eastAsia="NSimSun" w:hAnsi="Times New Roman" w:cs="Times New Roman"/>
          <w:color w:val="000000"/>
          <w:kern w:val="2"/>
          <w:sz w:val="24"/>
          <w:szCs w:val="24"/>
          <w:lang w:eastAsia="zh-CN" w:bidi="hi-IN"/>
        </w:rPr>
      </w:pPr>
    </w:p>
    <w:p w:rsidR="00D227E2" w:rsidRDefault="00D227E2">
      <w:pPr>
        <w:spacing w:after="0"/>
        <w:ind w:firstLine="567"/>
        <w:jc w:val="both"/>
        <w:rPr>
          <w:rFonts w:ascii="Times New Roman" w:eastAsia="NSimSun" w:hAnsi="Times New Roman" w:cs="Times New Roman"/>
          <w:color w:val="000000"/>
          <w:kern w:val="2"/>
          <w:sz w:val="24"/>
          <w:szCs w:val="24"/>
          <w:lang w:eastAsia="zh-CN" w:bidi="hi-IN"/>
        </w:rPr>
      </w:pPr>
    </w:p>
    <w:p w:rsidR="00D227E2" w:rsidRDefault="00934FC4">
      <w:pPr>
        <w:spacing w:after="0"/>
        <w:ind w:firstLine="567"/>
        <w:jc w:val="both"/>
        <w:rPr>
          <w:rFonts w:ascii="Times New Roman" w:hAnsi="Times New Roman" w:cs="Times New Roman"/>
        </w:rPr>
      </w:pPr>
      <w:r>
        <w:rPr>
          <w:noProof/>
          <w:lang w:eastAsia="uk-UA"/>
        </w:rPr>
        <w:lastRenderedPageBreak/>
        <mc:AlternateContent>
          <mc:Choice Requires="wps">
            <w:drawing>
              <wp:anchor distT="0" distB="26035" distL="0" distR="19685" simplePos="0" relativeHeight="38" behindDoc="1" locked="0" layoutInCell="0" allowOverlap="1" wp14:anchorId="231D07E7" wp14:editId="2BC4F1AD">
                <wp:simplePos x="0" y="0"/>
                <wp:positionH relativeFrom="page">
                  <wp:posOffset>1094105</wp:posOffset>
                </wp:positionH>
                <wp:positionV relativeFrom="page">
                  <wp:posOffset>812800</wp:posOffset>
                </wp:positionV>
                <wp:extent cx="6038850" cy="8576310"/>
                <wp:effectExtent l="0" t="0" r="0" b="0"/>
                <wp:wrapTight wrapText="bothSides">
                  <wp:wrapPolygon edited="0">
                    <wp:start x="0" y="0"/>
                    <wp:lineTo x="0" y="21535"/>
                    <wp:lineTo x="21532" y="21535"/>
                    <wp:lineTo x="21532" y="0"/>
                    <wp:lineTo x="0" y="0"/>
                  </wp:wrapPolygon>
                </wp:wrapTight>
                <wp:docPr id="76" name="Рисунок 10" descr="ooxWord://word/media/image1.jpeg"/>
                <wp:cNvGraphicFramePr/>
                <a:graphic xmlns:a="http://schemas.openxmlformats.org/drawingml/2006/main">
                  <a:graphicData uri="http://schemas.openxmlformats.org/drawingml/2006/picture">
                    <pic:pic xmlns:pic="http://schemas.openxmlformats.org/drawingml/2006/picture">
                      <pic:nvPicPr>
                        <pic:cNvPr id="77" name="Рисунок 10" descr="ooxWord://word/media/image1.jpeg"/>
                        <pic:cNvPicPr/>
                      </pic:nvPicPr>
                      <pic:blipFill>
                        <a:blip r:embed="rId119">
                          <a:extLst>
                            <a:ext uri="{BEBA8EAE-BF5A-486C-A8C5-ECC9F3942E4B}">
                              <a14:imgProps xmlns:a14="http://schemas.microsoft.com/office/drawing/2010/main">
                                <a14:imgLayer r:embed="rId120">
                                  <a14:imgEffect>
                                    <a14:sharpenSoften amount="50000"/>
                                  </a14:imgEffect>
                                </a14:imgLayer>
                              </a14:imgProps>
                            </a:ext>
                          </a:extLst>
                        </a:blip>
                        <a:stretch/>
                      </pic:blipFill>
                      <pic:spPr>
                        <a:xfrm>
                          <a:off x="0" y="0"/>
                          <a:ext cx="6039000" cy="8576280"/>
                        </a:xfrm>
                        <a:prstGeom prst="rect">
                          <a:avLst/>
                        </a:prstGeom>
                        <a:ln w="0">
                          <a:noFill/>
                        </a:ln>
                      </pic:spPr>
                    </pic:pic>
                  </a:graphicData>
                </a:graphic>
              </wp:anchor>
            </w:drawing>
          </mc:Choice>
          <mc:Fallback xmlns:w15="http://schemas.microsoft.com/office/word/2012/wordml">
            <w:pict>
              <v:shape id="shape_0" ID="Рисунок 10" stroked="f" o:allowincell="f" style="position:absolute;margin-left:86.15pt;margin-top:64pt;width:475.45pt;height:675.25pt;mso-wrap-style:none;v-text-anchor:middle;mso-position-horizontal-relative:page;mso-position-vertical-relative:page" wp14:anchorId="3FCDBE0F" type="_x0000_t75">
                <v:imagedata r:id="rId121" o:detectmouseclick="t"/>
                <v:stroke color="#3465a4" joinstyle="round" endcap="flat"/>
                <w10:wrap type="square"/>
              </v:shape>
            </w:pict>
          </mc:Fallback>
        </mc:AlternateContent>
      </w:r>
      <w:r>
        <w:rPr>
          <w:rFonts w:ascii="Times New Roman" w:eastAsia="NSimSun" w:hAnsi="Times New Roman" w:cs="Times New Roman"/>
          <w:kern w:val="2"/>
          <w:sz w:val="24"/>
          <w:szCs w:val="24"/>
          <w:lang w:eastAsia="zh-CN" w:bidi="hi-IN"/>
        </w:rPr>
        <w:t>Рисунок 53. План зонування міста (схема планувальних обмежень)</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u w:val="single"/>
          <w:lang w:eastAsia="zh-CN" w:bidi="hi-IN"/>
        </w:rPr>
        <w:lastRenderedPageBreak/>
        <w:t>Посухи та нестача води</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Чутливими до посухи та нестачі опадів також є міські зелені зони: парки, сквери, газони і квітники. Разом з цим спостерігається всихання та зменшення кількості зелених насаджень у громаді (пов’язано із зниженням рівня ґрунтових вод та збільшеними посушливими періодами, що призводить до різноманітних захворювань у дерев). Озеленення – це важлива складова частина в загальному комплексі міського господарства, екологічному стані міської екосистеми.</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Сьогодні одним із завдань м. Луцьк є його озеленення. В минулому Луцьк був «найзеленішим містом», він займав одне з перших місць в Україні за кількістю зелених насаджень на 1 людину, а саме понад 20 м</w:t>
      </w:r>
      <w:r>
        <w:rPr>
          <w:rFonts w:ascii="Times New Roman" w:eastAsia="NSimSun" w:hAnsi="Times New Roman" w:cs="Times New Roman"/>
          <w:kern w:val="2"/>
          <w:sz w:val="24"/>
          <w:szCs w:val="24"/>
          <w:vertAlign w:val="superscript"/>
          <w:lang w:eastAsia="zh-CN" w:bidi="hi-IN"/>
        </w:rPr>
        <w:t xml:space="preserve">2 </w:t>
      </w:r>
      <w:r>
        <w:rPr>
          <w:rFonts w:ascii="Times New Roman" w:eastAsia="NSimSun" w:hAnsi="Times New Roman" w:cs="Times New Roman"/>
          <w:kern w:val="2"/>
          <w:sz w:val="24"/>
          <w:szCs w:val="24"/>
          <w:lang w:eastAsia="zh-CN" w:bidi="hi-IN"/>
        </w:rPr>
        <w:t>на 1-го мешканця, що було в межах встановленої норми. Нині такий показник значно менший і становить приблизно 10,85 м</w:t>
      </w:r>
      <w:r>
        <w:rPr>
          <w:rFonts w:ascii="Times New Roman" w:eastAsia="NSimSun" w:hAnsi="Times New Roman" w:cs="Times New Roman"/>
          <w:kern w:val="2"/>
          <w:sz w:val="24"/>
          <w:szCs w:val="24"/>
          <w:vertAlign w:val="superscript"/>
          <w:lang w:eastAsia="zh-CN" w:bidi="hi-IN"/>
        </w:rPr>
        <w:t>2</w:t>
      </w:r>
      <w:r>
        <w:rPr>
          <w:rFonts w:ascii="Times New Roman" w:eastAsia="NSimSun" w:hAnsi="Times New Roman" w:cs="Times New Roman"/>
          <w:kern w:val="2"/>
          <w:sz w:val="24"/>
          <w:szCs w:val="24"/>
          <w:lang w:eastAsia="zh-CN" w:bidi="hi-IN"/>
        </w:rPr>
        <w:t xml:space="preserve">.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Стрімке скорочення кількості зелених насаджень пояснюється активною забудовою міста, ураженням хворобами та шкідниками основних видів зелених насаджень на території міста, поширення адвентивних, інвазійних рослин (амброзія, борщівник, сахалінська гречка японська, клен ясенолистий, ехіноцистис лопатевий тощо), зниженням рівня ґрунтових вод та більш тривалими посушливими періодами.</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Зелені зони громади є важливим фактором чистого повітря та здоров’я  мешканців громади. Зелені насадження захищають від шуму, пилу, ерозійних явищ, а також оберігають від надмірного перегрівання ґрунту та поверхні стін будинків і тротуарів, пом’якшують мікроклімат міста та зволожують повітря. Тому, Луцька міська рада проводить заходи із озеленення міста надаючи перевагу багаторічним та стійким до посухи рослинам.</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На рисунку 54 можна побачити наявне у місті тінь від дерев та зелених насаджень.</w:t>
      </w:r>
    </w:p>
    <w:p w:rsidR="00D227E2" w:rsidRDefault="00934FC4">
      <w:pPr>
        <w:spacing w:after="0"/>
        <w:ind w:firstLine="567"/>
        <w:jc w:val="center"/>
        <w:rPr>
          <w:rFonts w:ascii="Times New Roman" w:eastAsia="NSimSun" w:hAnsi="Times New Roman" w:cs="Times New Roman"/>
          <w:kern w:val="2"/>
          <w:sz w:val="24"/>
          <w:szCs w:val="24"/>
          <w:lang w:eastAsia="zh-CN" w:bidi="hi-IN"/>
        </w:rPr>
      </w:pPr>
      <w:r>
        <w:rPr>
          <w:rFonts w:ascii="Times New Roman" w:eastAsia="NSimSun" w:hAnsi="Times New Roman" w:cs="Times New Roman"/>
          <w:noProof/>
          <w:kern w:val="2"/>
          <w:sz w:val="24"/>
          <w:szCs w:val="24"/>
          <w:lang w:eastAsia="uk-UA"/>
        </w:rPr>
        <mc:AlternateContent>
          <mc:Choice Requires="wps">
            <w:drawing>
              <wp:anchor distT="0" distB="22225" distL="0" distR="25400" simplePos="0" relativeHeight="36" behindDoc="1" locked="0" layoutInCell="0" allowOverlap="1" wp14:anchorId="3D7852A3" wp14:editId="4C071A6B">
                <wp:simplePos x="0" y="0"/>
                <wp:positionH relativeFrom="column">
                  <wp:posOffset>0</wp:posOffset>
                </wp:positionH>
                <wp:positionV relativeFrom="paragraph">
                  <wp:posOffset>635</wp:posOffset>
                </wp:positionV>
                <wp:extent cx="6007100" cy="4075430"/>
                <wp:effectExtent l="0" t="0" r="0" b="0"/>
                <wp:wrapTight wrapText="bothSides">
                  <wp:wrapPolygon edited="0">
                    <wp:start x="0" y="0"/>
                    <wp:lineTo x="0" y="21482"/>
                    <wp:lineTo x="21509" y="21482"/>
                    <wp:lineTo x="21509" y="0"/>
                    <wp:lineTo x="0" y="0"/>
                  </wp:wrapPolygon>
                </wp:wrapTight>
                <wp:docPr id="78" name="Рисунок 25"/>
                <wp:cNvGraphicFramePr/>
                <a:graphic xmlns:a="http://schemas.openxmlformats.org/drawingml/2006/main">
                  <a:graphicData uri="http://schemas.openxmlformats.org/drawingml/2006/picture">
                    <pic:pic xmlns:pic="http://schemas.openxmlformats.org/drawingml/2006/picture">
                      <pic:nvPicPr>
                        <pic:cNvPr id="79" name="Рисунок 25"/>
                        <pic:cNvPicPr/>
                      </pic:nvPicPr>
                      <pic:blipFill>
                        <a:blip r:embed="rId122">
                          <a:extLst>
                            <a:ext uri="{BEBA8EAE-BF5A-486C-A8C5-ECC9F3942E4B}">
                              <a14:imgProps xmlns:a14="http://schemas.microsoft.com/office/drawing/2010/main">
                                <a14:imgLayer r:embed="rId123">
                                  <a14:imgEffect>
                                    <a14:sharpenSoften amount="50000"/>
                                  </a14:imgEffect>
                                </a14:imgLayer>
                              </a14:imgProps>
                            </a:ext>
                          </a:extLst>
                        </a:blip>
                        <a:stretch/>
                      </pic:blipFill>
                      <pic:spPr>
                        <a:xfrm>
                          <a:off x="0" y="0"/>
                          <a:ext cx="6006960" cy="4075560"/>
                        </a:xfrm>
                        <a:prstGeom prst="rect">
                          <a:avLst/>
                        </a:prstGeom>
                        <a:ln w="0">
                          <a:noFill/>
                        </a:ln>
                      </pic:spPr>
                    </pic:pic>
                  </a:graphicData>
                </a:graphic>
              </wp:anchor>
            </w:drawing>
          </mc:Choice>
          <mc:Fallback xmlns:w15="http://schemas.microsoft.com/office/word/2012/wordml">
            <w:pict>
              <v:shape id="shape_0" ID="Рисунок 25" stroked="f" o:allowincell="f" style="position:absolute;margin-left:0pt;margin-top:0.05pt;width:472.95pt;height:320.85pt;mso-wrap-style:none;v-text-anchor:middle" wp14:anchorId="6EE8F6BB" type="_x0000_t75">
                <v:imagedata r:id="rId124" o:detectmouseclick="t"/>
                <v:stroke color="#3465a4" joinstyle="round" endcap="flat"/>
                <w10:wrap type="square"/>
              </v:shape>
            </w:pict>
          </mc:Fallback>
        </mc:AlternateContent>
      </w:r>
    </w:p>
    <w:p w:rsidR="00D227E2" w:rsidRDefault="00934FC4">
      <w:pPr>
        <w:spacing w:after="0"/>
        <w:jc w:val="center"/>
        <w:rPr>
          <w:rFonts w:ascii="Times New Roman" w:hAnsi="Times New Roman" w:cs="Times New Roman"/>
        </w:rPr>
      </w:pPr>
      <w:r>
        <w:rPr>
          <w:rFonts w:ascii="Times New Roman" w:eastAsia="NSimSun" w:hAnsi="Times New Roman" w:cs="Times New Roman"/>
          <w:kern w:val="2"/>
          <w:sz w:val="24"/>
          <w:szCs w:val="24"/>
          <w:lang w:eastAsia="zh-CN" w:bidi="hi-IN"/>
        </w:rPr>
        <w:t xml:space="preserve">Рисунок 54. Тінь від дерев та зелених насаджень м. Луцька </w:t>
      </w:r>
      <w:r>
        <w:rPr>
          <w:rFonts w:ascii="Symbol" w:eastAsia="Symbol" w:hAnsi="Symbol" w:cs="Symbol"/>
          <w:color w:val="000000"/>
          <w:kern w:val="2"/>
          <w:sz w:val="24"/>
          <w:szCs w:val="24"/>
          <w:shd w:val="clear" w:color="auto" w:fill="FFFFFF"/>
          <w:lang w:eastAsia="zh-CN" w:bidi="hi-IN"/>
        </w:rPr>
        <w:sym w:font="Symbol" w:char="F05B"/>
      </w:r>
      <w:r>
        <w:rPr>
          <w:rFonts w:ascii="Times New Roman" w:eastAsia="NSimSun" w:hAnsi="Times New Roman" w:cs="Times New Roman"/>
          <w:color w:val="000000"/>
          <w:kern w:val="2"/>
          <w:sz w:val="24"/>
          <w:szCs w:val="24"/>
          <w:shd w:val="clear" w:color="auto" w:fill="FFFFFF"/>
          <w:lang w:eastAsia="zh-CN" w:bidi="hi-IN"/>
        </w:rPr>
        <w:t>10</w:t>
      </w:r>
      <w:r>
        <w:rPr>
          <w:rFonts w:ascii="Symbol" w:eastAsia="Symbol" w:hAnsi="Symbol" w:cs="Symbol"/>
          <w:color w:val="000000"/>
          <w:kern w:val="2"/>
          <w:sz w:val="24"/>
          <w:szCs w:val="24"/>
          <w:shd w:val="clear" w:color="auto" w:fill="FFFFFF"/>
          <w:lang w:eastAsia="zh-CN" w:bidi="hi-IN"/>
        </w:rPr>
        <w:sym w:font="Symbol" w:char="F05D"/>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sz w:val="24"/>
          <w:szCs w:val="24"/>
          <w:lang w:eastAsia="zh-CN"/>
        </w:rPr>
        <w:lastRenderedPageBreak/>
        <w:t>У Луцьку обліковано понад 100 артезіанських свердловин господарсько-питного водопостачання. Водопостачання міста здійснюється за рахунок підземних вод водоносних горизонтів мергельно-крейдових відкладів. Питна вода досить високої якості.</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sz w:val="24"/>
          <w:szCs w:val="24"/>
          <w:shd w:val="clear" w:color="auto" w:fill="FFFFFF"/>
          <w:lang w:eastAsia="zh-CN"/>
        </w:rPr>
        <w:t>Екологічний стан поверхневих водних об’єктів і якість води в них є вирішальними чинниками санітарного та епідеміологічного благополуччя населення. Моніторинг якості води поверхневих водойм свідчить про те, що незважаючи на значний спад промислового виробництва за останні роки та зменшення у зв’язку з цим скиду у водойми стічних вод має місце тенденція до погіршення екологічного стану водойм І-ої та ІІ-ої категорій, як за санітарно-хімічним так і за санітарно-мікробіологічними показниками. На сьогодні через високий рівень техногенного навантаження на водойми, практично всі водойми за рівнем забруднення наблизились до ІІІ класу.</w:t>
      </w:r>
      <w:r>
        <w:rPr>
          <w:rFonts w:ascii="Times New Roman" w:eastAsia="NSimSun" w:hAnsi="Times New Roman" w:cs="Times New Roman"/>
          <w:strike/>
          <w:color w:val="000000"/>
          <w:sz w:val="24"/>
          <w:szCs w:val="24"/>
          <w:shd w:val="clear" w:color="auto" w:fill="FFFF00"/>
          <w:lang w:eastAsia="zh-CN"/>
        </w:rPr>
        <w:t xml:space="preserve">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sz w:val="24"/>
          <w:szCs w:val="24"/>
          <w:shd w:val="clear" w:color="auto" w:fill="FFFFFF"/>
          <w:lang w:eastAsia="zh-CN"/>
        </w:rPr>
        <w:t xml:space="preserve">Якість води погіршується через затоплення та підтоплення територій, передбачається зростання такої загрози для окремих долинних ділянок в разі підвищення температури води у місцевих водоймах на +0,7º +1,5 ºС. Адже в результаті можливе послідовне зниження концентрації розчиненого кисню, ослаблення водообміну та евтрофікацію водних об’єктів.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sz w:val="24"/>
          <w:szCs w:val="24"/>
          <w:shd w:val="clear" w:color="auto" w:fill="FFFFFF"/>
          <w:lang w:eastAsia="zh-CN"/>
        </w:rPr>
        <w:t xml:space="preserve">Основними причинами забруднення поверхневих вод міста є надходження до водних об’єктів забруднювальних речовин у процесі поверхневого стоку води з забудованих території та сільгоспугідь, ерозія ґрунтів на водозабірній площі.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sz w:val="24"/>
          <w:szCs w:val="24"/>
          <w:shd w:val="clear" w:color="auto" w:fill="FFFFFF"/>
          <w:lang w:eastAsia="zh-CN"/>
        </w:rPr>
        <w:t>Якісний стан підземних вод унаслідок господарської діяльності також постійно погіршується. Це пов’язано з існуванням фільтрувальних накопичувачів стічних вод, а також з широким використанням мінеральних добрив та пестицидів.</w:t>
      </w:r>
    </w:p>
    <w:p w:rsidR="00D227E2" w:rsidRDefault="00934FC4">
      <w:pPr>
        <w:spacing w:after="0"/>
        <w:ind w:firstLine="567"/>
        <w:jc w:val="both"/>
        <w:rPr>
          <w:rFonts w:ascii="Times New Roman" w:hAnsi="Times New Roman" w:cs="Times New Roman"/>
        </w:rPr>
      </w:pPr>
      <w:r>
        <w:rPr>
          <w:noProof/>
          <w:lang w:eastAsia="uk-UA"/>
        </w:rPr>
        <mc:AlternateContent>
          <mc:Choice Requires="wps">
            <w:drawing>
              <wp:anchor distT="38100" distB="25400" distL="0" distR="25400" simplePos="0" relativeHeight="28" behindDoc="0" locked="0" layoutInCell="0" allowOverlap="1" wp14:anchorId="478D6798" wp14:editId="16CBFB34">
                <wp:simplePos x="0" y="0"/>
                <wp:positionH relativeFrom="column">
                  <wp:posOffset>-13335</wp:posOffset>
                </wp:positionH>
                <wp:positionV relativeFrom="paragraph">
                  <wp:posOffset>521335</wp:posOffset>
                </wp:positionV>
                <wp:extent cx="3111500" cy="3187700"/>
                <wp:effectExtent l="0" t="0" r="0" b="0"/>
                <wp:wrapSquare wrapText="bothSides"/>
                <wp:docPr id="80" name="Рисунок 18"/>
                <wp:cNvGraphicFramePr/>
                <a:graphic xmlns:a="http://schemas.openxmlformats.org/drawingml/2006/main">
                  <a:graphicData uri="http://schemas.openxmlformats.org/drawingml/2006/picture">
                    <pic:pic xmlns:pic="http://schemas.openxmlformats.org/drawingml/2006/picture">
                      <pic:nvPicPr>
                        <pic:cNvPr id="81" name="Рисунок 18"/>
                        <pic:cNvPicPr/>
                      </pic:nvPicPr>
                      <pic:blipFill>
                        <a:blip r:embed="rId125">
                          <a:extLst>
                            <a:ext uri="{BEBA8EAE-BF5A-486C-A8C5-ECC9F3942E4B}">
                              <a14:imgProps xmlns:a14="http://schemas.microsoft.com/office/drawing/2010/main">
                                <a14:imgLayer r:embed="rId126">
                                  <a14:imgEffect>
                                    <a14:sharpenSoften amount="50000"/>
                                  </a14:imgEffect>
                                </a14:imgLayer>
                              </a14:imgProps>
                            </a:ext>
                          </a:extLst>
                        </a:blip>
                        <a:stretch/>
                      </pic:blipFill>
                      <pic:spPr>
                        <a:xfrm>
                          <a:off x="0" y="0"/>
                          <a:ext cx="3111480" cy="3187800"/>
                        </a:xfrm>
                        <a:prstGeom prst="rect">
                          <a:avLst/>
                        </a:prstGeom>
                        <a:ln w="0">
                          <a:noFill/>
                        </a:ln>
                      </pic:spPr>
                    </pic:pic>
                  </a:graphicData>
                </a:graphic>
              </wp:anchor>
            </w:drawing>
          </mc:Choice>
          <mc:Fallback xmlns:w15="http://schemas.microsoft.com/office/word/2012/wordml">
            <w:pict>
              <v:shape id="shape_0" ID="Рисунок 18" stroked="f" o:allowincell="f" style="position:absolute;margin-left:-1.05pt;margin-top:41.05pt;width:244.95pt;height:250.95pt;mso-wrap-style:none;v-text-anchor:middle" wp14:anchorId="2AA118B1" type="_x0000_t75">
                <v:imagedata r:id="rId127" o:detectmouseclick="t"/>
                <v:stroke color="#3465a4" joinstyle="round" endcap="flat"/>
                <w10:wrap type="square"/>
              </v:shape>
            </w:pict>
          </mc:Fallback>
        </mc:AlternateContent>
      </w:r>
      <w:r>
        <w:rPr>
          <w:rFonts w:ascii="Times New Roman" w:eastAsia="NSimSun" w:hAnsi="Times New Roman" w:cs="Times New Roman"/>
          <w:color w:val="000000"/>
          <w:sz w:val="24"/>
          <w:szCs w:val="24"/>
          <w:shd w:val="clear" w:color="auto" w:fill="FFFFFF"/>
          <w:lang w:eastAsia="zh-CN"/>
        </w:rPr>
        <w:t xml:space="preserve">На рисунку 55 можна побачити на карті 1) розміщення водойм Луцька та на карті 2) розміщення водних свердловин, пожежних гідрантів тощо.  </w:t>
      </w:r>
    </w:p>
    <w:p w:rsidR="00D227E2" w:rsidRDefault="00934FC4">
      <w:pPr>
        <w:spacing w:after="0"/>
        <w:ind w:firstLine="567"/>
        <w:jc w:val="both"/>
        <w:rPr>
          <w:rFonts w:ascii="Times New Roman" w:eastAsia="NSimSun" w:hAnsi="Times New Roman" w:cs="Times New Roman"/>
          <w:color w:val="000000"/>
          <w:sz w:val="24"/>
          <w:szCs w:val="24"/>
          <w:lang w:eastAsia="zh-CN"/>
        </w:rPr>
      </w:pPr>
      <w:r>
        <w:rPr>
          <w:rFonts w:ascii="Times New Roman" w:eastAsia="NSimSun" w:hAnsi="Times New Roman" w:cs="Times New Roman"/>
          <w:noProof/>
          <w:color w:val="000000"/>
          <w:sz w:val="24"/>
          <w:szCs w:val="24"/>
          <w:lang w:eastAsia="uk-UA"/>
        </w:rPr>
        <mc:AlternateContent>
          <mc:Choice Requires="wps">
            <w:drawing>
              <wp:anchor distT="0" distB="25400" distL="0" distR="12700" simplePos="0" relativeHeight="24" behindDoc="0" locked="0" layoutInCell="0" allowOverlap="1" wp14:anchorId="2A70AA39" wp14:editId="3F3F0641">
                <wp:simplePos x="0" y="0"/>
                <wp:positionH relativeFrom="column">
                  <wp:posOffset>45085</wp:posOffset>
                </wp:positionH>
                <wp:positionV relativeFrom="paragraph">
                  <wp:posOffset>66675</wp:posOffset>
                </wp:positionV>
                <wp:extent cx="2908300" cy="3315970"/>
                <wp:effectExtent l="0" t="0" r="0" b="0"/>
                <wp:wrapSquare wrapText="bothSides"/>
                <wp:docPr id="82" name="Рисунок 19"/>
                <wp:cNvGraphicFramePr/>
                <a:graphic xmlns:a="http://schemas.openxmlformats.org/drawingml/2006/main">
                  <a:graphicData uri="http://schemas.openxmlformats.org/drawingml/2006/picture">
                    <pic:pic xmlns:pic="http://schemas.openxmlformats.org/drawingml/2006/picture">
                      <pic:nvPicPr>
                        <pic:cNvPr id="83" name="Рисунок 19"/>
                        <pic:cNvPicPr/>
                      </pic:nvPicPr>
                      <pic:blipFill>
                        <a:blip r:embed="rId128">
                          <a:extLst>
                            <a:ext uri="{BEBA8EAE-BF5A-486C-A8C5-ECC9F3942E4B}">
                              <a14:imgProps xmlns:a14="http://schemas.microsoft.com/office/drawing/2010/main">
                                <a14:imgLayer r:embed="rId129">
                                  <a14:imgEffect>
                                    <a14:sharpenSoften amount="50000"/>
                                  </a14:imgEffect>
                                </a14:imgLayer>
                              </a14:imgProps>
                            </a:ext>
                          </a:extLst>
                        </a:blip>
                        <a:stretch/>
                      </pic:blipFill>
                      <pic:spPr>
                        <a:xfrm>
                          <a:off x="0" y="0"/>
                          <a:ext cx="2908440" cy="3315960"/>
                        </a:xfrm>
                        <a:prstGeom prst="rect">
                          <a:avLst/>
                        </a:prstGeom>
                        <a:ln w="0">
                          <a:noFill/>
                        </a:ln>
                      </pic:spPr>
                    </pic:pic>
                  </a:graphicData>
                </a:graphic>
              </wp:anchor>
            </w:drawing>
          </mc:Choice>
          <mc:Fallback xmlns:w15="http://schemas.microsoft.com/office/word/2012/wordml">
            <w:pict>
              <v:shape id="shape_0" ID="Рисунок 19" stroked="f" o:allowincell="f" style="position:absolute;margin-left:3.55pt;margin-top:5.25pt;width:228.95pt;height:261.05pt;mso-wrap-style:none;v-text-anchor:middle" wp14:anchorId="1EFF3853" type="_x0000_t75">
                <v:imagedata r:id="rId130" o:detectmouseclick="t"/>
                <v:stroke color="#3465a4" joinstyle="round" endcap="flat"/>
                <w10:wrap type="square"/>
              </v:shape>
            </w:pict>
          </mc:Fallback>
        </mc:AlternateContent>
      </w:r>
    </w:p>
    <w:p w:rsidR="00D227E2" w:rsidRDefault="00D227E2">
      <w:pPr>
        <w:spacing w:after="0"/>
        <w:ind w:firstLine="567"/>
        <w:jc w:val="center"/>
        <w:rPr>
          <w:rFonts w:ascii="Times New Roman" w:eastAsia="NSimSun" w:hAnsi="Times New Roman" w:cs="Times New Roman"/>
          <w:kern w:val="2"/>
          <w:sz w:val="24"/>
          <w:szCs w:val="24"/>
          <w:lang w:eastAsia="zh-CN" w:bidi="hi-IN"/>
        </w:rPr>
      </w:pPr>
    </w:p>
    <w:p w:rsidR="00D227E2" w:rsidRDefault="00934FC4">
      <w:pPr>
        <w:spacing w:after="0"/>
        <w:ind w:firstLine="567"/>
        <w:jc w:val="center"/>
        <w:rPr>
          <w:rFonts w:ascii="Times New Roman" w:hAnsi="Times New Roman" w:cs="Times New Roman"/>
        </w:rPr>
      </w:pPr>
      <w:r>
        <w:rPr>
          <w:rFonts w:ascii="Times New Roman" w:eastAsia="NSimSun" w:hAnsi="Times New Roman" w:cs="Times New Roman"/>
          <w:kern w:val="2"/>
          <w:sz w:val="24"/>
          <w:szCs w:val="24"/>
          <w:lang w:eastAsia="zh-CN" w:bidi="hi-IN"/>
        </w:rPr>
        <w:t xml:space="preserve">Рисунок 55. 1) Карта водойм Луцька 2) Карта водних свердловин, пожежних гідрантів тощо  </w:t>
      </w:r>
      <w:r>
        <w:rPr>
          <w:rFonts w:ascii="Symbol" w:eastAsia="Symbol" w:hAnsi="Symbol" w:cs="Symbol"/>
          <w:color w:val="000000"/>
          <w:kern w:val="2"/>
          <w:sz w:val="24"/>
          <w:szCs w:val="24"/>
          <w:shd w:val="clear" w:color="auto" w:fill="FFFFFF"/>
          <w:lang w:eastAsia="zh-CN" w:bidi="hi-IN"/>
        </w:rPr>
        <w:sym w:font="Symbol" w:char="F05B"/>
      </w:r>
      <w:r>
        <w:rPr>
          <w:rFonts w:ascii="Times New Roman" w:eastAsia="NSimSun" w:hAnsi="Times New Roman" w:cs="Times New Roman"/>
          <w:color w:val="000000"/>
          <w:kern w:val="2"/>
          <w:sz w:val="24"/>
          <w:szCs w:val="24"/>
          <w:shd w:val="clear" w:color="auto" w:fill="FFFFFF"/>
          <w:lang w:eastAsia="zh-CN" w:bidi="hi-IN"/>
        </w:rPr>
        <w:t>10</w:t>
      </w:r>
      <w:r>
        <w:rPr>
          <w:rFonts w:ascii="Symbol" w:eastAsia="Symbol" w:hAnsi="Symbol" w:cs="Symbol"/>
          <w:color w:val="000000"/>
          <w:kern w:val="2"/>
          <w:sz w:val="24"/>
          <w:szCs w:val="24"/>
          <w:shd w:val="clear" w:color="auto" w:fill="FFFFFF"/>
          <w:lang w:eastAsia="zh-CN" w:bidi="hi-IN"/>
        </w:rPr>
        <w:sym w:font="Symbol" w:char="F05D"/>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lastRenderedPageBreak/>
        <w:t>Можна зробити висновок, що ймовірність ризиків виникнення посухи та нестачі води є високою із високим впливом. Надалі прогнозується зростання інтенсивності зі зростанням частоти проявів.</w:t>
      </w:r>
    </w:p>
    <w:p w:rsidR="00D227E2" w:rsidRDefault="00934FC4">
      <w:pPr>
        <w:spacing w:after="0"/>
        <w:ind w:firstLine="567"/>
        <w:jc w:val="both"/>
        <w:outlineLvl w:val="0"/>
        <w:rPr>
          <w:rFonts w:ascii="Times New Roman" w:hAnsi="Times New Roman" w:cs="Times New Roman"/>
        </w:rPr>
      </w:pPr>
      <w:r>
        <w:rPr>
          <w:rFonts w:ascii="Times New Roman" w:eastAsia="Times New Roman" w:hAnsi="Times New Roman" w:cs="Times New Roman"/>
          <w:bCs/>
          <w:kern w:val="2"/>
          <w:sz w:val="24"/>
          <w:szCs w:val="24"/>
          <w:u w:val="single"/>
        </w:rPr>
        <w:t>Бурі</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Згідно з даними Волинського ЦГМ метеорологічних надзвичайних ситуацій, таких як хуртовина та град (буревіїв та сильних вітрів), які досягли критеріїв стихійних метеорологічних явищ (СМЯ), метеостанцією Луцьк з 2000 по 2022 роки не були зафіксовані.</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Під час опитування 45,9 % мешканців громади зазначили, що частота сильних вітрів, буревіїв за останні роки не змінилась, 41,9 % опитаних зазначили, що стало більше випадків буревіїв.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Однак, 30,6 % опитуваних мешканців громади вказали, що часто потерпають самі (їхні знайомі) від наслідків буревіїв та сильного вітру, 69,4 % </w:t>
      </w:r>
      <w:r>
        <w:rPr>
          <w:rFonts w:ascii="Times New Roman" w:hAnsi="Times New Roman" w:cs="Times New Roman"/>
          <w:color w:val="000000"/>
          <w:sz w:val="24"/>
          <w:szCs w:val="24"/>
          <w:shd w:val="clear" w:color="auto" w:fill="FFFFFF"/>
          <w:lang w:eastAsia="zh-CN" w:bidi="hi-IN"/>
        </w:rPr>
        <w:t>–</w:t>
      </w:r>
      <w:r>
        <w:rPr>
          <w:rFonts w:ascii="Times New Roman" w:eastAsia="NSimSun" w:hAnsi="Times New Roman" w:cs="Times New Roman"/>
          <w:kern w:val="2"/>
          <w:sz w:val="24"/>
          <w:szCs w:val="24"/>
          <w:lang w:eastAsia="zh-CN" w:bidi="hi-IN"/>
        </w:rPr>
        <w:t xml:space="preserve"> ні.</w:t>
      </w:r>
    </w:p>
    <w:p w:rsidR="00D227E2" w:rsidRDefault="00934FC4">
      <w:pPr>
        <w:spacing w:after="0"/>
        <w:ind w:firstLine="567"/>
        <w:jc w:val="both"/>
        <w:outlineLvl w:val="0"/>
        <w:rPr>
          <w:rFonts w:ascii="Times New Roman" w:hAnsi="Times New Roman" w:cs="Times New Roman"/>
        </w:rPr>
      </w:pPr>
      <w:r>
        <w:rPr>
          <w:rFonts w:ascii="Times New Roman" w:eastAsia="Times New Roman" w:hAnsi="Times New Roman" w:cs="Times New Roman"/>
          <w:bCs/>
          <w:kern w:val="2"/>
          <w:sz w:val="24"/>
          <w:szCs w:val="24"/>
        </w:rPr>
        <w:t>1.Сильний вітер</w:t>
      </w:r>
    </w:p>
    <w:p w:rsidR="00D227E2" w:rsidRDefault="00934FC4">
      <w:pPr>
        <w:spacing w:after="0"/>
        <w:ind w:firstLine="567"/>
        <w:jc w:val="both"/>
        <w:outlineLvl w:val="0"/>
        <w:rPr>
          <w:rFonts w:ascii="Times New Roman" w:hAnsi="Times New Roman" w:cs="Times New Roman"/>
        </w:rPr>
      </w:pPr>
      <w:r>
        <w:rPr>
          <w:rFonts w:ascii="Times New Roman" w:eastAsia="Times New Roman" w:hAnsi="Times New Roman" w:cs="Times New Roman"/>
          <w:bCs/>
          <w:kern w:val="2"/>
          <w:sz w:val="24"/>
          <w:szCs w:val="24"/>
        </w:rPr>
        <w:t xml:space="preserve">За даними Волинського ЦГМ в таблиці 82 приводиться кількість днів </w:t>
      </w:r>
      <w:r>
        <w:rPr>
          <w:rFonts w:ascii="Times New Roman" w:eastAsia="Times New Roman" w:hAnsi="Times New Roman" w:cs="Times New Roman"/>
          <w:bCs/>
          <w:sz w:val="24"/>
          <w:szCs w:val="24"/>
        </w:rPr>
        <w:t>з вітром 15 м/с та вище на території міста Луцьк за період 2000-2022 рр.</w:t>
      </w:r>
    </w:p>
    <w:p w:rsidR="00D227E2" w:rsidRDefault="00934FC4">
      <w:pPr>
        <w:spacing w:after="0"/>
        <w:ind w:firstLine="567"/>
        <w:jc w:val="center"/>
        <w:outlineLvl w:val="0"/>
        <w:rPr>
          <w:rFonts w:ascii="Times New Roman" w:hAnsi="Times New Roman" w:cs="Times New Roman"/>
        </w:rPr>
      </w:pPr>
      <w:r>
        <w:rPr>
          <w:rFonts w:ascii="Times New Roman" w:eastAsia="Times New Roman" w:hAnsi="Times New Roman" w:cs="Times New Roman"/>
          <w:sz w:val="24"/>
          <w:szCs w:val="24"/>
          <w:lang w:eastAsia="zh-CN"/>
        </w:rPr>
        <w:t>Таблиця 82. К</w:t>
      </w:r>
      <w:r>
        <w:rPr>
          <w:rFonts w:ascii="Times New Roman" w:eastAsia="Times New Roman" w:hAnsi="Times New Roman" w:cs="Times New Roman"/>
          <w:bCs/>
          <w:kern w:val="2"/>
          <w:sz w:val="24"/>
          <w:szCs w:val="24"/>
        </w:rPr>
        <w:t xml:space="preserve">ількість днів </w:t>
      </w:r>
      <w:r>
        <w:rPr>
          <w:rFonts w:ascii="Times New Roman" w:eastAsia="Times New Roman" w:hAnsi="Times New Roman" w:cs="Times New Roman"/>
          <w:bCs/>
          <w:sz w:val="24"/>
          <w:szCs w:val="24"/>
        </w:rPr>
        <w:t>з вітром 15 м/с та вище на території міста Луцьк за період 2000-2022 рр.</w:t>
      </w:r>
    </w:p>
    <w:tbl>
      <w:tblPr>
        <w:tblW w:w="9638" w:type="dxa"/>
        <w:tblInd w:w="109" w:type="dxa"/>
        <w:tblLayout w:type="fixed"/>
        <w:tblLook w:val="0000" w:firstRow="0" w:lastRow="0" w:firstColumn="0" w:lastColumn="0" w:noHBand="0" w:noVBand="0"/>
      </w:tblPr>
      <w:tblGrid>
        <w:gridCol w:w="639"/>
        <w:gridCol w:w="666"/>
        <w:gridCol w:w="639"/>
        <w:gridCol w:w="666"/>
        <w:gridCol w:w="639"/>
        <w:gridCol w:w="665"/>
        <w:gridCol w:w="777"/>
        <w:gridCol w:w="661"/>
        <w:gridCol w:w="780"/>
        <w:gridCol w:w="658"/>
        <w:gridCol w:w="783"/>
        <w:gridCol w:w="709"/>
        <w:gridCol w:w="691"/>
        <w:gridCol w:w="27"/>
        <w:gridCol w:w="638"/>
      </w:tblGrid>
      <w:tr w:rsidR="00D227E2">
        <w:trPr>
          <w:trHeight w:val="337"/>
        </w:trPr>
        <w:tc>
          <w:tcPr>
            <w:tcW w:w="63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both"/>
              <w:rPr>
                <w:rFonts w:ascii="Times New Roman" w:hAnsi="Times New Roman" w:cs="Times New Roman"/>
              </w:rPr>
            </w:pPr>
            <w:r>
              <w:rPr>
                <w:rFonts w:ascii="Times New Roman" w:eastAsia="Times New Roman" w:hAnsi="Times New Roman" w:cs="Times New Roman"/>
                <w:sz w:val="20"/>
                <w:szCs w:val="20"/>
                <w:lang w:eastAsia="zh-CN"/>
              </w:rPr>
              <w:t>Роки</w:t>
            </w:r>
          </w:p>
        </w:tc>
        <w:tc>
          <w:tcPr>
            <w:tcW w:w="8361" w:type="dxa"/>
            <w:gridSpan w:val="13"/>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Кількість днів з вітром 15 м/с та вище</w:t>
            </w: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both"/>
              <w:rPr>
                <w:rFonts w:ascii="Times New Roman" w:hAnsi="Times New Roman" w:cs="Times New Roman"/>
              </w:rPr>
            </w:pPr>
            <w:r>
              <w:rPr>
                <w:rFonts w:ascii="Times New Roman" w:eastAsia="Times New Roman" w:hAnsi="Times New Roman" w:cs="Times New Roman"/>
                <w:sz w:val="20"/>
                <w:szCs w:val="20"/>
                <w:lang w:eastAsia="zh-CN"/>
              </w:rPr>
              <w:t>За</w:t>
            </w:r>
          </w:p>
          <w:p w:rsidR="00D227E2" w:rsidRDefault="00934FC4">
            <w:pPr>
              <w:spacing w:after="0" w:line="240" w:lineRule="auto"/>
              <w:jc w:val="both"/>
              <w:rPr>
                <w:rFonts w:ascii="Times New Roman" w:hAnsi="Times New Roman" w:cs="Times New Roman"/>
              </w:rPr>
            </w:pPr>
            <w:r>
              <w:rPr>
                <w:rFonts w:ascii="Times New Roman" w:eastAsia="Times New Roman" w:hAnsi="Times New Roman" w:cs="Times New Roman"/>
                <w:sz w:val="20"/>
                <w:szCs w:val="20"/>
                <w:lang w:eastAsia="zh-CN"/>
              </w:rPr>
              <w:t>рік</w:t>
            </w:r>
          </w:p>
        </w:tc>
      </w:tr>
      <w:tr w:rsidR="00D227E2">
        <w:trPr>
          <w:trHeight w:val="318"/>
        </w:trPr>
        <w:tc>
          <w:tcPr>
            <w:tcW w:w="638" w:type="dxa"/>
            <w:vMerge/>
            <w:tcBorders>
              <w:top w:val="single" w:sz="4" w:space="0" w:color="000000"/>
              <w:left w:val="single" w:sz="4" w:space="0" w:color="000000"/>
              <w:bottom w:val="single" w:sz="4" w:space="0" w:color="000000"/>
              <w:right w:val="single" w:sz="4" w:space="0" w:color="000000"/>
            </w:tcBorders>
            <w:shd w:val="clear" w:color="auto" w:fill="auto"/>
          </w:tcPr>
          <w:p w:rsidR="00D227E2" w:rsidRDefault="00D227E2">
            <w:pPr>
              <w:snapToGrid w:val="0"/>
              <w:spacing w:after="0" w:line="240" w:lineRule="auto"/>
              <w:jc w:val="both"/>
              <w:rPr>
                <w:rFonts w:ascii="Times New Roman" w:eastAsia="Times New Roman" w:hAnsi="Times New Roman" w:cs="Times New Roman"/>
                <w:sz w:val="20"/>
                <w:szCs w:val="20"/>
                <w:lang w:eastAsia="zh-CN"/>
              </w:rPr>
            </w:pPr>
          </w:p>
        </w:tc>
        <w:tc>
          <w:tcPr>
            <w:tcW w:w="666"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Січ</w:t>
            </w:r>
          </w:p>
        </w:tc>
        <w:tc>
          <w:tcPr>
            <w:tcW w:w="63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Лют</w:t>
            </w:r>
          </w:p>
        </w:tc>
        <w:tc>
          <w:tcPr>
            <w:tcW w:w="666"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Бер</w:t>
            </w:r>
          </w:p>
        </w:tc>
        <w:tc>
          <w:tcPr>
            <w:tcW w:w="63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Квіт</w:t>
            </w: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Трав</w:t>
            </w:r>
          </w:p>
        </w:tc>
        <w:tc>
          <w:tcPr>
            <w:tcW w:w="777"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Черв</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Лип</w:t>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Серп</w:t>
            </w:r>
          </w:p>
        </w:tc>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Вер</w:t>
            </w:r>
          </w:p>
        </w:tc>
        <w:tc>
          <w:tcPr>
            <w:tcW w:w="783"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Жовт</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Лист</w:t>
            </w:r>
          </w:p>
        </w:tc>
        <w:tc>
          <w:tcPr>
            <w:tcW w:w="69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Груд</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tcPr>
          <w:p w:rsidR="00D227E2" w:rsidRDefault="00D227E2">
            <w:pPr>
              <w:snapToGrid w:val="0"/>
              <w:spacing w:after="0" w:line="240" w:lineRule="auto"/>
              <w:jc w:val="both"/>
              <w:rPr>
                <w:rFonts w:ascii="Times New Roman" w:eastAsia="Times New Roman" w:hAnsi="Times New Roman" w:cs="Times New Roman"/>
                <w:sz w:val="20"/>
                <w:szCs w:val="20"/>
                <w:lang w:eastAsia="zh-CN"/>
              </w:rPr>
            </w:pPr>
          </w:p>
        </w:tc>
      </w:tr>
      <w:tr w:rsidR="00D227E2">
        <w:trPr>
          <w:trHeight w:val="318"/>
        </w:trPr>
        <w:tc>
          <w:tcPr>
            <w:tcW w:w="6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2000</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r>
      <w:tr w:rsidR="00D227E2">
        <w:trPr>
          <w:trHeight w:val="318"/>
        </w:trPr>
        <w:tc>
          <w:tcPr>
            <w:tcW w:w="6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2001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r>
      <w:tr w:rsidR="00D227E2">
        <w:trPr>
          <w:trHeight w:val="318"/>
        </w:trPr>
        <w:tc>
          <w:tcPr>
            <w:tcW w:w="6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2002</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3</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7</w:t>
            </w:r>
          </w:p>
        </w:tc>
      </w:tr>
      <w:tr w:rsidR="00D227E2">
        <w:trPr>
          <w:trHeight w:val="318"/>
        </w:trPr>
        <w:tc>
          <w:tcPr>
            <w:tcW w:w="6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2003</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6</w:t>
            </w:r>
          </w:p>
        </w:tc>
      </w:tr>
      <w:tr w:rsidR="00D227E2">
        <w:trPr>
          <w:trHeight w:val="318"/>
        </w:trPr>
        <w:tc>
          <w:tcPr>
            <w:tcW w:w="6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2004</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3</w:t>
            </w:r>
          </w:p>
        </w:tc>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8</w:t>
            </w:r>
          </w:p>
        </w:tc>
      </w:tr>
      <w:tr w:rsidR="00D227E2">
        <w:trPr>
          <w:trHeight w:val="318"/>
        </w:trPr>
        <w:tc>
          <w:tcPr>
            <w:tcW w:w="6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2005</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6</w:t>
            </w:r>
          </w:p>
        </w:tc>
      </w:tr>
      <w:tr w:rsidR="00D227E2">
        <w:trPr>
          <w:trHeight w:val="318"/>
        </w:trPr>
        <w:tc>
          <w:tcPr>
            <w:tcW w:w="6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2006</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3</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5</w:t>
            </w:r>
          </w:p>
        </w:tc>
      </w:tr>
      <w:tr w:rsidR="00D227E2">
        <w:trPr>
          <w:trHeight w:val="318"/>
        </w:trPr>
        <w:tc>
          <w:tcPr>
            <w:tcW w:w="6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2007</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7</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14</w:t>
            </w:r>
          </w:p>
        </w:tc>
      </w:tr>
      <w:tr w:rsidR="00D227E2">
        <w:trPr>
          <w:trHeight w:val="318"/>
        </w:trPr>
        <w:tc>
          <w:tcPr>
            <w:tcW w:w="6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2008</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6</w:t>
            </w:r>
          </w:p>
        </w:tc>
      </w:tr>
      <w:tr w:rsidR="00D227E2">
        <w:trPr>
          <w:trHeight w:val="318"/>
        </w:trPr>
        <w:tc>
          <w:tcPr>
            <w:tcW w:w="6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2009</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3</w:t>
            </w:r>
          </w:p>
        </w:tc>
      </w:tr>
      <w:tr w:rsidR="00D227E2">
        <w:trPr>
          <w:trHeight w:val="318"/>
        </w:trPr>
        <w:tc>
          <w:tcPr>
            <w:tcW w:w="6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2010</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5</w:t>
            </w:r>
          </w:p>
        </w:tc>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12</w:t>
            </w:r>
          </w:p>
        </w:tc>
      </w:tr>
      <w:tr w:rsidR="00D227E2">
        <w:trPr>
          <w:trHeight w:val="318"/>
        </w:trPr>
        <w:tc>
          <w:tcPr>
            <w:tcW w:w="6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2011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4</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3</w:t>
            </w: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13</w:t>
            </w:r>
          </w:p>
        </w:tc>
      </w:tr>
      <w:tr w:rsidR="00D227E2">
        <w:trPr>
          <w:trHeight w:val="318"/>
        </w:trPr>
        <w:tc>
          <w:tcPr>
            <w:tcW w:w="6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2012</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5</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3</w:t>
            </w:r>
          </w:p>
        </w:tc>
        <w:tc>
          <w:tcPr>
            <w:tcW w:w="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3</w:t>
            </w:r>
          </w:p>
        </w:tc>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0"/>
                <w:szCs w:val="20"/>
                <w:lang w:eastAsia="zh-CN"/>
              </w:rPr>
              <w:t>18</w:t>
            </w:r>
          </w:p>
        </w:tc>
      </w:tr>
      <w:tr w:rsidR="00D227E2">
        <w:trPr>
          <w:trHeight w:val="318"/>
        </w:trPr>
        <w:tc>
          <w:tcPr>
            <w:tcW w:w="6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2013</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0"/>
                <w:szCs w:val="20"/>
                <w:lang w:eastAsia="zh-CN"/>
              </w:rPr>
              <w:t>11</w:t>
            </w:r>
          </w:p>
        </w:tc>
      </w:tr>
      <w:tr w:rsidR="00D227E2">
        <w:trPr>
          <w:trHeight w:val="318"/>
        </w:trPr>
        <w:tc>
          <w:tcPr>
            <w:tcW w:w="6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2014</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3</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0"/>
                <w:szCs w:val="20"/>
                <w:lang w:eastAsia="zh-CN"/>
              </w:rPr>
              <w:t>10</w:t>
            </w:r>
          </w:p>
        </w:tc>
      </w:tr>
      <w:tr w:rsidR="00D227E2">
        <w:trPr>
          <w:trHeight w:val="318"/>
        </w:trPr>
        <w:tc>
          <w:tcPr>
            <w:tcW w:w="6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2015</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4</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4</w:t>
            </w: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3</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6</w:t>
            </w:r>
          </w:p>
        </w:tc>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0"/>
                <w:szCs w:val="20"/>
                <w:lang w:eastAsia="zh-CN"/>
              </w:rPr>
              <w:t>24</w:t>
            </w:r>
          </w:p>
        </w:tc>
      </w:tr>
      <w:tr w:rsidR="00D227E2">
        <w:trPr>
          <w:trHeight w:val="318"/>
        </w:trPr>
        <w:tc>
          <w:tcPr>
            <w:tcW w:w="6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2016</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0"/>
                <w:szCs w:val="20"/>
                <w:lang w:eastAsia="zh-CN"/>
              </w:rPr>
              <w:t>14</w:t>
            </w:r>
          </w:p>
        </w:tc>
      </w:tr>
      <w:tr w:rsidR="00D227E2">
        <w:trPr>
          <w:trHeight w:val="318"/>
        </w:trPr>
        <w:tc>
          <w:tcPr>
            <w:tcW w:w="6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2017</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4</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3</w:t>
            </w: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3</w:t>
            </w:r>
          </w:p>
        </w:tc>
        <w:tc>
          <w:tcPr>
            <w:tcW w:w="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3</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0"/>
                <w:szCs w:val="20"/>
                <w:lang w:eastAsia="zh-CN"/>
              </w:rPr>
              <w:t>22</w:t>
            </w:r>
          </w:p>
        </w:tc>
      </w:tr>
      <w:tr w:rsidR="00D227E2">
        <w:trPr>
          <w:trHeight w:val="318"/>
        </w:trPr>
        <w:tc>
          <w:tcPr>
            <w:tcW w:w="6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2018</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4</w:t>
            </w: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0"/>
                <w:szCs w:val="20"/>
                <w:lang w:eastAsia="zh-CN"/>
              </w:rPr>
              <w:t>13</w:t>
            </w:r>
          </w:p>
        </w:tc>
      </w:tr>
      <w:tr w:rsidR="00D227E2">
        <w:trPr>
          <w:trHeight w:val="318"/>
        </w:trPr>
        <w:tc>
          <w:tcPr>
            <w:tcW w:w="6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2019</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8</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0"/>
                <w:szCs w:val="20"/>
                <w:lang w:eastAsia="zh-CN"/>
              </w:rPr>
              <w:t>20</w:t>
            </w:r>
          </w:p>
        </w:tc>
      </w:tr>
      <w:tr w:rsidR="00D227E2">
        <w:trPr>
          <w:trHeight w:val="318"/>
        </w:trPr>
        <w:tc>
          <w:tcPr>
            <w:tcW w:w="6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2020</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4</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3</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3</w:t>
            </w: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3</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3</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0"/>
                <w:szCs w:val="20"/>
                <w:lang w:eastAsia="zh-CN"/>
              </w:rPr>
              <w:t>19</w:t>
            </w:r>
          </w:p>
        </w:tc>
      </w:tr>
      <w:tr w:rsidR="00D227E2">
        <w:trPr>
          <w:trHeight w:val="318"/>
        </w:trPr>
        <w:tc>
          <w:tcPr>
            <w:tcW w:w="6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2021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0"/>
                <w:szCs w:val="20"/>
                <w:lang w:eastAsia="zh-CN"/>
              </w:rPr>
              <w:t>14</w:t>
            </w:r>
          </w:p>
        </w:tc>
      </w:tr>
      <w:tr w:rsidR="00D227E2">
        <w:trPr>
          <w:trHeight w:val="381"/>
        </w:trPr>
        <w:tc>
          <w:tcPr>
            <w:tcW w:w="6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2022</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5</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4</w:t>
            </w:r>
          </w:p>
        </w:tc>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4</w:t>
            </w:r>
          </w:p>
        </w:tc>
        <w:tc>
          <w:tcPr>
            <w:tcW w:w="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2</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sz w:val="20"/>
                <w:szCs w:val="20"/>
                <w:lang w:eastAsia="zh-CN"/>
              </w:rPr>
              <w:t>-</w:t>
            </w:r>
          </w:p>
        </w:tc>
        <w:tc>
          <w:tcPr>
            <w:tcW w:w="6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0"/>
                <w:szCs w:val="20"/>
                <w:lang w:eastAsia="zh-CN"/>
              </w:rPr>
              <w:t>22</w:t>
            </w:r>
          </w:p>
        </w:tc>
      </w:tr>
    </w:tbl>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lastRenderedPageBreak/>
        <w:t>Можна зробити висновок, що ймовірність ризику виникнення сильного вітру є помірним із помірним впливом. Надалі прогнозується збільшення інтенсивності зі зростанням частоти проявів.</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2.Гроза (блискавка/грім)</w:t>
      </w:r>
    </w:p>
    <w:p w:rsidR="00D227E2" w:rsidRDefault="00934FC4">
      <w:pPr>
        <w:spacing w:after="0"/>
        <w:ind w:firstLine="567"/>
        <w:rPr>
          <w:rFonts w:ascii="Times New Roman" w:hAnsi="Times New Roman" w:cs="Times New Roman"/>
        </w:rPr>
      </w:pPr>
      <w:r>
        <w:rPr>
          <w:rFonts w:ascii="Times New Roman" w:eastAsia="NSimSun" w:hAnsi="Times New Roman" w:cs="Times New Roman"/>
          <w:color w:val="000000"/>
          <w:kern w:val="2"/>
          <w:sz w:val="24"/>
          <w:szCs w:val="24"/>
          <w:lang w:eastAsia="zh-CN" w:bidi="hi-IN"/>
        </w:rPr>
        <w:t xml:space="preserve">                     24.09.2023                                                             23.01.2020</w:t>
      </w:r>
    </w:p>
    <w:p w:rsidR="00D227E2" w:rsidRDefault="00934FC4">
      <w:pPr>
        <w:spacing w:after="0"/>
        <w:jc w:val="both"/>
        <w:rPr>
          <w:rFonts w:ascii="Times New Roman" w:hAnsi="Times New Roman" w:cs="Times New Roman"/>
        </w:rPr>
      </w:pPr>
      <w:r>
        <w:rPr>
          <w:noProof/>
          <w:lang w:eastAsia="uk-UA"/>
        </w:rPr>
        <w:drawing>
          <wp:inline distT="0" distB="0" distL="0" distR="0" wp14:anchorId="330FAE29" wp14:editId="7B9927C5">
            <wp:extent cx="2952750" cy="2133600"/>
            <wp:effectExtent l="0" t="0" r="0" b="0"/>
            <wp:docPr id="84" name="Рисунок 2" descr="https://konkurent.ua/media/uploads/prev/2023/09/24/08/18/14/Screenshot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Рисунок 2" descr="https://konkurent.ua/media/uploads/prev/2023/09/24/08/18/14/Screenshot_9.png"/>
                    <pic:cNvPicPr>
                      <a:picLocks noChangeAspect="1" noChangeArrowheads="1"/>
                    </pic:cNvPicPr>
                  </pic:nvPicPr>
                  <pic:blipFill>
                    <a:blip r:embed="rId131"/>
                    <a:stretch>
                      <a:fillRect/>
                    </a:stretch>
                  </pic:blipFill>
                  <pic:spPr bwMode="auto">
                    <a:xfrm>
                      <a:off x="0" y="0"/>
                      <a:ext cx="2952750" cy="2133600"/>
                    </a:xfrm>
                    <a:prstGeom prst="rect">
                      <a:avLst/>
                    </a:prstGeom>
                  </pic:spPr>
                </pic:pic>
              </a:graphicData>
            </a:graphic>
          </wp:inline>
        </w:drawing>
      </w:r>
      <w:r>
        <w:rPr>
          <w:rFonts w:ascii="Times New Roman" w:eastAsia="NSimSun" w:hAnsi="Times New Roman" w:cs="Times New Roman"/>
          <w:kern w:val="2"/>
          <w:sz w:val="24"/>
          <w:szCs w:val="24"/>
          <w:lang w:eastAsia="uk-UA"/>
        </w:rPr>
        <w:t xml:space="preserve"> </w:t>
      </w:r>
      <w:r>
        <w:rPr>
          <w:noProof/>
          <w:lang w:eastAsia="uk-UA"/>
        </w:rPr>
        <w:drawing>
          <wp:inline distT="0" distB="0" distL="0" distR="0" wp14:anchorId="3D979858" wp14:editId="7BBC3178">
            <wp:extent cx="3076575" cy="2141855"/>
            <wp:effectExtent l="0" t="0" r="0" b="0"/>
            <wp:docPr id="85" name="Рисунок 5" descr="https://bug.org.ua/wp-content/uploads/2020/01/968eed51aa25b51e9568a40fcb471eb13d00b6b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Рисунок 5" descr="https://bug.org.ua/wp-content/uploads/2020/01/968eed51aa25b51e9568a40fcb471eb13d00b6bd.jpeg"/>
                    <pic:cNvPicPr>
                      <a:picLocks noChangeAspect="1" noChangeArrowheads="1"/>
                    </pic:cNvPicPr>
                  </pic:nvPicPr>
                  <pic:blipFill>
                    <a:blip r:embed="rId132"/>
                    <a:stretch>
                      <a:fillRect/>
                    </a:stretch>
                  </pic:blipFill>
                  <pic:spPr bwMode="auto">
                    <a:xfrm>
                      <a:off x="0" y="0"/>
                      <a:ext cx="3076575" cy="2141855"/>
                    </a:xfrm>
                    <a:prstGeom prst="rect">
                      <a:avLst/>
                    </a:prstGeom>
                  </pic:spPr>
                </pic:pic>
              </a:graphicData>
            </a:graphic>
          </wp:inline>
        </w:drawing>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color w:val="000000"/>
          <w:sz w:val="24"/>
          <w:szCs w:val="24"/>
          <w:shd w:val="clear" w:color="auto" w:fill="FFFFFF"/>
          <w:lang w:eastAsia="zh-CN" w:bidi="hi-IN"/>
        </w:rPr>
        <w:t xml:space="preserve">Сильна спека в Україні й на Волині чергується із грозами – типовим атмосферним явищем теплої пори року. </w:t>
      </w:r>
      <w:r>
        <w:rPr>
          <w:rFonts w:ascii="Times New Roman" w:hAnsi="Times New Roman" w:cs="Times New Roman"/>
          <w:color w:val="000000"/>
          <w:sz w:val="24"/>
          <w:szCs w:val="24"/>
          <w:shd w:val="clear" w:color="auto" w:fill="FFFFFF"/>
        </w:rPr>
        <w:t xml:space="preserve">Найнебезпечнішими під час грози є розряди блискавки (фіксуються випадки блискавки, що супроводжується громом і у зимовий період).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Так, як у Луцькій МТГ гроза (блискавка/грім) є типовим явищем, можна зробити висновок, що ймовірність ризиків виникнення грози (блискавки/грому) є низькою із помірним впливом. Надалі зміна інтенсивності та частоти проявів прогнозується без змін.</w:t>
      </w:r>
    </w:p>
    <w:p w:rsidR="00D227E2" w:rsidRDefault="00934FC4">
      <w:pPr>
        <w:spacing w:after="0"/>
        <w:ind w:firstLine="567"/>
        <w:jc w:val="both"/>
        <w:outlineLvl w:val="0"/>
        <w:rPr>
          <w:rFonts w:ascii="Times New Roman" w:hAnsi="Times New Roman" w:cs="Times New Roman"/>
        </w:rPr>
      </w:pPr>
      <w:r>
        <w:rPr>
          <w:rFonts w:ascii="Times New Roman" w:eastAsia="Times New Roman" w:hAnsi="Times New Roman" w:cs="Times New Roman"/>
          <w:bCs/>
          <w:kern w:val="2"/>
          <w:sz w:val="24"/>
          <w:szCs w:val="24"/>
          <w:u w:val="single"/>
        </w:rPr>
        <w:t>Стихійні пожежі</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Відповідно до наявних даних ГУ ДСНС України у Волинській області в межах території Луцька протягом 2016-2022 років зафіксовані лише надзвичайні ситуації, пов’язані з пожежами на відкритих ділянках місцевості (суха трава, сміття тощо).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У середньому за останні 7 років виникала 51 пожежа (площа горіння 44 га), у середньому по 7 пожеж на рік. Найбільша кількість пожеж виникла у 2020 році (14 випадків). Внаслідок пожеж постраждала територія площею приблизно 14,9 га, для ліквідації пожежі було залучено 74 одиниці особового складу та 21 одиниця спецтехніки. Основна причина займання – це суха трава та очерет,</w:t>
      </w:r>
      <w:r>
        <w:rPr>
          <w:rFonts w:ascii="Times New Roman" w:eastAsia="NSimSun" w:hAnsi="Times New Roman" w:cs="Times New Roman"/>
          <w:kern w:val="2"/>
          <w:sz w:val="24"/>
          <w:szCs w:val="24"/>
          <w:shd w:val="clear" w:color="auto" w:fill="FFFFFF"/>
          <w:lang w:eastAsia="zh-CN" w:bidi="hi-IN"/>
        </w:rPr>
        <w:t xml:space="preserve"> а також недбале ставлення людини до правил поводження з вогнем у навколишньому середовищі.</w:t>
      </w:r>
    </w:p>
    <w:p w:rsidR="00D227E2" w:rsidRDefault="00934FC4">
      <w:pPr>
        <w:spacing w:after="0"/>
        <w:ind w:firstLine="567"/>
        <w:jc w:val="both"/>
        <w:outlineLvl w:val="0"/>
        <w:rPr>
          <w:rFonts w:ascii="Times New Roman" w:hAnsi="Times New Roman" w:cs="Times New Roman"/>
        </w:rPr>
      </w:pPr>
      <w:r>
        <w:rPr>
          <w:rFonts w:ascii="Times New Roman" w:eastAsia="Times New Roman" w:hAnsi="Times New Roman" w:cs="Times New Roman"/>
          <w:bCs/>
          <w:kern w:val="2"/>
          <w:sz w:val="24"/>
          <w:szCs w:val="24"/>
          <w:shd w:val="clear" w:color="auto" w:fill="FFFFFF"/>
        </w:rPr>
        <w:t>1.Лісові пожежі</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Можна зробити висновок, що ймовірність</w:t>
      </w:r>
      <w:r>
        <w:rPr>
          <w:rFonts w:ascii="Times New Roman" w:eastAsia="NSimSun" w:hAnsi="Times New Roman" w:cs="Times New Roman"/>
          <w:color w:val="000000"/>
          <w:kern w:val="2"/>
          <w:sz w:val="24"/>
          <w:szCs w:val="24"/>
          <w:lang w:eastAsia="zh-CN" w:bidi="hi-IN"/>
        </w:rPr>
        <w:t xml:space="preserve"> ризику виникнення лісової пожежі є помірним із помірним впливом. Надалі прогнозується зростання інтенсивності зі зростанням частоти проявів.</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2.Пожежі на землі</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Можна зробити висновок, що ймовірність ризиків виникнення пожежі на землі є помірним із помірним впливом. Надалі прогнозується зростання інтенсивності зі зростанням частоти проявів.</w:t>
      </w:r>
    </w:p>
    <w:p w:rsidR="00D227E2" w:rsidRDefault="00934FC4">
      <w:pPr>
        <w:spacing w:after="0"/>
        <w:ind w:firstLine="567"/>
        <w:jc w:val="both"/>
        <w:outlineLvl w:val="0"/>
        <w:rPr>
          <w:rFonts w:ascii="Times New Roman" w:hAnsi="Times New Roman" w:cs="Times New Roman"/>
        </w:rPr>
      </w:pPr>
      <w:r>
        <w:rPr>
          <w:rFonts w:ascii="Times New Roman" w:eastAsia="Times New Roman" w:hAnsi="Times New Roman" w:cs="Times New Roman"/>
          <w:bCs/>
          <w:kern w:val="2"/>
          <w:sz w:val="24"/>
          <w:szCs w:val="24"/>
          <w:u w:val="single"/>
        </w:rPr>
        <w:t>Біологічні загрози</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Біологічні загрози, як наявні, так і нові, є одним з найбільших викликів для системи громадського здоров’я у світі. Особливо вразливі країни, які не мають власного виробництва діагностичних засобів, медичних виробів та лікарських препаратів, оскільки в умовах </w:t>
      </w:r>
      <w:r>
        <w:rPr>
          <w:rFonts w:ascii="Times New Roman" w:eastAsia="NSimSun" w:hAnsi="Times New Roman" w:cs="Times New Roman"/>
          <w:kern w:val="2"/>
          <w:sz w:val="24"/>
          <w:szCs w:val="24"/>
          <w:lang w:eastAsia="zh-CN" w:bidi="hi-IN"/>
        </w:rPr>
        <w:lastRenderedPageBreak/>
        <w:t xml:space="preserve">пандемії або надзвичайної ситуації виникають глобальний дефіцит та висока конкуренція. Україна не є винятком.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Зміна клімату має значний вплив на здоров’я людей, особливо це стосується великих міст з високим рівнем урбанізації.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Луцька громада розміщена серед великої кількості лісів в екологічно чистій зоні. Однак деякі наслідки зміни клімату все ж позначаються на здоров’ї лучан, особливо на вразливих групах населення (це особи похилого віку, діти, особи, що страждають на хронічні серцево-судинні захворювання, захворювання органів дихання, алергії тощо).</w:t>
      </w:r>
    </w:p>
    <w:p w:rsidR="00D227E2" w:rsidRDefault="00934FC4">
      <w:pPr>
        <w:spacing w:after="0"/>
        <w:ind w:firstLine="567"/>
        <w:jc w:val="both"/>
        <w:outlineLvl w:val="0"/>
        <w:rPr>
          <w:rFonts w:ascii="Times New Roman" w:hAnsi="Times New Roman" w:cs="Times New Roman"/>
        </w:rPr>
      </w:pPr>
      <w:r>
        <w:rPr>
          <w:rFonts w:ascii="Times New Roman" w:eastAsia="Times New Roman" w:hAnsi="Times New Roman" w:cs="Times New Roman"/>
          <w:bCs/>
          <w:kern w:val="2"/>
          <w:sz w:val="24"/>
          <w:szCs w:val="24"/>
        </w:rPr>
        <w:t>1.Захворювання спричинені водою</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Висновок: ймовірність ризику виникнення захворювання спричинених водою є низьким із низьким впливом. Надалі прогнозується зростання інтенсивності, частота проявів не відома.</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 xml:space="preserve">2.Захворювання викликані комахами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shd w:val="clear" w:color="auto" w:fill="FFFFFF"/>
          <w:lang w:eastAsia="zh-CN" w:bidi="hi-IN"/>
        </w:rPr>
        <w:t>Згідно з даними Луцького районного відділу ДУ «Волинський обласний центр контролю та профілактики хвороб МОЗ України», в м.Луцьку та Луцькому районі,  особливе епідемічне значення мають кліщовий береліоз (хвороба Лайма) і кліщовий вірусний енцефаліт. Це пояснюється наявністю переносників збудників інфекційних захворювань та сприятливими клімато-географічними умовами для їх розвитку.</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Віповідно до наявних статистичних даних за період 2012-2022 роки спостерігалася тенденція росту кількості хворих хворобою Лайма, по Луцьку за цей період зареєстровано 84 випадки в т.ч. серед дітей, особливий пік припав на 2016 рік 15 випадків, 2017 рік 13 випадків, 2019 рік 19 випадків та 2022 рік  11 випадків.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У 2018 році на території Луцька зареєстровано 2 випадки кліщового енцефаліту.</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Можна зробити висновок, що ймовірність ризиків виникнення захворювання викликаних мікроорганізмами є помірним із помірним впливом. В подальшому прогнозується зростання інтенсивності зі зростанням частоти проявів.</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3.Захворювання викликані поширенням алергенів інвазивних видів рослин</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 xml:space="preserve">Варто зауважити про розповсюдження на території Луцької МТГ адвентивних, інвазійних рослин (амброзія, борщівник, сахалінська гречка японська, клен ясенолистий, ехіноцистис лопатевий тощо).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Найбільшого поширення упродовж останніх років, серед вище переліченого набувають такі небезпечні види, як багаторічна рослина – борщівник Сосновського. Рослина сягає висоти більше двох метрів, багата на фотоактивні сполуки. Дотик до борщівника, особливо у період цвітіння, викликає важкі опіки у людей та тварин.</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Набуває поширення і інша небезпечна рослина – амброзія полинолиста, однорічна рослина за зовнішніми ознаками схожа на коноплі, а за розмірами і формою листків нагадує полин гіркий. Квітковий пилок амброзії шкідливий для людини. В період цвітіння, з середини липня до настання осінніх заморозків, серед населення спостерігається алергійне захворювання – амброзійний поліноз. Пилок амброзії, потрапляючи у ніс, бронхи викликає сльозотечу, порушує зір, підвищує температуру тіла, викликає запалення слизових оболонок верхніх дихальних шляхів, що призводить до приступів бронхіальної астми.</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Можна зробити висновок, що ймовірність ризиків виникнення захворювання викликаних поширенням алергенів інвазивних видів рослин є високим із високим впливом. Надалі прогнозується зростання інтенсивності зі зростанням частоти проявів.</w:t>
      </w:r>
    </w:p>
    <w:p w:rsidR="00D227E2" w:rsidRDefault="00D227E2">
      <w:pPr>
        <w:spacing w:after="0"/>
        <w:ind w:firstLine="567"/>
        <w:jc w:val="both"/>
        <w:outlineLvl w:val="0"/>
        <w:rPr>
          <w:rFonts w:ascii="Times New Roman" w:eastAsia="Times New Roman" w:hAnsi="Times New Roman" w:cs="Times New Roman"/>
          <w:b/>
          <w:bCs/>
          <w:kern w:val="2"/>
          <w:sz w:val="24"/>
          <w:szCs w:val="24"/>
        </w:rPr>
      </w:pPr>
      <w:bookmarkStart w:id="19" w:name="_bookmark20"/>
      <w:bookmarkStart w:id="20" w:name="_bookmark20_Copy_1"/>
      <w:bookmarkEnd w:id="19"/>
      <w:bookmarkEnd w:id="20"/>
    </w:p>
    <w:p w:rsidR="00D227E2" w:rsidRDefault="00934FC4">
      <w:pPr>
        <w:spacing w:after="0"/>
        <w:ind w:firstLine="567"/>
        <w:jc w:val="both"/>
        <w:outlineLvl w:val="0"/>
        <w:rPr>
          <w:rFonts w:ascii="Times New Roman" w:hAnsi="Times New Roman" w:cs="Times New Roman"/>
        </w:rPr>
      </w:pPr>
      <w:r>
        <w:rPr>
          <w:rFonts w:ascii="Times New Roman" w:eastAsia="Times New Roman" w:hAnsi="Times New Roman" w:cs="Times New Roman"/>
          <w:b/>
          <w:bCs/>
          <w:kern w:val="2"/>
          <w:sz w:val="24"/>
          <w:szCs w:val="24"/>
        </w:rPr>
        <w:lastRenderedPageBreak/>
        <w:t xml:space="preserve">6.3. Вплив зміни клімату на сектори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Зміна клімату має вплив практично на всі сектори громади, проте деякі з них є більш вразливими до кліматичних загроз.</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Оцінка вразливості секторів є передумовою для визначення відповідних заходів, спрямованих на адаптацію.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У цьому розділі проаналізовано сектори Луцької МТГ на які мають вплив визначені кліматичні загрози, а також вказано індикатори, на основі яких здійснено оцінку вразливості секторів, за допомогою цих індикаторів можна простежувати вплив кліматичних загроз на громаду в майбутньому.</w:t>
      </w:r>
    </w:p>
    <w:p w:rsidR="00D227E2" w:rsidRDefault="00934FC4">
      <w:pPr>
        <w:spacing w:after="0"/>
        <w:ind w:firstLine="567"/>
        <w:jc w:val="both"/>
        <w:outlineLvl w:val="0"/>
        <w:rPr>
          <w:rFonts w:ascii="Times New Roman" w:hAnsi="Times New Roman" w:cs="Times New Roman"/>
        </w:rPr>
      </w:pPr>
      <w:r>
        <w:rPr>
          <w:rFonts w:ascii="Times New Roman" w:eastAsia="Times New Roman" w:hAnsi="Times New Roman" w:cs="Times New Roman"/>
          <w:bCs/>
          <w:kern w:val="2"/>
          <w:sz w:val="24"/>
          <w:szCs w:val="24"/>
          <w:u w:val="single"/>
        </w:rPr>
        <w:t>Будівлі</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Секто будівлі є найбільш вразливим до стихійних метеорологічних явищ, що можуть спричинити руйнування, перебої у роботі та інші негативні наслідки для інфраструктури громади. Також на сектор будівель негативний вплив чинять екстремальні опади, які можуть спричинити протікання покрівель, підтоплення у ділянках з незадовільним технічним станом дощової (зливової) каналізації  (або повною її відсутністю).</w:t>
      </w:r>
    </w:p>
    <w:p w:rsidR="00D227E2" w:rsidRDefault="00934FC4">
      <w:pPr>
        <w:spacing w:after="0"/>
        <w:ind w:firstLine="567"/>
        <w:jc w:val="both"/>
        <w:outlineLvl w:val="0"/>
        <w:rPr>
          <w:rFonts w:ascii="Times New Roman" w:hAnsi="Times New Roman" w:cs="Times New Roman"/>
        </w:rPr>
      </w:pPr>
      <w:r>
        <w:rPr>
          <w:rFonts w:ascii="Times New Roman" w:eastAsia="Times New Roman" w:hAnsi="Times New Roman" w:cs="Times New Roman"/>
          <w:bCs/>
          <w:kern w:val="2"/>
          <w:sz w:val="24"/>
          <w:szCs w:val="24"/>
          <w:u w:val="single"/>
        </w:rPr>
        <w:t>Транспорт</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shd w:val="clear" w:color="auto" w:fill="FFFFFF"/>
          <w:lang w:eastAsia="zh-CN" w:bidi="hi-IN"/>
        </w:rPr>
        <w:t>Значний вплив на транспортний сектор має екстремальна спека. Це особливо стосується і громадського транспорту, необладнаного системами кондиціонування повітря, оскільки пасажири можуть відчувати дискомфорт під час перебування у салоні такого транспорту. Також висока температура спричиняє руйнування дорожнього покриття (просідання, утворення колій, тріщини).</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Крім того, на транспорт та транспортну інфраструктуру можуть впливати екстремальні опади та спричинені ними підтоплення.</w:t>
      </w:r>
    </w:p>
    <w:p w:rsidR="00D227E2" w:rsidRDefault="00934FC4">
      <w:pPr>
        <w:spacing w:after="0"/>
        <w:ind w:firstLine="567"/>
        <w:jc w:val="both"/>
        <w:outlineLvl w:val="0"/>
        <w:rPr>
          <w:rFonts w:ascii="Times New Roman" w:hAnsi="Times New Roman" w:cs="Times New Roman"/>
        </w:rPr>
      </w:pPr>
      <w:r>
        <w:rPr>
          <w:rFonts w:ascii="Times New Roman" w:eastAsia="Times New Roman" w:hAnsi="Times New Roman" w:cs="Times New Roman"/>
          <w:bCs/>
          <w:kern w:val="2"/>
          <w:sz w:val="24"/>
          <w:szCs w:val="24"/>
          <w:u w:val="single"/>
        </w:rPr>
        <w:t>Енергетика</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Галузь енергетики суттєво впливає на зміну клімату, як основне джерело викидів парникових газів. Водночас енергетика є найбільш вразливою до зміни клімату внаслідок о</w:t>
      </w:r>
      <w:r>
        <w:rPr>
          <w:rFonts w:ascii="Times New Roman" w:eastAsia="NSimSun" w:hAnsi="Times New Roman" w:cs="Times New Roman"/>
          <w:kern w:val="2"/>
          <w:sz w:val="24"/>
          <w:szCs w:val="24"/>
          <w:shd w:val="clear" w:color="auto" w:fill="FFFFFF"/>
          <w:lang w:eastAsia="zh-CN" w:bidi="hi-IN"/>
        </w:rPr>
        <w:t>собливостей її функціонування, пов’язаних з природно-кліматичними умовами та необхідністю суттєвої трансформації для забезпечення адаптації цього сектору.</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shd w:val="clear" w:color="auto" w:fill="FFFFFF"/>
          <w:lang w:eastAsia="zh-CN" w:bidi="hi-IN"/>
        </w:rPr>
        <w:t>Енергетична система громади значною мірою вразлива до впливу екстремальн</w:t>
      </w:r>
      <w:r>
        <w:rPr>
          <w:rFonts w:ascii="Times New Roman" w:eastAsia="NSimSun" w:hAnsi="Times New Roman" w:cs="Times New Roman"/>
          <w:kern w:val="2"/>
          <w:sz w:val="24"/>
          <w:szCs w:val="24"/>
          <w:lang w:eastAsia="zh-CN" w:bidi="hi-IN"/>
        </w:rPr>
        <w:t>ої спеки, оскільки це призводить до підвищеного споживання енергоресурсів для охолодження та кондиціонування приміщень, транспорту тощо. Разом з тим за останні роки дещо почастішали випадки стихійних метеорологічних явищ (буревії, сильний поривчастий вітер, інтенсивні опади тощо), що можуть спричинити виникнення аварійних ситуацій та впливати на роботу ліній електропередачі, надійність енергопостачання. Також одним з негативних явищ, які впливають на функціонування електричних мереж, є обледеніння повітряних ліній електропередачі, що спричинене різким коливанням температури в холодний період року.</w:t>
      </w:r>
    </w:p>
    <w:p w:rsidR="00D227E2" w:rsidRDefault="00934FC4">
      <w:pPr>
        <w:spacing w:after="0"/>
        <w:ind w:firstLine="567"/>
        <w:jc w:val="both"/>
        <w:outlineLvl w:val="0"/>
        <w:rPr>
          <w:rFonts w:ascii="Times New Roman" w:hAnsi="Times New Roman" w:cs="Times New Roman"/>
        </w:rPr>
      </w:pPr>
      <w:r>
        <w:rPr>
          <w:rFonts w:ascii="Times New Roman" w:eastAsia="Times New Roman" w:hAnsi="Times New Roman" w:cs="Times New Roman"/>
          <w:bCs/>
          <w:kern w:val="2"/>
          <w:sz w:val="24"/>
          <w:szCs w:val="24"/>
          <w:u w:val="single"/>
        </w:rPr>
        <w:t>Водопостачання</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Зміна клімату значно впливає і на сектор водопостачання та водовідведення, тому, що спостерігається значне зменшення стоку малих та середніх річок. Крім того, у громаді знижується інфільтраційне живлення ґрунтових і підземних вод, що призводить до пересихання колодязів і джерел води.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Однією з причин виникнення таких явищ є підвищення середньої температури повітря, виникнення посушливих періодів та нестача опадів, екстремальні температури влітку і інше.</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В Луцьку водопостачання здійснюється із артезіанських свердловин, додатковою альтернативою для міста є постачання води із р. Стир. Ситуація дещо складніша у прилеглих </w:t>
      </w:r>
      <w:r>
        <w:rPr>
          <w:rFonts w:ascii="Times New Roman" w:eastAsia="NSimSun" w:hAnsi="Times New Roman" w:cs="Times New Roman"/>
          <w:kern w:val="2"/>
          <w:sz w:val="24"/>
          <w:szCs w:val="24"/>
          <w:lang w:eastAsia="zh-CN" w:bidi="hi-IN"/>
        </w:rPr>
        <w:lastRenderedPageBreak/>
        <w:t>старостинських округах, там доступ до централізованого постачанням води мають 47 % мешканців.</w:t>
      </w:r>
    </w:p>
    <w:p w:rsidR="00D227E2" w:rsidRDefault="00934FC4">
      <w:pPr>
        <w:spacing w:after="0"/>
        <w:ind w:firstLine="567"/>
        <w:jc w:val="both"/>
        <w:outlineLvl w:val="0"/>
        <w:rPr>
          <w:rFonts w:ascii="Times New Roman" w:hAnsi="Times New Roman" w:cs="Times New Roman"/>
        </w:rPr>
      </w:pPr>
      <w:r>
        <w:rPr>
          <w:rFonts w:ascii="Times New Roman" w:eastAsia="Times New Roman" w:hAnsi="Times New Roman" w:cs="Times New Roman"/>
          <w:bCs/>
          <w:kern w:val="2"/>
          <w:sz w:val="24"/>
          <w:szCs w:val="24"/>
          <w:u w:val="single"/>
        </w:rPr>
        <w:t>Охорона здоров’я</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За підрахунками Всесвітньої організації охорони здоров’я, у період з 2030 по 2050 роки, зміна клімату стане причиною додаткових 250 тис. смертей у світі щорічно, викликаних переважно недостатнім харчуванням, малярією, кишковими інфекціями та прямими негативними впливами екстремально високих температур на організм.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shd w:val="clear" w:color="auto" w:fill="FFFFFF"/>
          <w:lang w:eastAsia="zh-CN" w:bidi="hi-IN"/>
        </w:rPr>
        <w:t xml:space="preserve">При цьому додаткові витрати на підтримку громадського здоров’я (включаючи додаткові витрати на сільське господарство, очищення води та проведення гігієнічних та санітарних заходів), тобто на сектори, що є визначальними у формуванні медико-демографічних характеристик населення, сягнуть 2 – 4 млрд дол. на рік (World Health Organization. Climate change and health. [Електронний ресурс]. – Режим доступу: https://www.who.int/news-room/fact-sheets/detail/climate-change-and-health).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Важливість впливу зміни клімату на здоров’я залежить від рівня адаптивності с</w:t>
      </w:r>
      <w:r>
        <w:rPr>
          <w:rFonts w:ascii="Times New Roman" w:eastAsia="NSimSun" w:hAnsi="Times New Roman" w:cs="Times New Roman"/>
          <w:color w:val="000000"/>
          <w:kern w:val="2"/>
          <w:sz w:val="24"/>
          <w:szCs w:val="24"/>
          <w:lang w:eastAsia="zh-CN" w:bidi="hi-IN"/>
        </w:rPr>
        <w:t>пільнот до негативних змін у зовнішньому середовищі. Водночас кількісні та якісні характеристики цих змін значно різняться залежно від місцевості проживання, початкового стану довкілля, поширення «зелених технологій» та екологічної свідомості громадян. Рівень чутливості осіб до негативних наслідків зміни клімату багато у чому залежить від індивідуальних особливостей функціонування організму, наявності гострих і хронічних захворювань. Однак найбільш схильними до загострень негативних станів є особи найстарших вікових груп і діти.</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 xml:space="preserve">Внаслідок підвищення температур формуються сприятливі умови для поширення інфекційних хвороб, зокрема тих, що спричиняють гострі кишкові інфекції. У літній період число інфекційних спалахів зростає у декілька раз в порівнянні з іншими періодами.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lang w:eastAsia="zh-CN" w:bidi="hi-IN"/>
        </w:rPr>
        <w:t xml:space="preserve">Динаміка захворюваності на гострі кишкові інфекції наведена у рисунку 56, дані надані Луцьким районним відділом ДУ «Волинський обласний центр контролю та профілактики хвороб МОЗ України». </w:t>
      </w:r>
    </w:p>
    <w:p w:rsidR="00D227E2" w:rsidRDefault="00934FC4">
      <w:pPr>
        <w:spacing w:after="0"/>
        <w:ind w:firstLine="567"/>
        <w:jc w:val="both"/>
        <w:rPr>
          <w:rFonts w:ascii="Times New Roman" w:eastAsia="NSimSun" w:hAnsi="Times New Roman" w:cs="Times New Roman"/>
          <w:kern w:val="2"/>
          <w:sz w:val="24"/>
          <w:szCs w:val="24"/>
          <w:lang w:eastAsia="zh-CN" w:bidi="hi-IN"/>
        </w:rPr>
      </w:pPr>
      <w:r>
        <w:rPr>
          <w:rFonts w:ascii="Times New Roman" w:eastAsia="NSimSun" w:hAnsi="Times New Roman" w:cs="Times New Roman"/>
          <w:noProof/>
          <w:kern w:val="2"/>
          <w:sz w:val="24"/>
          <w:szCs w:val="24"/>
          <w:lang w:eastAsia="uk-UA"/>
        </w:rPr>
        <w:drawing>
          <wp:anchor distT="0" distB="0" distL="0" distR="0" simplePos="0" relativeHeight="18" behindDoc="0" locked="0" layoutInCell="0" allowOverlap="1" wp14:anchorId="7DC2D010" wp14:editId="35B4DF3D">
            <wp:simplePos x="0" y="0"/>
            <wp:positionH relativeFrom="column">
              <wp:posOffset>1442720</wp:posOffset>
            </wp:positionH>
            <wp:positionV relativeFrom="paragraph">
              <wp:posOffset>69215</wp:posOffset>
            </wp:positionV>
            <wp:extent cx="3683635" cy="1938020"/>
            <wp:effectExtent l="0" t="0" r="0" b="0"/>
            <wp:wrapSquare wrapText="largest"/>
            <wp:docPr id="86" name="Об'єкт40" descr="діаграма"/>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anchor>
        </w:drawing>
      </w: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D227E2">
      <w:pPr>
        <w:spacing w:after="0"/>
        <w:ind w:firstLine="567"/>
        <w:jc w:val="both"/>
        <w:rPr>
          <w:rFonts w:ascii="Times New Roman" w:eastAsia="NSimSun" w:hAnsi="Times New Roman" w:cs="Times New Roman"/>
          <w:kern w:val="2"/>
          <w:sz w:val="24"/>
          <w:szCs w:val="24"/>
          <w:lang w:eastAsia="zh-CN" w:bidi="hi-IN"/>
        </w:rPr>
      </w:pP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Рисунок 56. Випадки гострих кишкових захворювань в Луцьку за 2012-2022 роки.</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Висока температура також спричиняє підвищення втомлюваності населення, стресового навантаження на організм та зменшення працездатності тощо.</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Окрім того, підвищення середньої температури подовжує період цвітіння рослин-алергенів. У цей час фіксується високий рівень алергенного пилку, що негативно впливає на якість життя алергіків та астматиків. Діти та підлітки більш схильні до виникнення алергій, порівняно з дорослим населенням. Крім того, для людей з хронічною астмою і алергіків </w:t>
      </w:r>
      <w:r>
        <w:rPr>
          <w:rFonts w:ascii="Times New Roman" w:eastAsia="NSimSun" w:hAnsi="Times New Roman" w:cs="Times New Roman"/>
          <w:kern w:val="2"/>
          <w:sz w:val="24"/>
          <w:szCs w:val="24"/>
          <w:lang w:eastAsia="zh-CN" w:bidi="hi-IN"/>
        </w:rPr>
        <w:lastRenderedPageBreak/>
        <w:t>посилюється ризик виникнення або ускладнення гострих респіраторних станів, що є значним фактором передчасної смертності.</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За даними ДУ «Волинський обласний центр контролю та профілактики хвороб МОЗ України» в останні роки у Волинській області збільшився потенційний ризик поширення захворювань, що передаються комахами та членистоногими (трансмісивні захворювання). На початку 2000-х років в Волинській області реєструвались поодинокі випадки захворювань на хворобу Лайма (кліщовий бореліоз), однак за останні 3 роки – щорічно реєструється майже по 50 випадків.</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У Луцькій громаді первинну медичну допомогу жителям надають КЗ «Луцький центр первинної медико-санітарної допомоги», 13 амбулаторій загальної практики сімейної медицини, 8 фельдшерсько-акушерських пунктів.</w:t>
      </w:r>
    </w:p>
    <w:p w:rsidR="00D227E2" w:rsidRDefault="00934FC4">
      <w:pPr>
        <w:spacing w:after="0"/>
        <w:ind w:firstLine="567"/>
        <w:jc w:val="both"/>
        <w:outlineLvl w:val="0"/>
        <w:rPr>
          <w:rFonts w:ascii="Times New Roman" w:hAnsi="Times New Roman" w:cs="Times New Roman"/>
        </w:rPr>
      </w:pPr>
      <w:r>
        <w:rPr>
          <w:rFonts w:ascii="Times New Roman" w:eastAsia="Times New Roman" w:hAnsi="Times New Roman" w:cs="Times New Roman"/>
          <w:bCs/>
          <w:kern w:val="2"/>
          <w:sz w:val="24"/>
          <w:szCs w:val="24"/>
          <w:u w:val="single"/>
        </w:rPr>
        <w:t>Захист населення в надзвичайних ситуаціях</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Виникнення надзвичайних ситуацій у зв’язку зі зміною клімату, становить ризик для Луцької МТГ. Почастішали випадки буревіїв, інтенсивних опадів та спричинених ними підтопленнями. Разом з тим, внаслідок дії високих температур та посушливих періодів підвищується ризик поширення пожеж у природних екосистемах, що завдають значних матеріальних збитків громаді та несуть загрозу знищення степових і лісових масивів зі шкодою для здоров’я людини, знищення сільськогосподарських угідь тощо.</w:t>
      </w:r>
    </w:p>
    <w:p w:rsidR="00D227E2" w:rsidRDefault="00934FC4">
      <w:pPr>
        <w:spacing w:after="0"/>
        <w:ind w:firstLine="567"/>
        <w:jc w:val="both"/>
        <w:outlineLvl w:val="0"/>
        <w:rPr>
          <w:rFonts w:ascii="Times New Roman" w:hAnsi="Times New Roman" w:cs="Times New Roman"/>
        </w:rPr>
      </w:pPr>
      <w:r>
        <w:rPr>
          <w:rFonts w:ascii="Times New Roman" w:eastAsia="Times New Roman" w:hAnsi="Times New Roman" w:cs="Times New Roman"/>
          <w:bCs/>
          <w:kern w:val="2"/>
          <w:sz w:val="24"/>
          <w:szCs w:val="24"/>
          <w:u w:val="single"/>
        </w:rPr>
        <w:t>Довкілля та біорізноманіття</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Значна частина природних систем може виявитися особливо чутливою до зміни клімату, оскільки вони мають обмежену здатність до адаптації, а деяким з цих систем може бути нанесений істотний та незворотний збиток. Значною мірою це стосується і багатьох видів живих організмів, які мешкають в природному середовищі в звичних умовах існування. Окремі види в нових умовах можуть збільшити чисельність або сфери перебування, але зміна клімату підвищить існуючі ризики знищення деяких більш уразливих видів і значно посилить загрозу втрати біорізноманіття.</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Згідно з даними Екологічного паспорту Волинської області за 2022 рік за сучасним зоогеографічним районуванням територія області належить до Західного району Поліського зоогеографічного округу Мішанолісової зоогеографічної провінції (поліська частина області) та Волинського височинного району Західнолісостепового округу Лісостепової зоогеографічної провінції (Волинське опілля) Європейської підобласті Голарктичної області.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Ландшафтне різноманіття, комплекс лісових та болотних екосистем, щільне розміщення озер, сприятливі кліматичні умови зумовлюють своєрідність та багатство біологічного різноманіття області.</w:t>
      </w:r>
    </w:p>
    <w:p w:rsidR="00D227E2" w:rsidRDefault="00934FC4">
      <w:pPr>
        <w:suppressAutoHyphens w:val="0"/>
        <w:spacing w:after="0"/>
        <w:ind w:firstLine="567"/>
        <w:jc w:val="both"/>
        <w:rPr>
          <w:rFonts w:ascii="Times New Roman" w:hAnsi="Times New Roman" w:cs="Times New Roman"/>
        </w:rPr>
      </w:pPr>
      <w:r>
        <w:rPr>
          <w:rFonts w:ascii="Times New Roman" w:eastAsia="Times New Roman" w:hAnsi="Times New Roman" w:cs="Times New Roman"/>
          <w:sz w:val="24"/>
          <w:szCs w:val="24"/>
          <w:lang w:eastAsia="ru-RU"/>
        </w:rPr>
        <w:t>Збереження видового різноманіття флори і фауни – одне із головних завдань природо</w:t>
      </w:r>
      <w:r>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хоронної справи, бо стійкість геосистем підтримується за умови формування складної про</w:t>
      </w:r>
      <w:r>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торової структури та насичення природних комплексів компонентами з високою біотичною продуктивністю, що сприяють підтриманню кількісних і якісних параметрів інших компон</w:t>
      </w:r>
      <w:r>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нтів.</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За висновками Всесвітнього фонду дикої природи земля втрачає біорізноманіття з такою швидкістю, яку можна було побачити лише під час масового знищення. Забруднення, вирубка лісів, зміни клімату, полювання та інші людські фактори є основними чинниками знищення локальних видів тварин.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u w:val="single"/>
          <w:lang w:eastAsia="zh-CN" w:bidi="hi-IN"/>
        </w:rPr>
        <w:t>Сільське та лісове господарство; планування землекористування</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lastRenderedPageBreak/>
        <w:t>У світі сільське господарство є ключовою галуззю економіки, забезпечуючи продовольчу безпеку та вироблення важливих видів сировини, разом з тим, воно є і суттєвим джерелом парникових газів. Тому, виникає потреба модернізації наявних моделей аграрного виробництва та удосконалення способів управління сільськогосподарськими системами з урахуванням зміни клімату.</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Наразі сільськогосподарська галузь України не є екстремально вразливою до зміни клімату. Однак зміни погодних умов (підвищення температури повітря, нерівномірний розподіл опадів, які мають зливовий характер у теплий період, неефективне накопичення вологи в ґрунтах) зумовлюють збільшення кількості та інтенсивності посушливих явищ.</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shd w:val="clear" w:color="auto" w:fill="FFFFFF"/>
          <w:lang w:eastAsia="zh-CN" w:bidi="hi-IN"/>
        </w:rPr>
        <w:t xml:space="preserve">За спостереженнями, як в Україні, так і у Волинській області можна помітити, що зими стають дедалі м’якішими та запізнілими. Міжсезоння стають більшими: весна наступає дуже повільно і тягнеться до середини червня, а осінь може тривати до грудня-січня. </w:t>
      </w:r>
      <w:r>
        <w:rPr>
          <w:rFonts w:ascii="Times New Roman" w:eastAsia="NSimSun" w:hAnsi="Times New Roman" w:cs="Times New Roman"/>
          <w:kern w:val="2"/>
          <w:sz w:val="24"/>
          <w:szCs w:val="24"/>
          <w:lang w:eastAsia="zh-CN" w:bidi="hi-IN"/>
        </w:rPr>
        <w:t>Із збільшенням посушливих періодів у році з’являється ризик збіднення екосистем, засуха сприятиме збільшенню кількості та частоти пожеж у лісах та степах.</w:t>
      </w:r>
    </w:p>
    <w:p w:rsidR="00D227E2" w:rsidRDefault="00934FC4">
      <w:pPr>
        <w:spacing w:after="0"/>
        <w:ind w:firstLine="567"/>
        <w:jc w:val="center"/>
        <w:rPr>
          <w:rFonts w:ascii="Times New Roman" w:hAnsi="Times New Roman" w:cs="Times New Roman"/>
        </w:rPr>
      </w:pPr>
      <w:r>
        <w:rPr>
          <w:rFonts w:ascii="Times New Roman" w:eastAsia="NSimSun" w:hAnsi="Times New Roman" w:cs="Times New Roman"/>
          <w:kern w:val="2"/>
          <w:sz w:val="24"/>
          <w:szCs w:val="24"/>
          <w:lang w:eastAsia="zh-CN" w:bidi="hi-IN"/>
        </w:rPr>
        <w:t xml:space="preserve">Таблиця 83. Вплив кліматичних загроз на сектори та індикатори для оцінки вразливості </w:t>
      </w:r>
    </w:p>
    <w:tbl>
      <w:tblPr>
        <w:tblStyle w:val="1f5"/>
        <w:tblW w:w="9772" w:type="dxa"/>
        <w:tblInd w:w="117" w:type="dxa"/>
        <w:tblLayout w:type="fixed"/>
        <w:tblLook w:val="04A0" w:firstRow="1" w:lastRow="0" w:firstColumn="1" w:lastColumn="0" w:noHBand="0" w:noVBand="1"/>
      </w:tblPr>
      <w:tblGrid>
        <w:gridCol w:w="1286"/>
        <w:gridCol w:w="1543"/>
        <w:gridCol w:w="1131"/>
        <w:gridCol w:w="3412"/>
        <w:gridCol w:w="1286"/>
        <w:gridCol w:w="1114"/>
      </w:tblGrid>
      <w:tr w:rsidR="00D227E2">
        <w:tc>
          <w:tcPr>
            <w:tcW w:w="1285" w:type="dxa"/>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z w:val="20"/>
                <w:szCs w:val="20"/>
              </w:rPr>
              <w:t>Кліматична загроза</w:t>
            </w:r>
          </w:p>
        </w:tc>
        <w:tc>
          <w:tcPr>
            <w:tcW w:w="1543" w:type="dxa"/>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z w:val="20"/>
                <w:szCs w:val="20"/>
              </w:rPr>
              <w:t>Вразливі сектори</w:t>
            </w:r>
          </w:p>
        </w:tc>
        <w:tc>
          <w:tcPr>
            <w:tcW w:w="1131" w:type="dxa"/>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z w:val="20"/>
                <w:szCs w:val="20"/>
              </w:rPr>
              <w:t>Рівень вразливості</w:t>
            </w:r>
          </w:p>
        </w:tc>
        <w:tc>
          <w:tcPr>
            <w:tcW w:w="3412" w:type="dxa"/>
            <w:vAlign w:val="center"/>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z w:val="20"/>
                <w:szCs w:val="20"/>
              </w:rPr>
              <w:t>Індикатор</w:t>
            </w:r>
          </w:p>
        </w:tc>
        <w:tc>
          <w:tcPr>
            <w:tcW w:w="1286" w:type="dxa"/>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z w:val="20"/>
                <w:szCs w:val="20"/>
              </w:rPr>
              <w:t>Індикаторна одиниця</w:t>
            </w:r>
          </w:p>
        </w:tc>
        <w:tc>
          <w:tcPr>
            <w:tcW w:w="1114" w:type="dxa"/>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z w:val="20"/>
                <w:szCs w:val="20"/>
              </w:rPr>
              <w:t>Значення показника</w:t>
            </w:r>
          </w:p>
        </w:tc>
      </w:tr>
      <w:tr w:rsidR="00D227E2">
        <w:tc>
          <w:tcPr>
            <w:tcW w:w="1285"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Екстремальна спека</w:t>
            </w:r>
          </w:p>
        </w:tc>
        <w:tc>
          <w:tcPr>
            <w:tcW w:w="1543"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Сільське та лісове господарство</w:t>
            </w:r>
          </w:p>
        </w:tc>
        <w:tc>
          <w:tcPr>
            <w:tcW w:w="1131"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високий</w:t>
            </w:r>
          </w:p>
        </w:tc>
        <w:tc>
          <w:tcPr>
            <w:tcW w:w="3412" w:type="dxa"/>
          </w:tcPr>
          <w:p w:rsidR="00D227E2" w:rsidRDefault="00934FC4">
            <w:pPr>
              <w:spacing w:after="0" w:line="240" w:lineRule="auto"/>
              <w:rPr>
                <w:rFonts w:ascii="Times New Roman" w:hAnsi="Times New Roman" w:cs="Times New Roman"/>
              </w:rPr>
            </w:pPr>
            <w:r>
              <w:rPr>
                <w:rFonts w:ascii="Times New Roman" w:eastAsia="NSimSun" w:hAnsi="Times New Roman" w:cs="Times New Roman"/>
                <w:kern w:val="2"/>
                <w:sz w:val="20"/>
                <w:szCs w:val="20"/>
              </w:rPr>
              <w:t>% втрат сільського господарства від екстремальних погодних умов/подій (наприклад, посуха/дефіцит води, ерозія ґрунту)</w:t>
            </w:r>
          </w:p>
        </w:tc>
        <w:tc>
          <w:tcPr>
            <w:tcW w:w="1286" w:type="dxa"/>
          </w:tcPr>
          <w:p w:rsidR="00D227E2" w:rsidRDefault="00934FC4">
            <w:pPr>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w:t>
            </w:r>
          </w:p>
        </w:tc>
        <w:tc>
          <w:tcPr>
            <w:tcW w:w="1114"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10</w:t>
            </w:r>
          </w:p>
        </w:tc>
      </w:tr>
      <w:tr w:rsidR="00D227E2">
        <w:tc>
          <w:tcPr>
            <w:tcW w:w="1285"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Екстремальна спека</w:t>
            </w:r>
          </w:p>
        </w:tc>
        <w:tc>
          <w:tcPr>
            <w:tcW w:w="1543"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Здоров’я</w:t>
            </w:r>
          </w:p>
        </w:tc>
        <w:tc>
          <w:tcPr>
            <w:tcW w:w="1131" w:type="dxa"/>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z w:val="20"/>
                <w:szCs w:val="20"/>
              </w:rPr>
              <w:t>помірний</w:t>
            </w:r>
          </w:p>
        </w:tc>
        <w:tc>
          <w:tcPr>
            <w:tcW w:w="3412" w:type="dxa"/>
          </w:tcPr>
          <w:p w:rsidR="00D227E2" w:rsidRDefault="00934FC4">
            <w:pPr>
              <w:spacing w:after="0" w:line="240" w:lineRule="auto"/>
              <w:rPr>
                <w:rFonts w:ascii="Times New Roman" w:hAnsi="Times New Roman" w:cs="Times New Roman"/>
              </w:rPr>
            </w:pPr>
            <w:r>
              <w:rPr>
                <w:rFonts w:ascii="Times New Roman" w:eastAsia="NSimSun" w:hAnsi="Times New Roman" w:cs="Times New Roman"/>
                <w:kern w:val="2"/>
                <w:sz w:val="20"/>
                <w:szCs w:val="20"/>
              </w:rPr>
              <w:t>Кількість смертей, пов’язаних із екстремальними погодними явищами (наприклад, хвилями спеки)</w:t>
            </w:r>
          </w:p>
        </w:tc>
        <w:tc>
          <w:tcPr>
            <w:tcW w:w="1286" w:type="dxa"/>
          </w:tcPr>
          <w:p w:rsidR="00D227E2" w:rsidRDefault="00934FC4">
            <w:pPr>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од (за рік / за певний період)</w:t>
            </w:r>
          </w:p>
          <w:p w:rsidR="00D227E2" w:rsidRDefault="00D227E2">
            <w:pPr>
              <w:spacing w:after="0" w:line="240" w:lineRule="auto"/>
              <w:jc w:val="center"/>
              <w:rPr>
                <w:rFonts w:ascii="Times New Roman" w:hAnsi="Times New Roman" w:cs="Times New Roman"/>
                <w:sz w:val="20"/>
                <w:szCs w:val="20"/>
              </w:rPr>
            </w:pPr>
          </w:p>
        </w:tc>
        <w:tc>
          <w:tcPr>
            <w:tcW w:w="1114" w:type="dxa"/>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100</w:t>
            </w:r>
          </w:p>
        </w:tc>
      </w:tr>
      <w:tr w:rsidR="00D227E2">
        <w:tc>
          <w:tcPr>
            <w:tcW w:w="1285"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Екстремальний холод</w:t>
            </w:r>
          </w:p>
        </w:tc>
        <w:tc>
          <w:tcPr>
            <w:tcW w:w="1543"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Сільське та лісове господарство</w:t>
            </w:r>
          </w:p>
        </w:tc>
        <w:tc>
          <w:tcPr>
            <w:tcW w:w="1131" w:type="dxa"/>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z w:val="20"/>
                <w:szCs w:val="20"/>
              </w:rPr>
              <w:t>високий</w:t>
            </w:r>
          </w:p>
        </w:tc>
        <w:tc>
          <w:tcPr>
            <w:tcW w:w="3412" w:type="dxa"/>
            <w:vAlign w:val="center"/>
          </w:tcPr>
          <w:p w:rsidR="00D227E2" w:rsidRDefault="00934FC4">
            <w:pPr>
              <w:spacing w:after="0" w:line="240" w:lineRule="auto"/>
              <w:rPr>
                <w:rFonts w:ascii="Times New Roman" w:hAnsi="Times New Roman" w:cs="Times New Roman"/>
              </w:rPr>
            </w:pPr>
            <w:r>
              <w:rPr>
                <w:rFonts w:ascii="Times New Roman" w:eastAsia="NSimSun" w:hAnsi="Times New Roman" w:cs="Times New Roman"/>
                <w:kern w:val="2"/>
                <w:sz w:val="20"/>
                <w:szCs w:val="20"/>
              </w:rPr>
              <w:t>% зміни врожайності сільськогосподарських культур</w:t>
            </w:r>
          </w:p>
        </w:tc>
        <w:tc>
          <w:tcPr>
            <w:tcW w:w="1286" w:type="dxa"/>
          </w:tcPr>
          <w:p w:rsidR="00D227E2" w:rsidRDefault="00934FC4">
            <w:pPr>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w:t>
            </w:r>
          </w:p>
        </w:tc>
        <w:tc>
          <w:tcPr>
            <w:tcW w:w="1114" w:type="dxa"/>
          </w:tcPr>
          <w:p w:rsidR="00D227E2" w:rsidRDefault="00934FC4">
            <w:pPr>
              <w:widowControl w:val="0"/>
              <w:spacing w:after="0" w:line="240" w:lineRule="auto"/>
              <w:jc w:val="center"/>
              <w:rPr>
                <w:rFonts w:ascii="Times New Roman" w:hAnsi="Times New Roman" w:cs="Times New Roman"/>
              </w:rPr>
            </w:pPr>
            <w:r>
              <w:rPr>
                <w:rFonts w:ascii="Times New Roman" w:eastAsia="Times New Roman" w:hAnsi="Times New Roman" w:cs="Times New Roman"/>
                <w:kern w:val="2"/>
                <w:sz w:val="20"/>
                <w:szCs w:val="20"/>
              </w:rPr>
              <w:t>5</w:t>
            </w:r>
          </w:p>
        </w:tc>
      </w:tr>
      <w:tr w:rsidR="00D227E2">
        <w:trPr>
          <w:trHeight w:val="571"/>
        </w:trPr>
        <w:tc>
          <w:tcPr>
            <w:tcW w:w="1285"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Екстремальний холод</w:t>
            </w:r>
          </w:p>
        </w:tc>
        <w:tc>
          <w:tcPr>
            <w:tcW w:w="1543"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Здоров’я</w:t>
            </w:r>
          </w:p>
        </w:tc>
        <w:tc>
          <w:tcPr>
            <w:tcW w:w="1131"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помірний</w:t>
            </w:r>
          </w:p>
        </w:tc>
        <w:tc>
          <w:tcPr>
            <w:tcW w:w="3412" w:type="dxa"/>
          </w:tcPr>
          <w:p w:rsidR="00D227E2" w:rsidRDefault="00934FC4">
            <w:pPr>
              <w:spacing w:after="0" w:line="240" w:lineRule="auto"/>
              <w:rPr>
                <w:rFonts w:ascii="Times New Roman" w:hAnsi="Times New Roman" w:cs="Times New Roman"/>
              </w:rPr>
            </w:pPr>
            <w:r>
              <w:rPr>
                <w:rFonts w:ascii="Times New Roman" w:eastAsia="NSimSun" w:hAnsi="Times New Roman" w:cs="Times New Roman"/>
                <w:kern w:val="2"/>
                <w:sz w:val="20"/>
                <w:szCs w:val="20"/>
              </w:rPr>
              <w:t>Кількість звернень у зв’язку обмороженням  через хвилі холоду</w:t>
            </w:r>
          </w:p>
        </w:tc>
        <w:tc>
          <w:tcPr>
            <w:tcW w:w="1286" w:type="dxa"/>
          </w:tcPr>
          <w:p w:rsidR="00D227E2" w:rsidRDefault="00934FC4">
            <w:pPr>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од (за рік / за певний період)</w:t>
            </w:r>
          </w:p>
        </w:tc>
        <w:tc>
          <w:tcPr>
            <w:tcW w:w="1114"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200</w:t>
            </w:r>
          </w:p>
        </w:tc>
      </w:tr>
      <w:tr w:rsidR="00D227E2">
        <w:tc>
          <w:tcPr>
            <w:tcW w:w="1285"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Екстремальні опади</w:t>
            </w:r>
          </w:p>
        </w:tc>
        <w:tc>
          <w:tcPr>
            <w:tcW w:w="1543"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Будівлі</w:t>
            </w:r>
          </w:p>
        </w:tc>
        <w:tc>
          <w:tcPr>
            <w:tcW w:w="1131"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високий</w:t>
            </w:r>
          </w:p>
        </w:tc>
        <w:tc>
          <w:tcPr>
            <w:tcW w:w="3412" w:type="dxa"/>
          </w:tcPr>
          <w:p w:rsidR="00D227E2" w:rsidRDefault="00934FC4">
            <w:pPr>
              <w:spacing w:after="0" w:line="240" w:lineRule="auto"/>
              <w:rPr>
                <w:rFonts w:ascii="Times New Roman" w:hAnsi="Times New Roman" w:cs="Times New Roman"/>
              </w:rPr>
            </w:pPr>
            <w:r>
              <w:rPr>
                <w:rFonts w:ascii="Times New Roman" w:eastAsia="NSimSun" w:hAnsi="Times New Roman" w:cs="Times New Roman"/>
                <w:kern w:val="2"/>
                <w:sz w:val="20"/>
                <w:szCs w:val="20"/>
              </w:rPr>
              <w:t>Кількість (громадських/житлових/третинних) будівель, пошкоджених внаслідок екстремальних опадів</w:t>
            </w:r>
          </w:p>
        </w:tc>
        <w:tc>
          <w:tcPr>
            <w:tcW w:w="1286" w:type="dxa"/>
          </w:tcPr>
          <w:p w:rsidR="00D227E2" w:rsidRDefault="00934FC4">
            <w:pPr>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од (за рік / за певний період)</w:t>
            </w:r>
          </w:p>
          <w:p w:rsidR="00D227E2" w:rsidRDefault="00D227E2">
            <w:pPr>
              <w:spacing w:after="0" w:line="240" w:lineRule="auto"/>
              <w:jc w:val="center"/>
              <w:rPr>
                <w:rFonts w:ascii="Times New Roman" w:hAnsi="Times New Roman" w:cs="Times New Roman"/>
                <w:sz w:val="20"/>
                <w:szCs w:val="20"/>
              </w:rPr>
            </w:pPr>
          </w:p>
        </w:tc>
        <w:tc>
          <w:tcPr>
            <w:tcW w:w="1114"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50</w:t>
            </w:r>
          </w:p>
        </w:tc>
      </w:tr>
      <w:tr w:rsidR="00D227E2">
        <w:tc>
          <w:tcPr>
            <w:tcW w:w="1285"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Повені та підвищення рівня води</w:t>
            </w:r>
          </w:p>
        </w:tc>
        <w:tc>
          <w:tcPr>
            <w:tcW w:w="1543"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Сільське та лісове господарство</w:t>
            </w:r>
          </w:p>
        </w:tc>
        <w:tc>
          <w:tcPr>
            <w:tcW w:w="1131"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помірний</w:t>
            </w:r>
          </w:p>
        </w:tc>
        <w:tc>
          <w:tcPr>
            <w:tcW w:w="3412" w:type="dxa"/>
          </w:tcPr>
          <w:p w:rsidR="00D227E2" w:rsidRDefault="00934FC4">
            <w:pPr>
              <w:spacing w:after="0" w:line="240" w:lineRule="auto"/>
              <w:rPr>
                <w:rFonts w:ascii="Times New Roman" w:hAnsi="Times New Roman" w:cs="Times New Roman"/>
              </w:rPr>
            </w:pPr>
            <w:r>
              <w:rPr>
                <w:rFonts w:ascii="Times New Roman" w:eastAsia="NSimSun" w:hAnsi="Times New Roman" w:cs="Times New Roman"/>
                <w:kern w:val="2"/>
                <w:sz w:val="20"/>
                <w:szCs w:val="20"/>
              </w:rPr>
              <w:t>Площа затоплених територій під час повеней</w:t>
            </w:r>
          </w:p>
        </w:tc>
        <w:tc>
          <w:tcPr>
            <w:tcW w:w="1286" w:type="dxa"/>
          </w:tcPr>
          <w:p w:rsidR="00D227E2" w:rsidRDefault="00934FC4">
            <w:pPr>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w:t>
            </w:r>
          </w:p>
        </w:tc>
        <w:tc>
          <w:tcPr>
            <w:tcW w:w="1114"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5</w:t>
            </w:r>
          </w:p>
        </w:tc>
      </w:tr>
      <w:tr w:rsidR="00D227E2">
        <w:tc>
          <w:tcPr>
            <w:tcW w:w="1285"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Посухи та дефіцит води</w:t>
            </w:r>
          </w:p>
        </w:tc>
        <w:tc>
          <w:tcPr>
            <w:tcW w:w="1543"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Сільське та лісове господарство</w:t>
            </w:r>
          </w:p>
        </w:tc>
        <w:tc>
          <w:tcPr>
            <w:tcW w:w="1131"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високий</w:t>
            </w:r>
          </w:p>
        </w:tc>
        <w:tc>
          <w:tcPr>
            <w:tcW w:w="3412" w:type="dxa"/>
          </w:tcPr>
          <w:p w:rsidR="00D227E2" w:rsidRDefault="00934FC4">
            <w:pPr>
              <w:spacing w:after="0" w:line="240" w:lineRule="auto"/>
              <w:rPr>
                <w:rFonts w:ascii="Times New Roman" w:hAnsi="Times New Roman" w:cs="Times New Roman"/>
              </w:rPr>
            </w:pPr>
            <w:r>
              <w:rPr>
                <w:rFonts w:ascii="Times New Roman" w:eastAsia="NSimSun" w:hAnsi="Times New Roman" w:cs="Times New Roman"/>
                <w:kern w:val="2"/>
                <w:sz w:val="20"/>
                <w:szCs w:val="20"/>
              </w:rPr>
              <w:t>% втрат сільського господарства від екстремальних погодних умов/подій (наприклад, посуха/дефіцит води, ерозія ґрунту)</w:t>
            </w:r>
          </w:p>
        </w:tc>
        <w:tc>
          <w:tcPr>
            <w:tcW w:w="1286" w:type="dxa"/>
          </w:tcPr>
          <w:p w:rsidR="00D227E2" w:rsidRDefault="00934FC4">
            <w:pPr>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w:t>
            </w:r>
          </w:p>
        </w:tc>
        <w:tc>
          <w:tcPr>
            <w:tcW w:w="1114"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20</w:t>
            </w:r>
          </w:p>
        </w:tc>
      </w:tr>
      <w:tr w:rsidR="00D227E2">
        <w:tc>
          <w:tcPr>
            <w:tcW w:w="1285"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Посухи та дефіцит води</w:t>
            </w:r>
          </w:p>
        </w:tc>
        <w:tc>
          <w:tcPr>
            <w:tcW w:w="1543"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Навколишнє середовище та біорізноманіття</w:t>
            </w:r>
          </w:p>
        </w:tc>
        <w:tc>
          <w:tcPr>
            <w:tcW w:w="1131"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помірний</w:t>
            </w:r>
          </w:p>
        </w:tc>
        <w:tc>
          <w:tcPr>
            <w:tcW w:w="3412" w:type="dxa"/>
          </w:tcPr>
          <w:p w:rsidR="00D227E2" w:rsidRDefault="00934FC4">
            <w:pPr>
              <w:spacing w:after="0" w:line="240" w:lineRule="auto"/>
              <w:rPr>
                <w:rFonts w:ascii="Times New Roman" w:hAnsi="Times New Roman" w:cs="Times New Roman"/>
              </w:rPr>
            </w:pPr>
            <w:r>
              <w:rPr>
                <w:rFonts w:ascii="Times New Roman" w:eastAsia="NSimSun" w:hAnsi="Times New Roman" w:cs="Times New Roman"/>
                <w:kern w:val="2"/>
                <w:sz w:val="20"/>
                <w:szCs w:val="20"/>
              </w:rPr>
              <w:t>% втрат середовища проживання внаслідок екстремальних погодних явищ</w:t>
            </w:r>
          </w:p>
        </w:tc>
        <w:tc>
          <w:tcPr>
            <w:tcW w:w="1286" w:type="dxa"/>
          </w:tcPr>
          <w:p w:rsidR="00D227E2" w:rsidRDefault="00934FC4">
            <w:pPr>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w:t>
            </w:r>
          </w:p>
        </w:tc>
        <w:tc>
          <w:tcPr>
            <w:tcW w:w="1114"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2</w:t>
            </w:r>
          </w:p>
        </w:tc>
      </w:tr>
      <w:tr w:rsidR="00D227E2">
        <w:tc>
          <w:tcPr>
            <w:tcW w:w="1285"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Посухи та дефіцит води</w:t>
            </w:r>
          </w:p>
        </w:tc>
        <w:tc>
          <w:tcPr>
            <w:tcW w:w="1543"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Вода</w:t>
            </w:r>
          </w:p>
        </w:tc>
        <w:tc>
          <w:tcPr>
            <w:tcW w:w="1131"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помірний</w:t>
            </w:r>
          </w:p>
        </w:tc>
        <w:tc>
          <w:tcPr>
            <w:tcW w:w="3412" w:type="dxa"/>
          </w:tcPr>
          <w:p w:rsidR="00D227E2" w:rsidRDefault="00934FC4">
            <w:pPr>
              <w:spacing w:after="0" w:line="240" w:lineRule="auto"/>
              <w:rPr>
                <w:rFonts w:ascii="Times New Roman" w:hAnsi="Times New Roman" w:cs="Times New Roman"/>
              </w:rPr>
            </w:pPr>
            <w:r>
              <w:rPr>
                <w:rFonts w:ascii="Times New Roman" w:eastAsia="NSimSun" w:hAnsi="Times New Roman" w:cs="Times New Roman"/>
                <w:kern w:val="2"/>
                <w:sz w:val="20"/>
                <w:szCs w:val="20"/>
              </w:rPr>
              <w:t>Кількість днів із перебоями в комунальних послугах (наприклад, енерго/водопостачання, охорона здоров’я/цивільний захист/надзвичайні служби, відходи)</w:t>
            </w:r>
          </w:p>
        </w:tc>
        <w:tc>
          <w:tcPr>
            <w:tcW w:w="1286" w:type="dxa"/>
          </w:tcPr>
          <w:p w:rsidR="00D227E2" w:rsidRDefault="00934FC4">
            <w:pPr>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од</w:t>
            </w:r>
          </w:p>
        </w:tc>
        <w:tc>
          <w:tcPr>
            <w:tcW w:w="1114"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5</w:t>
            </w:r>
          </w:p>
        </w:tc>
      </w:tr>
      <w:tr w:rsidR="00D227E2">
        <w:tc>
          <w:tcPr>
            <w:tcW w:w="1285"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Бурі</w:t>
            </w:r>
          </w:p>
        </w:tc>
        <w:tc>
          <w:tcPr>
            <w:tcW w:w="1543"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Сільське та лісове господарство</w:t>
            </w:r>
          </w:p>
        </w:tc>
        <w:tc>
          <w:tcPr>
            <w:tcW w:w="1131"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високий</w:t>
            </w:r>
          </w:p>
        </w:tc>
        <w:tc>
          <w:tcPr>
            <w:tcW w:w="3412" w:type="dxa"/>
          </w:tcPr>
          <w:p w:rsidR="00D227E2" w:rsidRDefault="00934FC4">
            <w:pPr>
              <w:spacing w:after="0" w:line="240" w:lineRule="auto"/>
              <w:rPr>
                <w:rFonts w:ascii="Times New Roman" w:hAnsi="Times New Roman" w:cs="Times New Roman"/>
              </w:rPr>
            </w:pPr>
            <w:r>
              <w:rPr>
                <w:rFonts w:ascii="Times New Roman" w:eastAsia="NSimSun" w:hAnsi="Times New Roman" w:cs="Times New Roman"/>
                <w:kern w:val="2"/>
                <w:sz w:val="20"/>
                <w:szCs w:val="20"/>
              </w:rPr>
              <w:t xml:space="preserve">% зміни врожайності сільськогосподарських культур / зміни річної продуктивності </w:t>
            </w:r>
            <w:r>
              <w:rPr>
                <w:rFonts w:ascii="Times New Roman" w:eastAsia="NSimSun" w:hAnsi="Times New Roman" w:cs="Times New Roman"/>
                <w:kern w:val="2"/>
                <w:sz w:val="20"/>
                <w:szCs w:val="20"/>
              </w:rPr>
              <w:lastRenderedPageBreak/>
              <w:t>пасовищ</w:t>
            </w:r>
          </w:p>
        </w:tc>
        <w:tc>
          <w:tcPr>
            <w:tcW w:w="1286" w:type="dxa"/>
          </w:tcPr>
          <w:p w:rsidR="00D227E2" w:rsidRDefault="00934FC4">
            <w:pPr>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lastRenderedPageBreak/>
              <w:t>%</w:t>
            </w:r>
          </w:p>
        </w:tc>
        <w:tc>
          <w:tcPr>
            <w:tcW w:w="1114"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5</w:t>
            </w:r>
          </w:p>
        </w:tc>
      </w:tr>
      <w:tr w:rsidR="00D227E2">
        <w:tc>
          <w:tcPr>
            <w:tcW w:w="1285"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lastRenderedPageBreak/>
              <w:t>Бурі</w:t>
            </w:r>
          </w:p>
        </w:tc>
        <w:tc>
          <w:tcPr>
            <w:tcW w:w="1543"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Будівлі</w:t>
            </w:r>
          </w:p>
        </w:tc>
        <w:tc>
          <w:tcPr>
            <w:tcW w:w="1131"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високий</w:t>
            </w:r>
          </w:p>
        </w:tc>
        <w:tc>
          <w:tcPr>
            <w:tcW w:w="3412" w:type="dxa"/>
          </w:tcPr>
          <w:p w:rsidR="00D227E2" w:rsidRDefault="00934FC4">
            <w:pPr>
              <w:spacing w:after="0" w:line="240" w:lineRule="auto"/>
              <w:rPr>
                <w:rFonts w:ascii="Times New Roman" w:hAnsi="Times New Roman" w:cs="Times New Roman"/>
              </w:rPr>
            </w:pPr>
            <w:r>
              <w:rPr>
                <w:rFonts w:ascii="Times New Roman" w:eastAsia="NSimSun" w:hAnsi="Times New Roman" w:cs="Times New Roman"/>
                <w:kern w:val="2"/>
                <w:sz w:val="20"/>
                <w:szCs w:val="20"/>
              </w:rPr>
              <w:t>Кількість або % (громадських/житлових/третіх) будівель, пошкоджених екстремальними погодними умовами/подіями</w:t>
            </w:r>
          </w:p>
        </w:tc>
        <w:tc>
          <w:tcPr>
            <w:tcW w:w="1286" w:type="dxa"/>
          </w:tcPr>
          <w:p w:rsidR="00D227E2" w:rsidRDefault="00934FC4">
            <w:pPr>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од (за рік / за певний період)</w:t>
            </w:r>
          </w:p>
          <w:p w:rsidR="00D227E2" w:rsidRDefault="00D227E2">
            <w:pPr>
              <w:spacing w:after="0" w:line="240" w:lineRule="auto"/>
              <w:jc w:val="center"/>
              <w:rPr>
                <w:rFonts w:ascii="Times New Roman" w:hAnsi="Times New Roman" w:cs="Times New Roman"/>
                <w:sz w:val="20"/>
                <w:szCs w:val="20"/>
              </w:rPr>
            </w:pPr>
          </w:p>
        </w:tc>
        <w:tc>
          <w:tcPr>
            <w:tcW w:w="1114"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50</w:t>
            </w:r>
          </w:p>
        </w:tc>
      </w:tr>
      <w:tr w:rsidR="00D227E2">
        <w:tc>
          <w:tcPr>
            <w:tcW w:w="1285"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Бурі</w:t>
            </w:r>
          </w:p>
        </w:tc>
        <w:tc>
          <w:tcPr>
            <w:tcW w:w="1543"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Енергія</w:t>
            </w:r>
          </w:p>
        </w:tc>
        <w:tc>
          <w:tcPr>
            <w:tcW w:w="1131"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високий</w:t>
            </w:r>
          </w:p>
        </w:tc>
        <w:tc>
          <w:tcPr>
            <w:tcW w:w="3412" w:type="dxa"/>
          </w:tcPr>
          <w:p w:rsidR="00D227E2" w:rsidRDefault="00934FC4">
            <w:pPr>
              <w:spacing w:after="0" w:line="240" w:lineRule="auto"/>
              <w:rPr>
                <w:rFonts w:ascii="Times New Roman" w:hAnsi="Times New Roman" w:cs="Times New Roman"/>
              </w:rPr>
            </w:pPr>
            <w:r>
              <w:rPr>
                <w:rFonts w:ascii="Times New Roman" w:eastAsia="NSimSun" w:hAnsi="Times New Roman" w:cs="Times New Roman"/>
                <w:kern w:val="2"/>
                <w:sz w:val="20"/>
                <w:szCs w:val="20"/>
              </w:rPr>
              <w:t>Кількість днів із перебоями в комунальних послугах (наприклад, енерго/водопостачання, охорона здоров’я/цивільний захист/надзвичайні служби, відходи)</w:t>
            </w:r>
          </w:p>
        </w:tc>
        <w:tc>
          <w:tcPr>
            <w:tcW w:w="1286" w:type="dxa"/>
          </w:tcPr>
          <w:p w:rsidR="00D227E2" w:rsidRDefault="00934FC4">
            <w:pPr>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од</w:t>
            </w:r>
          </w:p>
        </w:tc>
        <w:tc>
          <w:tcPr>
            <w:tcW w:w="1114"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2</w:t>
            </w:r>
          </w:p>
        </w:tc>
      </w:tr>
      <w:tr w:rsidR="00D227E2">
        <w:tc>
          <w:tcPr>
            <w:tcW w:w="1285"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Стихійні пожежі</w:t>
            </w:r>
          </w:p>
        </w:tc>
        <w:tc>
          <w:tcPr>
            <w:tcW w:w="1543"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Сільське та лісове господарство</w:t>
            </w:r>
          </w:p>
        </w:tc>
        <w:tc>
          <w:tcPr>
            <w:tcW w:w="1131"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помірний</w:t>
            </w:r>
          </w:p>
        </w:tc>
        <w:tc>
          <w:tcPr>
            <w:tcW w:w="3412" w:type="dxa"/>
          </w:tcPr>
          <w:p w:rsidR="00D227E2" w:rsidRDefault="00934FC4">
            <w:pPr>
              <w:spacing w:after="0" w:line="240" w:lineRule="auto"/>
              <w:rPr>
                <w:rFonts w:ascii="Times New Roman" w:hAnsi="Times New Roman" w:cs="Times New Roman"/>
              </w:rPr>
            </w:pPr>
            <w:r>
              <w:rPr>
                <w:rFonts w:ascii="Times New Roman" w:eastAsia="NSimSun" w:hAnsi="Times New Roman" w:cs="Times New Roman"/>
                <w:kern w:val="2"/>
                <w:sz w:val="20"/>
                <w:szCs w:val="20"/>
              </w:rPr>
              <w:t>% зміни врожайності сільськогосподарських культур / зміни річної продуктивності пасовищ</w:t>
            </w:r>
          </w:p>
        </w:tc>
        <w:tc>
          <w:tcPr>
            <w:tcW w:w="1286" w:type="dxa"/>
          </w:tcPr>
          <w:p w:rsidR="00D227E2" w:rsidRDefault="00934FC4">
            <w:pPr>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w:t>
            </w:r>
          </w:p>
        </w:tc>
        <w:tc>
          <w:tcPr>
            <w:tcW w:w="1114"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1</w:t>
            </w:r>
          </w:p>
        </w:tc>
      </w:tr>
      <w:tr w:rsidR="00D227E2">
        <w:tc>
          <w:tcPr>
            <w:tcW w:w="1285"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Стихійні пожежі</w:t>
            </w:r>
          </w:p>
        </w:tc>
        <w:tc>
          <w:tcPr>
            <w:tcW w:w="1543"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Навколишнє середовище та біорізноманіття</w:t>
            </w:r>
          </w:p>
        </w:tc>
        <w:tc>
          <w:tcPr>
            <w:tcW w:w="1131"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помірний</w:t>
            </w:r>
          </w:p>
        </w:tc>
        <w:tc>
          <w:tcPr>
            <w:tcW w:w="3412" w:type="dxa"/>
          </w:tcPr>
          <w:p w:rsidR="00D227E2" w:rsidRDefault="00934FC4">
            <w:pPr>
              <w:spacing w:after="0" w:line="240" w:lineRule="auto"/>
              <w:rPr>
                <w:rFonts w:ascii="Times New Roman" w:hAnsi="Times New Roman" w:cs="Times New Roman"/>
              </w:rPr>
            </w:pPr>
            <w:r>
              <w:rPr>
                <w:rFonts w:ascii="Times New Roman" w:eastAsia="NSimSun" w:hAnsi="Times New Roman" w:cs="Times New Roman"/>
                <w:kern w:val="2"/>
                <w:sz w:val="20"/>
                <w:szCs w:val="20"/>
              </w:rPr>
              <w:t>% місцевих видів (тварин/рослин), уражених хворобами, пов’язаними з екстремальними погодними умовами/подіями</w:t>
            </w:r>
          </w:p>
        </w:tc>
        <w:tc>
          <w:tcPr>
            <w:tcW w:w="1286" w:type="dxa"/>
          </w:tcPr>
          <w:p w:rsidR="00D227E2" w:rsidRDefault="00934FC4">
            <w:pPr>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w:t>
            </w:r>
          </w:p>
        </w:tc>
        <w:tc>
          <w:tcPr>
            <w:tcW w:w="1114"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3</w:t>
            </w:r>
          </w:p>
        </w:tc>
      </w:tr>
      <w:tr w:rsidR="00D227E2">
        <w:tc>
          <w:tcPr>
            <w:tcW w:w="1285"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Біологічна небезпека</w:t>
            </w:r>
          </w:p>
        </w:tc>
        <w:tc>
          <w:tcPr>
            <w:tcW w:w="1543"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Сільське та лісове господарство</w:t>
            </w:r>
          </w:p>
        </w:tc>
        <w:tc>
          <w:tcPr>
            <w:tcW w:w="1131"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помірний</w:t>
            </w:r>
          </w:p>
        </w:tc>
        <w:tc>
          <w:tcPr>
            <w:tcW w:w="3412" w:type="dxa"/>
          </w:tcPr>
          <w:p w:rsidR="00D227E2" w:rsidRDefault="00934FC4">
            <w:pPr>
              <w:spacing w:after="0" w:line="240" w:lineRule="auto"/>
              <w:rPr>
                <w:rFonts w:ascii="Times New Roman" w:hAnsi="Times New Roman" w:cs="Times New Roman"/>
              </w:rPr>
            </w:pPr>
            <w:r>
              <w:rPr>
                <w:rFonts w:ascii="Times New Roman" w:eastAsia="NSimSun" w:hAnsi="Times New Roman" w:cs="Times New Roman"/>
                <w:kern w:val="2"/>
                <w:sz w:val="20"/>
                <w:szCs w:val="20"/>
              </w:rPr>
              <w:t>% втрат худоби від шкідників/патогенів</w:t>
            </w:r>
          </w:p>
        </w:tc>
        <w:tc>
          <w:tcPr>
            <w:tcW w:w="1286" w:type="dxa"/>
          </w:tcPr>
          <w:p w:rsidR="00D227E2" w:rsidRDefault="00934FC4">
            <w:pPr>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w:t>
            </w:r>
          </w:p>
        </w:tc>
        <w:tc>
          <w:tcPr>
            <w:tcW w:w="1114"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5</w:t>
            </w:r>
          </w:p>
        </w:tc>
      </w:tr>
      <w:tr w:rsidR="00D227E2">
        <w:tc>
          <w:tcPr>
            <w:tcW w:w="1285"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Біологічна небезпека</w:t>
            </w:r>
          </w:p>
        </w:tc>
        <w:tc>
          <w:tcPr>
            <w:tcW w:w="1543"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Здоров’я</w:t>
            </w:r>
          </w:p>
        </w:tc>
        <w:tc>
          <w:tcPr>
            <w:tcW w:w="1131"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високий</w:t>
            </w:r>
          </w:p>
        </w:tc>
        <w:tc>
          <w:tcPr>
            <w:tcW w:w="3412" w:type="dxa"/>
          </w:tcPr>
          <w:p w:rsidR="00D227E2" w:rsidRDefault="00934FC4">
            <w:pPr>
              <w:spacing w:after="0" w:line="240" w:lineRule="auto"/>
              <w:rPr>
                <w:rFonts w:ascii="Times New Roman" w:hAnsi="Times New Roman" w:cs="Times New Roman"/>
              </w:rPr>
            </w:pPr>
            <w:r>
              <w:rPr>
                <w:rFonts w:ascii="Times New Roman" w:eastAsia="NSimSun" w:hAnsi="Times New Roman" w:cs="Times New Roman"/>
                <w:kern w:val="2"/>
                <w:sz w:val="20"/>
                <w:szCs w:val="20"/>
              </w:rPr>
              <w:t>Кількість смертей, пов’язаних із екстремальними погодними явищами (наприклад, хвилями спеки чи холоду)</w:t>
            </w:r>
          </w:p>
        </w:tc>
        <w:tc>
          <w:tcPr>
            <w:tcW w:w="1286" w:type="dxa"/>
          </w:tcPr>
          <w:p w:rsidR="00D227E2" w:rsidRDefault="00934FC4">
            <w:pPr>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од (за рік / за певний період)</w:t>
            </w:r>
          </w:p>
          <w:p w:rsidR="00D227E2" w:rsidRDefault="00D227E2">
            <w:pPr>
              <w:spacing w:after="0" w:line="240" w:lineRule="auto"/>
              <w:jc w:val="center"/>
              <w:rPr>
                <w:rFonts w:ascii="Times New Roman" w:hAnsi="Times New Roman" w:cs="Times New Roman"/>
                <w:sz w:val="20"/>
                <w:szCs w:val="20"/>
              </w:rPr>
            </w:pPr>
          </w:p>
        </w:tc>
        <w:tc>
          <w:tcPr>
            <w:tcW w:w="1114"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200</w:t>
            </w:r>
          </w:p>
        </w:tc>
      </w:tr>
      <w:tr w:rsidR="00D227E2">
        <w:tc>
          <w:tcPr>
            <w:tcW w:w="1285"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Інший</w:t>
            </w:r>
          </w:p>
        </w:tc>
        <w:tc>
          <w:tcPr>
            <w:tcW w:w="1543"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Здоров’я</w:t>
            </w:r>
          </w:p>
        </w:tc>
        <w:tc>
          <w:tcPr>
            <w:tcW w:w="1131"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високий</w:t>
            </w:r>
          </w:p>
        </w:tc>
        <w:tc>
          <w:tcPr>
            <w:tcW w:w="3412" w:type="dxa"/>
          </w:tcPr>
          <w:p w:rsidR="00D227E2" w:rsidRDefault="00934FC4">
            <w:pPr>
              <w:spacing w:after="0" w:line="240" w:lineRule="auto"/>
              <w:rPr>
                <w:rFonts w:ascii="Times New Roman" w:hAnsi="Times New Roman" w:cs="Times New Roman"/>
              </w:rPr>
            </w:pPr>
            <w:r>
              <w:rPr>
                <w:rFonts w:ascii="Times New Roman" w:eastAsia="NSimSun" w:hAnsi="Times New Roman" w:cs="Times New Roman"/>
                <w:kern w:val="2"/>
                <w:sz w:val="20"/>
                <w:szCs w:val="20"/>
              </w:rPr>
              <w:t>Кількість виданих попереджень щодо якості повітря</w:t>
            </w:r>
          </w:p>
        </w:tc>
        <w:tc>
          <w:tcPr>
            <w:tcW w:w="1286" w:type="dxa"/>
          </w:tcPr>
          <w:p w:rsidR="00D227E2" w:rsidRDefault="00934FC4">
            <w:pPr>
              <w:spacing w:after="0" w:line="240" w:lineRule="auto"/>
              <w:jc w:val="center"/>
              <w:rPr>
                <w:rFonts w:ascii="Times New Roman" w:hAnsi="Times New Roman" w:cs="Times New Roman"/>
              </w:rPr>
            </w:pPr>
            <w:r>
              <w:rPr>
                <w:rFonts w:ascii="Times New Roman" w:eastAsia="NSimSun" w:hAnsi="Times New Roman" w:cs="Times New Roman"/>
                <w:kern w:val="2"/>
                <w:sz w:val="20"/>
                <w:szCs w:val="20"/>
              </w:rPr>
              <w:t>од</w:t>
            </w:r>
          </w:p>
        </w:tc>
        <w:tc>
          <w:tcPr>
            <w:tcW w:w="1114" w:type="dxa"/>
          </w:tcPr>
          <w:p w:rsidR="00D227E2" w:rsidRDefault="00934FC4">
            <w:pPr>
              <w:widowControl w:val="0"/>
              <w:spacing w:after="0" w:line="240" w:lineRule="auto"/>
              <w:ind w:left="-7" w:firstLine="7"/>
              <w:jc w:val="center"/>
              <w:rPr>
                <w:rFonts w:ascii="Times New Roman" w:hAnsi="Times New Roman" w:cs="Times New Roman"/>
              </w:rPr>
            </w:pPr>
            <w:r>
              <w:rPr>
                <w:rFonts w:ascii="Times New Roman" w:eastAsia="Times New Roman" w:hAnsi="Times New Roman" w:cs="Times New Roman"/>
                <w:kern w:val="2"/>
                <w:sz w:val="20"/>
                <w:szCs w:val="20"/>
              </w:rPr>
              <w:t>10</w:t>
            </w:r>
          </w:p>
        </w:tc>
      </w:tr>
    </w:tbl>
    <w:p w:rsidR="00D227E2" w:rsidRDefault="00D227E2">
      <w:pPr>
        <w:spacing w:after="0"/>
        <w:jc w:val="both"/>
        <w:rPr>
          <w:rFonts w:ascii="Times New Roman" w:eastAsia="NSimSun" w:hAnsi="Times New Roman" w:cs="Times New Roman"/>
          <w:i/>
          <w:kern w:val="2"/>
          <w:sz w:val="24"/>
          <w:szCs w:val="24"/>
          <w:lang w:eastAsia="zh-CN" w:bidi="hi-IN"/>
        </w:rPr>
      </w:pPr>
    </w:p>
    <w:p w:rsidR="00D227E2" w:rsidRDefault="00934FC4">
      <w:pPr>
        <w:spacing w:after="0"/>
        <w:ind w:left="567"/>
        <w:jc w:val="both"/>
        <w:outlineLvl w:val="0"/>
        <w:rPr>
          <w:rFonts w:ascii="Times New Roman" w:hAnsi="Times New Roman" w:cs="Times New Roman"/>
        </w:rPr>
      </w:pPr>
      <w:bookmarkStart w:id="21" w:name="_bookmark21"/>
      <w:bookmarkStart w:id="22" w:name="_bookmark21_Copy_1"/>
      <w:bookmarkEnd w:id="21"/>
      <w:bookmarkEnd w:id="22"/>
      <w:r>
        <w:rPr>
          <w:rFonts w:ascii="Times New Roman" w:eastAsia="Times New Roman" w:hAnsi="Times New Roman" w:cs="Times New Roman"/>
          <w:b/>
          <w:bCs/>
          <w:kern w:val="2"/>
          <w:sz w:val="24"/>
          <w:szCs w:val="24"/>
        </w:rPr>
        <w:t>6.4. Оцінка спроможності громади до адаптації</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В цьому підрозділі проведено оцінку здатності Луцької МТГ пристосуватись до ідентифікованих кліматичних ризиків та визначено фактори адаптаційного потенціалу: доступ до послуг, соціально-економічні, урядові та інституційні, фізичні та екологічні, знання та інновації.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Для кожного фактору адаптації виконана оцінка рівня впливу (невідомий, низький, помірний та високий) та визначено індикатори для спостереження за змінами, результати представлено нижче в таблиці 84.</w:t>
      </w:r>
    </w:p>
    <w:p w:rsidR="00D227E2" w:rsidRDefault="00934FC4">
      <w:pPr>
        <w:spacing w:after="0"/>
        <w:ind w:firstLine="567"/>
        <w:jc w:val="center"/>
        <w:rPr>
          <w:rFonts w:ascii="Times New Roman" w:hAnsi="Times New Roman" w:cs="Times New Roman"/>
        </w:rPr>
      </w:pPr>
      <w:r>
        <w:rPr>
          <w:rFonts w:ascii="Times New Roman" w:eastAsia="NSimSun" w:hAnsi="Times New Roman" w:cs="Times New Roman"/>
          <w:kern w:val="2"/>
          <w:sz w:val="24"/>
          <w:szCs w:val="24"/>
          <w:lang w:eastAsia="zh-CN" w:bidi="hi-IN"/>
        </w:rPr>
        <w:t>Таблиця 84. Результати аналізу здатності громади до адаптації</w:t>
      </w:r>
    </w:p>
    <w:tbl>
      <w:tblPr>
        <w:tblW w:w="9781" w:type="dxa"/>
        <w:tblInd w:w="8" w:type="dxa"/>
        <w:tblLayout w:type="fixed"/>
        <w:tblCellMar>
          <w:left w:w="7" w:type="dxa"/>
          <w:right w:w="5" w:type="dxa"/>
        </w:tblCellMar>
        <w:tblLook w:val="01E0" w:firstRow="1" w:lastRow="1" w:firstColumn="1" w:lastColumn="1" w:noHBand="0" w:noVBand="0"/>
      </w:tblPr>
      <w:tblGrid>
        <w:gridCol w:w="1134"/>
        <w:gridCol w:w="1412"/>
        <w:gridCol w:w="1295"/>
        <w:gridCol w:w="1121"/>
        <w:gridCol w:w="2854"/>
        <w:gridCol w:w="1256"/>
        <w:gridCol w:w="709"/>
      </w:tblGrid>
      <w:tr w:rsidR="00D227E2">
        <w:trPr>
          <w:trHeight w:val="617"/>
        </w:trPr>
        <w:tc>
          <w:tcPr>
            <w:tcW w:w="1133" w:type="dxa"/>
            <w:tcBorders>
              <w:top w:val="single" w:sz="4" w:space="0" w:color="000000"/>
              <w:left w:val="single" w:sz="6"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Сектор</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Кліматична загроза</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Фактор потенціалу до адаптації</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Рівень</w:t>
            </w:r>
          </w:p>
        </w:tc>
        <w:tc>
          <w:tcPr>
            <w:tcW w:w="2854"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Індикатор</w:t>
            </w:r>
          </w:p>
        </w:tc>
        <w:tc>
          <w:tcPr>
            <w:tcW w:w="125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Індикаторна одиниця</w:t>
            </w:r>
          </w:p>
        </w:tc>
        <w:tc>
          <w:tcPr>
            <w:tcW w:w="70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Значення показника</w:t>
            </w:r>
          </w:p>
        </w:tc>
      </w:tr>
      <w:tr w:rsidR="00D227E2">
        <w:trPr>
          <w:trHeight w:val="476"/>
        </w:trPr>
        <w:tc>
          <w:tcPr>
            <w:tcW w:w="1133" w:type="dxa"/>
            <w:vMerge w:val="restart"/>
            <w:tcBorders>
              <w:top w:val="single" w:sz="4" w:space="0" w:color="000000"/>
              <w:left w:val="single" w:sz="6"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Будівлі</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Екстремальні опади</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Доступ до послуг</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Низький</w:t>
            </w:r>
          </w:p>
        </w:tc>
        <w:tc>
          <w:tcPr>
            <w:tcW w:w="2854"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line="240" w:lineRule="auto"/>
              <w:rPr>
                <w:rFonts w:ascii="Times New Roman" w:hAnsi="Times New Roman" w:cs="Times New Roman"/>
              </w:rPr>
            </w:pPr>
            <w:r>
              <w:rPr>
                <w:rFonts w:ascii="Times New Roman" w:hAnsi="Times New Roman" w:cs="Times New Roman"/>
                <w:sz w:val="20"/>
                <w:szCs w:val="20"/>
              </w:rPr>
              <w:t>Середній час, необхідний для подолання наслідків негоди</w:t>
            </w:r>
          </w:p>
        </w:tc>
        <w:tc>
          <w:tcPr>
            <w:tcW w:w="125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Хвилин</w:t>
            </w:r>
          </w:p>
        </w:tc>
        <w:tc>
          <w:tcPr>
            <w:tcW w:w="70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30</w:t>
            </w:r>
          </w:p>
        </w:tc>
      </w:tr>
      <w:tr w:rsidR="00D227E2">
        <w:trPr>
          <w:trHeight w:val="1120"/>
        </w:trPr>
        <w:tc>
          <w:tcPr>
            <w:tcW w:w="1133" w:type="dxa"/>
            <w:vMerge/>
            <w:tcBorders>
              <w:left w:val="single" w:sz="6" w:space="0" w:color="000000"/>
              <w:bottom w:val="single" w:sz="4" w:space="0" w:color="000000"/>
              <w:right w:val="single" w:sz="4" w:space="0" w:color="000000"/>
            </w:tcBorders>
            <w:shd w:val="clear" w:color="auto" w:fill="auto"/>
          </w:tcPr>
          <w:p w:rsidR="00D227E2" w:rsidRDefault="00D227E2">
            <w:pPr>
              <w:widowControl w:val="0"/>
              <w:spacing w:after="0" w:line="240" w:lineRule="auto"/>
              <w:ind w:hanging="7"/>
              <w:jc w:val="center"/>
              <w:rPr>
                <w:rFonts w:ascii="Times New Roman" w:eastAsia="Times New Roman" w:hAnsi="Times New Roman" w:cs="Times New Roman"/>
                <w:kern w:val="2"/>
                <w:sz w:val="20"/>
                <w:szCs w:val="20"/>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Бурі</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Соціально-економічний</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Помірний</w:t>
            </w:r>
          </w:p>
        </w:tc>
        <w:tc>
          <w:tcPr>
            <w:tcW w:w="2854"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line="240" w:lineRule="auto"/>
              <w:rPr>
                <w:rFonts w:ascii="Times New Roman" w:hAnsi="Times New Roman" w:cs="Times New Roman"/>
              </w:rPr>
            </w:pPr>
            <w:r>
              <w:rPr>
                <w:rFonts w:ascii="Times New Roman" w:hAnsi="Times New Roman" w:cs="Times New Roman"/>
                <w:sz w:val="20"/>
                <w:szCs w:val="20"/>
              </w:rPr>
              <w:t>% державних коштів, доступних для подолання кліматичної небезпеки та її наслідків (наприклад, пожежі, повені, спеки тощо)</w:t>
            </w:r>
          </w:p>
        </w:tc>
        <w:tc>
          <w:tcPr>
            <w:tcW w:w="125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3</w:t>
            </w:r>
          </w:p>
        </w:tc>
      </w:tr>
      <w:tr w:rsidR="00D227E2">
        <w:trPr>
          <w:trHeight w:val="488"/>
        </w:trPr>
        <w:tc>
          <w:tcPr>
            <w:tcW w:w="1133" w:type="dxa"/>
            <w:tcBorders>
              <w:top w:val="single" w:sz="4" w:space="0" w:color="000000"/>
              <w:left w:val="single" w:sz="6"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Енергія</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Бурі</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Доступ до послуг</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Низький</w:t>
            </w:r>
          </w:p>
        </w:tc>
        <w:tc>
          <w:tcPr>
            <w:tcW w:w="2854"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line="240" w:lineRule="auto"/>
              <w:rPr>
                <w:rFonts w:ascii="Times New Roman" w:hAnsi="Times New Roman" w:cs="Times New Roman"/>
              </w:rPr>
            </w:pPr>
            <w:r>
              <w:rPr>
                <w:rFonts w:ascii="Times New Roman" w:hAnsi="Times New Roman" w:cs="Times New Roman"/>
                <w:sz w:val="20"/>
                <w:szCs w:val="20"/>
              </w:rPr>
              <w:t>Середній час, необхідний для подолання наслідків негоди</w:t>
            </w:r>
          </w:p>
        </w:tc>
        <w:tc>
          <w:tcPr>
            <w:tcW w:w="125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Хвилин</w:t>
            </w:r>
          </w:p>
        </w:tc>
        <w:tc>
          <w:tcPr>
            <w:tcW w:w="70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30</w:t>
            </w:r>
          </w:p>
        </w:tc>
      </w:tr>
      <w:tr w:rsidR="00D227E2">
        <w:trPr>
          <w:trHeight w:val="273"/>
        </w:trPr>
        <w:tc>
          <w:tcPr>
            <w:tcW w:w="1133" w:type="dxa"/>
            <w:tcBorders>
              <w:top w:val="single" w:sz="4" w:space="0" w:color="000000"/>
              <w:left w:val="single" w:sz="6"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Вода</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Посухи та дефіцит води</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Доступ до послуг</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Низький</w:t>
            </w:r>
          </w:p>
        </w:tc>
        <w:tc>
          <w:tcPr>
            <w:tcW w:w="2854"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line="240" w:lineRule="auto"/>
              <w:rPr>
                <w:rFonts w:ascii="Times New Roman" w:hAnsi="Times New Roman" w:cs="Times New Roman"/>
              </w:rPr>
            </w:pPr>
            <w:r>
              <w:rPr>
                <w:rFonts w:ascii="Times New Roman" w:hAnsi="Times New Roman" w:cs="Times New Roman"/>
                <w:sz w:val="20"/>
                <w:szCs w:val="20"/>
              </w:rPr>
              <w:t>Середній час, необхідний для подолання наслідків негоди</w:t>
            </w:r>
          </w:p>
        </w:tc>
        <w:tc>
          <w:tcPr>
            <w:tcW w:w="125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Хвилин</w:t>
            </w:r>
          </w:p>
        </w:tc>
        <w:tc>
          <w:tcPr>
            <w:tcW w:w="70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60</w:t>
            </w:r>
          </w:p>
        </w:tc>
      </w:tr>
      <w:tr w:rsidR="00D227E2">
        <w:trPr>
          <w:trHeight w:val="1115"/>
        </w:trPr>
        <w:tc>
          <w:tcPr>
            <w:tcW w:w="1133" w:type="dxa"/>
            <w:vMerge w:val="restart"/>
            <w:tcBorders>
              <w:top w:val="single" w:sz="4" w:space="0" w:color="000000"/>
              <w:left w:val="single" w:sz="6"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lastRenderedPageBreak/>
              <w:t>Сільське та лісове господарство</w:t>
            </w:r>
          </w:p>
        </w:tc>
        <w:tc>
          <w:tcPr>
            <w:tcW w:w="141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Екстремальна спека</w:t>
            </w:r>
          </w:p>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Екстремальний холод</w:t>
            </w:r>
          </w:p>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Екстремальні опади Повені та підвищення рівня води</w:t>
            </w:r>
          </w:p>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Посухи та дефіцити води</w:t>
            </w:r>
          </w:p>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Бурі</w:t>
            </w:r>
          </w:p>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Стихійні пожежі</w:t>
            </w:r>
          </w:p>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Біологічні загрози</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Соціально-економічний</w:t>
            </w:r>
          </w:p>
          <w:p w:rsidR="00D227E2" w:rsidRDefault="00D227E2">
            <w:pPr>
              <w:widowControl w:val="0"/>
              <w:spacing w:after="0" w:line="240" w:lineRule="auto"/>
              <w:ind w:hanging="7"/>
              <w:jc w:val="center"/>
              <w:rPr>
                <w:rFonts w:ascii="Times New Roman" w:eastAsia="Times New Roman" w:hAnsi="Times New Roman" w:cs="Times New Roman"/>
                <w:kern w:val="2"/>
                <w:sz w:val="20"/>
                <w:szCs w:val="20"/>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Низький</w:t>
            </w:r>
          </w:p>
        </w:tc>
        <w:tc>
          <w:tcPr>
            <w:tcW w:w="2854"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line="240" w:lineRule="auto"/>
              <w:rPr>
                <w:rFonts w:ascii="Times New Roman" w:hAnsi="Times New Roman" w:cs="Times New Roman"/>
              </w:rPr>
            </w:pPr>
            <w:r>
              <w:rPr>
                <w:rFonts w:ascii="Times New Roman" w:hAnsi="Times New Roman" w:cs="Times New Roman"/>
                <w:sz w:val="20"/>
                <w:szCs w:val="20"/>
              </w:rPr>
              <w:t>% державних коштів, доступних для подолання кліматичної небезпеки та її наслідків (наприклад, пожежі, повені, спеки тощо)</w:t>
            </w:r>
          </w:p>
        </w:tc>
        <w:tc>
          <w:tcPr>
            <w:tcW w:w="125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0,01</w:t>
            </w:r>
          </w:p>
        </w:tc>
      </w:tr>
      <w:tr w:rsidR="00D227E2">
        <w:trPr>
          <w:trHeight w:val="1016"/>
        </w:trPr>
        <w:tc>
          <w:tcPr>
            <w:tcW w:w="1133" w:type="dxa"/>
            <w:vMerge/>
            <w:tcBorders>
              <w:left w:val="single" w:sz="6" w:space="0" w:color="000000"/>
              <w:bottom w:val="single" w:sz="4" w:space="0" w:color="000000"/>
              <w:right w:val="single" w:sz="4" w:space="0" w:color="000000"/>
            </w:tcBorders>
            <w:shd w:val="clear" w:color="auto" w:fill="auto"/>
          </w:tcPr>
          <w:p w:rsidR="00D227E2" w:rsidRDefault="00D227E2">
            <w:pPr>
              <w:widowControl w:val="0"/>
              <w:spacing w:after="0" w:line="240" w:lineRule="auto"/>
              <w:ind w:hanging="7"/>
              <w:jc w:val="center"/>
              <w:rPr>
                <w:rFonts w:ascii="Times New Roman" w:eastAsia="Times New Roman" w:hAnsi="Times New Roman" w:cs="Times New Roman"/>
                <w:kern w:val="2"/>
                <w:sz w:val="20"/>
                <w:szCs w:val="20"/>
              </w:rPr>
            </w:pPr>
          </w:p>
        </w:tc>
        <w:tc>
          <w:tcPr>
            <w:tcW w:w="1412" w:type="dxa"/>
            <w:vMerge/>
            <w:tcBorders>
              <w:left w:val="single" w:sz="4" w:space="0" w:color="000000"/>
              <w:bottom w:val="single" w:sz="4" w:space="0" w:color="000000"/>
              <w:right w:val="single" w:sz="4" w:space="0" w:color="000000"/>
            </w:tcBorders>
            <w:shd w:val="clear" w:color="auto" w:fill="auto"/>
          </w:tcPr>
          <w:p w:rsidR="00D227E2" w:rsidRDefault="00D227E2">
            <w:pPr>
              <w:widowControl w:val="0"/>
              <w:spacing w:after="0" w:line="240" w:lineRule="auto"/>
              <w:ind w:hanging="7"/>
              <w:jc w:val="center"/>
              <w:rPr>
                <w:rFonts w:ascii="Times New Roman" w:eastAsia="Times New Roman" w:hAnsi="Times New Roman" w:cs="Times New Roman"/>
                <w:kern w:val="2"/>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Фізичні та екологічні</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Низький</w:t>
            </w:r>
          </w:p>
        </w:tc>
        <w:tc>
          <w:tcPr>
            <w:tcW w:w="2854"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line="240" w:lineRule="auto"/>
              <w:rPr>
                <w:rFonts w:ascii="Times New Roman" w:hAnsi="Times New Roman" w:cs="Times New Roman"/>
              </w:rPr>
            </w:pPr>
            <w:r>
              <w:rPr>
                <w:rFonts w:ascii="Times New Roman" w:hAnsi="Times New Roman" w:cs="Times New Roman"/>
                <w:sz w:val="20"/>
                <w:szCs w:val="20"/>
              </w:rPr>
              <w:t>% зон, недоступних для реагування на надзвичайні ситуації (наприклад, пожежні служби)</w:t>
            </w:r>
          </w:p>
        </w:tc>
        <w:tc>
          <w:tcPr>
            <w:tcW w:w="125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5</w:t>
            </w:r>
          </w:p>
        </w:tc>
      </w:tr>
      <w:tr w:rsidR="00D227E2">
        <w:trPr>
          <w:trHeight w:val="1192"/>
        </w:trPr>
        <w:tc>
          <w:tcPr>
            <w:tcW w:w="1133" w:type="dxa"/>
            <w:vMerge w:val="restart"/>
            <w:tcBorders>
              <w:top w:val="single" w:sz="4" w:space="0" w:color="000000"/>
              <w:left w:val="single" w:sz="6"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Навколишнє середовище та біорізноманіття</w:t>
            </w:r>
          </w:p>
        </w:tc>
        <w:tc>
          <w:tcPr>
            <w:tcW w:w="141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Посухи та дефіцити води</w:t>
            </w:r>
          </w:p>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Стихійні пожежі</w:t>
            </w:r>
          </w:p>
          <w:p w:rsidR="00D227E2" w:rsidRDefault="00D227E2">
            <w:pPr>
              <w:widowControl w:val="0"/>
              <w:spacing w:after="0" w:line="240" w:lineRule="auto"/>
              <w:ind w:hanging="7"/>
              <w:jc w:val="center"/>
              <w:rPr>
                <w:rFonts w:ascii="Times New Roman" w:eastAsia="Times New Roman" w:hAnsi="Times New Roman" w:cs="Times New Roman"/>
                <w:kern w:val="2"/>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Соціально-економічний</w:t>
            </w:r>
          </w:p>
          <w:p w:rsidR="00D227E2" w:rsidRDefault="00D227E2">
            <w:pPr>
              <w:widowControl w:val="0"/>
              <w:spacing w:after="0" w:line="240" w:lineRule="auto"/>
              <w:ind w:hanging="7"/>
              <w:jc w:val="center"/>
              <w:rPr>
                <w:rFonts w:ascii="Times New Roman" w:eastAsia="Times New Roman" w:hAnsi="Times New Roman" w:cs="Times New Roman"/>
                <w:kern w:val="2"/>
                <w:sz w:val="20"/>
                <w:szCs w:val="20"/>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Низький</w:t>
            </w:r>
          </w:p>
        </w:tc>
        <w:tc>
          <w:tcPr>
            <w:tcW w:w="2854"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line="240" w:lineRule="auto"/>
              <w:rPr>
                <w:rFonts w:ascii="Times New Roman" w:hAnsi="Times New Roman" w:cs="Times New Roman"/>
              </w:rPr>
            </w:pPr>
            <w:r>
              <w:rPr>
                <w:rFonts w:ascii="Times New Roman" w:hAnsi="Times New Roman" w:cs="Times New Roman"/>
                <w:sz w:val="20"/>
                <w:szCs w:val="20"/>
              </w:rPr>
              <w:t>% державних коштів, доступних для подолання кліматичної небезпеки та її наслідків (наприклад, пожежі, повені, спеки тощо)</w:t>
            </w:r>
          </w:p>
        </w:tc>
        <w:tc>
          <w:tcPr>
            <w:tcW w:w="125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3</w:t>
            </w:r>
          </w:p>
        </w:tc>
      </w:tr>
      <w:tr w:rsidR="00D227E2">
        <w:trPr>
          <w:trHeight w:val="815"/>
        </w:trPr>
        <w:tc>
          <w:tcPr>
            <w:tcW w:w="1133" w:type="dxa"/>
            <w:vMerge/>
            <w:tcBorders>
              <w:left w:val="single" w:sz="6" w:space="0" w:color="000000"/>
              <w:bottom w:val="single" w:sz="4" w:space="0" w:color="000000"/>
              <w:right w:val="single" w:sz="4" w:space="0" w:color="000000"/>
            </w:tcBorders>
            <w:shd w:val="clear" w:color="auto" w:fill="auto"/>
          </w:tcPr>
          <w:p w:rsidR="00D227E2" w:rsidRDefault="00D227E2">
            <w:pPr>
              <w:widowControl w:val="0"/>
              <w:spacing w:after="0" w:line="240" w:lineRule="auto"/>
              <w:ind w:hanging="7"/>
              <w:jc w:val="center"/>
              <w:rPr>
                <w:rFonts w:ascii="Times New Roman" w:eastAsia="Times New Roman" w:hAnsi="Times New Roman" w:cs="Times New Roman"/>
                <w:kern w:val="2"/>
                <w:sz w:val="20"/>
                <w:szCs w:val="20"/>
              </w:rPr>
            </w:pPr>
          </w:p>
        </w:tc>
        <w:tc>
          <w:tcPr>
            <w:tcW w:w="1412" w:type="dxa"/>
            <w:vMerge/>
            <w:tcBorders>
              <w:left w:val="single" w:sz="4" w:space="0" w:color="000000"/>
              <w:bottom w:val="single" w:sz="4" w:space="0" w:color="000000"/>
              <w:right w:val="single" w:sz="4" w:space="0" w:color="000000"/>
            </w:tcBorders>
            <w:shd w:val="clear" w:color="auto" w:fill="auto"/>
          </w:tcPr>
          <w:p w:rsidR="00D227E2" w:rsidRDefault="00D227E2">
            <w:pPr>
              <w:widowControl w:val="0"/>
              <w:spacing w:after="0" w:line="240" w:lineRule="auto"/>
              <w:ind w:hanging="7"/>
              <w:jc w:val="center"/>
              <w:rPr>
                <w:rFonts w:ascii="Times New Roman" w:eastAsia="Times New Roman" w:hAnsi="Times New Roman" w:cs="Times New Roman"/>
                <w:kern w:val="2"/>
                <w:sz w:val="20"/>
                <w:szCs w:val="20"/>
              </w:rPr>
            </w:pP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Фізичні та екологічні</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Низький</w:t>
            </w:r>
          </w:p>
        </w:tc>
        <w:tc>
          <w:tcPr>
            <w:tcW w:w="2854"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line="240" w:lineRule="auto"/>
              <w:rPr>
                <w:rFonts w:ascii="Times New Roman" w:hAnsi="Times New Roman" w:cs="Times New Roman"/>
              </w:rPr>
            </w:pPr>
            <w:r>
              <w:rPr>
                <w:rFonts w:ascii="Times New Roman" w:hAnsi="Times New Roman" w:cs="Times New Roman"/>
                <w:sz w:val="20"/>
                <w:szCs w:val="20"/>
              </w:rPr>
              <w:t>% зон, недоступних для реагування на надзвичайні ситуації (наприклад, пожежні служби)</w:t>
            </w:r>
          </w:p>
        </w:tc>
        <w:tc>
          <w:tcPr>
            <w:tcW w:w="125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5</w:t>
            </w:r>
          </w:p>
        </w:tc>
      </w:tr>
      <w:tr w:rsidR="00D227E2">
        <w:trPr>
          <w:trHeight w:val="1535"/>
        </w:trPr>
        <w:tc>
          <w:tcPr>
            <w:tcW w:w="1133" w:type="dxa"/>
            <w:tcBorders>
              <w:top w:val="single" w:sz="4" w:space="0" w:color="000000"/>
              <w:left w:val="single" w:sz="6"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Здоров’я</w:t>
            </w:r>
          </w:p>
        </w:tc>
        <w:tc>
          <w:tcPr>
            <w:tcW w:w="1412"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Екстремальна спека</w:t>
            </w:r>
          </w:p>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Екстремальний холод</w:t>
            </w:r>
          </w:p>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Біологічні загрози</w:t>
            </w:r>
          </w:p>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Інший</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Соціально-економічний</w:t>
            </w:r>
          </w:p>
          <w:p w:rsidR="00D227E2" w:rsidRDefault="00D227E2">
            <w:pPr>
              <w:widowControl w:val="0"/>
              <w:spacing w:after="0" w:line="240" w:lineRule="auto"/>
              <w:ind w:hanging="7"/>
              <w:jc w:val="center"/>
              <w:rPr>
                <w:rFonts w:ascii="Times New Roman" w:eastAsia="Times New Roman" w:hAnsi="Times New Roman" w:cs="Times New Roman"/>
                <w:kern w:val="2"/>
                <w:sz w:val="20"/>
                <w:szCs w:val="20"/>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Низький</w:t>
            </w:r>
          </w:p>
        </w:tc>
        <w:tc>
          <w:tcPr>
            <w:tcW w:w="2854"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line="240" w:lineRule="auto"/>
              <w:rPr>
                <w:rFonts w:ascii="Times New Roman" w:hAnsi="Times New Roman" w:cs="Times New Roman"/>
              </w:rPr>
            </w:pPr>
            <w:r>
              <w:rPr>
                <w:rFonts w:ascii="Times New Roman" w:hAnsi="Times New Roman" w:cs="Times New Roman"/>
                <w:sz w:val="20"/>
                <w:szCs w:val="20"/>
              </w:rPr>
              <w:t>% державних коштів, доступних для подолання кліматичної небезпеки та її наслідків (наприклад, пожежі, повені, спеки тощо)</w:t>
            </w:r>
          </w:p>
        </w:tc>
        <w:tc>
          <w:tcPr>
            <w:tcW w:w="1256"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w:t>
            </w:r>
          </w:p>
        </w:tc>
        <w:tc>
          <w:tcPr>
            <w:tcW w:w="709" w:type="dxa"/>
            <w:tcBorders>
              <w:top w:val="single" w:sz="4" w:space="0" w:color="000000"/>
              <w:left w:val="single" w:sz="4" w:space="0" w:color="000000"/>
              <w:bottom w:val="single" w:sz="4" w:space="0" w:color="000000"/>
              <w:right w:val="single" w:sz="4" w:space="0" w:color="000000"/>
            </w:tcBorders>
          </w:tcPr>
          <w:p w:rsidR="00D227E2" w:rsidRDefault="00934FC4">
            <w:pPr>
              <w:widowControl w:val="0"/>
              <w:spacing w:after="0" w:line="240" w:lineRule="auto"/>
              <w:ind w:hanging="7"/>
              <w:jc w:val="center"/>
              <w:rPr>
                <w:rFonts w:ascii="Times New Roman" w:hAnsi="Times New Roman" w:cs="Times New Roman"/>
              </w:rPr>
            </w:pPr>
            <w:r>
              <w:rPr>
                <w:rFonts w:ascii="Times New Roman" w:eastAsia="Times New Roman" w:hAnsi="Times New Roman" w:cs="Times New Roman"/>
                <w:kern w:val="2"/>
                <w:sz w:val="20"/>
                <w:szCs w:val="20"/>
              </w:rPr>
              <w:t>3</w:t>
            </w:r>
          </w:p>
        </w:tc>
      </w:tr>
    </w:tbl>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У завершальному етапі оцінки ризиків та вразливості для кожного з ідентифікованих ризиків визначено найбільш вразливі групи населення (таблиця 85). Таке визначення дає змогу краще спланувати відповідні заходи з адаптації до зміни клімату для Луцької МТГ.</w:t>
      </w:r>
    </w:p>
    <w:p w:rsidR="00D227E2" w:rsidRDefault="00934FC4">
      <w:pPr>
        <w:spacing w:after="0"/>
        <w:ind w:firstLine="567"/>
        <w:jc w:val="center"/>
        <w:rPr>
          <w:rFonts w:ascii="Times New Roman" w:hAnsi="Times New Roman" w:cs="Times New Roman"/>
        </w:rPr>
      </w:pPr>
      <w:r>
        <w:rPr>
          <w:rFonts w:ascii="Times New Roman" w:eastAsia="NSimSun" w:hAnsi="Times New Roman" w:cs="Times New Roman"/>
          <w:kern w:val="2"/>
          <w:sz w:val="24"/>
          <w:szCs w:val="24"/>
          <w:lang w:eastAsia="zh-CN" w:bidi="hi-IN"/>
        </w:rPr>
        <w:t>Таблиця 85. Визначення вразливих груп населення</w:t>
      </w:r>
    </w:p>
    <w:tbl>
      <w:tblPr>
        <w:tblW w:w="5000" w:type="pct"/>
        <w:tblLayout w:type="fixed"/>
        <w:tblCellMar>
          <w:left w:w="7" w:type="dxa"/>
          <w:right w:w="5" w:type="dxa"/>
        </w:tblCellMar>
        <w:tblLook w:val="01E0" w:firstRow="1" w:lastRow="1" w:firstColumn="1" w:lastColumn="1" w:noHBand="0" w:noVBand="0"/>
      </w:tblPr>
      <w:tblGrid>
        <w:gridCol w:w="4826"/>
        <w:gridCol w:w="4825"/>
      </w:tblGrid>
      <w:tr w:rsidR="00D227E2">
        <w:tc>
          <w:tcPr>
            <w:tcW w:w="4819" w:type="dxa"/>
            <w:tcBorders>
              <w:top w:val="single" w:sz="4" w:space="0" w:color="000000"/>
              <w:left w:val="single" w:sz="6"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hAnsi="Times New Roman" w:cs="Times New Roman"/>
              </w:rPr>
              <w:t>Кліматична загроза</w:t>
            </w:r>
          </w:p>
        </w:tc>
        <w:tc>
          <w:tcPr>
            <w:tcW w:w="4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hAnsi="Times New Roman" w:cs="Times New Roman"/>
              </w:rPr>
              <w:t>Найбільш вразлива група населення</w:t>
            </w:r>
          </w:p>
        </w:tc>
      </w:tr>
      <w:tr w:rsidR="00D227E2">
        <w:tc>
          <w:tcPr>
            <w:tcW w:w="4819" w:type="dxa"/>
            <w:tcBorders>
              <w:top w:val="single" w:sz="4" w:space="0" w:color="000000"/>
              <w:left w:val="single" w:sz="6"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hAnsi="Times New Roman" w:cs="Times New Roman"/>
              </w:rPr>
              <w:t>Екстремальна спека</w:t>
            </w:r>
          </w:p>
        </w:tc>
        <w:tc>
          <w:tcPr>
            <w:tcW w:w="4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hAnsi="Times New Roman" w:cs="Times New Roman"/>
              </w:rPr>
              <w:t>Люди похилого віку</w:t>
            </w:r>
          </w:p>
        </w:tc>
      </w:tr>
      <w:tr w:rsidR="00D227E2">
        <w:tc>
          <w:tcPr>
            <w:tcW w:w="4819" w:type="dxa"/>
            <w:tcBorders>
              <w:top w:val="single" w:sz="4" w:space="0" w:color="000000"/>
              <w:left w:val="single" w:sz="6"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hAnsi="Times New Roman" w:cs="Times New Roman"/>
              </w:rPr>
              <w:t>Екстремальна спека</w:t>
            </w:r>
          </w:p>
        </w:tc>
        <w:tc>
          <w:tcPr>
            <w:tcW w:w="4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hAnsi="Times New Roman" w:cs="Times New Roman"/>
              </w:rPr>
              <w:t>Особи з хронічними захворюваннями</w:t>
            </w:r>
          </w:p>
        </w:tc>
      </w:tr>
      <w:tr w:rsidR="00D227E2">
        <w:tc>
          <w:tcPr>
            <w:tcW w:w="4819" w:type="dxa"/>
            <w:tcBorders>
              <w:top w:val="single" w:sz="4" w:space="0" w:color="000000"/>
              <w:left w:val="single" w:sz="6"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hAnsi="Times New Roman" w:cs="Times New Roman"/>
              </w:rPr>
              <w:t>Екстремальний холод</w:t>
            </w:r>
          </w:p>
        </w:tc>
        <w:tc>
          <w:tcPr>
            <w:tcW w:w="4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hAnsi="Times New Roman" w:cs="Times New Roman"/>
              </w:rPr>
              <w:t>Малозабезпечені домогосподарства</w:t>
            </w:r>
          </w:p>
        </w:tc>
      </w:tr>
      <w:tr w:rsidR="00D227E2">
        <w:tc>
          <w:tcPr>
            <w:tcW w:w="4819" w:type="dxa"/>
            <w:tcBorders>
              <w:top w:val="single" w:sz="4" w:space="0" w:color="000000"/>
              <w:left w:val="single" w:sz="6"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hAnsi="Times New Roman" w:cs="Times New Roman"/>
              </w:rPr>
              <w:t>Екстремальний холод</w:t>
            </w:r>
          </w:p>
        </w:tc>
        <w:tc>
          <w:tcPr>
            <w:tcW w:w="4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hAnsi="Times New Roman" w:cs="Times New Roman"/>
              </w:rPr>
              <w:t>Особи, які проживають у неякісних житлових приміщеннях</w:t>
            </w:r>
          </w:p>
        </w:tc>
      </w:tr>
      <w:tr w:rsidR="00D227E2">
        <w:tc>
          <w:tcPr>
            <w:tcW w:w="4819" w:type="dxa"/>
            <w:tcBorders>
              <w:top w:val="single" w:sz="4" w:space="0" w:color="000000"/>
              <w:left w:val="single" w:sz="6"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hAnsi="Times New Roman" w:cs="Times New Roman"/>
              </w:rPr>
              <w:t>Екстремальні опади</w:t>
            </w:r>
          </w:p>
        </w:tc>
        <w:tc>
          <w:tcPr>
            <w:tcW w:w="4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hAnsi="Times New Roman" w:cs="Times New Roman"/>
              </w:rPr>
              <w:t>Особи, які проживають у неякісних житлових приміщеннях</w:t>
            </w:r>
          </w:p>
        </w:tc>
      </w:tr>
      <w:tr w:rsidR="00D227E2">
        <w:tc>
          <w:tcPr>
            <w:tcW w:w="4819" w:type="dxa"/>
            <w:tcBorders>
              <w:top w:val="single" w:sz="4" w:space="0" w:color="000000"/>
              <w:left w:val="single" w:sz="6"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hAnsi="Times New Roman" w:cs="Times New Roman"/>
              </w:rPr>
              <w:t>Повені та підвищення рівня води</w:t>
            </w:r>
          </w:p>
        </w:tc>
        <w:tc>
          <w:tcPr>
            <w:tcW w:w="4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hAnsi="Times New Roman" w:cs="Times New Roman"/>
              </w:rPr>
              <w:t>Особи, які проживають у неякісних житлових приміщеннях</w:t>
            </w:r>
          </w:p>
        </w:tc>
      </w:tr>
      <w:tr w:rsidR="00D227E2">
        <w:tc>
          <w:tcPr>
            <w:tcW w:w="4819" w:type="dxa"/>
            <w:tcBorders>
              <w:top w:val="single" w:sz="4" w:space="0" w:color="000000"/>
              <w:left w:val="single" w:sz="6"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hAnsi="Times New Roman" w:cs="Times New Roman"/>
              </w:rPr>
              <w:t>Посухи та дефіцит води</w:t>
            </w:r>
          </w:p>
        </w:tc>
        <w:tc>
          <w:tcPr>
            <w:tcW w:w="4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hAnsi="Times New Roman" w:cs="Times New Roman"/>
              </w:rPr>
              <w:t>Особи, які проживають у неякісних житлових приміщеннях</w:t>
            </w:r>
          </w:p>
        </w:tc>
      </w:tr>
      <w:tr w:rsidR="00D227E2">
        <w:tc>
          <w:tcPr>
            <w:tcW w:w="4819" w:type="dxa"/>
            <w:tcBorders>
              <w:top w:val="single" w:sz="4" w:space="0" w:color="000000"/>
              <w:left w:val="single" w:sz="6"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hAnsi="Times New Roman" w:cs="Times New Roman"/>
              </w:rPr>
              <w:t>Бурі</w:t>
            </w:r>
          </w:p>
        </w:tc>
        <w:tc>
          <w:tcPr>
            <w:tcW w:w="4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hAnsi="Times New Roman" w:cs="Times New Roman"/>
              </w:rPr>
              <w:t>Особи, які проживають у неякісних житлових приміщеннях</w:t>
            </w:r>
          </w:p>
        </w:tc>
      </w:tr>
      <w:tr w:rsidR="00D227E2">
        <w:tc>
          <w:tcPr>
            <w:tcW w:w="4819" w:type="dxa"/>
            <w:tcBorders>
              <w:top w:val="single" w:sz="4" w:space="0" w:color="000000"/>
              <w:left w:val="single" w:sz="6"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hAnsi="Times New Roman" w:cs="Times New Roman"/>
              </w:rPr>
              <w:t>Стихійні пожежі</w:t>
            </w:r>
          </w:p>
        </w:tc>
        <w:tc>
          <w:tcPr>
            <w:tcW w:w="4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hAnsi="Times New Roman" w:cs="Times New Roman"/>
              </w:rPr>
              <w:t>Особи з хронічними захворюваннями</w:t>
            </w:r>
          </w:p>
        </w:tc>
      </w:tr>
      <w:tr w:rsidR="00D227E2">
        <w:tc>
          <w:tcPr>
            <w:tcW w:w="4819" w:type="dxa"/>
            <w:tcBorders>
              <w:top w:val="single" w:sz="4" w:space="0" w:color="000000"/>
              <w:left w:val="single" w:sz="6"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hAnsi="Times New Roman" w:cs="Times New Roman"/>
              </w:rPr>
              <w:t>Стихійні пожежі</w:t>
            </w:r>
          </w:p>
        </w:tc>
        <w:tc>
          <w:tcPr>
            <w:tcW w:w="4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hAnsi="Times New Roman" w:cs="Times New Roman"/>
              </w:rPr>
              <w:t>Особи, які проживають у неякісних житлових приміщеннях</w:t>
            </w:r>
          </w:p>
        </w:tc>
      </w:tr>
      <w:tr w:rsidR="00D227E2">
        <w:tc>
          <w:tcPr>
            <w:tcW w:w="4819" w:type="dxa"/>
            <w:tcBorders>
              <w:top w:val="single" w:sz="4" w:space="0" w:color="000000"/>
              <w:left w:val="single" w:sz="6"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hAnsi="Times New Roman" w:cs="Times New Roman"/>
              </w:rPr>
              <w:t>Біологічна небезпека</w:t>
            </w:r>
          </w:p>
        </w:tc>
        <w:tc>
          <w:tcPr>
            <w:tcW w:w="4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hAnsi="Times New Roman" w:cs="Times New Roman"/>
              </w:rPr>
              <w:t>все</w:t>
            </w:r>
          </w:p>
        </w:tc>
      </w:tr>
      <w:tr w:rsidR="00D227E2">
        <w:tc>
          <w:tcPr>
            <w:tcW w:w="4819" w:type="dxa"/>
            <w:tcBorders>
              <w:top w:val="single" w:sz="4" w:space="0" w:color="000000"/>
              <w:left w:val="single" w:sz="6"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hAnsi="Times New Roman" w:cs="Times New Roman"/>
              </w:rPr>
              <w:t>Інший</w:t>
            </w:r>
          </w:p>
        </w:tc>
        <w:tc>
          <w:tcPr>
            <w:tcW w:w="48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uppressAutoHyphens w:val="0"/>
              <w:spacing w:after="0" w:line="240" w:lineRule="auto"/>
              <w:jc w:val="center"/>
              <w:rPr>
                <w:rFonts w:ascii="Times New Roman" w:hAnsi="Times New Roman" w:cs="Times New Roman"/>
              </w:rPr>
            </w:pPr>
            <w:r>
              <w:rPr>
                <w:rFonts w:ascii="Times New Roman" w:hAnsi="Times New Roman" w:cs="Times New Roman"/>
              </w:rPr>
              <w:t>все</w:t>
            </w:r>
          </w:p>
        </w:tc>
      </w:tr>
    </w:tbl>
    <w:p w:rsidR="00D227E2" w:rsidRDefault="00D227E2">
      <w:pPr>
        <w:spacing w:after="0"/>
        <w:ind w:left="567"/>
        <w:jc w:val="both"/>
        <w:outlineLvl w:val="0"/>
        <w:rPr>
          <w:rFonts w:ascii="Times New Roman" w:eastAsia="Times New Roman" w:hAnsi="Times New Roman" w:cs="Times New Roman"/>
          <w:b/>
          <w:bCs/>
          <w:kern w:val="2"/>
          <w:sz w:val="24"/>
          <w:szCs w:val="24"/>
        </w:rPr>
      </w:pPr>
    </w:p>
    <w:p w:rsidR="00D227E2" w:rsidRDefault="00934FC4">
      <w:pPr>
        <w:spacing w:after="0"/>
        <w:ind w:left="567"/>
        <w:jc w:val="both"/>
        <w:outlineLvl w:val="0"/>
        <w:rPr>
          <w:rFonts w:ascii="Times New Roman" w:hAnsi="Times New Roman" w:cs="Times New Roman"/>
        </w:rPr>
      </w:pPr>
      <w:r>
        <w:rPr>
          <w:rFonts w:ascii="Times New Roman" w:eastAsia="Times New Roman" w:hAnsi="Times New Roman" w:cs="Times New Roman"/>
          <w:b/>
          <w:bCs/>
          <w:kern w:val="2"/>
          <w:sz w:val="24"/>
          <w:szCs w:val="24"/>
        </w:rPr>
        <w:lastRenderedPageBreak/>
        <w:t>РОЗДІЛ 7. ПЛАН ЗАХОДІВ І ДЖЕРЕЛА ФІНАНСУВАННЯ</w:t>
      </w:r>
    </w:p>
    <w:p w:rsidR="00D227E2" w:rsidRDefault="00934FC4">
      <w:pPr>
        <w:spacing w:after="0"/>
        <w:ind w:left="567"/>
        <w:jc w:val="both"/>
        <w:outlineLvl w:val="0"/>
        <w:rPr>
          <w:rFonts w:ascii="Times New Roman" w:hAnsi="Times New Roman" w:cs="Times New Roman"/>
        </w:rPr>
      </w:pPr>
      <w:r>
        <w:rPr>
          <w:rFonts w:ascii="Times New Roman" w:eastAsia="Times New Roman" w:hAnsi="Times New Roman" w:cs="Times New Roman"/>
          <w:b/>
          <w:bCs/>
          <w:kern w:val="2"/>
          <w:sz w:val="24"/>
          <w:szCs w:val="24"/>
        </w:rPr>
        <w:t>7.1. Заходи щодо пом’якшення наслідків зміни клімату</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Головними завданнями реалізації заходів передбачених ПДСЕРК є:</w:t>
      </w:r>
    </w:p>
    <w:p w:rsidR="00D227E2" w:rsidRDefault="00934FC4">
      <w:pPr>
        <w:numPr>
          <w:ilvl w:val="0"/>
          <w:numId w:val="17"/>
        </w:numPr>
        <w:tabs>
          <w:tab w:val="clear" w:pos="720"/>
          <w:tab w:val="left" w:pos="993"/>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зменшення споживання енергоресурсів;</w:t>
      </w:r>
    </w:p>
    <w:p w:rsidR="00D227E2" w:rsidRDefault="00934FC4">
      <w:pPr>
        <w:numPr>
          <w:ilvl w:val="0"/>
          <w:numId w:val="17"/>
        </w:numPr>
        <w:tabs>
          <w:tab w:val="clear" w:pos="720"/>
          <w:tab w:val="left" w:pos="993"/>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скорочення викидів СО</w:t>
      </w:r>
      <w:r>
        <w:rPr>
          <w:rFonts w:ascii="Times New Roman" w:eastAsia="Times New Roman" w:hAnsi="Times New Roman" w:cs="Times New Roman"/>
          <w:color w:val="000000"/>
          <w:kern w:val="2"/>
          <w:sz w:val="24"/>
          <w:szCs w:val="24"/>
          <w:shd w:val="clear" w:color="auto" w:fill="FFFFFF"/>
          <w:vertAlign w:val="subscript"/>
        </w:rPr>
        <w:t>2</w:t>
      </w:r>
      <w:r>
        <w:rPr>
          <w:rFonts w:ascii="Times New Roman" w:eastAsia="Times New Roman" w:hAnsi="Times New Roman" w:cs="Times New Roman"/>
          <w:color w:val="000000"/>
          <w:kern w:val="2"/>
          <w:sz w:val="24"/>
          <w:szCs w:val="24"/>
          <w:shd w:val="clear" w:color="auto" w:fill="FFFFFF"/>
        </w:rPr>
        <w:t>;</w:t>
      </w:r>
    </w:p>
    <w:p w:rsidR="00D227E2" w:rsidRDefault="00934FC4">
      <w:pPr>
        <w:numPr>
          <w:ilvl w:val="0"/>
          <w:numId w:val="17"/>
        </w:numPr>
        <w:tabs>
          <w:tab w:val="clear" w:pos="720"/>
          <w:tab w:val="left" w:pos="993"/>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збільшення частки альтернативних джерел енергії;</w:t>
      </w:r>
    </w:p>
    <w:p w:rsidR="00D227E2" w:rsidRDefault="00934FC4">
      <w:pPr>
        <w:numPr>
          <w:ilvl w:val="0"/>
          <w:numId w:val="17"/>
        </w:numPr>
        <w:tabs>
          <w:tab w:val="clear" w:pos="720"/>
          <w:tab w:val="left" w:pos="993"/>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зміна культури енергоспоживання мешканцями громади в сторону раціонального використання енергоресурсів;</w:t>
      </w:r>
    </w:p>
    <w:p w:rsidR="00D227E2" w:rsidRDefault="00934FC4">
      <w:pPr>
        <w:numPr>
          <w:ilvl w:val="0"/>
          <w:numId w:val="17"/>
        </w:numPr>
        <w:tabs>
          <w:tab w:val="clear" w:pos="720"/>
          <w:tab w:val="left" w:pos="993"/>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покращення рівня комфорту проживання та отриманих енергетичних послуг;</w:t>
      </w:r>
    </w:p>
    <w:p w:rsidR="00D227E2" w:rsidRDefault="00934FC4">
      <w:pPr>
        <w:numPr>
          <w:ilvl w:val="0"/>
          <w:numId w:val="17"/>
        </w:numPr>
        <w:tabs>
          <w:tab w:val="clear" w:pos="720"/>
          <w:tab w:val="left" w:pos="993"/>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енергетична та економічна безпека територіальної громади;</w:t>
      </w:r>
    </w:p>
    <w:p w:rsidR="00D227E2" w:rsidRDefault="00934FC4">
      <w:pPr>
        <w:numPr>
          <w:ilvl w:val="0"/>
          <w:numId w:val="17"/>
        </w:numPr>
        <w:tabs>
          <w:tab w:val="clear" w:pos="720"/>
          <w:tab w:val="left" w:pos="993"/>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деталізація першочергових завдань з метою залучення інвестицій для реалізації енергоефективних заходів та програм.</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hd w:val="clear" w:color="auto" w:fill="FFFFFF"/>
          <w:lang w:bidi="hi-IN"/>
        </w:rPr>
        <w:t>В цьому підрозділі поданий портфель заходів на період 2024-2030 роки в обраних секторах.</w:t>
      </w:r>
      <w:r>
        <w:rPr>
          <w:rFonts w:ascii="Times New Roman" w:eastAsia="NSimSun" w:hAnsi="Times New Roman" w:cs="Times New Roman"/>
          <w:kern w:val="2"/>
          <w:lang w:bidi="hi-IN"/>
        </w:rPr>
        <w:t xml:space="preserve"> </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lang w:bidi="hi-IN"/>
        </w:rPr>
        <w:t>Повний перелік заходів можна оглянути у Додатку 4. Перелік заходів щодо пом’якшення наслідків зміни клімату.</w:t>
      </w:r>
    </w:p>
    <w:p w:rsidR="00D227E2" w:rsidRDefault="00934FC4">
      <w:pPr>
        <w:numPr>
          <w:ilvl w:val="1"/>
          <w:numId w:val="17"/>
        </w:numPr>
        <w:tabs>
          <w:tab w:val="left" w:pos="0"/>
          <w:tab w:val="left" w:pos="851"/>
        </w:tabs>
        <w:spacing w:after="0"/>
        <w:ind w:left="0" w:firstLine="567"/>
        <w:jc w:val="both"/>
        <w:outlineLvl w:val="0"/>
        <w:rPr>
          <w:rFonts w:ascii="Times New Roman" w:hAnsi="Times New Roman" w:cs="Times New Roman"/>
        </w:rPr>
      </w:pPr>
      <w:r>
        <w:rPr>
          <w:rFonts w:ascii="Times New Roman" w:hAnsi="Times New Roman" w:cs="Times New Roman"/>
          <w:b/>
          <w:bCs/>
          <w:kern w:val="2"/>
          <w:u w:val="single"/>
        </w:rPr>
        <w:t>Муніципальний сектор:</w:t>
      </w:r>
      <w:r>
        <w:rPr>
          <w:rFonts w:ascii="Times New Roman" w:hAnsi="Times New Roman" w:cs="Times New Roman"/>
          <w:bCs/>
          <w:kern w:val="2"/>
        </w:rPr>
        <w:t xml:space="preserve"> </w:t>
      </w:r>
      <w:r>
        <w:rPr>
          <w:rFonts w:ascii="Times New Roman" w:eastAsia="NSimSun" w:hAnsi="Times New Roman" w:cs="Times New Roman"/>
          <w:kern w:val="2"/>
          <w:lang w:bidi="hi-IN"/>
        </w:rPr>
        <w:t>муніципальні будівлі, система централізованого водопостачання та водовідведення.</w:t>
      </w:r>
    </w:p>
    <w:p w:rsidR="00D227E2" w:rsidRDefault="00934FC4">
      <w:pPr>
        <w:spacing w:after="0"/>
        <w:ind w:firstLine="567"/>
        <w:jc w:val="both"/>
        <w:outlineLvl w:val="0"/>
        <w:rPr>
          <w:rFonts w:ascii="Times New Roman" w:hAnsi="Times New Roman" w:cs="Times New Roman"/>
        </w:rPr>
      </w:pPr>
      <w:r>
        <w:rPr>
          <w:rFonts w:ascii="Times New Roman" w:hAnsi="Times New Roman" w:cs="Times New Roman"/>
          <w:bCs/>
          <w:kern w:val="2"/>
          <w:u w:val="single"/>
        </w:rPr>
        <w:t>Муніципальні будівлі</w:t>
      </w:r>
    </w:p>
    <w:p w:rsidR="00D227E2" w:rsidRDefault="00934FC4">
      <w:pPr>
        <w:spacing w:after="0"/>
        <w:ind w:firstLine="567"/>
        <w:jc w:val="both"/>
        <w:outlineLvl w:val="0"/>
        <w:rPr>
          <w:rFonts w:ascii="Times New Roman" w:hAnsi="Times New Roman" w:cs="Times New Roman"/>
        </w:rPr>
      </w:pPr>
      <w:r>
        <w:rPr>
          <w:rFonts w:ascii="Times New Roman" w:eastAsia="NSimSun" w:hAnsi="Times New Roman" w:cs="Times New Roman"/>
          <w:kern w:val="2"/>
          <w:lang w:bidi="hi-IN"/>
        </w:rPr>
        <w:t xml:space="preserve">Енергоефективні заходи для муніципальних будівель </w:t>
      </w:r>
      <w:r>
        <w:rPr>
          <w:rFonts w:ascii="Times New Roman" w:eastAsia="NSimSun" w:hAnsi="Times New Roman" w:cs="Times New Roman"/>
          <w:color w:val="000000"/>
          <w:kern w:val="2"/>
          <w:shd w:val="clear" w:color="auto" w:fill="FFFFFF"/>
          <w:lang w:bidi="hi-IN"/>
        </w:rPr>
        <w:t>(комплексна термомодернізація):</w:t>
      </w:r>
    </w:p>
    <w:p w:rsidR="00D227E2" w:rsidRDefault="00934FC4">
      <w:pPr>
        <w:numPr>
          <w:ilvl w:val="0"/>
          <w:numId w:val="18"/>
        </w:numPr>
        <w:tabs>
          <w:tab w:val="clear" w:pos="720"/>
          <w:tab w:val="left" w:pos="102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утеплення зовнішніх стін та цоколя;</w:t>
      </w:r>
    </w:p>
    <w:p w:rsidR="00D227E2" w:rsidRDefault="00934FC4">
      <w:pPr>
        <w:numPr>
          <w:ilvl w:val="0"/>
          <w:numId w:val="18"/>
        </w:numPr>
        <w:tabs>
          <w:tab w:val="clear" w:pos="720"/>
          <w:tab w:val="left" w:pos="102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заміна вікон та дверей на нові, що відповідають нормативному опору теплопередачі;</w:t>
      </w:r>
    </w:p>
    <w:p w:rsidR="00D227E2" w:rsidRDefault="00934FC4">
      <w:pPr>
        <w:numPr>
          <w:ilvl w:val="0"/>
          <w:numId w:val="18"/>
        </w:numPr>
        <w:tabs>
          <w:tab w:val="clear" w:pos="720"/>
          <w:tab w:val="left" w:pos="102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утеплення даху (суміщеного плоского або горищного перекриття);</w:t>
      </w:r>
    </w:p>
    <w:p w:rsidR="00D227E2" w:rsidRDefault="00934FC4">
      <w:pPr>
        <w:numPr>
          <w:ilvl w:val="0"/>
          <w:numId w:val="18"/>
        </w:numPr>
        <w:tabs>
          <w:tab w:val="clear" w:pos="720"/>
          <w:tab w:val="left" w:pos="102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встановлення ІТП;</w:t>
      </w:r>
    </w:p>
    <w:p w:rsidR="00D227E2" w:rsidRDefault="00934FC4">
      <w:pPr>
        <w:numPr>
          <w:ilvl w:val="0"/>
          <w:numId w:val="18"/>
        </w:numPr>
        <w:tabs>
          <w:tab w:val="clear" w:pos="720"/>
          <w:tab w:val="left" w:pos="102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реконструкція системи опалення (двотрубна система, нові радіатори);</w:t>
      </w:r>
    </w:p>
    <w:p w:rsidR="00D227E2" w:rsidRDefault="00934FC4">
      <w:pPr>
        <w:numPr>
          <w:ilvl w:val="0"/>
          <w:numId w:val="18"/>
        </w:numPr>
        <w:tabs>
          <w:tab w:val="clear" w:pos="720"/>
          <w:tab w:val="left" w:pos="102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встановлення балансувальних клапанів та терморегуляторів;</w:t>
      </w:r>
    </w:p>
    <w:p w:rsidR="00D227E2" w:rsidRDefault="00934FC4">
      <w:pPr>
        <w:numPr>
          <w:ilvl w:val="0"/>
          <w:numId w:val="18"/>
        </w:numPr>
        <w:tabs>
          <w:tab w:val="clear" w:pos="720"/>
          <w:tab w:val="left" w:pos="102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встановлення рекуператорів;</w:t>
      </w:r>
    </w:p>
    <w:p w:rsidR="00D227E2" w:rsidRDefault="00934FC4">
      <w:pPr>
        <w:numPr>
          <w:ilvl w:val="0"/>
          <w:numId w:val="18"/>
        </w:numPr>
        <w:tabs>
          <w:tab w:val="clear" w:pos="720"/>
          <w:tab w:val="left" w:pos="102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заміна ламп системи внутрішнього освітлення на LED лампи;</w:t>
      </w:r>
    </w:p>
    <w:p w:rsidR="00D227E2" w:rsidRDefault="00934FC4">
      <w:pPr>
        <w:numPr>
          <w:ilvl w:val="0"/>
          <w:numId w:val="18"/>
        </w:numPr>
        <w:tabs>
          <w:tab w:val="clear" w:pos="720"/>
          <w:tab w:val="left" w:pos="102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заміна пічного газового опалення на водяне радіаторне;</w:t>
      </w:r>
    </w:p>
    <w:p w:rsidR="00D227E2" w:rsidRDefault="00934FC4">
      <w:pPr>
        <w:numPr>
          <w:ilvl w:val="0"/>
          <w:numId w:val="18"/>
        </w:numPr>
        <w:tabs>
          <w:tab w:val="clear" w:pos="720"/>
          <w:tab w:val="left" w:pos="102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заміна старих газових котлів на нові з кращим ККД;</w:t>
      </w:r>
    </w:p>
    <w:p w:rsidR="00D227E2" w:rsidRDefault="00934FC4">
      <w:pPr>
        <w:numPr>
          <w:ilvl w:val="0"/>
          <w:numId w:val="18"/>
        </w:numPr>
        <w:tabs>
          <w:tab w:val="clear" w:pos="720"/>
          <w:tab w:val="left" w:pos="102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встановлення системи автоматичного регулювання теплового потоку на існуючих газових котельнях;</w:t>
      </w:r>
    </w:p>
    <w:p w:rsidR="00D227E2" w:rsidRDefault="00934FC4">
      <w:pPr>
        <w:numPr>
          <w:ilvl w:val="0"/>
          <w:numId w:val="18"/>
        </w:numPr>
        <w:tabs>
          <w:tab w:val="clear" w:pos="720"/>
          <w:tab w:val="left" w:pos="102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заміщення газових котлів на твердопаливні для переходу на відновлювальні типи палива;</w:t>
      </w:r>
    </w:p>
    <w:p w:rsidR="00D227E2" w:rsidRDefault="00934FC4">
      <w:pPr>
        <w:numPr>
          <w:ilvl w:val="0"/>
          <w:numId w:val="18"/>
        </w:numPr>
        <w:tabs>
          <w:tab w:val="clear" w:pos="720"/>
          <w:tab w:val="left" w:pos="102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популяризація енергоощадності через інформаційно-просвітницькі кампанії.</w:t>
      </w:r>
    </w:p>
    <w:p w:rsidR="00D227E2" w:rsidRDefault="00934FC4">
      <w:pPr>
        <w:spacing w:after="0"/>
        <w:ind w:firstLine="567"/>
        <w:jc w:val="both"/>
        <w:outlineLvl w:val="0"/>
        <w:rPr>
          <w:rFonts w:ascii="Times New Roman" w:hAnsi="Times New Roman" w:cs="Times New Roman"/>
        </w:rPr>
      </w:pPr>
      <w:r>
        <w:rPr>
          <w:rFonts w:ascii="Times New Roman" w:eastAsia="Times New Roman" w:hAnsi="Times New Roman" w:cs="Times New Roman"/>
          <w:bCs/>
          <w:kern w:val="2"/>
          <w:sz w:val="24"/>
          <w:szCs w:val="24"/>
          <w:u w:val="single"/>
        </w:rPr>
        <w:t>Система централізованого водопостачання та водовідведення</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З метою раціонального використання електроенергії та покращення якості послуг з водопостачання та водовідведення пропонується ряд енергоефективних заходів, що подані нижче.</w:t>
      </w:r>
    </w:p>
    <w:p w:rsidR="00D227E2" w:rsidRDefault="00934FC4">
      <w:pPr>
        <w:spacing w:after="0"/>
        <w:ind w:firstLine="567"/>
        <w:jc w:val="both"/>
        <w:outlineLvl w:val="0"/>
        <w:rPr>
          <w:rFonts w:ascii="Times New Roman" w:hAnsi="Times New Roman" w:cs="Times New Roman"/>
        </w:rPr>
      </w:pPr>
      <w:r>
        <w:rPr>
          <w:rFonts w:ascii="Times New Roman" w:eastAsia="NSimSun" w:hAnsi="Times New Roman" w:cs="Times New Roman"/>
          <w:kern w:val="2"/>
          <w:sz w:val="24"/>
          <w:szCs w:val="24"/>
          <w:lang w:eastAsia="zh-CN" w:bidi="hi-IN"/>
        </w:rPr>
        <w:t>Енергоефективні заходи для с</w:t>
      </w:r>
      <w:r>
        <w:rPr>
          <w:rFonts w:ascii="Times New Roman" w:eastAsia="Times New Roman" w:hAnsi="Times New Roman" w:cs="Times New Roman"/>
          <w:bCs/>
          <w:kern w:val="2"/>
          <w:sz w:val="24"/>
          <w:szCs w:val="24"/>
        </w:rPr>
        <w:t>истеми централізованого водопостачання та водовідведення</w:t>
      </w:r>
      <w:r>
        <w:rPr>
          <w:rFonts w:ascii="Times New Roman" w:eastAsia="NSimSun" w:hAnsi="Times New Roman" w:cs="Times New Roman"/>
          <w:color w:val="000000"/>
          <w:kern w:val="2"/>
          <w:sz w:val="24"/>
          <w:szCs w:val="24"/>
          <w:shd w:val="clear" w:color="auto" w:fill="FFFFFF"/>
          <w:lang w:eastAsia="zh-CN" w:bidi="hi-IN"/>
        </w:rPr>
        <w:t>:</w:t>
      </w:r>
    </w:p>
    <w:p w:rsidR="00D227E2" w:rsidRDefault="00934FC4">
      <w:pPr>
        <w:numPr>
          <w:ilvl w:val="0"/>
          <w:numId w:val="19"/>
        </w:numPr>
        <w:tabs>
          <w:tab w:val="clear" w:pos="720"/>
          <w:tab w:val="left" w:pos="96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розробка та використання оптимізованої схеми водопостачання на базі гідравлічної моделі мереж водопостачання із застосуванням сучасних комп’ютерно-гідравлічних програм;</w:t>
      </w:r>
    </w:p>
    <w:p w:rsidR="00D227E2" w:rsidRDefault="00934FC4">
      <w:pPr>
        <w:numPr>
          <w:ilvl w:val="0"/>
          <w:numId w:val="19"/>
        </w:numPr>
        <w:tabs>
          <w:tab w:val="clear" w:pos="720"/>
          <w:tab w:val="left" w:pos="96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 xml:space="preserve">впровадження повного обліку в системі централізованого водопостачання для зменшення необлікованих втрат (дооснащення загальнобудинкових лічильників холодної </w:t>
      </w:r>
      <w:r>
        <w:rPr>
          <w:rFonts w:ascii="Times New Roman" w:eastAsia="Times New Roman" w:hAnsi="Times New Roman" w:cs="Times New Roman"/>
          <w:color w:val="000000"/>
          <w:kern w:val="2"/>
          <w:sz w:val="24"/>
          <w:szCs w:val="24"/>
          <w:shd w:val="clear" w:color="auto" w:fill="FFFFFF"/>
        </w:rPr>
        <w:lastRenderedPageBreak/>
        <w:t xml:space="preserve">води у багатоквартирних житлових будинках, </w:t>
      </w:r>
      <w:r>
        <w:rPr>
          <w:rFonts w:ascii="Times New Roman" w:hAnsi="Times New Roman" w:cs="Times New Roman"/>
          <w:bCs/>
          <w:color w:val="000000"/>
          <w:sz w:val="24"/>
          <w:szCs w:val="24"/>
          <w:shd w:val="clear" w:color="auto" w:fill="FFFFFF"/>
        </w:rPr>
        <w:t>які відповідають технічному регламенту щодо суттєвих вимог до вимірювальної техніки</w:t>
      </w:r>
      <w:r>
        <w:rPr>
          <w:rFonts w:ascii="Times New Roman" w:eastAsia="Times New Roman" w:hAnsi="Times New Roman" w:cs="Times New Roman"/>
          <w:color w:val="000000"/>
          <w:kern w:val="2"/>
          <w:sz w:val="24"/>
          <w:szCs w:val="24"/>
          <w:shd w:val="clear" w:color="auto" w:fill="FFFFFF"/>
        </w:rPr>
        <w:t>);</w:t>
      </w:r>
    </w:p>
    <w:p w:rsidR="00D227E2" w:rsidRDefault="00934FC4">
      <w:pPr>
        <w:numPr>
          <w:ilvl w:val="0"/>
          <w:numId w:val="19"/>
        </w:numPr>
        <w:tabs>
          <w:tab w:val="clear" w:pos="720"/>
          <w:tab w:val="left" w:pos="96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заміна зношених водопровідних мереж;</w:t>
      </w:r>
    </w:p>
    <w:p w:rsidR="00D227E2" w:rsidRDefault="00934FC4">
      <w:pPr>
        <w:numPr>
          <w:ilvl w:val="0"/>
          <w:numId w:val="19"/>
        </w:numPr>
        <w:tabs>
          <w:tab w:val="clear" w:pos="720"/>
          <w:tab w:val="left" w:pos="96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підтримання в належному експлуатаційному стані запірної арматури, зворотних клапанів, фільтрів та приладів КВПіА;</w:t>
      </w:r>
    </w:p>
    <w:p w:rsidR="00D227E2" w:rsidRDefault="00934FC4">
      <w:pPr>
        <w:numPr>
          <w:ilvl w:val="0"/>
          <w:numId w:val="19"/>
        </w:numPr>
        <w:tabs>
          <w:tab w:val="clear" w:pos="720"/>
          <w:tab w:val="left" w:pos="96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модернізація насосних агрегатів на свердловинах водозаборів та водопровідних насосних станціях;</w:t>
      </w:r>
    </w:p>
    <w:p w:rsidR="00D227E2" w:rsidRDefault="00934FC4">
      <w:pPr>
        <w:numPr>
          <w:ilvl w:val="0"/>
          <w:numId w:val="19"/>
        </w:numPr>
        <w:tabs>
          <w:tab w:val="clear" w:pos="720"/>
          <w:tab w:val="left" w:pos="96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встановлення частотно-регулюючих пристроїв на ВНС;</w:t>
      </w:r>
    </w:p>
    <w:p w:rsidR="00D227E2" w:rsidRDefault="00934FC4">
      <w:pPr>
        <w:numPr>
          <w:ilvl w:val="0"/>
          <w:numId w:val="19"/>
        </w:numPr>
        <w:tabs>
          <w:tab w:val="clear" w:pos="720"/>
          <w:tab w:val="left" w:pos="96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модернізація насосного обладнання на каналізаційних насосних станціях;</w:t>
      </w:r>
    </w:p>
    <w:p w:rsidR="00D227E2" w:rsidRDefault="00934FC4">
      <w:pPr>
        <w:numPr>
          <w:ilvl w:val="0"/>
          <w:numId w:val="19"/>
        </w:numPr>
        <w:tabs>
          <w:tab w:val="clear" w:pos="720"/>
          <w:tab w:val="left" w:pos="96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встановлення частотно-регулюючого пристрою на повітродувній станції КОС;</w:t>
      </w:r>
    </w:p>
    <w:p w:rsidR="00D227E2" w:rsidRDefault="00934FC4">
      <w:pPr>
        <w:numPr>
          <w:ilvl w:val="0"/>
          <w:numId w:val="19"/>
        </w:numPr>
        <w:tabs>
          <w:tab w:val="clear" w:pos="720"/>
          <w:tab w:val="left" w:pos="96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lang w:eastAsia="zh-CN" w:bidi="hi-IN"/>
        </w:rPr>
        <w:t>модернізація технологічних процесів при очищенні стічних вод на КОС.</w:t>
      </w:r>
    </w:p>
    <w:p w:rsidR="00D227E2" w:rsidRDefault="00934FC4">
      <w:pPr>
        <w:spacing w:after="0" w:line="240" w:lineRule="auto"/>
        <w:ind w:left="927"/>
        <w:jc w:val="both"/>
        <w:outlineLvl w:val="0"/>
        <w:rPr>
          <w:rFonts w:ascii="Times New Roman" w:hAnsi="Times New Roman" w:cs="Times New Roman"/>
        </w:rPr>
      </w:pPr>
      <w:r>
        <w:rPr>
          <w:rFonts w:ascii="Times New Roman" w:eastAsia="Times New Roman" w:hAnsi="Times New Roman" w:cs="Times New Roman"/>
          <w:b/>
          <w:bCs/>
          <w:kern w:val="2"/>
          <w:sz w:val="24"/>
          <w:szCs w:val="24"/>
          <w:u w:val="single"/>
        </w:rPr>
        <w:t>2. Вуличне освітлення</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sz w:val="24"/>
          <w:szCs w:val="24"/>
          <w:shd w:val="clear" w:color="auto" w:fill="FFFFFF"/>
        </w:rPr>
        <w:t>Для потреб вуличного освітлення Луцької МТГ джерелом живлення є електрична енергія, генерація якої ґрунтується на атомній енергетиці, спалюванні вугілля, мазуту, природного газу, біопалива, а також застосуванню ВДЕ вітру, води, сонця.</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sz w:val="24"/>
          <w:szCs w:val="24"/>
        </w:rPr>
        <w:t>Вуличне освітлення разом із зовнішнім виглядом муніципальних будівель, має великий вплив на енергетичну свідомість мешканців та є візитівкою щодо стану енергетичного розвитку громади.</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sz w:val="24"/>
          <w:szCs w:val="24"/>
        </w:rPr>
        <w:t>Якість вуличного освітлення впливає на рівень безпеки населення в темний період доби і є запорукою зменшення кількості аварій на дорогах.</w:t>
      </w:r>
    </w:p>
    <w:p w:rsidR="00D227E2" w:rsidRDefault="00934FC4">
      <w:pPr>
        <w:pStyle w:val="a1"/>
        <w:spacing w:after="0"/>
        <w:ind w:firstLine="567"/>
        <w:jc w:val="both"/>
        <w:rPr>
          <w:rFonts w:ascii="Times New Roman" w:hAnsi="Times New Roman" w:cs="Times New Roman"/>
        </w:rPr>
      </w:pPr>
      <w:r>
        <w:rPr>
          <w:rFonts w:ascii="Times New Roman" w:hAnsi="Times New Roman" w:cs="Times New Roman"/>
          <w:sz w:val="24"/>
          <w:szCs w:val="24"/>
        </w:rPr>
        <w:t xml:space="preserve">Основні заходи даного сектору: </w:t>
      </w:r>
    </w:p>
    <w:p w:rsidR="00D227E2" w:rsidRDefault="00934FC4">
      <w:pPr>
        <w:pStyle w:val="28"/>
        <w:numPr>
          <w:ilvl w:val="0"/>
          <w:numId w:val="20"/>
        </w:numPr>
        <w:tabs>
          <w:tab w:val="clear" w:pos="720"/>
          <w:tab w:val="left" w:pos="709"/>
          <w:tab w:val="left" w:pos="851"/>
        </w:tabs>
        <w:ind w:left="0" w:firstLine="567"/>
      </w:pPr>
      <w:r>
        <w:t>заміна ламп системи внутрішнього освітлення на LED лампи;</w:t>
      </w:r>
    </w:p>
    <w:p w:rsidR="00D227E2" w:rsidRDefault="00934FC4">
      <w:pPr>
        <w:numPr>
          <w:ilvl w:val="0"/>
          <w:numId w:val="20"/>
        </w:numPr>
        <w:tabs>
          <w:tab w:val="clear" w:pos="720"/>
          <w:tab w:val="left" w:pos="709"/>
          <w:tab w:val="left" w:pos="851"/>
          <w:tab w:val="left" w:pos="900"/>
        </w:tabs>
        <w:spacing w:after="0"/>
        <w:ind w:left="0" w:firstLine="567"/>
        <w:jc w:val="both"/>
        <w:rPr>
          <w:rFonts w:ascii="Times New Roman" w:hAnsi="Times New Roman" w:cs="Times New Roman"/>
        </w:rPr>
      </w:pPr>
      <w:r>
        <w:rPr>
          <w:rFonts w:ascii="Times New Roman" w:hAnsi="Times New Roman" w:cs="Times New Roman"/>
        </w:rPr>
        <w:t>очищення поверхні ламп та світильників;</w:t>
      </w:r>
    </w:p>
    <w:p w:rsidR="00D227E2" w:rsidRDefault="00934FC4">
      <w:pPr>
        <w:numPr>
          <w:ilvl w:val="0"/>
          <w:numId w:val="20"/>
        </w:numPr>
        <w:tabs>
          <w:tab w:val="clear" w:pos="720"/>
          <w:tab w:val="left" w:pos="709"/>
          <w:tab w:val="left" w:pos="851"/>
          <w:tab w:val="left" w:pos="900"/>
        </w:tabs>
        <w:spacing w:after="0"/>
        <w:ind w:left="0" w:firstLine="567"/>
        <w:jc w:val="both"/>
        <w:rPr>
          <w:rFonts w:ascii="Times New Roman" w:hAnsi="Times New Roman" w:cs="Times New Roman"/>
        </w:rPr>
      </w:pPr>
      <w:r>
        <w:rPr>
          <w:rFonts w:ascii="Times New Roman" w:hAnsi="Times New Roman" w:cs="Times New Roman"/>
        </w:rPr>
        <w:t>заміна та реконструкція електромереж та опор;</w:t>
      </w:r>
    </w:p>
    <w:p w:rsidR="00D227E2" w:rsidRDefault="00934FC4">
      <w:pPr>
        <w:numPr>
          <w:ilvl w:val="0"/>
          <w:numId w:val="20"/>
        </w:numPr>
        <w:tabs>
          <w:tab w:val="clear" w:pos="720"/>
          <w:tab w:val="left" w:pos="709"/>
          <w:tab w:val="left" w:pos="851"/>
          <w:tab w:val="left" w:pos="900"/>
        </w:tabs>
        <w:spacing w:after="0"/>
        <w:ind w:left="0" w:firstLine="567"/>
        <w:jc w:val="both"/>
        <w:rPr>
          <w:rFonts w:ascii="Times New Roman" w:hAnsi="Times New Roman" w:cs="Times New Roman"/>
        </w:rPr>
      </w:pPr>
      <w:r>
        <w:rPr>
          <w:rFonts w:ascii="Times New Roman" w:hAnsi="Times New Roman" w:cs="Times New Roman"/>
        </w:rPr>
        <w:t>встановлення ліхтарів на сонячній енергії.</w:t>
      </w:r>
    </w:p>
    <w:p w:rsidR="00D227E2" w:rsidRDefault="00934FC4">
      <w:pPr>
        <w:tabs>
          <w:tab w:val="left" w:pos="0"/>
        </w:tabs>
        <w:spacing w:after="0"/>
        <w:ind w:left="850"/>
        <w:jc w:val="both"/>
        <w:outlineLvl w:val="0"/>
        <w:rPr>
          <w:rFonts w:ascii="Times New Roman" w:hAnsi="Times New Roman" w:cs="Times New Roman"/>
        </w:rPr>
      </w:pPr>
      <w:r>
        <w:rPr>
          <w:rFonts w:ascii="Times New Roman" w:eastAsia="Times New Roman" w:hAnsi="Times New Roman" w:cs="Times New Roman"/>
          <w:b/>
          <w:bCs/>
          <w:kern w:val="2"/>
          <w:sz w:val="24"/>
          <w:szCs w:val="24"/>
          <w:u w:val="single"/>
        </w:rPr>
        <w:t>3. Третинний сектор (сфера послуг)</w:t>
      </w:r>
    </w:p>
    <w:p w:rsidR="00D227E2" w:rsidRDefault="00934FC4">
      <w:pPr>
        <w:spacing w:after="0"/>
        <w:ind w:firstLine="567"/>
        <w:jc w:val="both"/>
        <w:rPr>
          <w:rFonts w:ascii="Times New Roman" w:hAnsi="Times New Roman" w:cs="Times New Roman"/>
        </w:rPr>
      </w:pPr>
      <w:r>
        <w:rPr>
          <w:rFonts w:ascii="Times New Roman" w:hAnsi="Times New Roman" w:cs="Times New Roman"/>
        </w:rPr>
        <w:t>Варто зазначити, що муніципальна влада не має прямих важелів впливу на об’єкти торгівлі та надання послуг, тому для цілей реалізації ПДСЕРК можуть бути використані методи непрямого впливу: проведення інформаційних кампаній та співпраця з організаторами публічних заходів.</w:t>
      </w:r>
    </w:p>
    <w:p w:rsidR="00D227E2" w:rsidRDefault="00934FC4">
      <w:pPr>
        <w:tabs>
          <w:tab w:val="left" w:pos="0"/>
          <w:tab w:val="left" w:pos="960"/>
        </w:tabs>
        <w:spacing w:after="0"/>
        <w:ind w:left="567"/>
        <w:jc w:val="both"/>
        <w:rPr>
          <w:rFonts w:ascii="Times New Roman" w:hAnsi="Times New Roman" w:cs="Times New Roman"/>
        </w:rPr>
      </w:pPr>
      <w:r>
        <w:rPr>
          <w:rFonts w:ascii="Times New Roman" w:hAnsi="Times New Roman" w:cs="Times New Roman"/>
          <w:sz w:val="24"/>
          <w:szCs w:val="24"/>
        </w:rPr>
        <w:t xml:space="preserve">Основні заходи даного сектору: </w:t>
      </w:r>
    </w:p>
    <w:p w:rsidR="00D227E2" w:rsidRDefault="00934FC4">
      <w:pPr>
        <w:numPr>
          <w:ilvl w:val="0"/>
          <w:numId w:val="32"/>
        </w:numPr>
        <w:tabs>
          <w:tab w:val="clear" w:pos="720"/>
          <w:tab w:val="left" w:pos="0"/>
          <w:tab w:val="left" w:pos="960"/>
        </w:tabs>
        <w:spacing w:after="0"/>
        <w:ind w:left="0" w:firstLine="567"/>
        <w:jc w:val="both"/>
        <w:rPr>
          <w:rFonts w:ascii="Times New Roman" w:hAnsi="Times New Roman" w:cs="Times New Roman"/>
        </w:rPr>
      </w:pPr>
      <w:r>
        <w:rPr>
          <w:rFonts w:ascii="Times New Roman" w:hAnsi="Times New Roman" w:cs="Times New Roman"/>
        </w:rPr>
        <w:t>проведення презентаційних виставок (ярмарків) енергоефективних технологій і обладнання;</w:t>
      </w:r>
    </w:p>
    <w:p w:rsidR="00D227E2" w:rsidRDefault="00934FC4">
      <w:pPr>
        <w:numPr>
          <w:ilvl w:val="0"/>
          <w:numId w:val="32"/>
        </w:numPr>
        <w:tabs>
          <w:tab w:val="clear" w:pos="720"/>
          <w:tab w:val="left" w:pos="0"/>
          <w:tab w:val="left" w:pos="960"/>
        </w:tabs>
        <w:spacing w:after="0"/>
        <w:ind w:left="0" w:firstLine="567"/>
        <w:jc w:val="both"/>
        <w:rPr>
          <w:rFonts w:ascii="Times New Roman" w:hAnsi="Times New Roman" w:cs="Times New Roman"/>
        </w:rPr>
      </w:pPr>
      <w:r>
        <w:rPr>
          <w:rFonts w:ascii="Times New Roman" w:hAnsi="Times New Roman" w:cs="Times New Roman"/>
        </w:rPr>
        <w:t>розповсюдження брошур, плакатів та іншої поляризаційної продукції на тему енергоефективності та раціонального використання енергії;</w:t>
      </w:r>
    </w:p>
    <w:p w:rsidR="00D227E2" w:rsidRDefault="00934FC4">
      <w:pPr>
        <w:numPr>
          <w:ilvl w:val="0"/>
          <w:numId w:val="32"/>
        </w:numPr>
        <w:tabs>
          <w:tab w:val="clear" w:pos="720"/>
          <w:tab w:val="left" w:pos="0"/>
          <w:tab w:val="left" w:pos="960"/>
        </w:tabs>
        <w:spacing w:after="0"/>
        <w:ind w:left="0" w:firstLine="567"/>
        <w:jc w:val="both"/>
        <w:rPr>
          <w:rFonts w:ascii="Times New Roman" w:hAnsi="Times New Roman" w:cs="Times New Roman"/>
        </w:rPr>
      </w:pPr>
      <w:r>
        <w:rPr>
          <w:rFonts w:ascii="Times New Roman" w:hAnsi="Times New Roman" w:cs="Times New Roman"/>
        </w:rPr>
        <w:t>надання консультацій енергоменеджером міста представникам комерційних структур та надавачам послуг з питань енергоефективності;</w:t>
      </w:r>
    </w:p>
    <w:p w:rsidR="00D227E2" w:rsidRDefault="00934FC4">
      <w:pPr>
        <w:numPr>
          <w:ilvl w:val="0"/>
          <w:numId w:val="32"/>
        </w:numPr>
        <w:tabs>
          <w:tab w:val="clear" w:pos="720"/>
          <w:tab w:val="left" w:pos="0"/>
          <w:tab w:val="left" w:pos="960"/>
        </w:tabs>
        <w:spacing w:after="0"/>
        <w:ind w:left="0" w:firstLine="567"/>
        <w:jc w:val="both"/>
        <w:rPr>
          <w:rFonts w:ascii="Times New Roman" w:hAnsi="Times New Roman" w:cs="Times New Roman"/>
        </w:rPr>
      </w:pPr>
      <w:r>
        <w:rPr>
          <w:rFonts w:ascii="Times New Roman" w:hAnsi="Times New Roman" w:cs="Times New Roman"/>
        </w:rPr>
        <w:t>круглі столи з представниками комерційних структур.</w:t>
      </w:r>
    </w:p>
    <w:p w:rsidR="00D227E2" w:rsidRDefault="00934FC4">
      <w:pPr>
        <w:spacing w:after="0"/>
        <w:ind w:left="850" w:hanging="227"/>
        <w:jc w:val="both"/>
        <w:outlineLvl w:val="0"/>
        <w:rPr>
          <w:rFonts w:ascii="Times New Roman" w:hAnsi="Times New Roman" w:cs="Times New Roman"/>
        </w:rPr>
      </w:pPr>
      <w:r>
        <w:rPr>
          <w:rFonts w:ascii="Times New Roman" w:eastAsia="NSimSun" w:hAnsi="Times New Roman" w:cs="Times New Roman"/>
          <w:b/>
          <w:bCs/>
          <w:kern w:val="2"/>
          <w:sz w:val="24"/>
          <w:szCs w:val="24"/>
          <w:u w:val="single"/>
          <w:lang w:eastAsia="zh-CN" w:bidi="hi-IN"/>
        </w:rPr>
        <w:t xml:space="preserve">4. </w:t>
      </w:r>
      <w:r>
        <w:rPr>
          <w:rFonts w:ascii="Times New Roman" w:eastAsia="Times New Roman" w:hAnsi="Times New Roman" w:cs="Times New Roman"/>
          <w:b/>
          <w:bCs/>
          <w:kern w:val="2"/>
          <w:sz w:val="24"/>
          <w:szCs w:val="24"/>
          <w:u w:val="single"/>
        </w:rPr>
        <w:t>Населення</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Населення є одним з найбільших споживачів енергоресурсів. Значний відсоток житлового фонду застарілий і потребує додаткової уваги, особливо з боку держави у його енергомодернізації.</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Основні заходи з енергозбереження у житлових будівлях:</w:t>
      </w:r>
    </w:p>
    <w:p w:rsidR="00D227E2" w:rsidRDefault="00934FC4">
      <w:pPr>
        <w:numPr>
          <w:ilvl w:val="0"/>
          <w:numId w:val="21"/>
        </w:numPr>
        <w:tabs>
          <w:tab w:val="clear" w:pos="720"/>
          <w:tab w:val="left" w:pos="90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популяризація енергоощадності серед населення через інформаційно-просвітницькі кампанії (інформування населення про цільові програми та/або інструменти з енергозбереження та енергоефективності для залучення інвестицій («Теплі кредити», «Енергодім», ЕСКО тощо);</w:t>
      </w:r>
    </w:p>
    <w:p w:rsidR="00D227E2" w:rsidRDefault="00934FC4">
      <w:pPr>
        <w:numPr>
          <w:ilvl w:val="0"/>
          <w:numId w:val="21"/>
        </w:numPr>
        <w:tabs>
          <w:tab w:val="clear" w:pos="720"/>
          <w:tab w:val="left" w:pos="90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lastRenderedPageBreak/>
        <w:t xml:space="preserve">комплексна енергомодернізація багатоквартирних житлових будинків; </w:t>
      </w:r>
    </w:p>
    <w:p w:rsidR="00D227E2" w:rsidRDefault="00934FC4">
      <w:pPr>
        <w:numPr>
          <w:ilvl w:val="0"/>
          <w:numId w:val="21"/>
        </w:numPr>
        <w:tabs>
          <w:tab w:val="clear" w:pos="720"/>
          <w:tab w:val="left" w:pos="90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впровадження енергоефективних заходів у приватних житлових будинках індивідуальної забудови та заміщення природного газу альтернативним паливом;</w:t>
      </w:r>
    </w:p>
    <w:p w:rsidR="00D227E2" w:rsidRDefault="00934FC4">
      <w:pPr>
        <w:numPr>
          <w:ilvl w:val="0"/>
          <w:numId w:val="21"/>
        </w:numPr>
        <w:tabs>
          <w:tab w:val="clear" w:pos="720"/>
          <w:tab w:val="left" w:pos="90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впровадження відновлювальних джерел енергії в приватних домогосподарствах;</w:t>
      </w:r>
    </w:p>
    <w:p w:rsidR="00D227E2" w:rsidRDefault="00934FC4">
      <w:pPr>
        <w:numPr>
          <w:ilvl w:val="0"/>
          <w:numId w:val="21"/>
        </w:numPr>
        <w:tabs>
          <w:tab w:val="clear" w:pos="720"/>
          <w:tab w:val="left" w:pos="90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модернізація джерел внутрішнього освітлення та побутового електрообладнання у багатоквартирних житлових будинках.</w:t>
      </w:r>
    </w:p>
    <w:p w:rsidR="00D227E2" w:rsidRDefault="00934FC4">
      <w:pPr>
        <w:spacing w:after="0"/>
        <w:ind w:firstLine="567"/>
        <w:jc w:val="both"/>
        <w:outlineLvl w:val="0"/>
        <w:rPr>
          <w:rFonts w:ascii="Times New Roman" w:hAnsi="Times New Roman" w:cs="Times New Roman"/>
        </w:rPr>
      </w:pPr>
      <w:r>
        <w:rPr>
          <w:rFonts w:ascii="Times New Roman" w:hAnsi="Times New Roman" w:cs="Times New Roman"/>
          <w:b/>
          <w:bCs/>
          <w:kern w:val="2"/>
          <w:u w:val="single"/>
        </w:rPr>
        <w:t>5. Транспорт</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Протягом останніх років спостерігається значне збільшення кількості транспорту. Враховуючи таку тенденцію необхідно планувати заходи для зменшення кількості викидів СО</w:t>
      </w:r>
      <w:r>
        <w:rPr>
          <w:rFonts w:ascii="Times New Roman" w:hAnsi="Times New Roman" w:cs="Times New Roman"/>
          <w:sz w:val="24"/>
          <w:szCs w:val="24"/>
          <w:vertAlign w:val="subscript"/>
        </w:rPr>
        <w:t>2</w:t>
      </w:r>
      <w:r>
        <w:rPr>
          <w:rFonts w:ascii="Times New Roman" w:hAnsi="Times New Roman" w:cs="Times New Roman"/>
          <w:sz w:val="24"/>
          <w:szCs w:val="24"/>
        </w:rPr>
        <w:t>.</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Заходи, що сприяють зменшенню викидів СО</w:t>
      </w:r>
      <w:r>
        <w:rPr>
          <w:rFonts w:ascii="Times New Roman" w:hAnsi="Times New Roman" w:cs="Times New Roman"/>
          <w:sz w:val="24"/>
          <w:szCs w:val="24"/>
          <w:vertAlign w:val="subscript"/>
        </w:rPr>
        <w:t>2</w:t>
      </w:r>
      <w:r>
        <w:rPr>
          <w:rFonts w:ascii="Times New Roman" w:hAnsi="Times New Roman" w:cs="Times New Roman"/>
          <w:sz w:val="24"/>
          <w:szCs w:val="24"/>
        </w:rPr>
        <w:t>:</w:t>
      </w:r>
    </w:p>
    <w:p w:rsidR="00D227E2" w:rsidRDefault="00934FC4">
      <w:pPr>
        <w:numPr>
          <w:ilvl w:val="0"/>
          <w:numId w:val="22"/>
        </w:numPr>
        <w:tabs>
          <w:tab w:val="clear" w:pos="720"/>
          <w:tab w:val="left" w:pos="900"/>
        </w:tabs>
        <w:spacing w:after="0"/>
        <w:ind w:left="0" w:firstLine="567"/>
        <w:jc w:val="both"/>
        <w:rPr>
          <w:rFonts w:ascii="Times New Roman" w:hAnsi="Times New Roman" w:cs="Times New Roman"/>
        </w:rPr>
      </w:pPr>
      <w:r>
        <w:rPr>
          <w:rFonts w:ascii="Times New Roman" w:hAnsi="Times New Roman" w:cs="Times New Roman"/>
          <w:sz w:val="24"/>
          <w:szCs w:val="24"/>
        </w:rPr>
        <w:t>оновлення парку тролейбусів;</w:t>
      </w:r>
    </w:p>
    <w:p w:rsidR="00D227E2" w:rsidRDefault="00934FC4">
      <w:pPr>
        <w:numPr>
          <w:ilvl w:val="0"/>
          <w:numId w:val="22"/>
        </w:numPr>
        <w:tabs>
          <w:tab w:val="clear" w:pos="720"/>
          <w:tab w:val="left" w:pos="900"/>
        </w:tabs>
        <w:spacing w:after="0"/>
        <w:ind w:left="0" w:firstLine="567"/>
        <w:jc w:val="both"/>
        <w:rPr>
          <w:rFonts w:ascii="Times New Roman" w:hAnsi="Times New Roman" w:cs="Times New Roman"/>
        </w:rPr>
      </w:pPr>
      <w:r>
        <w:rPr>
          <w:rFonts w:ascii="Times New Roman" w:hAnsi="Times New Roman" w:cs="Times New Roman"/>
          <w:sz w:val="24"/>
          <w:szCs w:val="24"/>
        </w:rPr>
        <w:t>переведення частини перевезень автобусного транспорту на використання електротранспорту (за умови наявності власної генерації електроенергії з ВДЕ);</w:t>
      </w:r>
    </w:p>
    <w:p w:rsidR="00D227E2" w:rsidRDefault="00934FC4">
      <w:pPr>
        <w:numPr>
          <w:ilvl w:val="0"/>
          <w:numId w:val="22"/>
        </w:numPr>
        <w:tabs>
          <w:tab w:val="clear" w:pos="720"/>
          <w:tab w:val="left" w:pos="900"/>
        </w:tabs>
        <w:spacing w:after="0"/>
        <w:ind w:left="0" w:firstLine="567"/>
        <w:jc w:val="both"/>
        <w:rPr>
          <w:rFonts w:ascii="Times New Roman" w:hAnsi="Times New Roman" w:cs="Times New Roman"/>
        </w:rPr>
      </w:pPr>
      <w:r>
        <w:rPr>
          <w:rFonts w:ascii="Times New Roman" w:hAnsi="Times New Roman" w:cs="Times New Roman"/>
          <w:sz w:val="24"/>
          <w:szCs w:val="24"/>
        </w:rPr>
        <w:t>оновлення парку автотранспорту та контроль за його технічним станом;</w:t>
      </w:r>
    </w:p>
    <w:p w:rsidR="00D227E2" w:rsidRDefault="00934FC4">
      <w:pPr>
        <w:numPr>
          <w:ilvl w:val="0"/>
          <w:numId w:val="22"/>
        </w:numPr>
        <w:tabs>
          <w:tab w:val="clear" w:pos="720"/>
          <w:tab w:val="left" w:pos="900"/>
        </w:tabs>
        <w:spacing w:after="0"/>
        <w:ind w:left="0" w:firstLine="567"/>
        <w:jc w:val="both"/>
        <w:rPr>
          <w:rFonts w:ascii="Times New Roman" w:hAnsi="Times New Roman" w:cs="Times New Roman"/>
        </w:rPr>
      </w:pPr>
      <w:r>
        <w:rPr>
          <w:rFonts w:ascii="Times New Roman" w:hAnsi="Times New Roman" w:cs="Times New Roman"/>
          <w:sz w:val="24"/>
          <w:szCs w:val="24"/>
        </w:rPr>
        <w:t>переведення приватного та комерційного транспорту на зріджений газ (пропан- бутан) та стиснений газ (метан);</w:t>
      </w:r>
    </w:p>
    <w:p w:rsidR="00D227E2" w:rsidRDefault="00934FC4">
      <w:pPr>
        <w:numPr>
          <w:ilvl w:val="0"/>
          <w:numId w:val="22"/>
        </w:numPr>
        <w:tabs>
          <w:tab w:val="clear" w:pos="720"/>
          <w:tab w:val="left" w:pos="900"/>
        </w:tabs>
        <w:spacing w:after="0"/>
        <w:ind w:left="0" w:firstLine="567"/>
        <w:jc w:val="both"/>
        <w:rPr>
          <w:rFonts w:ascii="Times New Roman" w:hAnsi="Times New Roman" w:cs="Times New Roman"/>
        </w:rPr>
      </w:pPr>
      <w:r>
        <w:rPr>
          <w:rFonts w:ascii="Times New Roman" w:hAnsi="Times New Roman" w:cs="Times New Roman"/>
          <w:sz w:val="24"/>
          <w:szCs w:val="24"/>
        </w:rPr>
        <w:t>ремонт та реконструкція дорожнього полотна транспортної системи;</w:t>
      </w:r>
    </w:p>
    <w:p w:rsidR="00D227E2" w:rsidRDefault="00934FC4">
      <w:pPr>
        <w:numPr>
          <w:ilvl w:val="0"/>
          <w:numId w:val="22"/>
        </w:numPr>
        <w:tabs>
          <w:tab w:val="clear" w:pos="720"/>
          <w:tab w:val="left" w:pos="900"/>
        </w:tabs>
        <w:spacing w:after="0"/>
        <w:ind w:left="0" w:firstLine="567"/>
        <w:jc w:val="both"/>
        <w:rPr>
          <w:rFonts w:ascii="Times New Roman" w:hAnsi="Times New Roman" w:cs="Times New Roman"/>
        </w:rPr>
      </w:pPr>
      <w:r>
        <w:rPr>
          <w:rFonts w:ascii="Times New Roman" w:hAnsi="Times New Roman" w:cs="Times New Roman"/>
          <w:sz w:val="24"/>
          <w:szCs w:val="24"/>
        </w:rPr>
        <w:t>оптимізація схем руху громадського транспорту;</w:t>
      </w:r>
    </w:p>
    <w:p w:rsidR="00D227E2" w:rsidRDefault="00934FC4">
      <w:pPr>
        <w:numPr>
          <w:ilvl w:val="0"/>
          <w:numId w:val="22"/>
        </w:numPr>
        <w:tabs>
          <w:tab w:val="clear" w:pos="720"/>
          <w:tab w:val="left" w:pos="900"/>
        </w:tabs>
        <w:spacing w:after="0"/>
        <w:ind w:left="0" w:firstLine="567"/>
        <w:jc w:val="both"/>
        <w:rPr>
          <w:rFonts w:ascii="Times New Roman" w:hAnsi="Times New Roman" w:cs="Times New Roman"/>
        </w:rPr>
      </w:pPr>
      <w:r>
        <w:rPr>
          <w:rFonts w:ascii="Times New Roman" w:hAnsi="Times New Roman" w:cs="Times New Roman"/>
          <w:sz w:val="24"/>
          <w:szCs w:val="24"/>
        </w:rPr>
        <w:t>розвиток велосипедної інфраструктури громади;</w:t>
      </w:r>
    </w:p>
    <w:p w:rsidR="00D227E2" w:rsidRDefault="00934FC4">
      <w:pPr>
        <w:numPr>
          <w:ilvl w:val="0"/>
          <w:numId w:val="22"/>
        </w:numPr>
        <w:tabs>
          <w:tab w:val="clear" w:pos="720"/>
          <w:tab w:val="left" w:pos="900"/>
        </w:tabs>
        <w:spacing w:after="0"/>
        <w:ind w:left="0" w:firstLine="567"/>
        <w:jc w:val="both"/>
        <w:rPr>
          <w:rFonts w:ascii="Times New Roman" w:hAnsi="Times New Roman" w:cs="Times New Roman"/>
        </w:rPr>
      </w:pPr>
      <w:r>
        <w:rPr>
          <w:rFonts w:ascii="Times New Roman" w:hAnsi="Times New Roman" w:cs="Times New Roman"/>
          <w:sz w:val="24"/>
          <w:szCs w:val="24"/>
        </w:rPr>
        <w:t>влаштування зручних переходів, пологих спусків та підйомів на пішохідних доріжках та велодоріжках;</w:t>
      </w:r>
    </w:p>
    <w:p w:rsidR="00D227E2" w:rsidRDefault="00934FC4">
      <w:pPr>
        <w:numPr>
          <w:ilvl w:val="0"/>
          <w:numId w:val="22"/>
        </w:numPr>
        <w:tabs>
          <w:tab w:val="clear" w:pos="720"/>
          <w:tab w:val="left" w:pos="900"/>
        </w:tabs>
        <w:spacing w:after="0"/>
        <w:ind w:left="0" w:firstLine="567"/>
        <w:jc w:val="both"/>
        <w:rPr>
          <w:rFonts w:ascii="Times New Roman" w:hAnsi="Times New Roman" w:cs="Times New Roman"/>
        </w:rPr>
      </w:pPr>
      <w:r>
        <w:rPr>
          <w:rFonts w:ascii="Times New Roman" w:hAnsi="Times New Roman" w:cs="Times New Roman"/>
          <w:sz w:val="24"/>
          <w:szCs w:val="24"/>
        </w:rPr>
        <w:t>популяризація велосипедного руху.</w:t>
      </w:r>
    </w:p>
    <w:p w:rsidR="00D227E2" w:rsidRDefault="00934FC4">
      <w:pPr>
        <w:spacing w:after="0"/>
        <w:ind w:firstLine="567"/>
        <w:jc w:val="both"/>
        <w:outlineLvl w:val="0"/>
        <w:rPr>
          <w:rFonts w:ascii="Times New Roman" w:hAnsi="Times New Roman" w:cs="Times New Roman"/>
        </w:rPr>
      </w:pPr>
      <w:r>
        <w:rPr>
          <w:rFonts w:ascii="Times New Roman" w:eastAsia="NSimSun" w:hAnsi="Times New Roman" w:cs="Times New Roman"/>
          <w:b/>
          <w:bCs/>
          <w:kern w:val="2"/>
          <w:sz w:val="24"/>
          <w:szCs w:val="24"/>
          <w:u w:val="single"/>
          <w:lang w:eastAsia="zh-CN" w:bidi="hi-IN"/>
        </w:rPr>
        <w:t xml:space="preserve">6. </w:t>
      </w:r>
      <w:r>
        <w:rPr>
          <w:rFonts w:ascii="Times New Roman" w:eastAsia="Times New Roman" w:hAnsi="Times New Roman" w:cs="Times New Roman"/>
          <w:b/>
          <w:bCs/>
          <w:kern w:val="2"/>
          <w:sz w:val="24"/>
          <w:szCs w:val="24"/>
          <w:u w:val="single"/>
        </w:rPr>
        <w:t>Система централізованого теплопостачання</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shd w:val="clear" w:color="auto" w:fill="FFFFFF"/>
          <w:lang w:eastAsia="zh-CN" w:bidi="hi-IN"/>
        </w:rPr>
        <w:t>З метою раціонального використання палива, електроенергії та ефективної генерації, транспортування теплової енергії пропонуються наступні заходи:</w:t>
      </w:r>
    </w:p>
    <w:p w:rsidR="00D227E2" w:rsidRDefault="00934FC4">
      <w:pPr>
        <w:numPr>
          <w:ilvl w:val="0"/>
          <w:numId w:val="23"/>
        </w:numPr>
        <w:tabs>
          <w:tab w:val="clear" w:pos="720"/>
          <w:tab w:val="left" w:pos="900"/>
        </w:tabs>
        <w:spacing w:after="0"/>
        <w:ind w:left="0" w:firstLine="567"/>
        <w:jc w:val="both"/>
        <w:rPr>
          <w:rFonts w:ascii="Times New Roman" w:hAnsi="Times New Roman" w:cs="Times New Roman"/>
        </w:rPr>
      </w:pPr>
      <w:r>
        <w:rPr>
          <w:rFonts w:ascii="Times New Roman" w:hAnsi="Times New Roman" w:cs="Times New Roman"/>
          <w:sz w:val="24"/>
          <w:szCs w:val="24"/>
          <w:shd w:val="clear" w:color="auto" w:fill="FFFFFF"/>
        </w:rPr>
        <w:t>реконструкція котелень із заміною старих котлів на нові;</w:t>
      </w:r>
    </w:p>
    <w:p w:rsidR="00D227E2" w:rsidRDefault="00934FC4">
      <w:pPr>
        <w:numPr>
          <w:ilvl w:val="0"/>
          <w:numId w:val="23"/>
        </w:numPr>
        <w:tabs>
          <w:tab w:val="clear" w:pos="720"/>
          <w:tab w:val="left" w:pos="900"/>
        </w:tabs>
        <w:spacing w:after="0"/>
        <w:ind w:left="0" w:firstLine="567"/>
        <w:jc w:val="both"/>
        <w:rPr>
          <w:rFonts w:ascii="Times New Roman" w:hAnsi="Times New Roman" w:cs="Times New Roman"/>
        </w:rPr>
      </w:pPr>
      <w:r>
        <w:rPr>
          <w:rFonts w:ascii="Times New Roman" w:hAnsi="Times New Roman" w:cs="Times New Roman"/>
          <w:sz w:val="24"/>
          <w:szCs w:val="24"/>
          <w:shd w:val="clear" w:color="auto" w:fill="FFFFFF"/>
        </w:rPr>
        <w:t>будівництво твердопаливних котелень на біопаливі;</w:t>
      </w:r>
    </w:p>
    <w:p w:rsidR="00D227E2" w:rsidRDefault="00934FC4">
      <w:pPr>
        <w:numPr>
          <w:ilvl w:val="0"/>
          <w:numId w:val="23"/>
        </w:numPr>
        <w:tabs>
          <w:tab w:val="clear" w:pos="720"/>
          <w:tab w:val="left" w:pos="900"/>
        </w:tabs>
        <w:spacing w:after="0"/>
        <w:ind w:left="0" w:firstLine="567"/>
        <w:jc w:val="both"/>
        <w:rPr>
          <w:rFonts w:ascii="Times New Roman" w:hAnsi="Times New Roman" w:cs="Times New Roman"/>
        </w:rPr>
      </w:pPr>
      <w:r>
        <w:rPr>
          <w:rFonts w:ascii="Times New Roman" w:hAnsi="Times New Roman" w:cs="Times New Roman"/>
          <w:sz w:val="24"/>
          <w:szCs w:val="24"/>
          <w:shd w:val="clear" w:color="auto" w:fill="FFFFFF"/>
        </w:rPr>
        <w:t>встановлення теплових насосів та сонячних батарей;</w:t>
      </w:r>
    </w:p>
    <w:p w:rsidR="00D227E2" w:rsidRDefault="00934FC4">
      <w:pPr>
        <w:numPr>
          <w:ilvl w:val="0"/>
          <w:numId w:val="23"/>
        </w:numPr>
        <w:tabs>
          <w:tab w:val="clear" w:pos="720"/>
          <w:tab w:val="left" w:pos="900"/>
        </w:tabs>
        <w:spacing w:after="0"/>
        <w:ind w:left="0" w:firstLine="567"/>
        <w:jc w:val="both"/>
        <w:rPr>
          <w:rFonts w:ascii="Times New Roman" w:hAnsi="Times New Roman" w:cs="Times New Roman"/>
        </w:rPr>
      </w:pPr>
      <w:r>
        <w:rPr>
          <w:rFonts w:ascii="Times New Roman" w:eastAsia="Times New Roman" w:hAnsi="Times New Roman" w:cs="Times New Roman"/>
          <w:kern w:val="2"/>
          <w:sz w:val="24"/>
          <w:szCs w:val="24"/>
          <w:shd w:val="clear" w:color="auto" w:fill="FFFFFF"/>
        </w:rPr>
        <w:t>встановлення когенераційних установок для забезпечення електроенергією котелень підприємства;</w:t>
      </w:r>
    </w:p>
    <w:p w:rsidR="00D227E2" w:rsidRDefault="00934FC4">
      <w:pPr>
        <w:numPr>
          <w:ilvl w:val="0"/>
          <w:numId w:val="23"/>
        </w:numPr>
        <w:tabs>
          <w:tab w:val="clear" w:pos="720"/>
          <w:tab w:val="left" w:pos="900"/>
        </w:tabs>
        <w:spacing w:after="0"/>
        <w:ind w:left="0" w:firstLine="567"/>
        <w:jc w:val="both"/>
        <w:rPr>
          <w:rFonts w:ascii="Times New Roman" w:hAnsi="Times New Roman" w:cs="Times New Roman"/>
        </w:rPr>
      </w:pPr>
      <w:r>
        <w:rPr>
          <w:rFonts w:ascii="Times New Roman" w:eastAsia="Times New Roman" w:hAnsi="Times New Roman" w:cs="Times New Roman"/>
          <w:kern w:val="2"/>
          <w:sz w:val="24"/>
          <w:szCs w:val="24"/>
          <w:shd w:val="clear" w:color="auto" w:fill="FFFFFF"/>
        </w:rPr>
        <w:t>заміна старих малоефективних котлів на нові з покращеним ККД;</w:t>
      </w:r>
    </w:p>
    <w:p w:rsidR="00D227E2" w:rsidRDefault="00934FC4">
      <w:pPr>
        <w:numPr>
          <w:ilvl w:val="0"/>
          <w:numId w:val="23"/>
        </w:numPr>
        <w:tabs>
          <w:tab w:val="clear" w:pos="720"/>
          <w:tab w:val="left" w:pos="900"/>
        </w:tabs>
        <w:spacing w:after="0"/>
        <w:ind w:left="0" w:firstLine="567"/>
        <w:jc w:val="both"/>
        <w:rPr>
          <w:rFonts w:ascii="Times New Roman" w:hAnsi="Times New Roman" w:cs="Times New Roman"/>
        </w:rPr>
      </w:pPr>
      <w:r>
        <w:rPr>
          <w:rFonts w:ascii="Times New Roman" w:eastAsia="Times New Roman" w:hAnsi="Times New Roman" w:cs="Times New Roman"/>
          <w:kern w:val="2"/>
          <w:sz w:val="24"/>
          <w:szCs w:val="24"/>
          <w:shd w:val="clear" w:color="auto" w:fill="FFFFFF"/>
        </w:rPr>
        <w:t>заміна старих теплових мереж на нові попередньо ізольовані труби;</w:t>
      </w:r>
    </w:p>
    <w:p w:rsidR="00D227E2" w:rsidRDefault="00934FC4">
      <w:pPr>
        <w:numPr>
          <w:ilvl w:val="0"/>
          <w:numId w:val="23"/>
        </w:numPr>
        <w:tabs>
          <w:tab w:val="clear" w:pos="720"/>
          <w:tab w:val="left" w:pos="900"/>
        </w:tabs>
        <w:spacing w:after="0"/>
        <w:ind w:left="0" w:firstLine="567"/>
        <w:jc w:val="both"/>
        <w:rPr>
          <w:rFonts w:ascii="Times New Roman" w:hAnsi="Times New Roman" w:cs="Times New Roman"/>
        </w:rPr>
      </w:pPr>
      <w:r>
        <w:rPr>
          <w:rFonts w:ascii="Times New Roman" w:eastAsia="Times New Roman" w:hAnsi="Times New Roman" w:cs="Times New Roman"/>
          <w:kern w:val="2"/>
          <w:sz w:val="24"/>
          <w:szCs w:val="24"/>
          <w:shd w:val="clear" w:color="auto" w:fill="FFFFFF"/>
        </w:rPr>
        <w:t>теплове та гідравлічне налагодження тепломережі;</w:t>
      </w:r>
    </w:p>
    <w:p w:rsidR="00D227E2" w:rsidRDefault="00934FC4">
      <w:pPr>
        <w:numPr>
          <w:ilvl w:val="0"/>
          <w:numId w:val="23"/>
        </w:numPr>
        <w:tabs>
          <w:tab w:val="clear" w:pos="720"/>
          <w:tab w:val="left" w:pos="900"/>
        </w:tabs>
        <w:spacing w:after="0"/>
        <w:ind w:left="0" w:firstLine="567"/>
        <w:jc w:val="both"/>
        <w:rPr>
          <w:rFonts w:ascii="Times New Roman" w:hAnsi="Times New Roman" w:cs="Times New Roman"/>
        </w:rPr>
      </w:pPr>
      <w:r>
        <w:rPr>
          <w:rFonts w:ascii="Times New Roman" w:eastAsia="Times New Roman" w:hAnsi="Times New Roman" w:cs="Times New Roman"/>
          <w:kern w:val="2"/>
          <w:sz w:val="24"/>
          <w:szCs w:val="24"/>
          <w:shd w:val="clear" w:color="auto" w:fill="FFFFFF"/>
        </w:rPr>
        <w:t>заміна старих пальників на нові ефективніші та налагодження процесу регулювання співвідношення «паливо/повітря» на котлах;</w:t>
      </w:r>
    </w:p>
    <w:p w:rsidR="00D227E2" w:rsidRDefault="00934FC4">
      <w:pPr>
        <w:numPr>
          <w:ilvl w:val="0"/>
          <w:numId w:val="23"/>
        </w:numPr>
        <w:tabs>
          <w:tab w:val="clear" w:pos="720"/>
          <w:tab w:val="left" w:pos="900"/>
        </w:tabs>
        <w:spacing w:after="0"/>
        <w:ind w:left="0" w:firstLine="567"/>
        <w:jc w:val="both"/>
        <w:rPr>
          <w:rFonts w:ascii="Times New Roman" w:hAnsi="Times New Roman" w:cs="Times New Roman"/>
        </w:rPr>
      </w:pPr>
      <w:r>
        <w:rPr>
          <w:rFonts w:ascii="Times New Roman" w:eastAsia="Times New Roman" w:hAnsi="Times New Roman" w:cs="Times New Roman"/>
          <w:kern w:val="2"/>
          <w:sz w:val="24"/>
          <w:szCs w:val="24"/>
          <w:shd w:val="clear" w:color="auto" w:fill="FFFFFF"/>
        </w:rPr>
        <w:t>влаштування теплоутилізатора (економайзера);</w:t>
      </w:r>
    </w:p>
    <w:p w:rsidR="00D227E2" w:rsidRDefault="00934FC4">
      <w:pPr>
        <w:numPr>
          <w:ilvl w:val="0"/>
          <w:numId w:val="23"/>
        </w:numPr>
        <w:tabs>
          <w:tab w:val="clear" w:pos="720"/>
          <w:tab w:val="left" w:pos="900"/>
        </w:tabs>
        <w:spacing w:after="0"/>
        <w:ind w:left="0" w:firstLine="567"/>
        <w:jc w:val="both"/>
        <w:rPr>
          <w:rFonts w:ascii="Times New Roman" w:hAnsi="Times New Roman" w:cs="Times New Roman"/>
        </w:rPr>
      </w:pPr>
      <w:r>
        <w:rPr>
          <w:rFonts w:ascii="Times New Roman" w:eastAsia="Times New Roman" w:hAnsi="Times New Roman" w:cs="Times New Roman"/>
          <w:kern w:val="2"/>
          <w:sz w:val="24"/>
          <w:szCs w:val="24"/>
          <w:shd w:val="clear" w:color="auto" w:fill="FFFFFF"/>
        </w:rPr>
        <w:t>встановлення частотно-регулюючих пристроїв на мережевих насосах</w:t>
      </w:r>
      <w:r>
        <w:rPr>
          <w:rFonts w:ascii="Times New Roman" w:hAnsi="Times New Roman" w:cs="Times New Roman"/>
          <w:sz w:val="24"/>
          <w:szCs w:val="24"/>
          <w:shd w:val="clear" w:color="auto" w:fill="FFFFFF"/>
        </w:rPr>
        <w:t>.</w:t>
      </w:r>
    </w:p>
    <w:p w:rsidR="00D227E2" w:rsidRDefault="00934FC4">
      <w:pPr>
        <w:tabs>
          <w:tab w:val="left" w:pos="900"/>
        </w:tabs>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Щоб попередити аварійні ситуації та забезпечити стабільну роботу централізованого теплопостачання, необхідно своєчасно виконувати модернізацію тепломереж, що передбачає поетапну заміну аварійних та зношених трубопроводів на нові попередньо ізольовані труби, це забезпечить мінімізацію витрат тепла та зменшить затрати при аварійних ситуаціях.</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shd w:val="clear" w:color="auto" w:fill="FFFFFF"/>
          <w:lang w:eastAsia="zh-CN" w:bidi="hi-IN"/>
        </w:rPr>
        <w:t xml:space="preserve">Своєчасно, згідно з регламентом, необхідно виконувати гідравлічні випробування трубопроводів та ревізію запірної арматури. Разом з тим, рекомендується розробити енергоефективну та екологічну схему централізованого теплопостачання, яка створить </w:t>
      </w:r>
      <w:r>
        <w:rPr>
          <w:rFonts w:ascii="Times New Roman" w:eastAsia="NSimSun" w:hAnsi="Times New Roman" w:cs="Times New Roman"/>
          <w:kern w:val="2"/>
          <w:sz w:val="24"/>
          <w:szCs w:val="24"/>
          <w:shd w:val="clear" w:color="auto" w:fill="FFFFFF"/>
          <w:lang w:eastAsia="zh-CN" w:bidi="hi-IN"/>
        </w:rPr>
        <w:lastRenderedPageBreak/>
        <w:t>можливість забезпечення стратегічного розвитку з відповідним покращенням енергетичних послуг та оптимізує її функціонування.</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b/>
          <w:bCs/>
          <w:kern w:val="2"/>
          <w:sz w:val="24"/>
          <w:szCs w:val="24"/>
          <w:u w:val="single"/>
          <w:lang w:eastAsia="zh-CN" w:bidi="hi-IN"/>
        </w:rPr>
        <w:t>7. Поводження з відходами</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З огляду на зростання кількості населення громади, що відповідно має вплив на збільшення кількості побутових відходів, пропонуються наступні заходи </w:t>
      </w:r>
      <w:r>
        <w:rPr>
          <w:rFonts w:ascii="Times New Roman" w:eastAsia="Times New Roman" w:hAnsi="Times New Roman" w:cs="Times New Roman"/>
          <w:bCs/>
          <w:kern w:val="2"/>
          <w:sz w:val="24"/>
          <w:szCs w:val="24"/>
        </w:rPr>
        <w:t>щодо пом’якшення наслідків зміни клімату:</w:t>
      </w:r>
    </w:p>
    <w:p w:rsidR="00D227E2" w:rsidRDefault="00934FC4">
      <w:pPr>
        <w:numPr>
          <w:ilvl w:val="0"/>
          <w:numId w:val="24"/>
        </w:numPr>
        <w:tabs>
          <w:tab w:val="clear" w:pos="720"/>
          <w:tab w:val="left" w:pos="900"/>
        </w:tabs>
        <w:spacing w:after="0"/>
        <w:ind w:left="0" w:firstLine="567"/>
        <w:jc w:val="both"/>
        <w:rPr>
          <w:rFonts w:ascii="Times New Roman" w:hAnsi="Times New Roman" w:cs="Times New Roman"/>
        </w:rPr>
      </w:pPr>
      <w:r>
        <w:rPr>
          <w:rFonts w:ascii="Times New Roman" w:hAnsi="Times New Roman" w:cs="Times New Roman"/>
          <w:sz w:val="24"/>
          <w:szCs w:val="24"/>
        </w:rPr>
        <w:t>ущільнення накопичених відходів;</w:t>
      </w:r>
    </w:p>
    <w:p w:rsidR="00D227E2" w:rsidRDefault="00934FC4">
      <w:pPr>
        <w:numPr>
          <w:ilvl w:val="0"/>
          <w:numId w:val="24"/>
        </w:numPr>
        <w:tabs>
          <w:tab w:val="clear" w:pos="720"/>
          <w:tab w:val="left" w:pos="900"/>
        </w:tabs>
        <w:spacing w:after="0"/>
        <w:ind w:left="0" w:firstLine="567"/>
        <w:jc w:val="both"/>
        <w:rPr>
          <w:rFonts w:ascii="Times New Roman" w:hAnsi="Times New Roman" w:cs="Times New Roman"/>
        </w:rPr>
      </w:pPr>
      <w:r>
        <w:rPr>
          <w:rFonts w:ascii="Times New Roman" w:hAnsi="Times New Roman" w:cs="Times New Roman"/>
          <w:spacing w:val="-4"/>
          <w:sz w:val="24"/>
          <w:szCs w:val="24"/>
          <w:lang w:eastAsia="uk-UA"/>
        </w:rPr>
        <w:t xml:space="preserve">поводження з органічними відходами; </w:t>
      </w:r>
    </w:p>
    <w:p w:rsidR="00D227E2" w:rsidRDefault="00934FC4">
      <w:pPr>
        <w:numPr>
          <w:ilvl w:val="0"/>
          <w:numId w:val="24"/>
        </w:numPr>
        <w:tabs>
          <w:tab w:val="clear" w:pos="720"/>
          <w:tab w:val="left" w:pos="900"/>
        </w:tabs>
        <w:spacing w:after="0"/>
        <w:ind w:left="0" w:firstLine="567"/>
        <w:jc w:val="both"/>
        <w:rPr>
          <w:rFonts w:ascii="Times New Roman" w:hAnsi="Times New Roman" w:cs="Times New Roman"/>
        </w:rPr>
      </w:pPr>
      <w:r>
        <w:rPr>
          <w:rFonts w:ascii="Times New Roman" w:hAnsi="Times New Roman" w:cs="Times New Roman"/>
          <w:sz w:val="24"/>
          <w:szCs w:val="24"/>
        </w:rPr>
        <w:t>співробітництво територіальних громад у формі реалізації спільних проєків у сфері управління побутовими відходами;</w:t>
      </w:r>
    </w:p>
    <w:p w:rsidR="00D227E2" w:rsidRDefault="00934FC4">
      <w:pPr>
        <w:numPr>
          <w:ilvl w:val="0"/>
          <w:numId w:val="24"/>
        </w:numPr>
        <w:tabs>
          <w:tab w:val="clear" w:pos="720"/>
          <w:tab w:val="left" w:pos="900"/>
        </w:tabs>
        <w:spacing w:after="0"/>
        <w:ind w:left="0" w:firstLine="567"/>
        <w:jc w:val="both"/>
        <w:rPr>
          <w:rFonts w:ascii="Times New Roman" w:hAnsi="Times New Roman" w:cs="Times New Roman"/>
        </w:rPr>
      </w:pPr>
      <w:r>
        <w:rPr>
          <w:rFonts w:ascii="Times New Roman" w:hAnsi="Times New Roman" w:cs="Times New Roman"/>
          <w:sz w:val="24"/>
          <w:szCs w:val="24"/>
          <w:shd w:val="clear" w:color="auto" w:fill="FFFFFF"/>
        </w:rPr>
        <w:t>будівництво сміттєпереробного комплексу на полігоні;</w:t>
      </w:r>
    </w:p>
    <w:p w:rsidR="00D227E2" w:rsidRDefault="00934FC4">
      <w:pPr>
        <w:numPr>
          <w:ilvl w:val="0"/>
          <w:numId w:val="24"/>
        </w:numPr>
        <w:tabs>
          <w:tab w:val="clear" w:pos="720"/>
          <w:tab w:val="left" w:pos="900"/>
        </w:tabs>
        <w:spacing w:after="0"/>
        <w:ind w:left="0" w:firstLine="567"/>
        <w:jc w:val="both"/>
        <w:rPr>
          <w:rFonts w:ascii="Times New Roman" w:hAnsi="Times New Roman" w:cs="Times New Roman"/>
        </w:rPr>
      </w:pPr>
      <w:r>
        <w:rPr>
          <w:rFonts w:ascii="Times New Roman" w:hAnsi="Times New Roman" w:cs="Times New Roman"/>
          <w:sz w:val="24"/>
          <w:szCs w:val="24"/>
          <w:lang w:eastAsia="uk-UA"/>
        </w:rPr>
        <w:t>впровадженння збору сміття з напівпідземних контейнерів;</w:t>
      </w:r>
    </w:p>
    <w:p w:rsidR="00D227E2" w:rsidRDefault="00934FC4">
      <w:pPr>
        <w:numPr>
          <w:ilvl w:val="0"/>
          <w:numId w:val="24"/>
        </w:numPr>
        <w:tabs>
          <w:tab w:val="clear" w:pos="720"/>
          <w:tab w:val="left" w:pos="900"/>
        </w:tabs>
        <w:spacing w:after="0"/>
        <w:ind w:left="0" w:firstLine="567"/>
        <w:jc w:val="both"/>
        <w:rPr>
          <w:rFonts w:ascii="Times New Roman" w:hAnsi="Times New Roman" w:cs="Times New Roman"/>
        </w:rPr>
      </w:pPr>
      <w:r>
        <w:rPr>
          <w:rFonts w:ascii="Times New Roman" w:hAnsi="Times New Roman" w:cs="Times New Roman"/>
          <w:sz w:val="24"/>
          <w:szCs w:val="24"/>
          <w:lang w:eastAsia="uk-UA"/>
        </w:rPr>
        <w:t>виховання у мешканців культури поводження з відходами;</w:t>
      </w:r>
    </w:p>
    <w:p w:rsidR="00D227E2" w:rsidRDefault="00934FC4">
      <w:pPr>
        <w:numPr>
          <w:ilvl w:val="0"/>
          <w:numId w:val="24"/>
        </w:numPr>
        <w:tabs>
          <w:tab w:val="clear" w:pos="720"/>
          <w:tab w:val="left" w:pos="900"/>
        </w:tabs>
        <w:spacing w:after="0"/>
        <w:ind w:left="0" w:firstLine="567"/>
        <w:jc w:val="both"/>
        <w:rPr>
          <w:rFonts w:ascii="Times New Roman" w:hAnsi="Times New Roman" w:cs="Times New Roman"/>
        </w:rPr>
        <w:sectPr w:rsidR="00D227E2">
          <w:headerReference w:type="even" r:id="rId134"/>
          <w:headerReference w:type="default" r:id="rId135"/>
          <w:footerReference w:type="even" r:id="rId136"/>
          <w:footerReference w:type="default" r:id="rId137"/>
          <w:headerReference w:type="first" r:id="rId138"/>
          <w:footerReference w:type="first" r:id="rId139"/>
          <w:pgSz w:w="11906" w:h="16838"/>
          <w:pgMar w:top="1134" w:right="567" w:bottom="1413" w:left="1701" w:header="0" w:footer="0" w:gutter="0"/>
          <w:cols w:space="720"/>
          <w:formProt w:val="0"/>
          <w:docGrid w:linePitch="600" w:charSpace="114688"/>
        </w:sectPr>
      </w:pPr>
      <w:r>
        <w:rPr>
          <w:rFonts w:ascii="Times New Roman" w:hAnsi="Times New Roman" w:cs="Times New Roman"/>
          <w:sz w:val="24"/>
          <w:szCs w:val="24"/>
        </w:rPr>
        <w:t xml:space="preserve">відкриття додаткових майданчиків для сортування ТПВ центру управління відходами «Чистий Луцьк». </w:t>
      </w:r>
    </w:p>
    <w:p w:rsidR="00D227E2" w:rsidRDefault="00934FC4">
      <w:pPr>
        <w:spacing w:after="0"/>
        <w:ind w:left="567"/>
        <w:jc w:val="both"/>
        <w:outlineLvl w:val="0"/>
        <w:rPr>
          <w:rFonts w:ascii="Times New Roman" w:hAnsi="Times New Roman" w:cs="Times New Roman"/>
        </w:rPr>
      </w:pPr>
      <w:r>
        <w:rPr>
          <w:rFonts w:ascii="Times New Roman" w:eastAsia="Times New Roman" w:hAnsi="Times New Roman" w:cs="Times New Roman"/>
          <w:b/>
          <w:bCs/>
          <w:kern w:val="2"/>
          <w:sz w:val="24"/>
          <w:szCs w:val="24"/>
        </w:rPr>
        <w:lastRenderedPageBreak/>
        <w:t>7.2. Заходи щодо адаптації до зміни клімату</w:t>
      </w:r>
    </w:p>
    <w:p w:rsidR="00D227E2" w:rsidRDefault="00934FC4">
      <w:pPr>
        <w:suppressAutoHyphens w:val="0"/>
        <w:spacing w:after="0" w:line="240" w:lineRule="auto"/>
        <w:ind w:firstLine="567"/>
        <w:jc w:val="center"/>
        <w:rPr>
          <w:rFonts w:ascii="Times New Roman" w:hAnsi="Times New Roman" w:cs="Times New Roman"/>
        </w:rPr>
      </w:pPr>
      <w:r>
        <w:rPr>
          <w:rFonts w:ascii="Times New Roman" w:hAnsi="Times New Roman" w:cs="Times New Roman"/>
          <w:color w:val="000000"/>
          <w:sz w:val="24"/>
          <w:szCs w:val="24"/>
          <w:shd w:val="clear" w:color="auto" w:fill="FFFFFF"/>
        </w:rPr>
        <w:t>Таблиця 86. Перелік заходів з адаптації до змін клімату для Луцької МТГ до 2050 року</w:t>
      </w:r>
    </w:p>
    <w:tbl>
      <w:tblPr>
        <w:tblStyle w:val="2c"/>
        <w:tblW w:w="15113" w:type="dxa"/>
        <w:jc w:val="center"/>
        <w:tblLayout w:type="fixed"/>
        <w:tblLook w:val="04A0" w:firstRow="1" w:lastRow="0" w:firstColumn="1" w:lastColumn="0" w:noHBand="0" w:noVBand="1"/>
      </w:tblPr>
      <w:tblGrid>
        <w:gridCol w:w="513"/>
        <w:gridCol w:w="2847"/>
        <w:gridCol w:w="2170"/>
        <w:gridCol w:w="1871"/>
        <w:gridCol w:w="1609"/>
        <w:gridCol w:w="2026"/>
        <w:gridCol w:w="1036"/>
        <w:gridCol w:w="1332"/>
        <w:gridCol w:w="1709"/>
      </w:tblGrid>
      <w:tr w:rsidR="00D227E2">
        <w:trPr>
          <w:jc w:val="center"/>
        </w:trPr>
        <w:tc>
          <w:tcPr>
            <w:tcW w:w="512" w:type="dxa"/>
            <w:vMerge w:val="restart"/>
            <w:shd w:val="clear" w:color="auto" w:fill="FFFFFF" w:themeFill="background1"/>
            <w:vAlign w:val="center"/>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w:t>
            </w:r>
          </w:p>
        </w:tc>
        <w:tc>
          <w:tcPr>
            <w:tcW w:w="2846" w:type="dxa"/>
            <w:vMerge w:val="restart"/>
            <w:shd w:val="clear" w:color="auto" w:fill="FFFFFF" w:themeFill="background1"/>
            <w:vAlign w:val="center"/>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Заходи</w:t>
            </w:r>
          </w:p>
        </w:tc>
        <w:tc>
          <w:tcPr>
            <w:tcW w:w="2170" w:type="dxa"/>
            <w:vMerge w:val="restart"/>
            <w:shd w:val="clear" w:color="auto" w:fill="FFFFFF" w:themeFill="background1"/>
            <w:vAlign w:val="center"/>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Сектор</w:t>
            </w:r>
          </w:p>
        </w:tc>
        <w:tc>
          <w:tcPr>
            <w:tcW w:w="1871" w:type="dxa"/>
            <w:vMerge w:val="restart"/>
            <w:shd w:val="clear" w:color="auto" w:fill="FFFFFF" w:themeFill="background1"/>
            <w:vAlign w:val="center"/>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Зменшення впливу кліматичних ризиків</w:t>
            </w:r>
          </w:p>
        </w:tc>
        <w:tc>
          <w:tcPr>
            <w:tcW w:w="1609" w:type="dxa"/>
            <w:vMerge w:val="restart"/>
            <w:shd w:val="clear" w:color="auto" w:fill="FFFFFF" w:themeFill="background1"/>
            <w:vAlign w:val="center"/>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Відповідальний орган</w:t>
            </w:r>
          </w:p>
        </w:tc>
        <w:tc>
          <w:tcPr>
            <w:tcW w:w="2026" w:type="dxa"/>
            <w:vMerge w:val="restart"/>
            <w:shd w:val="clear" w:color="auto" w:fill="FFFFFF" w:themeFill="background1"/>
            <w:vAlign w:val="center"/>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Загальна вартість</w:t>
            </w:r>
          </w:p>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(тис грн)</w:t>
            </w:r>
          </w:p>
        </w:tc>
        <w:tc>
          <w:tcPr>
            <w:tcW w:w="2368" w:type="dxa"/>
            <w:gridSpan w:val="2"/>
            <w:shd w:val="clear" w:color="auto" w:fill="FFFFFF" w:themeFill="background1"/>
            <w:vAlign w:val="center"/>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Строки реалізації</w:t>
            </w:r>
          </w:p>
        </w:tc>
        <w:tc>
          <w:tcPr>
            <w:tcW w:w="1709" w:type="dxa"/>
            <w:vMerge w:val="restart"/>
            <w:shd w:val="clear" w:color="auto" w:fill="FFFFFF" w:themeFill="background1"/>
            <w:vAlign w:val="center"/>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Стан виконання</w:t>
            </w:r>
          </w:p>
        </w:tc>
      </w:tr>
      <w:tr w:rsidR="00D227E2">
        <w:trPr>
          <w:jc w:val="center"/>
        </w:trPr>
        <w:tc>
          <w:tcPr>
            <w:tcW w:w="512" w:type="dxa"/>
            <w:vMerge/>
            <w:shd w:val="clear" w:color="auto" w:fill="FFFFFF" w:themeFill="background1"/>
            <w:vAlign w:val="center"/>
          </w:tcPr>
          <w:p w:rsidR="00D227E2" w:rsidRDefault="00D227E2">
            <w:pPr>
              <w:spacing w:after="0" w:line="240" w:lineRule="auto"/>
              <w:contextualSpacing/>
              <w:jc w:val="center"/>
              <w:rPr>
                <w:rFonts w:ascii="Times New Roman" w:eastAsia="Times New Roman" w:hAnsi="Times New Roman" w:cs="Times New Roman"/>
                <w:color w:val="000000"/>
                <w:shd w:val="clear" w:color="auto" w:fill="FFFFFF"/>
              </w:rPr>
            </w:pPr>
          </w:p>
        </w:tc>
        <w:tc>
          <w:tcPr>
            <w:tcW w:w="2846" w:type="dxa"/>
            <w:vMerge/>
            <w:shd w:val="clear" w:color="auto" w:fill="FFFFFF" w:themeFill="background1"/>
            <w:vAlign w:val="center"/>
          </w:tcPr>
          <w:p w:rsidR="00D227E2" w:rsidRDefault="00D227E2">
            <w:pPr>
              <w:spacing w:after="0" w:line="240" w:lineRule="auto"/>
              <w:contextualSpacing/>
              <w:jc w:val="center"/>
              <w:rPr>
                <w:rFonts w:ascii="Times New Roman" w:eastAsia="Times New Roman" w:hAnsi="Times New Roman" w:cs="Times New Roman"/>
                <w:color w:val="000000"/>
                <w:shd w:val="clear" w:color="auto" w:fill="FFFFFF"/>
              </w:rPr>
            </w:pPr>
          </w:p>
        </w:tc>
        <w:tc>
          <w:tcPr>
            <w:tcW w:w="2170" w:type="dxa"/>
            <w:vMerge/>
            <w:shd w:val="clear" w:color="auto" w:fill="FFFFFF" w:themeFill="background1"/>
            <w:vAlign w:val="center"/>
          </w:tcPr>
          <w:p w:rsidR="00D227E2" w:rsidRDefault="00D227E2">
            <w:pPr>
              <w:spacing w:after="0" w:line="240" w:lineRule="auto"/>
              <w:contextualSpacing/>
              <w:jc w:val="center"/>
              <w:rPr>
                <w:rFonts w:ascii="Times New Roman" w:eastAsia="Times New Roman" w:hAnsi="Times New Roman" w:cs="Times New Roman"/>
                <w:color w:val="000000"/>
                <w:shd w:val="clear" w:color="auto" w:fill="FFFFFF"/>
              </w:rPr>
            </w:pPr>
          </w:p>
        </w:tc>
        <w:tc>
          <w:tcPr>
            <w:tcW w:w="1871" w:type="dxa"/>
            <w:vMerge/>
            <w:shd w:val="clear" w:color="auto" w:fill="FFFFFF" w:themeFill="background1"/>
            <w:vAlign w:val="center"/>
          </w:tcPr>
          <w:p w:rsidR="00D227E2" w:rsidRDefault="00D227E2">
            <w:pPr>
              <w:spacing w:after="0" w:line="240" w:lineRule="auto"/>
              <w:contextualSpacing/>
              <w:jc w:val="center"/>
              <w:rPr>
                <w:rFonts w:ascii="Times New Roman" w:eastAsia="Times New Roman" w:hAnsi="Times New Roman" w:cs="Times New Roman"/>
                <w:color w:val="000000"/>
                <w:shd w:val="clear" w:color="auto" w:fill="FFFFFF"/>
              </w:rPr>
            </w:pPr>
          </w:p>
        </w:tc>
        <w:tc>
          <w:tcPr>
            <w:tcW w:w="1609" w:type="dxa"/>
            <w:vMerge/>
            <w:shd w:val="clear" w:color="auto" w:fill="FFFFFF" w:themeFill="background1"/>
            <w:vAlign w:val="center"/>
          </w:tcPr>
          <w:p w:rsidR="00D227E2" w:rsidRDefault="00D227E2">
            <w:pPr>
              <w:spacing w:after="0" w:line="240" w:lineRule="auto"/>
              <w:contextualSpacing/>
              <w:jc w:val="center"/>
              <w:rPr>
                <w:rFonts w:ascii="Times New Roman" w:eastAsia="Times New Roman" w:hAnsi="Times New Roman" w:cs="Times New Roman"/>
                <w:color w:val="000000"/>
                <w:shd w:val="clear" w:color="auto" w:fill="FFFFFF"/>
              </w:rPr>
            </w:pPr>
          </w:p>
        </w:tc>
        <w:tc>
          <w:tcPr>
            <w:tcW w:w="2026" w:type="dxa"/>
            <w:vMerge/>
            <w:shd w:val="clear" w:color="auto" w:fill="FFFFFF" w:themeFill="background1"/>
            <w:vAlign w:val="center"/>
          </w:tcPr>
          <w:p w:rsidR="00D227E2" w:rsidRDefault="00D227E2">
            <w:pPr>
              <w:spacing w:after="0" w:line="240" w:lineRule="auto"/>
              <w:contextualSpacing/>
              <w:jc w:val="center"/>
              <w:rPr>
                <w:rFonts w:ascii="Times New Roman" w:eastAsia="Times New Roman" w:hAnsi="Times New Roman" w:cs="Times New Roman"/>
                <w:color w:val="000000"/>
                <w:shd w:val="clear" w:color="auto" w:fill="FFFFFF"/>
              </w:rPr>
            </w:pPr>
          </w:p>
        </w:tc>
        <w:tc>
          <w:tcPr>
            <w:tcW w:w="1036" w:type="dxa"/>
            <w:shd w:val="clear" w:color="auto" w:fill="FFFFFF" w:themeFill="background1"/>
            <w:vAlign w:val="center"/>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Початок</w:t>
            </w:r>
          </w:p>
        </w:tc>
        <w:tc>
          <w:tcPr>
            <w:tcW w:w="1332" w:type="dxa"/>
            <w:shd w:val="clear" w:color="auto" w:fill="FFFFFF" w:themeFill="background1"/>
            <w:vAlign w:val="center"/>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Закінчення</w:t>
            </w:r>
          </w:p>
        </w:tc>
        <w:tc>
          <w:tcPr>
            <w:tcW w:w="1709" w:type="dxa"/>
            <w:vMerge/>
            <w:shd w:val="clear" w:color="auto" w:fill="FFFFFF" w:themeFill="background1"/>
          </w:tcPr>
          <w:p w:rsidR="00D227E2" w:rsidRDefault="00D227E2">
            <w:pPr>
              <w:spacing w:after="0" w:line="240" w:lineRule="auto"/>
              <w:contextualSpacing/>
              <w:rPr>
                <w:rFonts w:ascii="Times New Roman" w:eastAsia="Times New Roman" w:hAnsi="Times New Roman" w:cs="Times New Roman"/>
                <w:color w:val="000000"/>
                <w:shd w:val="clear" w:color="auto" w:fill="FFFFFF"/>
              </w:rPr>
            </w:pPr>
          </w:p>
        </w:tc>
      </w:tr>
      <w:tr w:rsidR="00D227E2">
        <w:trPr>
          <w:jc w:val="center"/>
        </w:trPr>
        <w:tc>
          <w:tcPr>
            <w:tcW w:w="15111" w:type="dxa"/>
            <w:gridSpan w:val="9"/>
            <w:shd w:val="clear" w:color="auto" w:fill="FFFFFF" w:themeFill="background1"/>
            <w:vAlign w:val="center"/>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Навчання та інновації</w:t>
            </w:r>
          </w:p>
        </w:tc>
      </w:tr>
      <w:tr w:rsidR="00D227E2">
        <w:trPr>
          <w:jc w:val="center"/>
        </w:trPr>
        <w:tc>
          <w:tcPr>
            <w:tcW w:w="51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1</w:t>
            </w:r>
          </w:p>
        </w:tc>
        <w:tc>
          <w:tcPr>
            <w:tcW w:w="2846" w:type="dxa"/>
            <w:shd w:val="clear" w:color="auto" w:fill="FFFFFF" w:themeFill="background1"/>
          </w:tcPr>
          <w:p w:rsidR="00D227E2" w:rsidRDefault="00934FC4">
            <w:pPr>
              <w:spacing w:after="0" w:line="240" w:lineRule="auto"/>
              <w:contextualSpacing/>
              <w:rPr>
                <w:rFonts w:ascii="Times New Roman" w:hAnsi="Times New Roman" w:cs="Times New Roman"/>
              </w:rPr>
            </w:pPr>
            <w:r>
              <w:rPr>
                <w:rFonts w:ascii="Times New Roman" w:eastAsia="Times New Roman" w:hAnsi="Times New Roman" w:cs="Times New Roman"/>
                <w:color w:val="000000"/>
                <w:shd w:val="clear" w:color="auto" w:fill="FFFFFF"/>
              </w:rPr>
              <w:t>Оповіщення про надзвичайні ситуації засобами радіо, телебачення, через соціальні мережі,  спеціалізовані мобільні додатки та інформаційні екрани міста</w:t>
            </w:r>
          </w:p>
        </w:tc>
        <w:tc>
          <w:tcPr>
            <w:tcW w:w="2170"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Цивільний захист і надзвичайні ситуації,</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Інформаційно-комунікаційні технології,</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Будівлі,</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Транспорт,</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Енергетика,</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Сільське та лісове господарство,</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Навколишнє середовище і біорізноманіття,</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Охорона здоров’я</w:t>
            </w:r>
          </w:p>
        </w:tc>
        <w:tc>
          <w:tcPr>
            <w:tcW w:w="1871"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Екстремальна спека,</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Екстремальний холод,</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Екстремальні зливи,</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Екстремальний снігопад,</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Град,</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Сильні вітри,</w:t>
            </w:r>
          </w:p>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Гроза,</w:t>
            </w:r>
          </w:p>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Лісові пожежі</w:t>
            </w:r>
          </w:p>
        </w:tc>
        <w:tc>
          <w:tcPr>
            <w:tcW w:w="1609"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Луцька міська рада,</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Організації Теле- радіо- мовлення</w:t>
            </w:r>
          </w:p>
        </w:tc>
        <w:tc>
          <w:tcPr>
            <w:tcW w:w="202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8300,00</w:t>
            </w:r>
          </w:p>
        </w:tc>
        <w:tc>
          <w:tcPr>
            <w:tcW w:w="2368" w:type="dxa"/>
            <w:gridSpan w:val="2"/>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Постійно</w:t>
            </w:r>
          </w:p>
        </w:tc>
        <w:tc>
          <w:tcPr>
            <w:tcW w:w="1709"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Виконується</w:t>
            </w:r>
          </w:p>
        </w:tc>
      </w:tr>
      <w:tr w:rsidR="00D227E2">
        <w:trPr>
          <w:jc w:val="center"/>
        </w:trPr>
        <w:tc>
          <w:tcPr>
            <w:tcW w:w="51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2</w:t>
            </w:r>
          </w:p>
        </w:tc>
        <w:tc>
          <w:tcPr>
            <w:tcW w:w="2846" w:type="dxa"/>
            <w:shd w:val="clear" w:color="auto" w:fill="FFFFFF" w:themeFill="background1"/>
          </w:tcPr>
          <w:p w:rsidR="00D227E2" w:rsidRPr="003B00E9" w:rsidRDefault="00934FC4">
            <w:pPr>
              <w:spacing w:after="0" w:line="240" w:lineRule="auto"/>
              <w:contextualSpacing/>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Проведення роз’яснювальної роботи з населенням щодо попередження виникнення надзвичайних ситуацій та поведінки в умовах надзвичайних ситуацій</w:t>
            </w:r>
          </w:p>
        </w:tc>
        <w:tc>
          <w:tcPr>
            <w:tcW w:w="2170"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Будівлі,</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Транспорт,</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Енергетика,</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Сільське та лісове господарство,</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Охорона здоров’я,</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Цивільний захист і надзвичайні ситуації</w:t>
            </w:r>
          </w:p>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Інформаційно-комунікаційні технології</w:t>
            </w:r>
          </w:p>
        </w:tc>
        <w:tc>
          <w:tcPr>
            <w:tcW w:w="1871"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Екстремальна спека,</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Екстремальний холод,</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Екстремальні зливи,</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Екстремальний снігопад,</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Град,</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Посуха та дефіцит води,</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Сильні вітри,</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Гроза,</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Лісові пожежі,</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Пожежі на землі,</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lastRenderedPageBreak/>
              <w:t>Захворювання, спричинені водою,</w:t>
            </w:r>
          </w:p>
          <w:p w:rsidR="00D227E2" w:rsidRPr="0096730C" w:rsidRDefault="00934FC4">
            <w:pPr>
              <w:spacing w:after="0" w:line="240" w:lineRule="auto"/>
              <w:contextualSpacing/>
              <w:jc w:val="center"/>
              <w:rPr>
                <w:rFonts w:ascii="Times New Roman" w:hAnsi="Times New Roman" w:cs="Times New Roman"/>
                <w:lang w:val="ru-RU"/>
              </w:rPr>
            </w:pPr>
            <w:r w:rsidRPr="0096730C">
              <w:rPr>
                <w:rFonts w:ascii="Times New Roman" w:eastAsia="Times New Roman" w:hAnsi="Times New Roman" w:cs="Times New Roman"/>
                <w:color w:val="000000"/>
                <w:shd w:val="clear" w:color="auto" w:fill="FFFFFF"/>
                <w:lang w:val="ru-RU"/>
              </w:rPr>
              <w:t>Зараження комахами</w:t>
            </w:r>
          </w:p>
        </w:tc>
        <w:tc>
          <w:tcPr>
            <w:tcW w:w="1609"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lastRenderedPageBreak/>
              <w:t>Організації Теле- радіо- мовлення, Лісові господарства,</w:t>
            </w:r>
          </w:p>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Луцька міська рада</w:t>
            </w:r>
          </w:p>
        </w:tc>
        <w:tc>
          <w:tcPr>
            <w:tcW w:w="202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30,00</w:t>
            </w:r>
          </w:p>
        </w:tc>
        <w:tc>
          <w:tcPr>
            <w:tcW w:w="2368" w:type="dxa"/>
            <w:gridSpan w:val="2"/>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Постійно</w:t>
            </w:r>
          </w:p>
        </w:tc>
        <w:tc>
          <w:tcPr>
            <w:tcW w:w="1709"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Виконується</w:t>
            </w:r>
          </w:p>
        </w:tc>
      </w:tr>
      <w:tr w:rsidR="00D227E2">
        <w:trPr>
          <w:jc w:val="center"/>
        </w:trPr>
        <w:tc>
          <w:tcPr>
            <w:tcW w:w="51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lastRenderedPageBreak/>
              <w:t>3</w:t>
            </w:r>
          </w:p>
        </w:tc>
        <w:tc>
          <w:tcPr>
            <w:tcW w:w="2846" w:type="dxa"/>
            <w:shd w:val="clear" w:color="auto" w:fill="FFFFFF" w:themeFill="background1"/>
          </w:tcPr>
          <w:p w:rsidR="00D227E2" w:rsidRPr="003B00E9" w:rsidRDefault="00934FC4">
            <w:pPr>
              <w:spacing w:after="0" w:line="240" w:lineRule="auto"/>
              <w:contextualSpacing/>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Використання джерел відновлювальної енергії (теплових насосів, сонячних батарей, геліоколекторів тощо) для резервного застосування</w:t>
            </w:r>
          </w:p>
        </w:tc>
        <w:tc>
          <w:tcPr>
            <w:tcW w:w="2170"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Будівлі,</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Енергетика,</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Охорона здоров’я, Освіта, Культура, Спорт</w:t>
            </w:r>
          </w:p>
        </w:tc>
        <w:tc>
          <w:tcPr>
            <w:tcW w:w="1871"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Екстремальна спека,</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Екстремальний холод,</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Сильні вітри,</w:t>
            </w:r>
          </w:p>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Гроза</w:t>
            </w:r>
          </w:p>
        </w:tc>
        <w:tc>
          <w:tcPr>
            <w:tcW w:w="1609"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Луцька міська рада, муніципальні установи та організації, власники приватних житлових будівель</w:t>
            </w:r>
          </w:p>
        </w:tc>
        <w:tc>
          <w:tcPr>
            <w:tcW w:w="202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1463,00</w:t>
            </w:r>
          </w:p>
        </w:tc>
        <w:tc>
          <w:tcPr>
            <w:tcW w:w="103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2022</w:t>
            </w:r>
          </w:p>
        </w:tc>
        <w:tc>
          <w:tcPr>
            <w:tcW w:w="133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2030</w:t>
            </w:r>
          </w:p>
        </w:tc>
        <w:tc>
          <w:tcPr>
            <w:tcW w:w="1709"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Виконується</w:t>
            </w:r>
          </w:p>
        </w:tc>
      </w:tr>
      <w:tr w:rsidR="00D227E2">
        <w:trPr>
          <w:jc w:val="center"/>
        </w:trPr>
        <w:tc>
          <w:tcPr>
            <w:tcW w:w="51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3.1</w:t>
            </w:r>
          </w:p>
        </w:tc>
        <w:tc>
          <w:tcPr>
            <w:tcW w:w="2846" w:type="dxa"/>
            <w:shd w:val="clear" w:color="auto" w:fill="FFFFFF" w:themeFill="background1"/>
          </w:tcPr>
          <w:p w:rsidR="00D227E2" w:rsidRPr="003B00E9" w:rsidRDefault="00934FC4">
            <w:pPr>
              <w:spacing w:after="0" w:line="240" w:lineRule="auto"/>
              <w:contextualSpacing/>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Термомодернізація будівель муніципальних установ та організацій</w:t>
            </w:r>
          </w:p>
          <w:p w:rsidR="00D227E2" w:rsidRPr="003B00E9" w:rsidRDefault="00D227E2">
            <w:pPr>
              <w:spacing w:after="0" w:line="240" w:lineRule="auto"/>
              <w:contextualSpacing/>
              <w:rPr>
                <w:rFonts w:ascii="Times New Roman" w:eastAsia="Times New Roman" w:hAnsi="Times New Roman" w:cs="Times New Roman"/>
                <w:color w:val="000000"/>
                <w:shd w:val="clear" w:color="auto" w:fill="FFFFFF"/>
                <w:lang w:val="ru-RU"/>
              </w:rPr>
            </w:pPr>
          </w:p>
          <w:p w:rsidR="00D227E2" w:rsidRPr="003B00E9" w:rsidRDefault="00D227E2">
            <w:pPr>
              <w:spacing w:after="0" w:line="240" w:lineRule="auto"/>
              <w:contextualSpacing/>
              <w:rPr>
                <w:rFonts w:ascii="Times New Roman" w:eastAsia="Times New Roman" w:hAnsi="Times New Roman" w:cs="Times New Roman"/>
                <w:color w:val="000000"/>
                <w:shd w:val="clear" w:color="auto" w:fill="FFFFFF"/>
                <w:lang w:val="ru-RU"/>
              </w:rPr>
            </w:pPr>
          </w:p>
        </w:tc>
        <w:tc>
          <w:tcPr>
            <w:tcW w:w="2170"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Будівлі,</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Охорона здоров’я, Освіта, Культура, Спорт</w:t>
            </w:r>
          </w:p>
        </w:tc>
        <w:tc>
          <w:tcPr>
            <w:tcW w:w="1871"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Екстремальна спека,</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Екстремальний холод,</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Екстремальні зливи,</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Екстремальний снігопад,</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Сильні вітри,</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Гроза</w:t>
            </w:r>
          </w:p>
        </w:tc>
        <w:tc>
          <w:tcPr>
            <w:tcW w:w="1609"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Луцька міська рада, муніципальні установи та організації</w:t>
            </w:r>
          </w:p>
        </w:tc>
        <w:tc>
          <w:tcPr>
            <w:tcW w:w="202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w:t>
            </w:r>
          </w:p>
        </w:tc>
        <w:tc>
          <w:tcPr>
            <w:tcW w:w="103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2010</w:t>
            </w:r>
          </w:p>
        </w:tc>
        <w:tc>
          <w:tcPr>
            <w:tcW w:w="133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2030</w:t>
            </w:r>
          </w:p>
        </w:tc>
        <w:tc>
          <w:tcPr>
            <w:tcW w:w="1709"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Виконується</w:t>
            </w:r>
          </w:p>
        </w:tc>
      </w:tr>
      <w:tr w:rsidR="00D227E2">
        <w:trPr>
          <w:jc w:val="center"/>
        </w:trPr>
        <w:tc>
          <w:tcPr>
            <w:tcW w:w="51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3.2</w:t>
            </w:r>
          </w:p>
        </w:tc>
        <w:tc>
          <w:tcPr>
            <w:tcW w:w="2846" w:type="dxa"/>
            <w:shd w:val="clear" w:color="auto" w:fill="FFFFFF" w:themeFill="background1"/>
          </w:tcPr>
          <w:p w:rsidR="00D227E2" w:rsidRDefault="00934FC4">
            <w:pPr>
              <w:spacing w:after="0" w:line="240" w:lineRule="auto"/>
              <w:contextualSpacing/>
              <w:rPr>
                <w:rFonts w:ascii="Times New Roman" w:hAnsi="Times New Roman" w:cs="Times New Roman"/>
              </w:rPr>
            </w:pPr>
            <w:r>
              <w:rPr>
                <w:rFonts w:ascii="Times New Roman" w:eastAsia="Times New Roman" w:hAnsi="Times New Roman" w:cs="Times New Roman"/>
                <w:color w:val="000000"/>
                <w:shd w:val="clear" w:color="auto" w:fill="FFFFFF"/>
              </w:rPr>
              <w:t>Термомодернізація приватних житлових будівель</w:t>
            </w:r>
          </w:p>
          <w:p w:rsidR="00D227E2" w:rsidRDefault="00D227E2">
            <w:pPr>
              <w:spacing w:after="0" w:line="240" w:lineRule="auto"/>
              <w:contextualSpacing/>
              <w:rPr>
                <w:rFonts w:ascii="Times New Roman" w:eastAsia="Times New Roman" w:hAnsi="Times New Roman" w:cs="Times New Roman"/>
                <w:color w:val="000000"/>
                <w:shd w:val="clear" w:color="auto" w:fill="FFFFFF"/>
              </w:rPr>
            </w:pPr>
          </w:p>
          <w:p w:rsidR="00D227E2" w:rsidRDefault="00D227E2">
            <w:pPr>
              <w:spacing w:after="0" w:line="240" w:lineRule="auto"/>
              <w:contextualSpacing/>
              <w:rPr>
                <w:rFonts w:ascii="Times New Roman" w:eastAsia="Times New Roman" w:hAnsi="Times New Roman" w:cs="Times New Roman"/>
                <w:color w:val="000000"/>
                <w:shd w:val="clear" w:color="auto" w:fill="FFFFFF"/>
              </w:rPr>
            </w:pPr>
          </w:p>
        </w:tc>
        <w:tc>
          <w:tcPr>
            <w:tcW w:w="2170"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Будівлі</w:t>
            </w:r>
          </w:p>
          <w:p w:rsidR="00D227E2" w:rsidRDefault="00D227E2">
            <w:pPr>
              <w:spacing w:after="0" w:line="240" w:lineRule="auto"/>
              <w:contextualSpacing/>
              <w:jc w:val="center"/>
              <w:rPr>
                <w:rFonts w:ascii="Times New Roman" w:eastAsia="Times New Roman" w:hAnsi="Times New Roman" w:cs="Times New Roman"/>
                <w:color w:val="000000"/>
                <w:shd w:val="clear" w:color="auto" w:fill="FFFFFF"/>
              </w:rPr>
            </w:pPr>
          </w:p>
        </w:tc>
        <w:tc>
          <w:tcPr>
            <w:tcW w:w="1871"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Екстремальна спека,</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Екстремальний холод,</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Екстремальні зливи,</w:t>
            </w:r>
          </w:p>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Екстремальний снігопад</w:t>
            </w:r>
          </w:p>
        </w:tc>
        <w:tc>
          <w:tcPr>
            <w:tcW w:w="1609"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Власники приватних житлових будівель</w:t>
            </w:r>
          </w:p>
        </w:tc>
        <w:tc>
          <w:tcPr>
            <w:tcW w:w="202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w:t>
            </w:r>
          </w:p>
        </w:tc>
        <w:tc>
          <w:tcPr>
            <w:tcW w:w="103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2010</w:t>
            </w:r>
          </w:p>
        </w:tc>
        <w:tc>
          <w:tcPr>
            <w:tcW w:w="133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2030</w:t>
            </w:r>
          </w:p>
        </w:tc>
        <w:tc>
          <w:tcPr>
            <w:tcW w:w="1709"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Виконується</w:t>
            </w:r>
          </w:p>
        </w:tc>
      </w:tr>
      <w:tr w:rsidR="00D227E2">
        <w:trPr>
          <w:jc w:val="center"/>
        </w:trPr>
        <w:tc>
          <w:tcPr>
            <w:tcW w:w="51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3.3</w:t>
            </w:r>
          </w:p>
        </w:tc>
        <w:tc>
          <w:tcPr>
            <w:tcW w:w="2846" w:type="dxa"/>
            <w:shd w:val="clear" w:color="auto" w:fill="FFFFFF" w:themeFill="background1"/>
          </w:tcPr>
          <w:p w:rsidR="00D227E2" w:rsidRDefault="00934FC4">
            <w:pPr>
              <w:spacing w:after="0" w:line="240" w:lineRule="auto"/>
              <w:contextualSpacing/>
              <w:rPr>
                <w:rFonts w:ascii="Times New Roman" w:hAnsi="Times New Roman" w:cs="Times New Roman"/>
              </w:rPr>
            </w:pPr>
            <w:r>
              <w:rPr>
                <w:rFonts w:ascii="Times New Roman" w:eastAsia="Times New Roman" w:hAnsi="Times New Roman" w:cs="Times New Roman"/>
                <w:color w:val="000000"/>
                <w:shd w:val="clear" w:color="auto" w:fill="FFFFFF"/>
              </w:rPr>
              <w:t>Термомодернізація багатоповерхових  житлових будівель</w:t>
            </w:r>
          </w:p>
          <w:p w:rsidR="00D227E2" w:rsidRDefault="00D227E2">
            <w:pPr>
              <w:spacing w:after="0" w:line="240" w:lineRule="auto"/>
              <w:contextualSpacing/>
              <w:rPr>
                <w:rFonts w:ascii="Times New Roman" w:eastAsia="Times New Roman" w:hAnsi="Times New Roman" w:cs="Times New Roman"/>
                <w:color w:val="000000"/>
                <w:shd w:val="clear" w:color="auto" w:fill="FFFFFF"/>
              </w:rPr>
            </w:pPr>
          </w:p>
          <w:p w:rsidR="00D227E2" w:rsidRDefault="00D227E2">
            <w:pPr>
              <w:spacing w:after="0" w:line="240" w:lineRule="auto"/>
              <w:contextualSpacing/>
              <w:rPr>
                <w:rFonts w:ascii="Times New Roman" w:eastAsia="Times New Roman" w:hAnsi="Times New Roman" w:cs="Times New Roman"/>
                <w:color w:val="000000"/>
                <w:shd w:val="clear" w:color="auto" w:fill="FFFFFF"/>
              </w:rPr>
            </w:pPr>
          </w:p>
        </w:tc>
        <w:tc>
          <w:tcPr>
            <w:tcW w:w="2170"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Будівлі</w:t>
            </w:r>
          </w:p>
          <w:p w:rsidR="00D227E2" w:rsidRDefault="00D227E2">
            <w:pPr>
              <w:spacing w:after="0" w:line="240" w:lineRule="auto"/>
              <w:contextualSpacing/>
              <w:jc w:val="center"/>
              <w:rPr>
                <w:rFonts w:ascii="Times New Roman" w:eastAsia="Times New Roman" w:hAnsi="Times New Roman" w:cs="Times New Roman"/>
                <w:color w:val="000000"/>
                <w:shd w:val="clear" w:color="auto" w:fill="FFFFFF"/>
              </w:rPr>
            </w:pPr>
          </w:p>
        </w:tc>
        <w:tc>
          <w:tcPr>
            <w:tcW w:w="1871"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Екстремальна спека,</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Екстремальний холод,</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 xml:space="preserve">Екстремальні </w:t>
            </w:r>
            <w:r w:rsidRPr="003B00E9">
              <w:rPr>
                <w:rFonts w:ascii="Times New Roman" w:eastAsia="Times New Roman" w:hAnsi="Times New Roman" w:cs="Times New Roman"/>
                <w:color w:val="000000"/>
                <w:shd w:val="clear" w:color="auto" w:fill="FFFFFF"/>
                <w:lang w:val="ru-RU"/>
              </w:rPr>
              <w:lastRenderedPageBreak/>
              <w:t>зливи,</w:t>
            </w:r>
          </w:p>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Екстремальний снігопад</w:t>
            </w:r>
          </w:p>
        </w:tc>
        <w:tc>
          <w:tcPr>
            <w:tcW w:w="1609"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lastRenderedPageBreak/>
              <w:t>ОСББ, ЖБК,</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Луцька міська рада, Фонд Енергоефективності</w:t>
            </w:r>
          </w:p>
        </w:tc>
        <w:tc>
          <w:tcPr>
            <w:tcW w:w="202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w:t>
            </w:r>
          </w:p>
        </w:tc>
        <w:tc>
          <w:tcPr>
            <w:tcW w:w="103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2010</w:t>
            </w:r>
          </w:p>
        </w:tc>
        <w:tc>
          <w:tcPr>
            <w:tcW w:w="133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2030</w:t>
            </w:r>
          </w:p>
        </w:tc>
        <w:tc>
          <w:tcPr>
            <w:tcW w:w="1709"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Виконується</w:t>
            </w:r>
          </w:p>
        </w:tc>
      </w:tr>
      <w:tr w:rsidR="00D227E2">
        <w:trPr>
          <w:jc w:val="center"/>
        </w:trPr>
        <w:tc>
          <w:tcPr>
            <w:tcW w:w="51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lastRenderedPageBreak/>
              <w:t>3.4</w:t>
            </w:r>
          </w:p>
        </w:tc>
        <w:tc>
          <w:tcPr>
            <w:tcW w:w="2846" w:type="dxa"/>
            <w:shd w:val="clear" w:color="auto" w:fill="FFFFFF" w:themeFill="background1"/>
          </w:tcPr>
          <w:p w:rsidR="00D227E2" w:rsidRPr="003B00E9" w:rsidRDefault="00934FC4">
            <w:pPr>
              <w:spacing w:after="0" w:line="240" w:lineRule="auto"/>
              <w:contextualSpacing/>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Оновлення спеціалізованої техніки для очистки транспортних шляхів від снігу</w:t>
            </w:r>
          </w:p>
        </w:tc>
        <w:tc>
          <w:tcPr>
            <w:tcW w:w="2170"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Транспорт,</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Цивільний захист і надзвичайні ситуації</w:t>
            </w:r>
          </w:p>
        </w:tc>
        <w:tc>
          <w:tcPr>
            <w:tcW w:w="1871"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Екстремальний снігопад</w:t>
            </w:r>
          </w:p>
        </w:tc>
        <w:tc>
          <w:tcPr>
            <w:tcW w:w="1609"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Луцька міська рада, комунальні підприємства</w:t>
            </w:r>
          </w:p>
        </w:tc>
        <w:tc>
          <w:tcPr>
            <w:tcW w:w="202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w:t>
            </w:r>
          </w:p>
        </w:tc>
        <w:tc>
          <w:tcPr>
            <w:tcW w:w="103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2007</w:t>
            </w:r>
          </w:p>
        </w:tc>
        <w:tc>
          <w:tcPr>
            <w:tcW w:w="1332" w:type="dxa"/>
            <w:shd w:val="clear" w:color="auto" w:fill="FFFFFF" w:themeFill="background1"/>
          </w:tcPr>
          <w:p w:rsidR="00D227E2" w:rsidRDefault="00934FC4">
            <w:pPr>
              <w:jc w:val="center"/>
              <w:rPr>
                <w:rFonts w:ascii="Times New Roman" w:hAnsi="Times New Roman" w:cs="Times New Roman"/>
              </w:rPr>
            </w:pPr>
            <w:r>
              <w:rPr>
                <w:rFonts w:ascii="Times New Roman" w:eastAsia="Times New Roman" w:hAnsi="Times New Roman" w:cs="Times New Roman"/>
                <w:color w:val="000000"/>
                <w:shd w:val="clear" w:color="auto" w:fill="FFFFFF"/>
              </w:rPr>
              <w:t>2030</w:t>
            </w:r>
          </w:p>
        </w:tc>
        <w:tc>
          <w:tcPr>
            <w:tcW w:w="1709"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Виконується</w:t>
            </w:r>
          </w:p>
        </w:tc>
      </w:tr>
      <w:tr w:rsidR="00D227E2">
        <w:trPr>
          <w:jc w:val="center"/>
        </w:trPr>
        <w:tc>
          <w:tcPr>
            <w:tcW w:w="51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3.5</w:t>
            </w:r>
          </w:p>
        </w:tc>
        <w:tc>
          <w:tcPr>
            <w:tcW w:w="2846" w:type="dxa"/>
            <w:shd w:val="clear" w:color="auto" w:fill="FFFFFF" w:themeFill="background1"/>
          </w:tcPr>
          <w:p w:rsidR="00D227E2" w:rsidRPr="003B00E9" w:rsidRDefault="00934FC4">
            <w:pPr>
              <w:spacing w:after="0" w:line="240" w:lineRule="auto"/>
              <w:contextualSpacing/>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Впровадження новітніх енергозберігаючих технологій у сфері водопостачання та водовідведення</w:t>
            </w:r>
          </w:p>
        </w:tc>
        <w:tc>
          <w:tcPr>
            <w:tcW w:w="2170"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Вода</w:t>
            </w:r>
          </w:p>
          <w:p w:rsidR="00D227E2" w:rsidRDefault="00D227E2">
            <w:pPr>
              <w:spacing w:after="0" w:line="240" w:lineRule="auto"/>
              <w:contextualSpacing/>
              <w:jc w:val="center"/>
              <w:rPr>
                <w:rFonts w:ascii="Times New Roman" w:eastAsia="Times New Roman" w:hAnsi="Times New Roman" w:cs="Times New Roman"/>
                <w:color w:val="000000"/>
                <w:shd w:val="clear" w:color="auto" w:fill="FFFFFF"/>
              </w:rPr>
            </w:pPr>
          </w:p>
        </w:tc>
        <w:tc>
          <w:tcPr>
            <w:tcW w:w="1871"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Посуха та дефіцит води,</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Захворювання, спричинені водою</w:t>
            </w:r>
          </w:p>
        </w:tc>
        <w:tc>
          <w:tcPr>
            <w:tcW w:w="1609"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Луцька міська рада,</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КП «Луцькводоканал»</w:t>
            </w:r>
          </w:p>
        </w:tc>
        <w:tc>
          <w:tcPr>
            <w:tcW w:w="202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w:t>
            </w:r>
          </w:p>
        </w:tc>
        <w:tc>
          <w:tcPr>
            <w:tcW w:w="103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2007</w:t>
            </w:r>
          </w:p>
        </w:tc>
        <w:tc>
          <w:tcPr>
            <w:tcW w:w="1332" w:type="dxa"/>
            <w:shd w:val="clear" w:color="auto" w:fill="FFFFFF" w:themeFill="background1"/>
          </w:tcPr>
          <w:p w:rsidR="00D227E2" w:rsidRDefault="00934FC4">
            <w:pPr>
              <w:jc w:val="center"/>
              <w:rPr>
                <w:rFonts w:ascii="Times New Roman" w:hAnsi="Times New Roman" w:cs="Times New Roman"/>
              </w:rPr>
            </w:pPr>
            <w:r>
              <w:rPr>
                <w:rFonts w:ascii="Times New Roman" w:eastAsia="Times New Roman" w:hAnsi="Times New Roman" w:cs="Times New Roman"/>
                <w:color w:val="000000"/>
                <w:shd w:val="clear" w:color="auto" w:fill="FFFFFF"/>
              </w:rPr>
              <w:t>2030</w:t>
            </w:r>
          </w:p>
        </w:tc>
        <w:tc>
          <w:tcPr>
            <w:tcW w:w="1709"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Виконується</w:t>
            </w:r>
          </w:p>
        </w:tc>
      </w:tr>
      <w:tr w:rsidR="00D227E2">
        <w:trPr>
          <w:jc w:val="center"/>
        </w:trPr>
        <w:tc>
          <w:tcPr>
            <w:tcW w:w="51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3.6</w:t>
            </w:r>
          </w:p>
        </w:tc>
        <w:tc>
          <w:tcPr>
            <w:tcW w:w="2846" w:type="dxa"/>
            <w:shd w:val="clear" w:color="auto" w:fill="FFFFFF" w:themeFill="background1"/>
          </w:tcPr>
          <w:p w:rsidR="00D227E2" w:rsidRPr="003B00E9" w:rsidRDefault="00934FC4">
            <w:pPr>
              <w:spacing w:after="0" w:line="240" w:lineRule="auto"/>
              <w:contextualSpacing/>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Модернізація очисних споруд з очистки стічних вод за новітніми технологіями</w:t>
            </w:r>
          </w:p>
          <w:p w:rsidR="00D227E2" w:rsidRPr="003B00E9" w:rsidRDefault="00D227E2">
            <w:pPr>
              <w:spacing w:after="0" w:line="240" w:lineRule="auto"/>
              <w:contextualSpacing/>
              <w:rPr>
                <w:rFonts w:ascii="Times New Roman" w:eastAsia="Times New Roman" w:hAnsi="Times New Roman" w:cs="Times New Roman"/>
                <w:color w:val="000000"/>
                <w:shd w:val="clear" w:color="auto" w:fill="FFFFFF"/>
                <w:lang w:val="ru-RU"/>
              </w:rPr>
            </w:pPr>
          </w:p>
        </w:tc>
        <w:tc>
          <w:tcPr>
            <w:tcW w:w="2170"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Вода</w:t>
            </w:r>
          </w:p>
          <w:p w:rsidR="00D227E2" w:rsidRDefault="00D227E2">
            <w:pPr>
              <w:spacing w:after="0" w:line="240" w:lineRule="auto"/>
              <w:contextualSpacing/>
              <w:jc w:val="center"/>
              <w:rPr>
                <w:rFonts w:ascii="Times New Roman" w:eastAsia="Times New Roman" w:hAnsi="Times New Roman" w:cs="Times New Roman"/>
                <w:color w:val="000000"/>
                <w:shd w:val="clear" w:color="auto" w:fill="FFFFFF"/>
              </w:rPr>
            </w:pPr>
          </w:p>
        </w:tc>
        <w:tc>
          <w:tcPr>
            <w:tcW w:w="1871"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Захворювання, спричинені водою</w:t>
            </w:r>
          </w:p>
        </w:tc>
        <w:tc>
          <w:tcPr>
            <w:tcW w:w="1609"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Луцька міська рада,</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КП «Луцькводоканал»</w:t>
            </w:r>
          </w:p>
        </w:tc>
        <w:tc>
          <w:tcPr>
            <w:tcW w:w="202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w:t>
            </w:r>
          </w:p>
        </w:tc>
        <w:tc>
          <w:tcPr>
            <w:tcW w:w="103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2024</w:t>
            </w:r>
          </w:p>
        </w:tc>
        <w:tc>
          <w:tcPr>
            <w:tcW w:w="1332" w:type="dxa"/>
            <w:shd w:val="clear" w:color="auto" w:fill="FFFFFF" w:themeFill="background1"/>
          </w:tcPr>
          <w:p w:rsidR="00D227E2" w:rsidRDefault="00934FC4">
            <w:pPr>
              <w:jc w:val="center"/>
              <w:rPr>
                <w:rFonts w:ascii="Times New Roman" w:hAnsi="Times New Roman" w:cs="Times New Roman"/>
              </w:rPr>
            </w:pPr>
            <w:r>
              <w:rPr>
                <w:rFonts w:ascii="Times New Roman" w:eastAsia="Times New Roman" w:hAnsi="Times New Roman" w:cs="Times New Roman"/>
                <w:color w:val="000000"/>
                <w:shd w:val="clear" w:color="auto" w:fill="FFFFFF"/>
              </w:rPr>
              <w:t>2030</w:t>
            </w:r>
          </w:p>
        </w:tc>
        <w:tc>
          <w:tcPr>
            <w:tcW w:w="1709"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Виконується</w:t>
            </w:r>
          </w:p>
        </w:tc>
      </w:tr>
      <w:tr w:rsidR="00D227E2">
        <w:trPr>
          <w:jc w:val="center"/>
        </w:trPr>
        <w:tc>
          <w:tcPr>
            <w:tcW w:w="51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4</w:t>
            </w:r>
          </w:p>
        </w:tc>
        <w:tc>
          <w:tcPr>
            <w:tcW w:w="2846" w:type="dxa"/>
            <w:shd w:val="clear" w:color="auto" w:fill="FFFFFF" w:themeFill="background1"/>
          </w:tcPr>
          <w:p w:rsidR="00D227E2" w:rsidRPr="003B00E9" w:rsidRDefault="00934FC4">
            <w:pPr>
              <w:spacing w:after="0" w:line="240" w:lineRule="auto"/>
              <w:contextualSpacing/>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Розробка проєкту реконструкції зливової каналізації міста</w:t>
            </w:r>
          </w:p>
        </w:tc>
        <w:tc>
          <w:tcPr>
            <w:tcW w:w="2170"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Будівлі,</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Транспорт,</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Планування землекористування,</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Навколишнє середовище і біорізноманіття,</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Цивільний захист і надзвичайні ситуації,</w:t>
            </w:r>
          </w:p>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Інформаційно-комунікаційні технології,</w:t>
            </w:r>
          </w:p>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Туризм</w:t>
            </w:r>
          </w:p>
        </w:tc>
        <w:tc>
          <w:tcPr>
            <w:tcW w:w="1871"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Екстремальні зливи</w:t>
            </w:r>
          </w:p>
        </w:tc>
        <w:tc>
          <w:tcPr>
            <w:tcW w:w="1609"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Луцька міська рада,</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КП «Луцькводоканал»</w:t>
            </w:r>
          </w:p>
        </w:tc>
        <w:tc>
          <w:tcPr>
            <w:tcW w:w="202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800,00</w:t>
            </w:r>
          </w:p>
        </w:tc>
        <w:tc>
          <w:tcPr>
            <w:tcW w:w="103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2020</w:t>
            </w:r>
          </w:p>
        </w:tc>
        <w:tc>
          <w:tcPr>
            <w:tcW w:w="133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2025</w:t>
            </w:r>
          </w:p>
        </w:tc>
        <w:tc>
          <w:tcPr>
            <w:tcW w:w="1709"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Виконується</w:t>
            </w:r>
          </w:p>
        </w:tc>
      </w:tr>
      <w:tr w:rsidR="00D227E2">
        <w:trPr>
          <w:jc w:val="center"/>
        </w:trPr>
        <w:tc>
          <w:tcPr>
            <w:tcW w:w="51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5</w:t>
            </w:r>
          </w:p>
        </w:tc>
        <w:tc>
          <w:tcPr>
            <w:tcW w:w="2846" w:type="dxa"/>
            <w:shd w:val="clear" w:color="auto" w:fill="FFFFFF" w:themeFill="background1"/>
          </w:tcPr>
          <w:p w:rsidR="00D227E2" w:rsidRPr="003B00E9" w:rsidRDefault="00934FC4">
            <w:pPr>
              <w:spacing w:after="0" w:line="240" w:lineRule="auto"/>
              <w:contextualSpacing/>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 xml:space="preserve">Використання нових інформаційних технологій (квадрокоптер, камери зовнішнього відеоспостереження) для вчасного реагування на </w:t>
            </w:r>
            <w:r w:rsidRPr="003B00E9">
              <w:rPr>
                <w:rFonts w:ascii="Times New Roman" w:eastAsia="Times New Roman" w:hAnsi="Times New Roman" w:cs="Times New Roman"/>
                <w:color w:val="000000"/>
                <w:shd w:val="clear" w:color="auto" w:fill="FFFFFF"/>
                <w:lang w:val="ru-RU"/>
              </w:rPr>
              <w:lastRenderedPageBreak/>
              <w:t>пожежі та паводки</w:t>
            </w:r>
          </w:p>
        </w:tc>
        <w:tc>
          <w:tcPr>
            <w:tcW w:w="2170"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lastRenderedPageBreak/>
              <w:t>Сільське та лісове господарство,</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Навколишнє середовище і біорізноманіття,</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 xml:space="preserve">Цивільний захист і </w:t>
            </w:r>
            <w:r w:rsidRPr="003B00E9">
              <w:rPr>
                <w:rFonts w:ascii="Times New Roman" w:eastAsia="Times New Roman" w:hAnsi="Times New Roman" w:cs="Times New Roman"/>
                <w:color w:val="000000"/>
                <w:shd w:val="clear" w:color="auto" w:fill="FFFFFF"/>
                <w:lang w:val="ru-RU"/>
              </w:rPr>
              <w:lastRenderedPageBreak/>
              <w:t>надзвичайні ситуації,</w:t>
            </w:r>
          </w:p>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Інформаційно-комунікаційні технології</w:t>
            </w:r>
          </w:p>
        </w:tc>
        <w:tc>
          <w:tcPr>
            <w:tcW w:w="1871"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lastRenderedPageBreak/>
              <w:t>Лісові пожежі,</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Пожежі на землі</w:t>
            </w:r>
          </w:p>
        </w:tc>
        <w:tc>
          <w:tcPr>
            <w:tcW w:w="1609"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Державна служба з надзвичайних ситуацій</w:t>
            </w:r>
          </w:p>
        </w:tc>
        <w:tc>
          <w:tcPr>
            <w:tcW w:w="202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85,00</w:t>
            </w:r>
          </w:p>
        </w:tc>
        <w:tc>
          <w:tcPr>
            <w:tcW w:w="103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2024</w:t>
            </w:r>
          </w:p>
        </w:tc>
        <w:tc>
          <w:tcPr>
            <w:tcW w:w="133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2030</w:t>
            </w:r>
          </w:p>
        </w:tc>
        <w:tc>
          <w:tcPr>
            <w:tcW w:w="1709"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Виконується</w:t>
            </w:r>
          </w:p>
        </w:tc>
      </w:tr>
      <w:tr w:rsidR="00D227E2">
        <w:trPr>
          <w:jc w:val="center"/>
        </w:trPr>
        <w:tc>
          <w:tcPr>
            <w:tcW w:w="15111" w:type="dxa"/>
            <w:gridSpan w:val="9"/>
            <w:shd w:val="clear" w:color="auto" w:fill="FFFFFF" w:themeFill="background1"/>
          </w:tcPr>
          <w:p w:rsidR="00D227E2" w:rsidRDefault="00934FC4">
            <w:pPr>
              <w:spacing w:after="0" w:line="240" w:lineRule="auto"/>
              <w:ind w:firstLine="643"/>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lastRenderedPageBreak/>
              <w:t>Доступ до сервісу</w:t>
            </w:r>
          </w:p>
        </w:tc>
      </w:tr>
      <w:tr w:rsidR="00D227E2">
        <w:trPr>
          <w:jc w:val="center"/>
        </w:trPr>
        <w:tc>
          <w:tcPr>
            <w:tcW w:w="51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6</w:t>
            </w:r>
          </w:p>
        </w:tc>
        <w:tc>
          <w:tcPr>
            <w:tcW w:w="2846" w:type="dxa"/>
            <w:shd w:val="clear" w:color="auto" w:fill="FFFFFF" w:themeFill="background1"/>
          </w:tcPr>
          <w:p w:rsidR="00D227E2" w:rsidRPr="003B00E9" w:rsidRDefault="00934FC4">
            <w:pPr>
              <w:spacing w:after="0" w:line="240" w:lineRule="auto"/>
              <w:contextualSpacing/>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Капітальний ремонт існуючих мереж водопостачання та водовідведення та будівництво нових трас</w:t>
            </w:r>
          </w:p>
        </w:tc>
        <w:tc>
          <w:tcPr>
            <w:tcW w:w="2170"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Вода</w:t>
            </w:r>
          </w:p>
        </w:tc>
        <w:tc>
          <w:tcPr>
            <w:tcW w:w="1871"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Посуха та дефіцит води,</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Захворювання, спричинені водою</w:t>
            </w:r>
          </w:p>
        </w:tc>
        <w:tc>
          <w:tcPr>
            <w:tcW w:w="1609"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Луцька міська рада,</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КП «Луцькводоканал»</w:t>
            </w:r>
          </w:p>
        </w:tc>
        <w:tc>
          <w:tcPr>
            <w:tcW w:w="202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w:t>
            </w:r>
          </w:p>
        </w:tc>
        <w:tc>
          <w:tcPr>
            <w:tcW w:w="2368" w:type="dxa"/>
            <w:gridSpan w:val="2"/>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Постійно</w:t>
            </w:r>
          </w:p>
        </w:tc>
        <w:tc>
          <w:tcPr>
            <w:tcW w:w="1709"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Виконується</w:t>
            </w:r>
          </w:p>
        </w:tc>
      </w:tr>
      <w:tr w:rsidR="00D227E2">
        <w:trPr>
          <w:jc w:val="center"/>
        </w:trPr>
        <w:tc>
          <w:tcPr>
            <w:tcW w:w="51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7</w:t>
            </w:r>
          </w:p>
        </w:tc>
        <w:tc>
          <w:tcPr>
            <w:tcW w:w="2846" w:type="dxa"/>
            <w:shd w:val="clear" w:color="auto" w:fill="FFFFFF" w:themeFill="background1"/>
          </w:tcPr>
          <w:p w:rsidR="00D227E2" w:rsidRPr="003B00E9" w:rsidRDefault="00934FC4">
            <w:pPr>
              <w:spacing w:after="0" w:line="240" w:lineRule="auto"/>
              <w:contextualSpacing/>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Підтримка зливної каналізації у працездатному стані, періодична очистка та ремонт каналів (решіток)</w:t>
            </w:r>
          </w:p>
        </w:tc>
        <w:tc>
          <w:tcPr>
            <w:tcW w:w="2170"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Будівлі,</w:t>
            </w:r>
          </w:p>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Транспорт,</w:t>
            </w:r>
          </w:p>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Охорона здоров’я</w:t>
            </w:r>
          </w:p>
          <w:p w:rsidR="00D227E2" w:rsidRDefault="00D227E2">
            <w:pPr>
              <w:spacing w:after="0" w:line="240" w:lineRule="auto"/>
              <w:contextualSpacing/>
              <w:jc w:val="center"/>
              <w:rPr>
                <w:rFonts w:ascii="Times New Roman" w:hAnsi="Times New Roman" w:cs="Times New Roman"/>
                <w:color w:val="000000"/>
                <w:shd w:val="clear" w:color="auto" w:fill="FFFFFF"/>
              </w:rPr>
            </w:pPr>
          </w:p>
        </w:tc>
        <w:tc>
          <w:tcPr>
            <w:tcW w:w="1871"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Екстремальні зливи</w:t>
            </w:r>
          </w:p>
        </w:tc>
        <w:tc>
          <w:tcPr>
            <w:tcW w:w="1609"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ЛСКАП «Луцькспецкомунтранс»</w:t>
            </w:r>
          </w:p>
        </w:tc>
        <w:tc>
          <w:tcPr>
            <w:tcW w:w="202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3000,00</w:t>
            </w:r>
          </w:p>
        </w:tc>
        <w:tc>
          <w:tcPr>
            <w:tcW w:w="2368" w:type="dxa"/>
            <w:gridSpan w:val="2"/>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Постійно</w:t>
            </w:r>
          </w:p>
        </w:tc>
        <w:tc>
          <w:tcPr>
            <w:tcW w:w="1709"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Виконується</w:t>
            </w:r>
          </w:p>
        </w:tc>
      </w:tr>
      <w:tr w:rsidR="00D227E2">
        <w:trPr>
          <w:jc w:val="center"/>
        </w:trPr>
        <w:tc>
          <w:tcPr>
            <w:tcW w:w="51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8</w:t>
            </w:r>
          </w:p>
        </w:tc>
        <w:tc>
          <w:tcPr>
            <w:tcW w:w="2846" w:type="dxa"/>
            <w:shd w:val="clear" w:color="auto" w:fill="FFFFFF" w:themeFill="background1"/>
          </w:tcPr>
          <w:p w:rsidR="00D227E2" w:rsidRDefault="00934FC4">
            <w:pPr>
              <w:spacing w:after="0" w:line="240" w:lineRule="auto"/>
              <w:contextualSpacing/>
              <w:rPr>
                <w:rFonts w:ascii="Times New Roman" w:hAnsi="Times New Roman" w:cs="Times New Roman"/>
              </w:rPr>
            </w:pPr>
            <w:r>
              <w:rPr>
                <w:rFonts w:ascii="Times New Roman" w:eastAsia="Times New Roman" w:hAnsi="Times New Roman" w:cs="Times New Roman"/>
                <w:color w:val="000000"/>
                <w:shd w:val="clear" w:color="auto" w:fill="FFFFFF"/>
              </w:rPr>
              <w:t>Реконструкція зливової каналізації зі збільшенням потужності для прийняття та відведення зливової води в місцях регулярного підтоплення</w:t>
            </w:r>
          </w:p>
        </w:tc>
        <w:tc>
          <w:tcPr>
            <w:tcW w:w="2170"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Будівлі,</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Транспорт,</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Планування землекористування,</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Навколишнє середовище і біорізноманіття,</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Цивільний захист і надзвичайні ситуації,</w:t>
            </w:r>
          </w:p>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Інформаційно-комунікаційні технології,</w:t>
            </w:r>
          </w:p>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Туризм</w:t>
            </w:r>
          </w:p>
        </w:tc>
        <w:tc>
          <w:tcPr>
            <w:tcW w:w="1871"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Екстремальні зливи</w:t>
            </w:r>
          </w:p>
        </w:tc>
        <w:tc>
          <w:tcPr>
            <w:tcW w:w="1609"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Луцька міська рада,</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ЛСКАП «Луцькспецкомунтранс»</w:t>
            </w:r>
          </w:p>
        </w:tc>
        <w:tc>
          <w:tcPr>
            <w:tcW w:w="202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2000,00</w:t>
            </w:r>
          </w:p>
        </w:tc>
        <w:tc>
          <w:tcPr>
            <w:tcW w:w="103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2024</w:t>
            </w:r>
          </w:p>
        </w:tc>
        <w:tc>
          <w:tcPr>
            <w:tcW w:w="133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2030</w:t>
            </w:r>
          </w:p>
        </w:tc>
        <w:tc>
          <w:tcPr>
            <w:tcW w:w="1709"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Виконується</w:t>
            </w:r>
          </w:p>
        </w:tc>
      </w:tr>
      <w:tr w:rsidR="00D227E2">
        <w:trPr>
          <w:jc w:val="center"/>
        </w:trPr>
        <w:tc>
          <w:tcPr>
            <w:tcW w:w="51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9</w:t>
            </w:r>
          </w:p>
        </w:tc>
        <w:tc>
          <w:tcPr>
            <w:tcW w:w="2846" w:type="dxa"/>
            <w:shd w:val="clear" w:color="auto" w:fill="FFFFFF" w:themeFill="background1"/>
          </w:tcPr>
          <w:p w:rsidR="00D227E2" w:rsidRPr="003B00E9" w:rsidRDefault="00934FC4">
            <w:pPr>
              <w:spacing w:after="0" w:line="240" w:lineRule="auto"/>
              <w:contextualSpacing/>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 xml:space="preserve">Створення комфортних умов перебування в організаціях, установах, торгівельних точках в періоди екстремальної спеки (дотримання нормативної температури) </w:t>
            </w:r>
            <w:r w:rsidRPr="003B00E9">
              <w:rPr>
                <w:rFonts w:ascii="Times New Roman" w:eastAsia="Times New Roman" w:hAnsi="Times New Roman" w:cs="Times New Roman"/>
                <w:color w:val="000000"/>
                <w:shd w:val="clear" w:color="auto" w:fill="FFFFFF"/>
                <w:lang w:val="ru-RU"/>
              </w:rPr>
              <w:lastRenderedPageBreak/>
              <w:t>через використання кондиціонерів та забезпечення доступу до питної води</w:t>
            </w:r>
          </w:p>
        </w:tc>
        <w:tc>
          <w:tcPr>
            <w:tcW w:w="2170"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lastRenderedPageBreak/>
              <w:t>Будівлі,</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Вода,</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Охорона здоров’я,</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Туризм</w:t>
            </w:r>
          </w:p>
        </w:tc>
        <w:tc>
          <w:tcPr>
            <w:tcW w:w="1871"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Екстремальна спека,</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Посуха та дефіцит води</w:t>
            </w:r>
          </w:p>
        </w:tc>
        <w:tc>
          <w:tcPr>
            <w:tcW w:w="1609"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 xml:space="preserve">Луцька міська рада, Муніципальні установи та організації, власники торгівельних </w:t>
            </w:r>
            <w:r w:rsidRPr="003B00E9">
              <w:rPr>
                <w:rFonts w:ascii="Times New Roman" w:eastAsia="Times New Roman" w:hAnsi="Times New Roman" w:cs="Times New Roman"/>
                <w:color w:val="000000"/>
                <w:shd w:val="clear" w:color="auto" w:fill="FFFFFF"/>
                <w:lang w:val="ru-RU"/>
              </w:rPr>
              <w:lastRenderedPageBreak/>
              <w:t>точок</w:t>
            </w:r>
          </w:p>
        </w:tc>
        <w:tc>
          <w:tcPr>
            <w:tcW w:w="202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lastRenderedPageBreak/>
              <w:t>Відповідно до потреби</w:t>
            </w:r>
          </w:p>
        </w:tc>
        <w:tc>
          <w:tcPr>
            <w:tcW w:w="103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2024</w:t>
            </w:r>
          </w:p>
        </w:tc>
        <w:tc>
          <w:tcPr>
            <w:tcW w:w="1332" w:type="dxa"/>
            <w:shd w:val="clear" w:color="auto" w:fill="FFFFFF" w:themeFill="background1"/>
          </w:tcPr>
          <w:p w:rsidR="00D227E2" w:rsidRDefault="00934FC4">
            <w:pPr>
              <w:jc w:val="center"/>
              <w:rPr>
                <w:rFonts w:ascii="Times New Roman" w:hAnsi="Times New Roman" w:cs="Times New Roman"/>
              </w:rPr>
            </w:pPr>
            <w:r>
              <w:rPr>
                <w:rFonts w:ascii="Times New Roman" w:eastAsia="Times New Roman" w:hAnsi="Times New Roman" w:cs="Times New Roman"/>
                <w:color w:val="000000"/>
                <w:shd w:val="clear" w:color="auto" w:fill="FFFFFF"/>
              </w:rPr>
              <w:t>2030</w:t>
            </w:r>
          </w:p>
        </w:tc>
        <w:tc>
          <w:tcPr>
            <w:tcW w:w="1709"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Виконується</w:t>
            </w:r>
          </w:p>
        </w:tc>
      </w:tr>
      <w:tr w:rsidR="00D227E2">
        <w:trPr>
          <w:jc w:val="center"/>
        </w:trPr>
        <w:tc>
          <w:tcPr>
            <w:tcW w:w="51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lastRenderedPageBreak/>
              <w:t>10</w:t>
            </w:r>
          </w:p>
        </w:tc>
        <w:tc>
          <w:tcPr>
            <w:tcW w:w="2846" w:type="dxa"/>
            <w:shd w:val="clear" w:color="auto" w:fill="FFFFFF" w:themeFill="background1"/>
          </w:tcPr>
          <w:p w:rsidR="00D227E2" w:rsidRPr="003B00E9" w:rsidRDefault="00934FC4">
            <w:pPr>
              <w:spacing w:after="0" w:line="240" w:lineRule="auto"/>
              <w:contextualSpacing/>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Встановлення фонтанчиків з питною водою, місць для охолодження («водяні ворота», фонтани)</w:t>
            </w:r>
          </w:p>
        </w:tc>
        <w:tc>
          <w:tcPr>
            <w:tcW w:w="2170"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Вода,</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Планування землекористування,</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Охорона здоров’я,</w:t>
            </w:r>
          </w:p>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Туризм</w:t>
            </w:r>
          </w:p>
        </w:tc>
        <w:tc>
          <w:tcPr>
            <w:tcW w:w="1871"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Екстремальна спека,</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Посуха та дефіцит води</w:t>
            </w:r>
          </w:p>
        </w:tc>
        <w:tc>
          <w:tcPr>
            <w:tcW w:w="1609"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Луцька міська рада,</w:t>
            </w:r>
            <w:r w:rsidRPr="003B00E9">
              <w:rPr>
                <w:rFonts w:ascii="Times New Roman" w:eastAsia="Times New Roman" w:hAnsi="Times New Roman" w:cs="Times New Roman"/>
                <w:color w:val="000000"/>
                <w:shd w:val="clear" w:color="auto" w:fill="FFFFFF"/>
                <w:lang w:val="ru-RU"/>
              </w:rPr>
              <w:br/>
              <w:t>Комунальні підприємства,</w:t>
            </w:r>
          </w:p>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Громадські організації</w:t>
            </w:r>
          </w:p>
        </w:tc>
        <w:tc>
          <w:tcPr>
            <w:tcW w:w="202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230,00</w:t>
            </w:r>
          </w:p>
        </w:tc>
        <w:tc>
          <w:tcPr>
            <w:tcW w:w="103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2017</w:t>
            </w:r>
          </w:p>
        </w:tc>
        <w:tc>
          <w:tcPr>
            <w:tcW w:w="1332" w:type="dxa"/>
            <w:shd w:val="clear" w:color="auto" w:fill="FFFFFF" w:themeFill="background1"/>
          </w:tcPr>
          <w:p w:rsidR="00D227E2" w:rsidRDefault="00934FC4">
            <w:pPr>
              <w:jc w:val="center"/>
              <w:rPr>
                <w:rFonts w:ascii="Times New Roman" w:hAnsi="Times New Roman" w:cs="Times New Roman"/>
              </w:rPr>
            </w:pPr>
            <w:r>
              <w:rPr>
                <w:rFonts w:ascii="Times New Roman" w:eastAsia="Times New Roman" w:hAnsi="Times New Roman" w:cs="Times New Roman"/>
                <w:color w:val="000000"/>
                <w:shd w:val="clear" w:color="auto" w:fill="FFFFFF"/>
              </w:rPr>
              <w:t>2030</w:t>
            </w:r>
          </w:p>
        </w:tc>
        <w:tc>
          <w:tcPr>
            <w:tcW w:w="1709"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Виконується</w:t>
            </w:r>
          </w:p>
        </w:tc>
      </w:tr>
      <w:tr w:rsidR="00D227E2">
        <w:trPr>
          <w:jc w:val="center"/>
        </w:trPr>
        <w:tc>
          <w:tcPr>
            <w:tcW w:w="51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11</w:t>
            </w:r>
          </w:p>
        </w:tc>
        <w:tc>
          <w:tcPr>
            <w:tcW w:w="2846" w:type="dxa"/>
            <w:shd w:val="clear" w:color="auto" w:fill="FFFFFF" w:themeFill="background1"/>
          </w:tcPr>
          <w:p w:rsidR="00D227E2" w:rsidRDefault="00934FC4">
            <w:pPr>
              <w:spacing w:after="0" w:line="240" w:lineRule="auto"/>
              <w:contextualSpacing/>
              <w:rPr>
                <w:rFonts w:ascii="Times New Roman" w:hAnsi="Times New Roman" w:cs="Times New Roman"/>
              </w:rPr>
            </w:pPr>
            <w:r>
              <w:rPr>
                <w:rFonts w:ascii="Times New Roman" w:eastAsia="Times New Roman" w:hAnsi="Times New Roman" w:cs="Times New Roman"/>
                <w:color w:val="000000"/>
                <w:shd w:val="clear" w:color="auto" w:fill="FFFFFF"/>
              </w:rPr>
              <w:t>Реконструкція велосипедної мережі міста</w:t>
            </w:r>
          </w:p>
        </w:tc>
        <w:tc>
          <w:tcPr>
            <w:tcW w:w="2170"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Транспорт,</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Охорона здоров’я, Планування землекористування,</w:t>
            </w:r>
          </w:p>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Туризм</w:t>
            </w:r>
          </w:p>
        </w:tc>
        <w:tc>
          <w:tcPr>
            <w:tcW w:w="1871"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Екстремальна спека</w:t>
            </w:r>
          </w:p>
        </w:tc>
        <w:tc>
          <w:tcPr>
            <w:tcW w:w="1609"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Луцька міська рада,</w:t>
            </w:r>
            <w:r w:rsidRPr="003B00E9">
              <w:rPr>
                <w:rFonts w:ascii="Times New Roman" w:eastAsia="Times New Roman" w:hAnsi="Times New Roman" w:cs="Times New Roman"/>
                <w:color w:val="000000"/>
                <w:shd w:val="clear" w:color="auto" w:fill="FFFFFF"/>
                <w:lang w:val="ru-RU"/>
              </w:rPr>
              <w:br/>
              <w:t>Комунальні підприємства,</w:t>
            </w:r>
          </w:p>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Громадські організації</w:t>
            </w:r>
          </w:p>
        </w:tc>
        <w:tc>
          <w:tcPr>
            <w:tcW w:w="202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17000,00</w:t>
            </w:r>
          </w:p>
        </w:tc>
        <w:tc>
          <w:tcPr>
            <w:tcW w:w="103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2017</w:t>
            </w:r>
          </w:p>
        </w:tc>
        <w:tc>
          <w:tcPr>
            <w:tcW w:w="1332" w:type="dxa"/>
            <w:shd w:val="clear" w:color="auto" w:fill="FFFFFF" w:themeFill="background1"/>
          </w:tcPr>
          <w:p w:rsidR="00D227E2" w:rsidRDefault="00934FC4">
            <w:pPr>
              <w:jc w:val="center"/>
              <w:rPr>
                <w:rFonts w:ascii="Times New Roman" w:hAnsi="Times New Roman" w:cs="Times New Roman"/>
              </w:rPr>
            </w:pPr>
            <w:r>
              <w:rPr>
                <w:rFonts w:ascii="Times New Roman" w:eastAsia="Times New Roman" w:hAnsi="Times New Roman" w:cs="Times New Roman"/>
                <w:color w:val="000000"/>
                <w:shd w:val="clear" w:color="auto" w:fill="FFFFFF"/>
              </w:rPr>
              <w:t>2030</w:t>
            </w:r>
          </w:p>
        </w:tc>
        <w:tc>
          <w:tcPr>
            <w:tcW w:w="1709"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Виконується</w:t>
            </w:r>
          </w:p>
        </w:tc>
      </w:tr>
      <w:tr w:rsidR="00D227E2">
        <w:trPr>
          <w:jc w:val="center"/>
        </w:trPr>
        <w:tc>
          <w:tcPr>
            <w:tcW w:w="51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12</w:t>
            </w:r>
          </w:p>
        </w:tc>
        <w:tc>
          <w:tcPr>
            <w:tcW w:w="2846" w:type="dxa"/>
            <w:shd w:val="clear" w:color="auto" w:fill="FFFFFF" w:themeFill="background1"/>
          </w:tcPr>
          <w:p w:rsidR="00D227E2" w:rsidRPr="003B00E9" w:rsidRDefault="00934FC4">
            <w:pPr>
              <w:spacing w:after="0" w:line="240" w:lineRule="auto"/>
              <w:contextualSpacing/>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Створення системи велодоріжок та велотрас навколо міста</w:t>
            </w:r>
          </w:p>
        </w:tc>
        <w:tc>
          <w:tcPr>
            <w:tcW w:w="2170"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Охорона здоров’я, Планування землекористування,</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Туризм</w:t>
            </w:r>
          </w:p>
        </w:tc>
        <w:tc>
          <w:tcPr>
            <w:tcW w:w="1871"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Екстремальна спека</w:t>
            </w:r>
          </w:p>
        </w:tc>
        <w:tc>
          <w:tcPr>
            <w:tcW w:w="1609"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Луцька міська рада,</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комунальні підприємства</w:t>
            </w:r>
          </w:p>
        </w:tc>
        <w:tc>
          <w:tcPr>
            <w:tcW w:w="202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17000,00</w:t>
            </w:r>
          </w:p>
          <w:p w:rsidR="00D227E2" w:rsidRDefault="00D227E2">
            <w:pPr>
              <w:spacing w:after="0" w:line="240" w:lineRule="auto"/>
              <w:contextualSpacing/>
              <w:jc w:val="center"/>
              <w:rPr>
                <w:rFonts w:ascii="Times New Roman" w:eastAsia="Times New Roman" w:hAnsi="Times New Roman" w:cs="Times New Roman"/>
                <w:color w:val="000000"/>
                <w:shd w:val="clear" w:color="auto" w:fill="FFFFFF"/>
              </w:rPr>
            </w:pPr>
          </w:p>
        </w:tc>
        <w:tc>
          <w:tcPr>
            <w:tcW w:w="103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2017</w:t>
            </w:r>
          </w:p>
        </w:tc>
        <w:tc>
          <w:tcPr>
            <w:tcW w:w="1332" w:type="dxa"/>
            <w:shd w:val="clear" w:color="auto" w:fill="FFFFFF" w:themeFill="background1"/>
          </w:tcPr>
          <w:p w:rsidR="00D227E2" w:rsidRDefault="00934FC4">
            <w:pPr>
              <w:jc w:val="center"/>
              <w:rPr>
                <w:rFonts w:ascii="Times New Roman" w:hAnsi="Times New Roman" w:cs="Times New Roman"/>
              </w:rPr>
            </w:pPr>
            <w:r>
              <w:rPr>
                <w:rFonts w:ascii="Times New Roman" w:eastAsia="Times New Roman" w:hAnsi="Times New Roman" w:cs="Times New Roman"/>
                <w:color w:val="000000"/>
                <w:shd w:val="clear" w:color="auto" w:fill="FFFFFF"/>
              </w:rPr>
              <w:t>2030</w:t>
            </w:r>
          </w:p>
        </w:tc>
        <w:tc>
          <w:tcPr>
            <w:tcW w:w="1709"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Виконується</w:t>
            </w:r>
          </w:p>
        </w:tc>
      </w:tr>
      <w:tr w:rsidR="00D227E2">
        <w:trPr>
          <w:jc w:val="center"/>
        </w:trPr>
        <w:tc>
          <w:tcPr>
            <w:tcW w:w="51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13</w:t>
            </w:r>
          </w:p>
        </w:tc>
        <w:tc>
          <w:tcPr>
            <w:tcW w:w="2846" w:type="dxa"/>
            <w:shd w:val="clear" w:color="auto" w:fill="FFFFFF" w:themeFill="background1"/>
          </w:tcPr>
          <w:p w:rsidR="00D227E2" w:rsidRPr="003B00E9" w:rsidRDefault="00934FC4">
            <w:pPr>
              <w:spacing w:after="0" w:line="240" w:lineRule="auto"/>
              <w:contextualSpacing/>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Підтримка працездатності резервних джерел енергії на випадок відключення електроенергії для організацій з високим ступенем вразливості</w:t>
            </w:r>
          </w:p>
        </w:tc>
        <w:tc>
          <w:tcPr>
            <w:tcW w:w="2170"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Будівлі,</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Енергетика,</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Охорона здоров’я,</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Цивільний захист і надзвичайні ситуації</w:t>
            </w:r>
          </w:p>
        </w:tc>
        <w:tc>
          <w:tcPr>
            <w:tcW w:w="1871"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Сильні вітри,</w:t>
            </w:r>
          </w:p>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Гроза</w:t>
            </w:r>
          </w:p>
        </w:tc>
        <w:tc>
          <w:tcPr>
            <w:tcW w:w="1609"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Луцька міська рада, установи охорони здоров’я</w:t>
            </w:r>
          </w:p>
        </w:tc>
        <w:tc>
          <w:tcPr>
            <w:tcW w:w="202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96725,00</w:t>
            </w:r>
          </w:p>
        </w:tc>
        <w:tc>
          <w:tcPr>
            <w:tcW w:w="2368" w:type="dxa"/>
            <w:gridSpan w:val="2"/>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Постійно</w:t>
            </w:r>
          </w:p>
        </w:tc>
        <w:tc>
          <w:tcPr>
            <w:tcW w:w="1709"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Виконується</w:t>
            </w:r>
          </w:p>
        </w:tc>
      </w:tr>
      <w:tr w:rsidR="00D227E2">
        <w:trPr>
          <w:jc w:val="center"/>
        </w:trPr>
        <w:tc>
          <w:tcPr>
            <w:tcW w:w="15111" w:type="dxa"/>
            <w:gridSpan w:val="9"/>
            <w:shd w:val="clear" w:color="auto" w:fill="FFFFFF" w:themeFill="background1"/>
          </w:tcPr>
          <w:p w:rsidR="00D227E2" w:rsidRDefault="00934FC4">
            <w:pPr>
              <w:spacing w:after="0" w:line="240" w:lineRule="auto"/>
              <w:ind w:firstLine="643"/>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Соціально-економічні заходи</w:t>
            </w:r>
          </w:p>
        </w:tc>
      </w:tr>
      <w:tr w:rsidR="00D227E2">
        <w:trPr>
          <w:jc w:val="center"/>
        </w:trPr>
        <w:tc>
          <w:tcPr>
            <w:tcW w:w="51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14</w:t>
            </w:r>
          </w:p>
        </w:tc>
        <w:tc>
          <w:tcPr>
            <w:tcW w:w="2846" w:type="dxa"/>
            <w:shd w:val="clear" w:color="auto" w:fill="FFFFFF" w:themeFill="background1"/>
          </w:tcPr>
          <w:p w:rsidR="00D227E2" w:rsidRPr="003B00E9" w:rsidRDefault="00934FC4">
            <w:pPr>
              <w:spacing w:after="0" w:line="240" w:lineRule="auto"/>
              <w:contextualSpacing/>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Популяризація страхування від надзвичайних ситуацій</w:t>
            </w:r>
          </w:p>
        </w:tc>
        <w:tc>
          <w:tcPr>
            <w:tcW w:w="2170"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Будівлі,</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Транспорт,</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Сільське та лісове господарство,</w:t>
            </w:r>
          </w:p>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Інформаційно-комунікаційні технології</w:t>
            </w:r>
          </w:p>
        </w:tc>
        <w:tc>
          <w:tcPr>
            <w:tcW w:w="1871"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Екстремальні зливи,</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Екстремальний снігопад,</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Град</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Річкові повені,</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Сильні вітри,</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Гроза,</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Лісові пожежі,</w:t>
            </w:r>
          </w:p>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Пожежі на землі</w:t>
            </w:r>
          </w:p>
        </w:tc>
        <w:tc>
          <w:tcPr>
            <w:tcW w:w="1609"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 xml:space="preserve">Страхові організації, організації </w:t>
            </w:r>
            <w:r w:rsidRPr="003B00E9">
              <w:rPr>
                <w:rFonts w:ascii="Times New Roman" w:eastAsia="Times New Roman" w:hAnsi="Times New Roman" w:cs="Times New Roman"/>
                <w:color w:val="000000"/>
                <w:shd w:val="clear" w:color="auto" w:fill="FFFFFF"/>
                <w:lang w:val="ru-RU"/>
              </w:rPr>
              <w:br/>
              <w:t>теле-, радіо- мовлення,</w:t>
            </w:r>
            <w:r w:rsidRPr="003B00E9">
              <w:rPr>
                <w:rFonts w:ascii="Times New Roman" w:eastAsia="Times New Roman" w:hAnsi="Times New Roman" w:cs="Times New Roman"/>
                <w:color w:val="000000"/>
                <w:shd w:val="clear" w:color="auto" w:fill="FFFFFF"/>
                <w:lang w:val="ru-RU"/>
              </w:rPr>
              <w:br/>
              <w:t>печатні видання</w:t>
            </w:r>
          </w:p>
        </w:tc>
        <w:tc>
          <w:tcPr>
            <w:tcW w:w="202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Відповідно до потреби</w:t>
            </w:r>
          </w:p>
        </w:tc>
        <w:tc>
          <w:tcPr>
            <w:tcW w:w="103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2024</w:t>
            </w:r>
          </w:p>
        </w:tc>
        <w:tc>
          <w:tcPr>
            <w:tcW w:w="133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2030</w:t>
            </w:r>
          </w:p>
        </w:tc>
        <w:tc>
          <w:tcPr>
            <w:tcW w:w="1709"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Виконується</w:t>
            </w:r>
          </w:p>
        </w:tc>
      </w:tr>
      <w:tr w:rsidR="00D227E2">
        <w:trPr>
          <w:jc w:val="center"/>
        </w:trPr>
        <w:tc>
          <w:tcPr>
            <w:tcW w:w="15111" w:type="dxa"/>
            <w:gridSpan w:val="9"/>
            <w:shd w:val="clear" w:color="auto" w:fill="FFFFFF" w:themeFill="background1"/>
          </w:tcPr>
          <w:p w:rsidR="00D227E2" w:rsidRDefault="00934FC4">
            <w:pPr>
              <w:spacing w:after="0" w:line="240" w:lineRule="auto"/>
              <w:ind w:firstLine="785"/>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lastRenderedPageBreak/>
              <w:t>Державні та інституційні заходи</w:t>
            </w:r>
          </w:p>
        </w:tc>
      </w:tr>
      <w:tr w:rsidR="00D227E2">
        <w:trPr>
          <w:jc w:val="center"/>
        </w:trPr>
        <w:tc>
          <w:tcPr>
            <w:tcW w:w="51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15</w:t>
            </w:r>
          </w:p>
        </w:tc>
        <w:tc>
          <w:tcPr>
            <w:tcW w:w="2846" w:type="dxa"/>
            <w:shd w:val="clear" w:color="auto" w:fill="FFFFFF" w:themeFill="background1"/>
          </w:tcPr>
          <w:p w:rsidR="00D227E2" w:rsidRPr="003B00E9" w:rsidRDefault="00934FC4">
            <w:pPr>
              <w:spacing w:after="0" w:line="240" w:lineRule="auto"/>
              <w:contextualSpacing/>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Підтримка системи відведення паводкових вод (дренажів, каптажів, канав, водовідвідних каналів тощо) та інженерних систем і обладнання для відкачування паводкових вод в працездатному стані</w:t>
            </w:r>
          </w:p>
        </w:tc>
        <w:tc>
          <w:tcPr>
            <w:tcW w:w="2170"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Вода,</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Навколишнє середовище і біорізноманіття,</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Планування землекористування,</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Сільське та лісове господарство</w:t>
            </w:r>
          </w:p>
        </w:tc>
        <w:tc>
          <w:tcPr>
            <w:tcW w:w="1871"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Екстремальні зливи,</w:t>
            </w:r>
          </w:p>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Річкові повені</w:t>
            </w:r>
          </w:p>
        </w:tc>
        <w:tc>
          <w:tcPr>
            <w:tcW w:w="1609"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Луцька міська рада,</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Комунальні підприємства</w:t>
            </w:r>
          </w:p>
        </w:tc>
        <w:tc>
          <w:tcPr>
            <w:tcW w:w="202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51210,00</w:t>
            </w:r>
          </w:p>
          <w:p w:rsidR="00D227E2" w:rsidRDefault="00D227E2">
            <w:pPr>
              <w:spacing w:after="0" w:line="240" w:lineRule="auto"/>
              <w:contextualSpacing/>
              <w:jc w:val="center"/>
              <w:rPr>
                <w:rFonts w:ascii="Times New Roman" w:eastAsia="Times New Roman" w:hAnsi="Times New Roman" w:cs="Times New Roman"/>
                <w:color w:val="000000"/>
                <w:shd w:val="clear" w:color="auto" w:fill="FFFFFF"/>
              </w:rPr>
            </w:pPr>
          </w:p>
        </w:tc>
        <w:tc>
          <w:tcPr>
            <w:tcW w:w="2368" w:type="dxa"/>
            <w:gridSpan w:val="2"/>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Постійно</w:t>
            </w:r>
          </w:p>
        </w:tc>
        <w:tc>
          <w:tcPr>
            <w:tcW w:w="1709"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Виконується</w:t>
            </w:r>
          </w:p>
        </w:tc>
      </w:tr>
      <w:tr w:rsidR="00D227E2">
        <w:trPr>
          <w:jc w:val="center"/>
        </w:trPr>
        <w:tc>
          <w:tcPr>
            <w:tcW w:w="15111" w:type="dxa"/>
            <w:gridSpan w:val="9"/>
            <w:shd w:val="clear" w:color="auto" w:fill="FFFFFF" w:themeFill="background1"/>
          </w:tcPr>
          <w:p w:rsidR="00D227E2" w:rsidRDefault="00934FC4">
            <w:pPr>
              <w:spacing w:after="0" w:line="240" w:lineRule="auto"/>
              <w:ind w:firstLine="643"/>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Природне навколишнє середовище</w:t>
            </w:r>
          </w:p>
        </w:tc>
      </w:tr>
      <w:tr w:rsidR="00D227E2">
        <w:trPr>
          <w:jc w:val="center"/>
        </w:trPr>
        <w:tc>
          <w:tcPr>
            <w:tcW w:w="51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16</w:t>
            </w:r>
          </w:p>
        </w:tc>
        <w:tc>
          <w:tcPr>
            <w:tcW w:w="2846" w:type="dxa"/>
            <w:shd w:val="clear" w:color="auto" w:fill="FFFFFF" w:themeFill="background1"/>
          </w:tcPr>
          <w:p w:rsidR="00D227E2" w:rsidRPr="003B00E9" w:rsidRDefault="00934FC4">
            <w:pPr>
              <w:spacing w:after="0" w:line="240" w:lineRule="auto"/>
              <w:contextualSpacing/>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Реалізація програм розвитку та збереження зелених насаджень Луцької МТГ</w:t>
            </w:r>
          </w:p>
        </w:tc>
        <w:tc>
          <w:tcPr>
            <w:tcW w:w="2170"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Транспорт,</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Планування землекористування,</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Навколишнє середовище і біорізноманіття Туризм</w:t>
            </w:r>
          </w:p>
        </w:tc>
        <w:tc>
          <w:tcPr>
            <w:tcW w:w="1871"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Екстремальна спека</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Екстремальні зливи,</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Посуха та дефіцит води,</w:t>
            </w:r>
          </w:p>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Сильні вітри,</w:t>
            </w:r>
          </w:p>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Гроза</w:t>
            </w:r>
          </w:p>
        </w:tc>
        <w:tc>
          <w:tcPr>
            <w:tcW w:w="1609"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Луцька міська рада,</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Громадські організації,</w:t>
            </w:r>
          </w:p>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Заклади вищої освіти</w:t>
            </w:r>
          </w:p>
        </w:tc>
        <w:tc>
          <w:tcPr>
            <w:tcW w:w="202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384,00</w:t>
            </w:r>
          </w:p>
        </w:tc>
        <w:tc>
          <w:tcPr>
            <w:tcW w:w="103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2022</w:t>
            </w:r>
          </w:p>
        </w:tc>
        <w:tc>
          <w:tcPr>
            <w:tcW w:w="133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2025</w:t>
            </w:r>
          </w:p>
        </w:tc>
        <w:tc>
          <w:tcPr>
            <w:tcW w:w="1709"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Виконується</w:t>
            </w:r>
          </w:p>
        </w:tc>
      </w:tr>
      <w:tr w:rsidR="00D227E2">
        <w:trPr>
          <w:jc w:val="center"/>
        </w:trPr>
        <w:tc>
          <w:tcPr>
            <w:tcW w:w="51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17</w:t>
            </w:r>
          </w:p>
        </w:tc>
        <w:tc>
          <w:tcPr>
            <w:tcW w:w="2846" w:type="dxa"/>
            <w:shd w:val="clear" w:color="auto" w:fill="FFFFFF" w:themeFill="background1"/>
          </w:tcPr>
          <w:p w:rsidR="00D227E2" w:rsidRDefault="00934FC4">
            <w:pPr>
              <w:spacing w:after="0" w:line="240" w:lineRule="auto"/>
              <w:contextualSpacing/>
              <w:rPr>
                <w:rFonts w:ascii="Times New Roman" w:hAnsi="Times New Roman" w:cs="Times New Roman"/>
              </w:rPr>
            </w:pPr>
            <w:r>
              <w:rPr>
                <w:rFonts w:ascii="Times New Roman" w:eastAsia="Times New Roman" w:hAnsi="Times New Roman" w:cs="Times New Roman"/>
                <w:color w:val="000000"/>
                <w:shd w:val="clear" w:color="auto" w:fill="FFFFFF"/>
              </w:rPr>
              <w:t>Створенням «зелених» зон міста</w:t>
            </w:r>
          </w:p>
        </w:tc>
        <w:tc>
          <w:tcPr>
            <w:tcW w:w="2170"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Охорона здоров’я, Планування землекористування, Туризм</w:t>
            </w:r>
          </w:p>
        </w:tc>
        <w:tc>
          <w:tcPr>
            <w:tcW w:w="1871"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Екстремальна спека,</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Посуха та дефіцит води</w:t>
            </w:r>
          </w:p>
        </w:tc>
        <w:tc>
          <w:tcPr>
            <w:tcW w:w="1609"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Луцька міська рада</w:t>
            </w:r>
          </w:p>
        </w:tc>
        <w:tc>
          <w:tcPr>
            <w:tcW w:w="202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36414,00</w:t>
            </w:r>
          </w:p>
        </w:tc>
        <w:tc>
          <w:tcPr>
            <w:tcW w:w="103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2022</w:t>
            </w:r>
          </w:p>
        </w:tc>
        <w:tc>
          <w:tcPr>
            <w:tcW w:w="1332" w:type="dxa"/>
            <w:shd w:val="clear" w:color="auto" w:fill="FFFFFF" w:themeFill="background1"/>
          </w:tcPr>
          <w:p w:rsidR="00D227E2" w:rsidRDefault="00934FC4">
            <w:pPr>
              <w:jc w:val="center"/>
              <w:rPr>
                <w:rFonts w:ascii="Times New Roman" w:hAnsi="Times New Roman" w:cs="Times New Roman"/>
              </w:rPr>
            </w:pPr>
            <w:r>
              <w:rPr>
                <w:rFonts w:ascii="Times New Roman" w:eastAsia="Times New Roman" w:hAnsi="Times New Roman" w:cs="Times New Roman"/>
                <w:color w:val="000000"/>
                <w:shd w:val="clear" w:color="auto" w:fill="FFFFFF"/>
              </w:rPr>
              <w:t>2030</w:t>
            </w:r>
          </w:p>
        </w:tc>
        <w:tc>
          <w:tcPr>
            <w:tcW w:w="1709"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Виконується</w:t>
            </w:r>
          </w:p>
        </w:tc>
      </w:tr>
      <w:tr w:rsidR="00D227E2">
        <w:trPr>
          <w:jc w:val="center"/>
        </w:trPr>
        <w:tc>
          <w:tcPr>
            <w:tcW w:w="51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18</w:t>
            </w:r>
          </w:p>
        </w:tc>
        <w:tc>
          <w:tcPr>
            <w:tcW w:w="2846" w:type="dxa"/>
            <w:shd w:val="clear" w:color="auto" w:fill="FFFFFF" w:themeFill="background1"/>
          </w:tcPr>
          <w:p w:rsidR="00D227E2" w:rsidRPr="003B00E9" w:rsidRDefault="00934FC4">
            <w:pPr>
              <w:spacing w:after="0" w:line="240" w:lineRule="auto"/>
              <w:contextualSpacing/>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Облаштування у місті екологічних парковок для автомобілів та  дорожнього покриття з врахуванням покращення стоку для поверхневих вод</w:t>
            </w:r>
          </w:p>
        </w:tc>
        <w:tc>
          <w:tcPr>
            <w:tcW w:w="2170"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Транспорт,</w:t>
            </w:r>
          </w:p>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Планування землекористування,</w:t>
            </w:r>
          </w:p>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Туризм</w:t>
            </w:r>
          </w:p>
        </w:tc>
        <w:tc>
          <w:tcPr>
            <w:tcW w:w="1871"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Екстремальна спека</w:t>
            </w:r>
          </w:p>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Екстремальні зливи</w:t>
            </w:r>
          </w:p>
        </w:tc>
        <w:tc>
          <w:tcPr>
            <w:tcW w:w="1609"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Луцька міська рада, Комунальні підприємства</w:t>
            </w:r>
          </w:p>
        </w:tc>
        <w:tc>
          <w:tcPr>
            <w:tcW w:w="202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Відповідно до потреби</w:t>
            </w:r>
          </w:p>
        </w:tc>
        <w:tc>
          <w:tcPr>
            <w:tcW w:w="103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2022</w:t>
            </w:r>
          </w:p>
        </w:tc>
        <w:tc>
          <w:tcPr>
            <w:tcW w:w="1332" w:type="dxa"/>
            <w:shd w:val="clear" w:color="auto" w:fill="FFFFFF" w:themeFill="background1"/>
          </w:tcPr>
          <w:p w:rsidR="00D227E2" w:rsidRDefault="00934FC4">
            <w:pPr>
              <w:jc w:val="center"/>
              <w:rPr>
                <w:rFonts w:ascii="Times New Roman" w:hAnsi="Times New Roman" w:cs="Times New Roman"/>
              </w:rPr>
            </w:pPr>
            <w:r>
              <w:rPr>
                <w:rFonts w:ascii="Times New Roman" w:eastAsia="Times New Roman" w:hAnsi="Times New Roman" w:cs="Times New Roman"/>
                <w:color w:val="000000"/>
                <w:shd w:val="clear" w:color="auto" w:fill="FFFFFF"/>
              </w:rPr>
              <w:t>2030</w:t>
            </w:r>
          </w:p>
        </w:tc>
        <w:tc>
          <w:tcPr>
            <w:tcW w:w="1709"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Виконується</w:t>
            </w:r>
          </w:p>
        </w:tc>
      </w:tr>
      <w:tr w:rsidR="00D227E2">
        <w:trPr>
          <w:jc w:val="center"/>
        </w:trPr>
        <w:tc>
          <w:tcPr>
            <w:tcW w:w="51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19</w:t>
            </w:r>
          </w:p>
        </w:tc>
        <w:tc>
          <w:tcPr>
            <w:tcW w:w="2846" w:type="dxa"/>
            <w:shd w:val="clear" w:color="auto" w:fill="FFFFFF" w:themeFill="background1"/>
          </w:tcPr>
          <w:p w:rsidR="00D227E2" w:rsidRPr="003B00E9" w:rsidRDefault="00934FC4">
            <w:pPr>
              <w:spacing w:after="0" w:line="240" w:lineRule="auto"/>
              <w:contextualSpacing/>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Використання для озеленення міста місцевих рослин та сортів трави, стійких до спеки та посухи</w:t>
            </w:r>
          </w:p>
        </w:tc>
        <w:tc>
          <w:tcPr>
            <w:tcW w:w="2170"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Планування землекористування,</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Навколишнє середовище і біорізноманіття</w:t>
            </w:r>
          </w:p>
        </w:tc>
        <w:tc>
          <w:tcPr>
            <w:tcW w:w="1871"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Екстремальна спека,</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Посуха та дефіцит води</w:t>
            </w:r>
          </w:p>
        </w:tc>
        <w:tc>
          <w:tcPr>
            <w:tcW w:w="1609"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Комунальні підприємства</w:t>
            </w:r>
          </w:p>
        </w:tc>
        <w:tc>
          <w:tcPr>
            <w:tcW w:w="202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1680,00</w:t>
            </w:r>
          </w:p>
        </w:tc>
        <w:tc>
          <w:tcPr>
            <w:tcW w:w="103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2007</w:t>
            </w:r>
          </w:p>
        </w:tc>
        <w:tc>
          <w:tcPr>
            <w:tcW w:w="1332" w:type="dxa"/>
            <w:shd w:val="clear" w:color="auto" w:fill="FFFFFF" w:themeFill="background1"/>
          </w:tcPr>
          <w:p w:rsidR="00D227E2" w:rsidRDefault="00934FC4">
            <w:pPr>
              <w:jc w:val="center"/>
              <w:rPr>
                <w:rFonts w:ascii="Times New Roman" w:hAnsi="Times New Roman" w:cs="Times New Roman"/>
              </w:rPr>
            </w:pPr>
            <w:r>
              <w:rPr>
                <w:rFonts w:ascii="Times New Roman" w:eastAsia="Times New Roman" w:hAnsi="Times New Roman" w:cs="Times New Roman"/>
                <w:color w:val="000000"/>
                <w:shd w:val="clear" w:color="auto" w:fill="FFFFFF"/>
              </w:rPr>
              <w:t>2030</w:t>
            </w:r>
          </w:p>
        </w:tc>
        <w:tc>
          <w:tcPr>
            <w:tcW w:w="1709"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Виконується</w:t>
            </w:r>
          </w:p>
        </w:tc>
      </w:tr>
      <w:tr w:rsidR="00D227E2">
        <w:trPr>
          <w:jc w:val="center"/>
        </w:trPr>
        <w:tc>
          <w:tcPr>
            <w:tcW w:w="51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20</w:t>
            </w:r>
          </w:p>
        </w:tc>
        <w:tc>
          <w:tcPr>
            <w:tcW w:w="2846" w:type="dxa"/>
            <w:shd w:val="clear" w:color="auto" w:fill="FFFFFF" w:themeFill="background1"/>
          </w:tcPr>
          <w:p w:rsidR="00D227E2" w:rsidRPr="003B00E9" w:rsidRDefault="00934FC4">
            <w:pPr>
              <w:spacing w:after="0" w:line="240" w:lineRule="auto"/>
              <w:contextualSpacing/>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Планування та висадка молодих дерев в місті, вчасне прибирання аварійних дерев</w:t>
            </w:r>
          </w:p>
        </w:tc>
        <w:tc>
          <w:tcPr>
            <w:tcW w:w="2170"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Сільське та лісове господарство,</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 xml:space="preserve">Навколишнє середовище і </w:t>
            </w:r>
            <w:r w:rsidRPr="003B00E9">
              <w:rPr>
                <w:rFonts w:ascii="Times New Roman" w:eastAsia="Times New Roman" w:hAnsi="Times New Roman" w:cs="Times New Roman"/>
                <w:color w:val="000000"/>
                <w:shd w:val="clear" w:color="auto" w:fill="FFFFFF"/>
                <w:lang w:val="ru-RU"/>
              </w:rPr>
              <w:lastRenderedPageBreak/>
              <w:t>біорізноманіття</w:t>
            </w:r>
          </w:p>
        </w:tc>
        <w:tc>
          <w:tcPr>
            <w:tcW w:w="1871"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lastRenderedPageBreak/>
              <w:t>Екстремальна спека,</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Посуха та дефіцит води,</w:t>
            </w:r>
          </w:p>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lastRenderedPageBreak/>
              <w:t>Сильні вітри,</w:t>
            </w:r>
          </w:p>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Гроза</w:t>
            </w:r>
          </w:p>
        </w:tc>
        <w:tc>
          <w:tcPr>
            <w:tcW w:w="1609"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lastRenderedPageBreak/>
              <w:t xml:space="preserve">Луцька міська рада, </w:t>
            </w:r>
            <w:r w:rsidRPr="003B00E9">
              <w:rPr>
                <w:rFonts w:ascii="Times New Roman" w:eastAsia="Times New Roman" w:hAnsi="Times New Roman" w:cs="Times New Roman"/>
                <w:color w:val="000000"/>
                <w:shd w:val="clear" w:color="auto" w:fill="FFFFFF"/>
                <w:lang w:val="ru-RU"/>
              </w:rPr>
              <w:br/>
              <w:t>Комунальні підприємства</w:t>
            </w:r>
          </w:p>
        </w:tc>
        <w:tc>
          <w:tcPr>
            <w:tcW w:w="202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6600,00</w:t>
            </w:r>
          </w:p>
        </w:tc>
        <w:tc>
          <w:tcPr>
            <w:tcW w:w="103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2007</w:t>
            </w:r>
          </w:p>
        </w:tc>
        <w:tc>
          <w:tcPr>
            <w:tcW w:w="1332" w:type="dxa"/>
            <w:shd w:val="clear" w:color="auto" w:fill="FFFFFF" w:themeFill="background1"/>
          </w:tcPr>
          <w:p w:rsidR="00D227E2" w:rsidRDefault="00934FC4">
            <w:pPr>
              <w:jc w:val="center"/>
              <w:rPr>
                <w:rFonts w:ascii="Times New Roman" w:hAnsi="Times New Roman" w:cs="Times New Roman"/>
              </w:rPr>
            </w:pPr>
            <w:r>
              <w:rPr>
                <w:rFonts w:ascii="Times New Roman" w:eastAsia="Times New Roman" w:hAnsi="Times New Roman" w:cs="Times New Roman"/>
                <w:color w:val="000000"/>
                <w:shd w:val="clear" w:color="auto" w:fill="FFFFFF"/>
              </w:rPr>
              <w:t>2030</w:t>
            </w:r>
          </w:p>
        </w:tc>
        <w:tc>
          <w:tcPr>
            <w:tcW w:w="1709"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Виконується</w:t>
            </w:r>
          </w:p>
        </w:tc>
      </w:tr>
      <w:tr w:rsidR="00D227E2">
        <w:trPr>
          <w:jc w:val="center"/>
        </w:trPr>
        <w:tc>
          <w:tcPr>
            <w:tcW w:w="51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lastRenderedPageBreak/>
              <w:t>21</w:t>
            </w:r>
          </w:p>
        </w:tc>
        <w:tc>
          <w:tcPr>
            <w:tcW w:w="2846" w:type="dxa"/>
            <w:shd w:val="clear" w:color="auto" w:fill="FFFFFF" w:themeFill="background1"/>
          </w:tcPr>
          <w:p w:rsidR="00D227E2" w:rsidRPr="003B00E9" w:rsidRDefault="00934FC4">
            <w:pPr>
              <w:spacing w:after="0" w:line="240" w:lineRule="auto"/>
              <w:contextualSpacing/>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Впровадження практики компостування органічних відходів у загальноосвітніх навчальних закладах Луцької МТГ та</w:t>
            </w:r>
            <w:r>
              <w:rPr>
                <w:rFonts w:ascii="Times New Roman" w:eastAsia="Times New Roman" w:hAnsi="Times New Roman" w:cs="Times New Roman"/>
                <w:color w:val="000000"/>
                <w:shd w:val="clear" w:color="auto" w:fill="FFFFFF"/>
              </w:rPr>
              <w:t> </w:t>
            </w:r>
            <w:r w:rsidRPr="003B00E9">
              <w:rPr>
                <w:rFonts w:ascii="Times New Roman" w:eastAsia="Times New Roman" w:hAnsi="Times New Roman" w:cs="Times New Roman"/>
                <w:bCs/>
                <w:color w:val="000000"/>
                <w:shd w:val="clear" w:color="auto" w:fill="FFFFFF"/>
                <w:lang w:val="ru-RU"/>
              </w:rPr>
              <w:t>подрібнення гілок</w:t>
            </w:r>
            <w:r>
              <w:rPr>
                <w:rFonts w:ascii="Times New Roman" w:eastAsia="Times New Roman" w:hAnsi="Times New Roman" w:cs="Times New Roman"/>
                <w:color w:val="000000"/>
                <w:shd w:val="clear" w:color="auto" w:fill="FFFFFF"/>
              </w:rPr>
              <w:t> </w:t>
            </w:r>
            <w:r w:rsidRPr="003B00E9">
              <w:rPr>
                <w:rFonts w:ascii="Times New Roman" w:eastAsia="Times New Roman" w:hAnsi="Times New Roman" w:cs="Times New Roman"/>
                <w:color w:val="000000"/>
                <w:shd w:val="clear" w:color="auto" w:fill="FFFFFF"/>
                <w:lang w:val="ru-RU"/>
              </w:rPr>
              <w:t>на</w:t>
            </w:r>
          </w:p>
          <w:p w:rsidR="00D227E2" w:rsidRPr="003B00E9" w:rsidRDefault="00934FC4">
            <w:pPr>
              <w:spacing w:after="0" w:line="240" w:lineRule="auto"/>
              <w:contextualSpacing/>
              <w:rPr>
                <w:rFonts w:ascii="Times New Roman" w:hAnsi="Times New Roman" w:cs="Times New Roman"/>
                <w:lang w:val="ru-RU"/>
              </w:rPr>
            </w:pPr>
            <w:r w:rsidRPr="003B00E9">
              <w:rPr>
                <w:rFonts w:ascii="Times New Roman" w:eastAsia="Times New Roman" w:hAnsi="Times New Roman" w:cs="Times New Roman"/>
                <w:bCs/>
                <w:color w:val="000000"/>
                <w:shd w:val="clear" w:color="auto" w:fill="FFFFFF"/>
                <w:lang w:val="ru-RU"/>
              </w:rPr>
              <w:t>технологічну щепу з дерев (кущів) загальноміських територій</w:t>
            </w:r>
          </w:p>
        </w:tc>
        <w:tc>
          <w:tcPr>
            <w:tcW w:w="2170"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Сільське та лісове господарство,</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Навколишнє середовище і біорізноманіття, Освіта</w:t>
            </w:r>
          </w:p>
        </w:tc>
        <w:tc>
          <w:tcPr>
            <w:tcW w:w="1871"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Екстремальна спека,</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Пожежі на землі</w:t>
            </w:r>
          </w:p>
        </w:tc>
        <w:tc>
          <w:tcPr>
            <w:tcW w:w="1609"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 xml:space="preserve">Луцька міська рада, </w:t>
            </w:r>
            <w:r w:rsidRPr="003B00E9">
              <w:rPr>
                <w:rFonts w:ascii="Times New Roman" w:eastAsia="Times New Roman" w:hAnsi="Times New Roman" w:cs="Times New Roman"/>
                <w:color w:val="000000"/>
                <w:shd w:val="clear" w:color="auto" w:fill="FFFFFF"/>
                <w:lang w:val="ru-RU"/>
              </w:rPr>
              <w:br/>
              <w:t>Комунальні підприємства, Департамент освіти</w:t>
            </w:r>
          </w:p>
        </w:tc>
        <w:tc>
          <w:tcPr>
            <w:tcW w:w="202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825,00</w:t>
            </w:r>
          </w:p>
        </w:tc>
        <w:tc>
          <w:tcPr>
            <w:tcW w:w="103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2019</w:t>
            </w:r>
          </w:p>
        </w:tc>
        <w:tc>
          <w:tcPr>
            <w:tcW w:w="1332" w:type="dxa"/>
            <w:shd w:val="clear" w:color="auto" w:fill="FFFFFF" w:themeFill="background1"/>
          </w:tcPr>
          <w:p w:rsidR="00D227E2" w:rsidRDefault="00934FC4">
            <w:pPr>
              <w:jc w:val="center"/>
              <w:rPr>
                <w:rFonts w:ascii="Times New Roman" w:hAnsi="Times New Roman" w:cs="Times New Roman"/>
              </w:rPr>
            </w:pPr>
            <w:r>
              <w:rPr>
                <w:rFonts w:ascii="Times New Roman" w:eastAsia="Times New Roman" w:hAnsi="Times New Roman" w:cs="Times New Roman"/>
                <w:color w:val="000000"/>
                <w:shd w:val="clear" w:color="auto" w:fill="FFFFFF"/>
              </w:rPr>
              <w:t>2030</w:t>
            </w:r>
          </w:p>
        </w:tc>
        <w:tc>
          <w:tcPr>
            <w:tcW w:w="1709"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Виконується</w:t>
            </w:r>
          </w:p>
        </w:tc>
      </w:tr>
      <w:tr w:rsidR="00D227E2">
        <w:trPr>
          <w:jc w:val="center"/>
        </w:trPr>
        <w:tc>
          <w:tcPr>
            <w:tcW w:w="512"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22</w:t>
            </w:r>
          </w:p>
        </w:tc>
        <w:tc>
          <w:tcPr>
            <w:tcW w:w="2846" w:type="dxa"/>
            <w:shd w:val="clear" w:color="auto" w:fill="FFFFFF" w:themeFill="background1"/>
          </w:tcPr>
          <w:p w:rsidR="00D227E2" w:rsidRPr="003B00E9" w:rsidRDefault="00934FC4">
            <w:pPr>
              <w:spacing w:after="0" w:line="240" w:lineRule="auto"/>
              <w:contextualSpacing/>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Збір та утилізація сміття на приміських територіях, рекреаційних зонах</w:t>
            </w:r>
          </w:p>
        </w:tc>
        <w:tc>
          <w:tcPr>
            <w:tcW w:w="2170"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Сільське та лісове господарство,</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Навколишнє середовище і біорізноманіття,</w:t>
            </w:r>
          </w:p>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Туризм</w:t>
            </w:r>
          </w:p>
        </w:tc>
        <w:tc>
          <w:tcPr>
            <w:tcW w:w="1871"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Екстремальна спека,</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Лісові пожежі,</w:t>
            </w:r>
          </w:p>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Пожежі на землі</w:t>
            </w:r>
          </w:p>
        </w:tc>
        <w:tc>
          <w:tcPr>
            <w:tcW w:w="1609" w:type="dxa"/>
            <w:shd w:val="clear" w:color="auto" w:fill="FFFFFF" w:themeFill="background1"/>
          </w:tcPr>
          <w:p w:rsidR="00D227E2" w:rsidRPr="003B00E9" w:rsidRDefault="00934FC4">
            <w:pPr>
              <w:spacing w:after="0" w:line="240" w:lineRule="auto"/>
              <w:contextualSpacing/>
              <w:jc w:val="center"/>
              <w:rPr>
                <w:rFonts w:ascii="Times New Roman" w:hAnsi="Times New Roman" w:cs="Times New Roman"/>
                <w:lang w:val="ru-RU"/>
              </w:rPr>
            </w:pPr>
            <w:r w:rsidRPr="003B00E9">
              <w:rPr>
                <w:rFonts w:ascii="Times New Roman" w:eastAsia="Times New Roman" w:hAnsi="Times New Roman" w:cs="Times New Roman"/>
                <w:color w:val="000000"/>
                <w:shd w:val="clear" w:color="auto" w:fill="FFFFFF"/>
                <w:lang w:val="ru-RU"/>
              </w:rPr>
              <w:t xml:space="preserve">Луцька міська рада, </w:t>
            </w:r>
            <w:r w:rsidRPr="003B00E9">
              <w:rPr>
                <w:rFonts w:ascii="Times New Roman" w:eastAsia="Times New Roman" w:hAnsi="Times New Roman" w:cs="Times New Roman"/>
                <w:color w:val="000000"/>
                <w:shd w:val="clear" w:color="auto" w:fill="FFFFFF"/>
                <w:lang w:val="ru-RU"/>
              </w:rPr>
              <w:br/>
              <w:t>Комунальні підприємства,</w:t>
            </w:r>
          </w:p>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Громадські організації</w:t>
            </w:r>
          </w:p>
        </w:tc>
        <w:tc>
          <w:tcPr>
            <w:tcW w:w="202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42000,00</w:t>
            </w:r>
          </w:p>
        </w:tc>
        <w:tc>
          <w:tcPr>
            <w:tcW w:w="1036"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2007</w:t>
            </w:r>
          </w:p>
        </w:tc>
        <w:tc>
          <w:tcPr>
            <w:tcW w:w="1332" w:type="dxa"/>
            <w:shd w:val="clear" w:color="auto" w:fill="FFFFFF" w:themeFill="background1"/>
          </w:tcPr>
          <w:p w:rsidR="00D227E2" w:rsidRDefault="00934FC4">
            <w:pPr>
              <w:jc w:val="center"/>
              <w:rPr>
                <w:rFonts w:ascii="Times New Roman" w:hAnsi="Times New Roman" w:cs="Times New Roman"/>
              </w:rPr>
            </w:pPr>
            <w:r>
              <w:rPr>
                <w:rFonts w:ascii="Times New Roman" w:eastAsia="Times New Roman" w:hAnsi="Times New Roman" w:cs="Times New Roman"/>
                <w:color w:val="000000"/>
                <w:shd w:val="clear" w:color="auto" w:fill="FFFFFF"/>
              </w:rPr>
              <w:t>2030</w:t>
            </w:r>
          </w:p>
        </w:tc>
        <w:tc>
          <w:tcPr>
            <w:tcW w:w="1709" w:type="dxa"/>
            <w:shd w:val="clear" w:color="auto" w:fill="FFFFFF" w:themeFill="background1"/>
          </w:tcPr>
          <w:p w:rsidR="00D227E2" w:rsidRDefault="00934FC4">
            <w:pPr>
              <w:spacing w:after="0" w:line="240" w:lineRule="auto"/>
              <w:contextualSpacing/>
              <w:jc w:val="center"/>
              <w:rPr>
                <w:rFonts w:ascii="Times New Roman" w:hAnsi="Times New Roman" w:cs="Times New Roman"/>
              </w:rPr>
            </w:pPr>
            <w:r>
              <w:rPr>
                <w:rFonts w:ascii="Times New Roman" w:eastAsia="Times New Roman" w:hAnsi="Times New Roman" w:cs="Times New Roman"/>
                <w:color w:val="000000"/>
                <w:shd w:val="clear" w:color="auto" w:fill="FFFFFF"/>
              </w:rPr>
              <w:t>Виконується</w:t>
            </w:r>
          </w:p>
        </w:tc>
      </w:tr>
    </w:tbl>
    <w:p w:rsidR="00D227E2" w:rsidRDefault="00D227E2">
      <w:pPr>
        <w:sectPr w:rsidR="00D227E2">
          <w:headerReference w:type="even" r:id="rId140"/>
          <w:headerReference w:type="default" r:id="rId141"/>
          <w:footerReference w:type="even" r:id="rId142"/>
          <w:footerReference w:type="default" r:id="rId143"/>
          <w:headerReference w:type="first" r:id="rId144"/>
          <w:footerReference w:type="first" r:id="rId145"/>
          <w:pgSz w:w="16838" w:h="11906" w:orient="landscape"/>
          <w:pgMar w:top="1134" w:right="567" w:bottom="1134" w:left="567" w:header="0" w:footer="0" w:gutter="0"/>
          <w:cols w:space="720"/>
          <w:formProt w:val="0"/>
          <w:docGrid w:linePitch="600" w:charSpace="114688"/>
        </w:sectPr>
      </w:pPr>
    </w:p>
    <w:p w:rsidR="00D227E2" w:rsidRDefault="00934FC4">
      <w:pPr>
        <w:spacing w:after="0"/>
        <w:ind w:firstLine="567"/>
        <w:jc w:val="both"/>
        <w:rPr>
          <w:rFonts w:ascii="Times New Roman" w:hAnsi="Times New Roman" w:cs="Times New Roman"/>
        </w:rPr>
      </w:pPr>
      <w:bookmarkStart w:id="23" w:name="_bookmark24"/>
      <w:bookmarkStart w:id="24" w:name="_bookmark24_Copy_1"/>
      <w:bookmarkEnd w:id="23"/>
      <w:bookmarkEnd w:id="24"/>
      <w:r>
        <w:rPr>
          <w:rFonts w:ascii="Times New Roman" w:eastAsia="NSimSun" w:hAnsi="Times New Roman" w:cs="Times New Roman"/>
          <w:kern w:val="2"/>
          <w:sz w:val="24"/>
          <w:szCs w:val="24"/>
          <w:lang w:eastAsia="zh-CN" w:bidi="hi-IN"/>
        </w:rPr>
        <w:lastRenderedPageBreak/>
        <w:t>Відповідно до проведеного аналізу для Луцької МТГ сформовано перелік заходів з адаптації до зміни клімату, реалізація яких створить умови для сталого розвитку громади, зменшить наслідки негативного впливу від зміни клімату та посилить адаптаційні можливості.</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Методологія Угоди мерів передбачає умовний поділ заходів з адаптації на 4 групи:</w:t>
      </w:r>
    </w:p>
    <w:p w:rsidR="00D227E2" w:rsidRDefault="00934FC4">
      <w:pPr>
        <w:numPr>
          <w:ilvl w:val="0"/>
          <w:numId w:val="25"/>
        </w:numPr>
        <w:spacing w:after="0"/>
        <w:jc w:val="both"/>
        <w:rPr>
          <w:rFonts w:ascii="Times New Roman" w:hAnsi="Times New Roman" w:cs="Times New Roman"/>
        </w:rPr>
      </w:pPr>
      <w:r>
        <w:rPr>
          <w:rFonts w:ascii="Times New Roman" w:eastAsia="Times New Roman" w:hAnsi="Times New Roman" w:cs="Times New Roman"/>
          <w:kern w:val="2"/>
          <w:sz w:val="24"/>
          <w:szCs w:val="24"/>
        </w:rPr>
        <w:t>адміністративно-управлінські;</w:t>
      </w:r>
    </w:p>
    <w:p w:rsidR="00D227E2" w:rsidRDefault="00934FC4">
      <w:pPr>
        <w:numPr>
          <w:ilvl w:val="0"/>
          <w:numId w:val="25"/>
        </w:numPr>
        <w:spacing w:after="0"/>
        <w:jc w:val="both"/>
        <w:rPr>
          <w:rFonts w:ascii="Times New Roman" w:hAnsi="Times New Roman" w:cs="Times New Roman"/>
        </w:rPr>
      </w:pPr>
      <w:r>
        <w:rPr>
          <w:rFonts w:ascii="Times New Roman" w:eastAsia="Times New Roman" w:hAnsi="Times New Roman" w:cs="Times New Roman"/>
          <w:kern w:val="2"/>
          <w:sz w:val="24"/>
          <w:szCs w:val="24"/>
        </w:rPr>
        <w:t>інформаційно-роз’яснювальні;</w:t>
      </w:r>
    </w:p>
    <w:p w:rsidR="00D227E2" w:rsidRDefault="00934FC4">
      <w:pPr>
        <w:numPr>
          <w:ilvl w:val="0"/>
          <w:numId w:val="25"/>
        </w:numPr>
        <w:spacing w:after="0"/>
        <w:jc w:val="both"/>
        <w:rPr>
          <w:rFonts w:ascii="Times New Roman" w:hAnsi="Times New Roman" w:cs="Times New Roman"/>
        </w:rPr>
      </w:pPr>
      <w:r>
        <w:rPr>
          <w:rFonts w:ascii="Times New Roman" w:eastAsia="Times New Roman" w:hAnsi="Times New Roman" w:cs="Times New Roman"/>
          <w:kern w:val="2"/>
          <w:sz w:val="24"/>
          <w:szCs w:val="24"/>
        </w:rPr>
        <w:t>архітектурно-планувальні, рекомендації та обмеження;</w:t>
      </w:r>
    </w:p>
    <w:p w:rsidR="00D227E2" w:rsidRDefault="00934FC4">
      <w:pPr>
        <w:numPr>
          <w:ilvl w:val="0"/>
          <w:numId w:val="25"/>
        </w:numPr>
        <w:spacing w:after="0"/>
        <w:jc w:val="both"/>
        <w:rPr>
          <w:rFonts w:ascii="Times New Roman" w:hAnsi="Times New Roman" w:cs="Times New Roman"/>
        </w:rPr>
      </w:pPr>
      <w:r>
        <w:rPr>
          <w:rFonts w:ascii="Times New Roman" w:eastAsia="Times New Roman" w:hAnsi="Times New Roman" w:cs="Times New Roman"/>
          <w:kern w:val="2"/>
          <w:sz w:val="24"/>
          <w:szCs w:val="24"/>
        </w:rPr>
        <w:t>інженерно-технічні.</w:t>
      </w:r>
    </w:p>
    <w:p w:rsidR="00D227E2" w:rsidRDefault="00934FC4">
      <w:pPr>
        <w:spacing w:after="0"/>
        <w:ind w:firstLine="567"/>
        <w:jc w:val="both"/>
        <w:outlineLvl w:val="0"/>
        <w:rPr>
          <w:rFonts w:ascii="Times New Roman" w:hAnsi="Times New Roman" w:cs="Times New Roman"/>
        </w:rPr>
      </w:pPr>
      <w:r>
        <w:rPr>
          <w:rFonts w:ascii="Times New Roman" w:eastAsia="Times New Roman" w:hAnsi="Times New Roman" w:cs="Times New Roman"/>
          <w:b/>
          <w:bCs/>
          <w:kern w:val="2"/>
          <w:sz w:val="24"/>
          <w:szCs w:val="24"/>
          <w:u w:val="single"/>
        </w:rPr>
        <w:t>Адміністративно-управлінські заходи</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До адміністративно-управлінських заходів належать:</w:t>
      </w:r>
    </w:p>
    <w:p w:rsidR="00D227E2" w:rsidRDefault="00934FC4">
      <w:pPr>
        <w:numPr>
          <w:ilvl w:val="0"/>
          <w:numId w:val="26"/>
        </w:numPr>
        <w:tabs>
          <w:tab w:val="clear" w:pos="720"/>
          <w:tab w:val="left" w:pos="90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розроблення комплексного Плану з адаптації громади до кліматичної зміни;</w:t>
      </w:r>
    </w:p>
    <w:p w:rsidR="00D227E2" w:rsidRDefault="00934FC4">
      <w:pPr>
        <w:numPr>
          <w:ilvl w:val="0"/>
          <w:numId w:val="26"/>
        </w:numPr>
        <w:tabs>
          <w:tab w:val="clear" w:pos="720"/>
          <w:tab w:val="left" w:pos="90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запровадження кліматичного менеджменту у громаді, який включає: моніторинг погодних умов, інформування про небезпеки, інформаційно-роз’яснювальна робота з вразливими групами населення, аналіз надзвичайних ситуацій природного характеру та забезпечення своєчасного реагування на них, ведення обліку збитків, співпраця з іншими відповідальними підрозділами та державними службами, напрацювання рекомендацій для розроблення заходів з адаптації тощо;</w:t>
      </w:r>
    </w:p>
    <w:p w:rsidR="00D227E2" w:rsidRDefault="00934FC4">
      <w:pPr>
        <w:numPr>
          <w:ilvl w:val="0"/>
          <w:numId w:val="26"/>
        </w:numPr>
        <w:tabs>
          <w:tab w:val="clear" w:pos="720"/>
          <w:tab w:val="left" w:pos="90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розроблення стратегії розвитку та збереження зелених територій;</w:t>
      </w:r>
    </w:p>
    <w:p w:rsidR="00D227E2" w:rsidRDefault="00934FC4">
      <w:pPr>
        <w:numPr>
          <w:ilvl w:val="0"/>
          <w:numId w:val="26"/>
        </w:numPr>
        <w:tabs>
          <w:tab w:val="clear" w:pos="720"/>
          <w:tab w:val="left" w:pos="90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розроблення програми оперативного реагування на кліматичні загрози та захист населення в надзвичайних ситуаціях. Налагодження ефективної співпраці між підрозділами системи охорони здоров’я, ДСНС, метеорологічною службою для протидії потенційним кліматичним ризикам;</w:t>
      </w:r>
    </w:p>
    <w:p w:rsidR="00D227E2" w:rsidRDefault="00934FC4">
      <w:pPr>
        <w:numPr>
          <w:ilvl w:val="0"/>
          <w:numId w:val="26"/>
        </w:numPr>
        <w:tabs>
          <w:tab w:val="clear" w:pos="720"/>
          <w:tab w:val="left" w:pos="90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забезпечення комфортних умов для життєдіяльності населення під час хвиль тепла: контроль температурного режиму у навчальних закладах, медичних установах, інших будівлях громадського сектору; облаштування додаткових затінених зон, зон прохолоди у громадських місцях (напр., у парках, біля водойм) у час спеки. Стимулювання заходів, що дозволяють зменшити нагрівання будівель, без використання кондиціонерів (впровадження зелених рішень, встановлення конструкцій для затінення вікон тощо);</w:t>
      </w:r>
    </w:p>
    <w:p w:rsidR="00D227E2" w:rsidRDefault="00934FC4">
      <w:pPr>
        <w:numPr>
          <w:ilvl w:val="0"/>
          <w:numId w:val="26"/>
        </w:numPr>
        <w:tabs>
          <w:tab w:val="clear" w:pos="720"/>
          <w:tab w:val="left" w:pos="90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створення карти прохолодних зон на території громади (з позначенням парків, скверів, зон відпочинку біля річок та озер тощо), де населення може проводити час у спекотні періоди;</w:t>
      </w:r>
    </w:p>
    <w:p w:rsidR="00D227E2" w:rsidRDefault="00934FC4">
      <w:pPr>
        <w:numPr>
          <w:ilvl w:val="0"/>
          <w:numId w:val="26"/>
        </w:numPr>
        <w:tabs>
          <w:tab w:val="clear" w:pos="720"/>
          <w:tab w:val="left" w:pos="90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проведення моніторингу вразливих груп населення (встановлення їхньої кількості та розподілу проживання у громаді) з метою оперативних дій у спекотну погоду, спрямованих на допомогу цим людям, залучення ініціативних мешканців до цього процесу;</w:t>
      </w:r>
    </w:p>
    <w:p w:rsidR="00D227E2" w:rsidRDefault="00934FC4">
      <w:pPr>
        <w:numPr>
          <w:ilvl w:val="0"/>
          <w:numId w:val="26"/>
        </w:numPr>
        <w:tabs>
          <w:tab w:val="clear" w:pos="720"/>
          <w:tab w:val="left" w:pos="90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планування забудови нових районів міста з урахуванням можливого підтоплення окремих ділянок;</w:t>
      </w:r>
    </w:p>
    <w:p w:rsidR="00D227E2" w:rsidRDefault="00934FC4">
      <w:pPr>
        <w:numPr>
          <w:ilvl w:val="0"/>
          <w:numId w:val="26"/>
        </w:numPr>
        <w:tabs>
          <w:tab w:val="clear" w:pos="720"/>
          <w:tab w:val="left" w:pos="90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проведення моніторингу та аналізу захворюваності на інфекційні, серцево-судинні захворювання, хвороби дихальної системи тощо.</w:t>
      </w:r>
    </w:p>
    <w:p w:rsidR="00D227E2" w:rsidRDefault="00934FC4">
      <w:pPr>
        <w:spacing w:after="0"/>
        <w:ind w:firstLine="567"/>
        <w:jc w:val="both"/>
        <w:outlineLvl w:val="0"/>
        <w:rPr>
          <w:rFonts w:ascii="Times New Roman" w:hAnsi="Times New Roman" w:cs="Times New Roman"/>
        </w:rPr>
      </w:pPr>
      <w:r>
        <w:rPr>
          <w:rFonts w:ascii="Times New Roman" w:eastAsia="Times New Roman" w:hAnsi="Times New Roman" w:cs="Times New Roman"/>
          <w:b/>
          <w:bCs/>
          <w:color w:val="000000"/>
          <w:kern w:val="2"/>
          <w:sz w:val="24"/>
          <w:szCs w:val="24"/>
          <w:u w:val="single"/>
          <w:shd w:val="clear" w:color="auto" w:fill="FFFFFF"/>
        </w:rPr>
        <w:t>Інформаційно-роз’яснювальні заходи</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До інформаційно-роз’яснювальних заходів належать:</w:t>
      </w:r>
    </w:p>
    <w:p w:rsidR="00D227E2" w:rsidRDefault="00934FC4">
      <w:pPr>
        <w:numPr>
          <w:ilvl w:val="0"/>
          <w:numId w:val="27"/>
        </w:numPr>
        <w:tabs>
          <w:tab w:val="clear" w:pos="720"/>
          <w:tab w:val="left" w:pos="960"/>
        </w:tabs>
        <w:spacing w:after="0"/>
        <w:ind w:left="0"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організація та проведення інформаційної кампанії для підвищення обізнаності населення про ризики для життя і здоров’я, пов’язані зі зміною клімату. Залучення працівників первинної медичної ланки до роз’яснювальної роботи з вразливими групами населення;</w:t>
      </w:r>
    </w:p>
    <w:p w:rsidR="00D227E2" w:rsidRDefault="00934FC4">
      <w:pPr>
        <w:numPr>
          <w:ilvl w:val="0"/>
          <w:numId w:val="27"/>
        </w:numPr>
        <w:tabs>
          <w:tab w:val="clear" w:pos="720"/>
          <w:tab w:val="left" w:pos="960"/>
        </w:tabs>
        <w:spacing w:after="0"/>
        <w:ind w:left="0"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lastRenderedPageBreak/>
        <w:t>проведення тематичних заходів у закладах освіти, громадських установах, закладах культури, присвячених темі адаптації до зміни клімату, стимулювання здорового способу життя, ощадного ставлення до енергетичних та природних ресурсів, збереження довкілля тощо. Залучення до кампанії місцевих громадських організацій та активістів;</w:t>
      </w:r>
    </w:p>
    <w:p w:rsidR="00D227E2" w:rsidRDefault="00934FC4">
      <w:pPr>
        <w:numPr>
          <w:ilvl w:val="0"/>
          <w:numId w:val="27"/>
        </w:numPr>
        <w:tabs>
          <w:tab w:val="clear" w:pos="720"/>
          <w:tab w:val="left" w:pos="960"/>
        </w:tabs>
        <w:spacing w:after="0"/>
        <w:ind w:left="0"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розроблення, видання та поширення інформаційно-освітніх матеріалів для різних цільових груп: відеоролики, брошури, листівки, наліпки, плакати тощо. Розміщення інформації у місцевих ЗМІ, на сайті та сторінці у соцмережах міської ради;</w:t>
      </w:r>
    </w:p>
    <w:p w:rsidR="00D227E2" w:rsidRDefault="00934FC4">
      <w:pPr>
        <w:numPr>
          <w:ilvl w:val="0"/>
          <w:numId w:val="27"/>
        </w:numPr>
        <w:tabs>
          <w:tab w:val="clear" w:pos="720"/>
          <w:tab w:val="left" w:pos="96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проведення інформування населення щодо правил поведінки під час спекотних періодів з допомогою місцевого телебачення та радіомовлення;</w:t>
      </w:r>
    </w:p>
    <w:p w:rsidR="00D227E2" w:rsidRDefault="00934FC4">
      <w:pPr>
        <w:numPr>
          <w:ilvl w:val="0"/>
          <w:numId w:val="27"/>
        </w:numPr>
        <w:tabs>
          <w:tab w:val="clear" w:pos="720"/>
          <w:tab w:val="left" w:pos="96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спільно з місцевими ЗМІ та екоактивістами створення серії тематичних передач на місцевому телебаченні або радіо для популяризації екозвичок, простих заходів з адаптації до зміни клімату тощо.</w:t>
      </w:r>
    </w:p>
    <w:p w:rsidR="00D227E2" w:rsidRDefault="00934FC4">
      <w:pPr>
        <w:spacing w:after="0"/>
        <w:ind w:firstLine="567"/>
        <w:jc w:val="both"/>
        <w:outlineLvl w:val="0"/>
        <w:rPr>
          <w:rFonts w:ascii="Times New Roman" w:hAnsi="Times New Roman" w:cs="Times New Roman"/>
        </w:rPr>
      </w:pPr>
      <w:r>
        <w:rPr>
          <w:rFonts w:ascii="Times New Roman" w:eastAsia="Times New Roman" w:hAnsi="Times New Roman" w:cs="Times New Roman"/>
          <w:b/>
          <w:bCs/>
          <w:color w:val="000000"/>
          <w:kern w:val="2"/>
          <w:sz w:val="24"/>
          <w:szCs w:val="24"/>
          <w:u w:val="single"/>
          <w:shd w:val="clear" w:color="auto" w:fill="FFFFFF"/>
        </w:rPr>
        <w:t>Архітектурно-планувальні заходи, рекомендації та обмеження</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До архітектурно-планувальних заходів, рекомендацій та обмежень належать:</w:t>
      </w:r>
    </w:p>
    <w:p w:rsidR="00D227E2" w:rsidRDefault="00934FC4">
      <w:pPr>
        <w:numPr>
          <w:ilvl w:val="0"/>
          <w:numId w:val="28"/>
        </w:numPr>
        <w:tabs>
          <w:tab w:val="clear" w:pos="720"/>
          <w:tab w:val="left" w:pos="96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збільшення кількості зелених зон у громаді: парків, лісопарків, скверів, заліснення територій із залученням екологів. Створення зелених громадських просторів з багаторівневою рослинністю (трави, кущі, дерева) як єдиної екосистеми, де можуть співіснувати рослини, тварини і комахи. Висадження дощових садків, проєктування зелених зупинок, створення зелених фасадів з місцевих в’юнких рослин. При виборі рослин слід враховувати алергенні особливості, їхню стійкість до мікроклімату міста та посухи;</w:t>
      </w:r>
    </w:p>
    <w:p w:rsidR="00D227E2" w:rsidRDefault="00934FC4">
      <w:pPr>
        <w:numPr>
          <w:ilvl w:val="0"/>
          <w:numId w:val="28"/>
        </w:numPr>
        <w:tabs>
          <w:tab w:val="clear" w:pos="720"/>
          <w:tab w:val="left" w:pos="96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створення та догляд за існуючими «блакитними зонами» у місті. Проєктування та побудова неглибоких ставків з рослинами і тваринами. Догляд та відновлення природних водойм у межах громади. Облаштування зон відпочинку біля водойм;</w:t>
      </w:r>
    </w:p>
    <w:p w:rsidR="00D227E2" w:rsidRDefault="00934FC4">
      <w:pPr>
        <w:numPr>
          <w:ilvl w:val="0"/>
          <w:numId w:val="28"/>
        </w:numPr>
        <w:tabs>
          <w:tab w:val="clear" w:pos="720"/>
          <w:tab w:val="left" w:pos="96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використання для тротуарів та паркувальних зон матеріалів, що менше нагріваються. Збільшення проникних поверхонь – газонів та «пористих» парковок;</w:t>
      </w:r>
    </w:p>
    <w:p w:rsidR="00D227E2" w:rsidRDefault="00934FC4">
      <w:pPr>
        <w:numPr>
          <w:ilvl w:val="0"/>
          <w:numId w:val="28"/>
        </w:numPr>
        <w:tabs>
          <w:tab w:val="clear" w:pos="720"/>
          <w:tab w:val="left" w:pos="96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врахування зміни клімату та пов’язані ризики при будівництві інфраструктури задля зменшення ризиків підтоплень;</w:t>
      </w:r>
    </w:p>
    <w:p w:rsidR="00D227E2" w:rsidRDefault="00934FC4">
      <w:pPr>
        <w:numPr>
          <w:ilvl w:val="0"/>
          <w:numId w:val="28"/>
        </w:numPr>
        <w:tabs>
          <w:tab w:val="clear" w:pos="720"/>
          <w:tab w:val="left" w:pos="96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використання для дахів та фасадів будинків матеріали, що відбивають сонячну радіацію; фарбування фасадів будівель та дахів у світлі кольори (це допоможе знизити їхнє нагрівання);</w:t>
      </w:r>
    </w:p>
    <w:p w:rsidR="00D227E2" w:rsidRDefault="00934FC4">
      <w:pPr>
        <w:numPr>
          <w:ilvl w:val="0"/>
          <w:numId w:val="28"/>
        </w:numPr>
        <w:tabs>
          <w:tab w:val="clear" w:pos="720"/>
          <w:tab w:val="left" w:pos="96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проведення термомодернізації будівель громадського та житлового сектору з встановленням систем вентиляції і кондиціонування, що дозволить регулювати температуру та якість повітря у приміщеннях.</w:t>
      </w:r>
    </w:p>
    <w:p w:rsidR="00D227E2" w:rsidRDefault="00934FC4">
      <w:pPr>
        <w:spacing w:after="0"/>
        <w:ind w:firstLine="567"/>
        <w:jc w:val="both"/>
        <w:outlineLvl w:val="0"/>
        <w:rPr>
          <w:rFonts w:ascii="Times New Roman" w:hAnsi="Times New Roman" w:cs="Times New Roman"/>
        </w:rPr>
      </w:pPr>
      <w:r>
        <w:rPr>
          <w:rFonts w:ascii="Times New Roman" w:eastAsia="Times New Roman" w:hAnsi="Times New Roman" w:cs="Times New Roman"/>
          <w:b/>
          <w:bCs/>
          <w:color w:val="000000"/>
          <w:kern w:val="2"/>
          <w:sz w:val="24"/>
          <w:szCs w:val="24"/>
          <w:u w:val="single"/>
          <w:shd w:val="clear" w:color="auto" w:fill="FFFFFF"/>
        </w:rPr>
        <w:t>Інженерно-технічні заходи</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color w:val="000000"/>
          <w:kern w:val="2"/>
          <w:sz w:val="24"/>
          <w:szCs w:val="24"/>
          <w:shd w:val="clear" w:color="auto" w:fill="FFFFFF"/>
          <w:lang w:eastAsia="zh-CN" w:bidi="hi-IN"/>
        </w:rPr>
        <w:t>До інженерно-технічних заходів належать:</w:t>
      </w:r>
    </w:p>
    <w:p w:rsidR="00D227E2" w:rsidRDefault="00934FC4">
      <w:pPr>
        <w:numPr>
          <w:ilvl w:val="0"/>
          <w:numId w:val="29"/>
        </w:numPr>
        <w:tabs>
          <w:tab w:val="clear" w:pos="720"/>
          <w:tab w:val="left" w:pos="90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проведення реконструкції та модернізації мереж зливової каналізації, заміна каналізаційних трубопроводів, контроль за очищенням стоків та обслуговування зливової каналізації, підтримання її у належному стані, побудова мереж каналізації у районах міста, де вона відсутня;</w:t>
      </w:r>
    </w:p>
    <w:p w:rsidR="00D227E2" w:rsidRDefault="00934FC4">
      <w:pPr>
        <w:numPr>
          <w:ilvl w:val="0"/>
          <w:numId w:val="29"/>
        </w:numPr>
        <w:tabs>
          <w:tab w:val="clear" w:pos="720"/>
          <w:tab w:val="left" w:pos="90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реконструкція очисних споруд господарсько-побутових стічних вод задля зменшення забруднення річок Стир, Сапалаївка та інші;</w:t>
      </w:r>
    </w:p>
    <w:p w:rsidR="00D227E2" w:rsidRDefault="00934FC4">
      <w:pPr>
        <w:numPr>
          <w:ilvl w:val="0"/>
          <w:numId w:val="29"/>
        </w:numPr>
        <w:tabs>
          <w:tab w:val="clear" w:pos="720"/>
          <w:tab w:val="left" w:pos="90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розроблення системи управління дощовою водою та зменшення ризиків підтоплення, встановлення резервуарів для збору дощової води та використання її повторно для технічних потреб, створення системи поливу зелених зон;</w:t>
      </w:r>
    </w:p>
    <w:p w:rsidR="00D227E2" w:rsidRDefault="00934FC4">
      <w:pPr>
        <w:numPr>
          <w:ilvl w:val="0"/>
          <w:numId w:val="29"/>
        </w:numPr>
        <w:tabs>
          <w:tab w:val="clear" w:pos="720"/>
          <w:tab w:val="left" w:pos="90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lastRenderedPageBreak/>
        <w:t>обслуговування та підтримання в належному стані ліній електропередач, оскільки через збільшення частоти стихійних метеорологічних явищ, з’являються ризики виникнення аварійних ситуацій в енергетичних системах;</w:t>
      </w:r>
    </w:p>
    <w:p w:rsidR="00D227E2" w:rsidRDefault="00934FC4">
      <w:pPr>
        <w:numPr>
          <w:ilvl w:val="0"/>
          <w:numId w:val="29"/>
        </w:numPr>
        <w:tabs>
          <w:tab w:val="clear" w:pos="720"/>
          <w:tab w:val="left" w:pos="90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догляд за зеленими зонами, знищення шкідників рослин, своєчасне видалення сухого гілля та дерев;</w:t>
      </w:r>
    </w:p>
    <w:p w:rsidR="00D227E2" w:rsidRDefault="00934FC4">
      <w:pPr>
        <w:numPr>
          <w:ilvl w:val="0"/>
          <w:numId w:val="29"/>
        </w:numPr>
        <w:tabs>
          <w:tab w:val="clear" w:pos="720"/>
          <w:tab w:val="left" w:pos="90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встановлення та обслуговування охолоджувальних рамок у спекотний час;</w:t>
      </w:r>
    </w:p>
    <w:p w:rsidR="00D227E2" w:rsidRDefault="00934FC4">
      <w:pPr>
        <w:numPr>
          <w:ilvl w:val="0"/>
          <w:numId w:val="29"/>
        </w:numPr>
        <w:tabs>
          <w:tab w:val="clear" w:pos="720"/>
          <w:tab w:val="left" w:pos="90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відновлення гідрологічного режиму і контроль за санітарним станом річок громади, планове розчищення русла річок від мулу та очерету, укріплення берегів, озеленення прибережних зон;</w:t>
      </w:r>
    </w:p>
    <w:p w:rsidR="00D227E2" w:rsidRDefault="00934FC4">
      <w:pPr>
        <w:numPr>
          <w:ilvl w:val="0"/>
          <w:numId w:val="29"/>
        </w:numPr>
        <w:tabs>
          <w:tab w:val="clear" w:pos="720"/>
          <w:tab w:val="left" w:pos="90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розроблення міської програми поводження з ТПВ, запровадження системи поводження з відходами, створення інфраструктури для сортування, проведення інформаційної кампанії щодо необхідності зменшення продукування відходів та сортування;</w:t>
      </w:r>
    </w:p>
    <w:p w:rsidR="00D227E2" w:rsidRDefault="00934FC4">
      <w:pPr>
        <w:numPr>
          <w:ilvl w:val="0"/>
          <w:numId w:val="29"/>
        </w:numPr>
        <w:tabs>
          <w:tab w:val="clear" w:pos="720"/>
          <w:tab w:val="left" w:pos="900"/>
        </w:tabs>
        <w:spacing w:after="0"/>
        <w:ind w:left="0" w:firstLine="567"/>
        <w:jc w:val="both"/>
        <w:rPr>
          <w:rFonts w:ascii="Times New Roman" w:hAnsi="Times New Roman" w:cs="Times New Roman"/>
        </w:rPr>
      </w:pPr>
      <w:r>
        <w:rPr>
          <w:rFonts w:ascii="Times New Roman" w:eastAsia="Times New Roman" w:hAnsi="Times New Roman" w:cs="Times New Roman"/>
          <w:color w:val="000000"/>
          <w:kern w:val="2"/>
          <w:sz w:val="24"/>
          <w:szCs w:val="24"/>
          <w:shd w:val="clear" w:color="auto" w:fill="FFFFFF"/>
        </w:rPr>
        <w:t>забезпечення матеріально-технічними засобами комунальних служб для здійснення догляду за зеленими зонами. Закупівля транспортних засобів та обладнання.</w:t>
      </w:r>
    </w:p>
    <w:p w:rsidR="00D227E2" w:rsidRDefault="00934FC4">
      <w:pPr>
        <w:spacing w:after="0"/>
        <w:ind w:firstLine="567"/>
        <w:jc w:val="both"/>
        <w:outlineLvl w:val="0"/>
        <w:rPr>
          <w:rFonts w:ascii="Times New Roman" w:hAnsi="Times New Roman" w:cs="Times New Roman"/>
        </w:rPr>
      </w:pPr>
      <w:r>
        <w:rPr>
          <w:rFonts w:ascii="Times New Roman" w:eastAsia="Times New Roman" w:hAnsi="Times New Roman" w:cs="Times New Roman"/>
          <w:bCs/>
          <w:color w:val="000000"/>
          <w:kern w:val="2"/>
          <w:sz w:val="24"/>
          <w:szCs w:val="24"/>
          <w:shd w:val="clear" w:color="auto" w:fill="FFFFFF"/>
        </w:rPr>
        <w:t>Опис ключових заходів</w:t>
      </w:r>
    </w:p>
    <w:p w:rsidR="00D227E2" w:rsidRDefault="00934FC4">
      <w:pPr>
        <w:spacing w:after="0" w:line="240" w:lineRule="auto"/>
        <w:ind w:firstLine="567"/>
        <w:contextualSpacing/>
        <w:jc w:val="both"/>
        <w:rPr>
          <w:rFonts w:ascii="Times New Roman" w:hAnsi="Times New Roman" w:cs="Times New Roman"/>
        </w:rPr>
      </w:pPr>
      <w:r>
        <w:rPr>
          <w:rFonts w:ascii="Times New Roman" w:eastAsia="Times New Roman" w:hAnsi="Times New Roman" w:cs="Times New Roman"/>
          <w:bCs/>
          <w:sz w:val="24"/>
          <w:szCs w:val="24"/>
          <w:shd w:val="clear" w:color="auto" w:fill="FFFFFF"/>
        </w:rPr>
        <w:t>1. Розробка проєкту реконструкції зливової каналізації міста</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shd w:val="clear" w:color="auto" w:fill="FFFFFF"/>
        </w:rPr>
        <w:t xml:space="preserve">Мережа зливової каналізації у місті побудована у 80-90 роках минулого століття і не відповідає площі збору стічних вод. </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shd w:val="clear" w:color="auto" w:fill="FFFFFF"/>
        </w:rPr>
        <w:t>На цей час на замовлення департаменту ЖКГ розробляється проєктно-кошторисна документації «Реконструкція мережі дощової каналізації просп. Відродження в м. Луцьку на ділянці від вул. Івана Богуна в с. Липини – заїзд до Волинської обласної клінічної лікарні – просп. Відродження – до р. Сапалаївка».</w:t>
      </w:r>
    </w:p>
    <w:p w:rsidR="00D227E2" w:rsidRDefault="00934FC4">
      <w:pPr>
        <w:spacing w:after="0" w:line="240" w:lineRule="auto"/>
        <w:ind w:firstLine="567"/>
        <w:contextualSpacing/>
        <w:jc w:val="both"/>
        <w:rPr>
          <w:rFonts w:ascii="Times New Roman" w:hAnsi="Times New Roman" w:cs="Times New Roman"/>
        </w:rPr>
      </w:pPr>
      <w:r>
        <w:rPr>
          <w:rFonts w:ascii="Times New Roman" w:eastAsia="Times New Roman" w:hAnsi="Times New Roman" w:cs="Times New Roman"/>
          <w:bCs/>
          <w:sz w:val="24"/>
          <w:szCs w:val="24"/>
          <w:shd w:val="clear" w:color="auto" w:fill="FFFFFF"/>
        </w:rPr>
        <w:t>2. Реконструкція зливової каналізації зі збільшенням потужності для прийняття та відведення зливової води в місцях регулярного підтоплення</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З метою недопущення підтоплення вулиць міста постійно проводиться очищення ливнеприймачів, промивка колекторів, додатково влаштовуються дощоприймальні колодязі. Так влаштовано додаткові ливнеприймачі на вул. Захисників України, просп. Відродження (міська лікарня № 2), вул. Конякіна, вул. Ветеранів, просп. Соборності, перехрестях: вул. Конякіна – вул. Захисників України, вул. Кравчука – вул. Воїнів-афганців.</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 xml:space="preserve">Проведені заходи дозволяють зменшити наслідки від підтоплень при випаданні помірних опадів. Для своєчасного відведення води під час сильних опадів та злив необхідно виконати реконструкцію мережі зливової каналізації із збільшенням пропускної здатності центральних колекторів. </w:t>
      </w:r>
    </w:p>
    <w:p w:rsidR="00D227E2" w:rsidRDefault="00934FC4">
      <w:pPr>
        <w:spacing w:after="0"/>
        <w:ind w:firstLine="567"/>
        <w:contextualSpacing/>
        <w:jc w:val="both"/>
        <w:rPr>
          <w:rFonts w:ascii="Times New Roman" w:hAnsi="Times New Roman" w:cs="Times New Roman"/>
        </w:rPr>
      </w:pPr>
      <w:r>
        <w:rPr>
          <w:rFonts w:ascii="Times New Roman" w:eastAsia="Times New Roman" w:hAnsi="Times New Roman" w:cs="Times New Roman"/>
          <w:bCs/>
          <w:sz w:val="24"/>
          <w:szCs w:val="24"/>
        </w:rPr>
        <w:t>3. Підтримка працездатності резервних джерел енергії на в</w:t>
      </w:r>
      <w:r>
        <w:rPr>
          <w:rFonts w:ascii="Times New Roman" w:eastAsia="Times New Roman" w:hAnsi="Times New Roman" w:cs="Times New Roman"/>
          <w:bCs/>
        </w:rPr>
        <w:t xml:space="preserve">ипадок відключення електроенергії для організацій з високим ступенем вразливості </w:t>
      </w:r>
    </w:p>
    <w:p w:rsidR="00D227E2" w:rsidRDefault="00934FC4">
      <w:pPr>
        <w:tabs>
          <w:tab w:val="left" w:pos="0"/>
        </w:tabs>
        <w:spacing w:after="0"/>
        <w:ind w:firstLine="567"/>
        <w:jc w:val="both"/>
        <w:rPr>
          <w:rFonts w:ascii="Times New Roman" w:hAnsi="Times New Roman" w:cs="Times New Roman"/>
        </w:rPr>
      </w:pPr>
      <w:r>
        <w:rPr>
          <w:rFonts w:ascii="Times New Roman" w:eastAsia="Times New Roman" w:hAnsi="Times New Roman" w:cs="Times New Roman"/>
          <w:color w:val="000000"/>
          <w:spacing w:val="-1"/>
          <w:kern w:val="2"/>
          <w:sz w:val="24"/>
          <w:szCs w:val="24"/>
          <w:lang w:eastAsia="zh-CN" w:bidi="hi-IN"/>
        </w:rPr>
        <w:t>З метою забезпечення сталої роботи об’єктів критичної інфраструктури Луцької МТГ, у разі виникнення блекауту, проведено реконструкцію мереж електропостачання з встановленням та підключенням дизельних електростанцій-генераторів для забезпечення резервним живленням електричної енергії 15 котелень та проведення капітального ремонту електропостачання з встановленням дизельних електрогенераторів 9 котелень у м. Луцьку.</w:t>
      </w:r>
    </w:p>
    <w:p w:rsidR="00D227E2" w:rsidRDefault="00934FC4">
      <w:pPr>
        <w:tabs>
          <w:tab w:val="left" w:pos="0"/>
        </w:tabs>
        <w:spacing w:after="0"/>
        <w:ind w:firstLine="567"/>
        <w:jc w:val="both"/>
        <w:rPr>
          <w:rFonts w:ascii="Times New Roman" w:hAnsi="Times New Roman" w:cs="Times New Roman"/>
        </w:rPr>
      </w:pPr>
      <w:r>
        <w:rPr>
          <w:rFonts w:ascii="Times New Roman" w:eastAsia="Times New Roman" w:hAnsi="Times New Roman" w:cs="Times New Roman"/>
          <w:color w:val="000000"/>
          <w:spacing w:val="-1"/>
          <w:kern w:val="2"/>
          <w:sz w:val="24"/>
          <w:szCs w:val="24"/>
          <w:lang w:eastAsia="zh-CN" w:bidi="hi-IN"/>
        </w:rPr>
        <w:t xml:space="preserve">Для безперебійного водопостачання та водовідведення у м. Луцьку, у разі виникнення блекауту, КП «Луцькводоканал» встановили альтернативні джерела живлення (дизельні електрогенератори) на п’яти водозаборах, на компресорних насосних станціях, на підвищувальних насосних станціях та в місцях біологічного </w:t>
      </w:r>
      <w:r>
        <w:rPr>
          <w:rFonts w:ascii="Times New Roman" w:eastAsia="Univers-Light" w:hAnsi="Times New Roman" w:cs="Times New Roman"/>
          <w:color w:val="000000"/>
          <w:spacing w:val="-1"/>
          <w:kern w:val="2"/>
          <w:sz w:val="24"/>
          <w:szCs w:val="24"/>
          <w:shd w:val="clear" w:color="auto" w:fill="FFFFFF"/>
          <w:lang w:eastAsia="zh-CN" w:bidi="hi-IN"/>
        </w:rPr>
        <w:t>очищення стічних вод в аеротенках-змішувачах, де проходить біохімічне окислення органічних речовин стічних вод мікроорганізмами</w:t>
      </w:r>
      <w:r>
        <w:rPr>
          <w:rFonts w:ascii="Times New Roman" w:eastAsia="Times New Roman" w:hAnsi="Times New Roman" w:cs="Times New Roman"/>
          <w:color w:val="000000"/>
          <w:spacing w:val="-1"/>
          <w:kern w:val="2"/>
          <w:sz w:val="24"/>
          <w:szCs w:val="24"/>
          <w:lang w:eastAsia="zh-CN" w:bidi="hi-IN"/>
        </w:rPr>
        <w:t>.</w:t>
      </w:r>
    </w:p>
    <w:p w:rsidR="00D227E2" w:rsidRDefault="00934FC4">
      <w:pPr>
        <w:spacing w:before="240" w:after="0"/>
        <w:ind w:firstLine="567"/>
        <w:contextualSpacing/>
        <w:rPr>
          <w:rFonts w:ascii="Times New Roman" w:hAnsi="Times New Roman" w:cs="Times New Roman"/>
        </w:rPr>
      </w:pPr>
      <w:r>
        <w:rPr>
          <w:rFonts w:ascii="Times New Roman" w:eastAsia="NSimSun" w:hAnsi="Times New Roman" w:cs="Times New Roman"/>
          <w:b/>
          <w:bCs/>
          <w:kern w:val="2"/>
          <w:sz w:val="24"/>
          <w:szCs w:val="24"/>
          <w:lang w:eastAsia="zh-CN" w:bidi="hi-IN"/>
        </w:rPr>
        <w:lastRenderedPageBreak/>
        <w:t>7.3. Опис джерел фінансування плану заходів</w:t>
      </w:r>
    </w:p>
    <w:p w:rsidR="00D227E2" w:rsidRDefault="00934FC4">
      <w:pPr>
        <w:spacing w:after="0"/>
        <w:ind w:firstLine="567"/>
        <w:contextualSpacing/>
        <w:jc w:val="both"/>
        <w:rPr>
          <w:rFonts w:ascii="Times New Roman" w:hAnsi="Times New Roman" w:cs="Times New Roman"/>
        </w:rPr>
      </w:pPr>
      <w:r>
        <w:rPr>
          <w:rFonts w:ascii="Times New Roman" w:eastAsia="NSimSun" w:hAnsi="Times New Roman" w:cs="Times New Roman"/>
          <w:kern w:val="2"/>
          <w:sz w:val="24"/>
          <w:szCs w:val="24"/>
          <w:lang w:eastAsia="zh-CN" w:bidi="hi-IN"/>
        </w:rPr>
        <w:t>Для успішної реалізації ПДСЕРК необхідною складовою є забезпечення в достатньому обсязі фінансових інвестицій, направлених на реалізацію енергоефективних заходів та проєктів з адаптації до змін клімату.</w:t>
      </w:r>
    </w:p>
    <w:p w:rsidR="00D227E2" w:rsidRDefault="00934FC4">
      <w:pPr>
        <w:spacing w:after="0"/>
        <w:ind w:firstLine="567"/>
        <w:contextualSpacing/>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У секторі «Муніципальні будівлі, обладнання та споруди», як основне джерело фінансування, розглядаються кредитні та грантові кошти із забезпеченням співфінансування (10 %-30 %) з боку бюджету міської територіальної громади. </w:t>
      </w:r>
    </w:p>
    <w:p w:rsidR="00D227E2" w:rsidRDefault="00934FC4">
      <w:pPr>
        <w:spacing w:after="0"/>
        <w:ind w:firstLine="567"/>
        <w:contextualSpacing/>
        <w:jc w:val="both"/>
        <w:rPr>
          <w:rFonts w:ascii="Times New Roman" w:hAnsi="Times New Roman" w:cs="Times New Roman"/>
        </w:rPr>
      </w:pPr>
      <w:r>
        <w:rPr>
          <w:rFonts w:ascii="Times New Roman" w:eastAsia="NSimSun" w:hAnsi="Times New Roman" w:cs="Times New Roman"/>
          <w:kern w:val="2"/>
          <w:sz w:val="24"/>
          <w:szCs w:val="24"/>
          <w:lang w:eastAsia="zh-CN" w:bidi="hi-IN"/>
        </w:rPr>
        <w:t>Для житлових будівель значну частину фінансування забезпечують мешканці та державний бюджет в рамках програми «Енергодім», фонд Держенергоефективності України (30 %-60 % співфінансування).</w:t>
      </w:r>
    </w:p>
    <w:p w:rsidR="00D227E2" w:rsidRDefault="00934FC4">
      <w:pPr>
        <w:spacing w:after="0"/>
        <w:ind w:firstLine="567"/>
        <w:contextualSpacing/>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Крім того, є можливість залучення банківських кредитів для впровадження енергоефективних заходів, які надаються українськими банками. </w:t>
      </w:r>
    </w:p>
    <w:p w:rsidR="00D227E2" w:rsidRDefault="00934FC4">
      <w:pPr>
        <w:spacing w:after="0"/>
        <w:ind w:firstLine="567"/>
        <w:contextualSpacing/>
        <w:jc w:val="both"/>
        <w:rPr>
          <w:rFonts w:ascii="Times New Roman" w:hAnsi="Times New Roman" w:cs="Times New Roman"/>
        </w:rPr>
      </w:pPr>
      <w:r>
        <w:rPr>
          <w:rFonts w:ascii="Times New Roman" w:eastAsia="NSimSun" w:hAnsi="Times New Roman" w:cs="Times New Roman"/>
          <w:kern w:val="2"/>
          <w:sz w:val="24"/>
          <w:szCs w:val="24"/>
          <w:lang w:eastAsia="zh-CN" w:bidi="hi-IN"/>
        </w:rPr>
        <w:t>Визначальним джерелом фінансування для інших секторів, окрім кредитних та грантових коштів, є власні кошти підприємств-постачальників енергетичних ресурсів, інших установ і організацій.</w:t>
      </w:r>
    </w:p>
    <w:p w:rsidR="00D227E2" w:rsidRDefault="00934FC4">
      <w:pPr>
        <w:spacing w:after="0"/>
        <w:ind w:firstLine="567"/>
        <w:contextualSpacing/>
        <w:jc w:val="both"/>
        <w:rPr>
          <w:rFonts w:ascii="Times New Roman" w:hAnsi="Times New Roman" w:cs="Times New Roman"/>
        </w:rPr>
      </w:pPr>
      <w:r>
        <w:rPr>
          <w:rFonts w:ascii="Times New Roman" w:eastAsia="NSimSun" w:hAnsi="Times New Roman" w:cs="Times New Roman"/>
          <w:kern w:val="2"/>
          <w:sz w:val="24"/>
          <w:szCs w:val="24"/>
          <w:lang w:eastAsia="zh-CN" w:bidi="hi-IN"/>
        </w:rPr>
        <w:t>Таким чином, для реалізації ПДСЕРК у Луцькій МТГ розглядаються наступні джерела фінансування:</w:t>
      </w:r>
    </w:p>
    <w:p w:rsidR="00D227E2" w:rsidRDefault="00934FC4">
      <w:pPr>
        <w:spacing w:before="240" w:after="0"/>
        <w:ind w:firstLine="567"/>
        <w:contextualSpacing/>
        <w:jc w:val="both"/>
        <w:rPr>
          <w:rFonts w:ascii="Times New Roman" w:hAnsi="Times New Roman" w:cs="Times New Roman"/>
        </w:rPr>
      </w:pPr>
      <w:r>
        <w:rPr>
          <w:rFonts w:ascii="Times New Roman" w:eastAsia="TimesNewRomanPSMT" w:hAnsi="Times New Roman" w:cs="Times New Roman"/>
          <w:b/>
          <w:bCs/>
          <w:iCs/>
          <w:kern w:val="2"/>
          <w:sz w:val="24"/>
          <w:szCs w:val="24"/>
          <w:u w:val="single"/>
          <w:lang w:eastAsia="zh-CN" w:bidi="hi-IN"/>
        </w:rPr>
        <w:t>Цільові програми (бюджет міської територіальної громади)</w:t>
      </w:r>
    </w:p>
    <w:p w:rsidR="00D227E2" w:rsidRDefault="00934FC4">
      <w:pPr>
        <w:spacing w:after="0"/>
        <w:ind w:firstLine="567"/>
        <w:contextualSpacing/>
        <w:jc w:val="both"/>
        <w:rPr>
          <w:rFonts w:ascii="Times New Roman" w:hAnsi="Times New Roman" w:cs="Times New Roman"/>
        </w:rPr>
      </w:pPr>
      <w:r>
        <w:rPr>
          <w:rFonts w:ascii="Times New Roman" w:eastAsia="TimesNewRomanPSMT" w:hAnsi="Times New Roman" w:cs="Times New Roman"/>
          <w:iCs/>
          <w:kern w:val="2"/>
          <w:sz w:val="24"/>
          <w:szCs w:val="24"/>
          <w:lang w:eastAsia="zh-CN" w:bidi="hi-IN"/>
        </w:rPr>
        <w:t>Цільові бюджетні програми міста або громади є основним фінансовим джерелом при плануванні і реалізації заходів малої та середньої вартості. Такі заходи можуть повністю або частково фінансуватися з бюджету міської територіальної громади.</w:t>
      </w:r>
    </w:p>
    <w:p w:rsidR="00D227E2" w:rsidRDefault="00934FC4">
      <w:pPr>
        <w:spacing w:after="0"/>
        <w:ind w:firstLine="567"/>
        <w:contextualSpacing/>
        <w:jc w:val="both"/>
        <w:rPr>
          <w:rFonts w:ascii="Times New Roman" w:hAnsi="Times New Roman" w:cs="Times New Roman"/>
        </w:rPr>
      </w:pPr>
      <w:r>
        <w:rPr>
          <w:rFonts w:ascii="Times New Roman" w:eastAsia="TimesNewRomanPSMT" w:hAnsi="Times New Roman" w:cs="Times New Roman"/>
          <w:iCs/>
          <w:kern w:val="2"/>
          <w:sz w:val="24"/>
          <w:szCs w:val="24"/>
          <w:lang w:eastAsia="zh-CN" w:bidi="hi-IN"/>
        </w:rPr>
        <w:t>Разом з тим, бюджет міської територіальної громади може бути учасником, що надає співфінансування при залученні кредитування або грантових коштів.</w:t>
      </w:r>
    </w:p>
    <w:p w:rsidR="00D227E2" w:rsidRDefault="00934FC4">
      <w:pPr>
        <w:spacing w:after="0"/>
        <w:ind w:firstLine="567"/>
        <w:jc w:val="both"/>
        <w:rPr>
          <w:rFonts w:ascii="Times New Roman" w:hAnsi="Times New Roman" w:cs="Times New Roman"/>
        </w:rPr>
      </w:pPr>
      <w:r>
        <w:rPr>
          <w:rFonts w:ascii="Times New Roman" w:eastAsia="NSimSun" w:hAnsi="Times New Roman" w:cs="Times New Roman"/>
          <w:kern w:val="2"/>
          <w:sz w:val="24"/>
          <w:szCs w:val="24"/>
          <w:lang w:eastAsia="zh-CN" w:bidi="hi-IN"/>
        </w:rPr>
        <w:t>Однією з дієвих програм із залученням мешканців до планування і реалізації енергоефективних заходів є програма «Відшкодування частини суми кредитів ОСББ Луцької міської територіальної громади, залучених на впровадження в будинках енергоефективних заходів», яка дозволяє вирішити нагальні питання житлового фонду за ініціативою громадян.</w:t>
      </w:r>
    </w:p>
    <w:p w:rsidR="00D227E2" w:rsidRDefault="00934FC4">
      <w:pPr>
        <w:spacing w:before="240" w:after="0"/>
        <w:ind w:firstLine="567"/>
        <w:contextualSpacing/>
        <w:jc w:val="both"/>
        <w:rPr>
          <w:rFonts w:ascii="Times New Roman" w:hAnsi="Times New Roman" w:cs="Times New Roman"/>
        </w:rPr>
      </w:pPr>
      <w:r>
        <w:rPr>
          <w:rFonts w:ascii="Times New Roman" w:eastAsia="TimesNewRomanPSMT" w:hAnsi="Times New Roman" w:cs="Times New Roman"/>
          <w:b/>
          <w:bCs/>
          <w:iCs/>
          <w:kern w:val="2"/>
          <w:sz w:val="24"/>
          <w:szCs w:val="24"/>
          <w:u w:val="single"/>
          <w:lang w:eastAsia="zh-CN" w:bidi="hi-IN"/>
        </w:rPr>
        <w:t>Державні цільові програми (державний бюджет)</w:t>
      </w:r>
    </w:p>
    <w:p w:rsidR="00D227E2" w:rsidRDefault="00934FC4">
      <w:pPr>
        <w:spacing w:after="0"/>
        <w:ind w:firstLine="567"/>
        <w:contextualSpacing/>
        <w:jc w:val="both"/>
        <w:rPr>
          <w:rFonts w:ascii="Times New Roman" w:hAnsi="Times New Roman" w:cs="Times New Roman"/>
        </w:rPr>
      </w:pPr>
      <w:r>
        <w:rPr>
          <w:rFonts w:ascii="Times New Roman" w:eastAsia="TimesNewRomanPSMT" w:hAnsi="Times New Roman" w:cs="Times New Roman"/>
          <w:iCs/>
          <w:kern w:val="2"/>
          <w:sz w:val="24"/>
          <w:szCs w:val="24"/>
          <w:lang w:eastAsia="zh-CN" w:bidi="hi-IN"/>
        </w:rPr>
        <w:t>Реалізація державних цільових програм координується міністерствами, або обласними профільними управліннями.</w:t>
      </w:r>
    </w:p>
    <w:p w:rsidR="00D227E2" w:rsidRDefault="00934FC4">
      <w:pPr>
        <w:spacing w:after="0"/>
        <w:ind w:firstLine="567"/>
        <w:contextualSpacing/>
        <w:jc w:val="both"/>
        <w:rPr>
          <w:rFonts w:ascii="Times New Roman" w:hAnsi="Times New Roman" w:cs="Times New Roman"/>
        </w:rPr>
      </w:pPr>
      <w:r>
        <w:rPr>
          <w:rFonts w:ascii="Times New Roman" w:eastAsia="TimesNewRomanPSMT" w:hAnsi="Times New Roman" w:cs="Times New Roman"/>
          <w:iCs/>
          <w:kern w:val="2"/>
          <w:sz w:val="24"/>
          <w:szCs w:val="24"/>
          <w:lang w:eastAsia="zh-CN" w:bidi="hi-IN"/>
        </w:rPr>
        <w:t>До таких програм, наприклад, можна віднести Програму Фонду Енергоефективності, а також інші програми, які продовжують діяти під час воєнного стану в Україні.</w:t>
      </w:r>
    </w:p>
    <w:p w:rsidR="00D227E2" w:rsidRDefault="00934FC4">
      <w:pPr>
        <w:spacing w:after="0"/>
        <w:ind w:firstLine="567"/>
        <w:contextualSpacing/>
        <w:jc w:val="both"/>
        <w:rPr>
          <w:rFonts w:ascii="Times New Roman" w:hAnsi="Times New Roman" w:cs="Times New Roman"/>
        </w:rPr>
      </w:pPr>
      <w:r>
        <w:rPr>
          <w:rFonts w:ascii="Times New Roman" w:eastAsia="TimesNewRomanPSMT" w:hAnsi="Times New Roman" w:cs="Times New Roman"/>
          <w:iCs/>
          <w:kern w:val="2"/>
          <w:sz w:val="24"/>
          <w:szCs w:val="24"/>
          <w:lang w:eastAsia="zh-CN" w:bidi="hi-IN"/>
        </w:rPr>
        <w:t>Окремо можна виділити фінансування з Державного Фонду регіонального розвитку (ДФРР), завдяки якому останні роки (до 2023 року) були виконано багато проєктів з енергоефективності по всій Україні.</w:t>
      </w:r>
    </w:p>
    <w:p w:rsidR="00D227E2" w:rsidRDefault="00934FC4">
      <w:pPr>
        <w:spacing w:before="240" w:after="0"/>
        <w:ind w:firstLine="567"/>
        <w:contextualSpacing/>
        <w:jc w:val="both"/>
        <w:rPr>
          <w:rFonts w:ascii="Times New Roman" w:hAnsi="Times New Roman" w:cs="Times New Roman"/>
        </w:rPr>
      </w:pPr>
      <w:r>
        <w:rPr>
          <w:rFonts w:ascii="Times New Roman" w:eastAsia="TimesNewRomanPSMT" w:hAnsi="Times New Roman" w:cs="Times New Roman"/>
          <w:b/>
          <w:bCs/>
          <w:iCs/>
          <w:kern w:val="2"/>
          <w:sz w:val="24"/>
          <w:szCs w:val="24"/>
          <w:u w:val="single"/>
          <w:lang w:eastAsia="zh-CN" w:bidi="hi-IN"/>
        </w:rPr>
        <w:t>Муніципальні облігації (запозичення)</w:t>
      </w:r>
    </w:p>
    <w:p w:rsidR="00D227E2" w:rsidRDefault="00934FC4">
      <w:pPr>
        <w:spacing w:after="0"/>
        <w:ind w:firstLine="567"/>
        <w:contextualSpacing/>
        <w:jc w:val="both"/>
        <w:rPr>
          <w:rFonts w:ascii="Times New Roman" w:hAnsi="Times New Roman" w:cs="Times New Roman"/>
        </w:rPr>
      </w:pPr>
      <w:r>
        <w:rPr>
          <w:rFonts w:ascii="Times New Roman" w:eastAsia="TimesNewRomanPSMT" w:hAnsi="Times New Roman" w:cs="Times New Roman"/>
          <w:kern w:val="2"/>
          <w:sz w:val="24"/>
          <w:szCs w:val="24"/>
          <w:lang w:eastAsia="zh-CN" w:bidi="hi-IN"/>
        </w:rPr>
        <w:t>Для фінансування своїх середньострокових інвестиційних проєктів місцева влада може залучати інвестиційні ресурси на внутрішньому, або зовнішніх фінансових ринках шляхом випуску облігацій.</w:t>
      </w:r>
    </w:p>
    <w:p w:rsidR="00D227E2" w:rsidRDefault="00934FC4">
      <w:pPr>
        <w:spacing w:before="240" w:after="0"/>
        <w:ind w:firstLine="567"/>
        <w:contextualSpacing/>
        <w:jc w:val="both"/>
        <w:rPr>
          <w:rFonts w:ascii="Times New Roman" w:hAnsi="Times New Roman" w:cs="Times New Roman"/>
        </w:rPr>
      </w:pPr>
      <w:r>
        <w:rPr>
          <w:rFonts w:ascii="Times New Roman" w:eastAsia="TimesNewRomanPSMT" w:hAnsi="Times New Roman" w:cs="Times New Roman"/>
          <w:b/>
          <w:bCs/>
          <w:iCs/>
          <w:kern w:val="2"/>
          <w:sz w:val="24"/>
          <w:szCs w:val="24"/>
          <w:u w:val="single"/>
          <w:lang w:eastAsia="zh-CN" w:bidi="hi-IN"/>
        </w:rPr>
        <w:t>Грантові проєкти</w:t>
      </w:r>
    </w:p>
    <w:p w:rsidR="00D227E2" w:rsidRDefault="00934FC4">
      <w:pPr>
        <w:spacing w:after="0"/>
        <w:ind w:firstLine="567"/>
        <w:contextualSpacing/>
        <w:jc w:val="both"/>
        <w:rPr>
          <w:rFonts w:ascii="Times New Roman" w:hAnsi="Times New Roman" w:cs="Times New Roman"/>
        </w:rPr>
      </w:pPr>
      <w:r>
        <w:rPr>
          <w:rFonts w:ascii="Times New Roman" w:eastAsia="TimesNewRomanPSMT" w:hAnsi="Times New Roman" w:cs="Times New Roman"/>
          <w:kern w:val="2"/>
          <w:sz w:val="24"/>
          <w:szCs w:val="24"/>
          <w:lang w:eastAsia="zh-CN" w:bidi="hi-IN"/>
        </w:rPr>
        <w:t xml:space="preserve">Зазвичай грантові кошти на впровадження інфраструктурних інвестиційних проєктів надаються громадам і підприємствам-учасникам, отримувачам міжнародної технічної допомоги. Оскільки грант є безповоротним цільовим фінансуванням, то виділення грантових коштів для фінансування інвестиційних проєктів від більшості грантодавців має невеликі обсяги і спрямовані на фінансування невеликих демонстраційних проєктів, та/або на </w:t>
      </w:r>
      <w:r>
        <w:rPr>
          <w:rFonts w:ascii="Times New Roman" w:eastAsia="TimesNewRomanPSMT" w:hAnsi="Times New Roman" w:cs="Times New Roman"/>
          <w:kern w:val="2"/>
          <w:sz w:val="24"/>
          <w:szCs w:val="24"/>
          <w:lang w:eastAsia="zh-CN" w:bidi="hi-IN"/>
        </w:rPr>
        <w:lastRenderedPageBreak/>
        <w:t>проведення передпроєктної підготовки (енергоаудити, складання ПКД, бізнес-планів, консультаційна допомога експертів).</w:t>
      </w:r>
    </w:p>
    <w:p w:rsidR="00D227E2" w:rsidRDefault="00934FC4">
      <w:pPr>
        <w:spacing w:after="0"/>
        <w:ind w:firstLine="567"/>
        <w:contextualSpacing/>
        <w:jc w:val="both"/>
        <w:rPr>
          <w:rFonts w:ascii="Times New Roman" w:hAnsi="Times New Roman" w:cs="Times New Roman"/>
        </w:rPr>
      </w:pPr>
      <w:r>
        <w:rPr>
          <w:rFonts w:ascii="Times New Roman" w:eastAsia="TimesNewRomanPSMT" w:hAnsi="Times New Roman" w:cs="Times New Roman"/>
          <w:kern w:val="2"/>
          <w:sz w:val="24"/>
          <w:szCs w:val="24"/>
          <w:lang w:eastAsia="zh-CN" w:bidi="hi-IN"/>
        </w:rPr>
        <w:t>За рахунок підвищення ефективності роботи системи енергоменеджменту значно зростає ймовірність залучення грантових коштів у короткостроковому і середньостроковому періоді для фінансування м’яких заходів, демонстраційних та пілотних проєктів. Луцька міська рада та її виконавчі органи на постійній основі приймають участь у різних програмах грантового фінансування.</w:t>
      </w:r>
    </w:p>
    <w:p w:rsidR="00D227E2" w:rsidRDefault="00934FC4">
      <w:pPr>
        <w:tabs>
          <w:tab w:val="left" w:pos="284"/>
        </w:tabs>
        <w:spacing w:before="240" w:after="0"/>
        <w:ind w:firstLine="567"/>
        <w:contextualSpacing/>
        <w:jc w:val="both"/>
        <w:rPr>
          <w:rFonts w:ascii="Times New Roman" w:hAnsi="Times New Roman" w:cs="Times New Roman"/>
        </w:rPr>
      </w:pPr>
      <w:r>
        <w:rPr>
          <w:rFonts w:ascii="Times New Roman" w:eastAsia="TimesNewRomanPSMT" w:hAnsi="Times New Roman" w:cs="Times New Roman"/>
          <w:b/>
          <w:bCs/>
          <w:kern w:val="2"/>
          <w:sz w:val="24"/>
          <w:szCs w:val="24"/>
          <w:u w:val="single"/>
          <w:lang w:eastAsia="zh-CN" w:bidi="hi-IN"/>
        </w:rPr>
        <w:t>Залучення коштів міжнародних фінансових інституцій і програм</w:t>
      </w:r>
    </w:p>
    <w:p w:rsidR="00D227E2" w:rsidRDefault="00934FC4">
      <w:pPr>
        <w:spacing w:after="0"/>
        <w:ind w:firstLine="567"/>
        <w:contextualSpacing/>
        <w:jc w:val="both"/>
        <w:rPr>
          <w:rFonts w:ascii="Times New Roman" w:hAnsi="Times New Roman" w:cs="Times New Roman"/>
        </w:rPr>
      </w:pPr>
      <w:r>
        <w:rPr>
          <w:rFonts w:ascii="Times New Roman" w:eastAsia="NSimSun" w:hAnsi="Times New Roman" w:cs="Times New Roman"/>
          <w:kern w:val="2"/>
          <w:sz w:val="24"/>
          <w:szCs w:val="24"/>
          <w:lang w:eastAsia="zh-CN" w:bidi="hi-IN"/>
        </w:rPr>
        <w:t>У Луцькій МТГ ключовим та гарантованим джерелом фінансування енергоефективних заходів протягом останніх років був державний та місцевий бюджети. На цей час, беручи до уваги воєнний стан у державі та труднощі з наповненням дохідної частини бюджету, акцент на джерела фінансування енергоефективних проєктів повинен бути суттєво зміщений на користь залучення грантових ресурсів через програми міжнародних фінансових організацій.</w:t>
      </w:r>
    </w:p>
    <w:p w:rsidR="00D227E2" w:rsidRDefault="00934FC4">
      <w:pPr>
        <w:spacing w:after="0"/>
        <w:ind w:firstLine="567"/>
        <w:contextualSpacing/>
        <w:jc w:val="both"/>
        <w:rPr>
          <w:rFonts w:ascii="Times New Roman" w:hAnsi="Times New Roman" w:cs="Times New Roman"/>
        </w:rPr>
      </w:pPr>
      <w:r>
        <w:rPr>
          <w:rFonts w:ascii="Times New Roman" w:eastAsia="NSimSun" w:hAnsi="Times New Roman" w:cs="Times New Roman"/>
          <w:kern w:val="2"/>
          <w:sz w:val="24"/>
          <w:szCs w:val="24"/>
          <w:lang w:eastAsia="zh-CN" w:bidi="hi-IN"/>
        </w:rPr>
        <w:t xml:space="preserve">Слід зауважити, що кошти бюджету міської територіальної громади повинні скеровуватись здебільшого на забезпечення необхідної частки співфінансування енергоефективних проєктів. Варіантами співпраці для реалізації енергоефективних проєктів є: Північна екологічна фінансова корпорація (НЕФКО), UNDP (Програма розвитку ООН в Україні), IFC (Міжнародна фінансова корпорація), EBRD (Європейський банк реконструкції та розвитку), E5P </w:t>
      </w:r>
      <w:r>
        <w:rPr>
          <w:rFonts w:ascii="Times New Roman" w:hAnsi="Times New Roman" w:cs="Times New Roman"/>
          <w:color w:val="000000"/>
          <w:sz w:val="24"/>
          <w:szCs w:val="24"/>
          <w:shd w:val="clear" w:color="auto" w:fill="FFFFFF"/>
          <w:lang w:eastAsia="zh-CN" w:bidi="hi-IN"/>
        </w:rPr>
        <w:t>–</w:t>
      </w:r>
      <w:r>
        <w:rPr>
          <w:rFonts w:ascii="Times New Roman" w:eastAsia="NSimSun" w:hAnsi="Times New Roman" w:cs="Times New Roman"/>
          <w:kern w:val="2"/>
          <w:sz w:val="24"/>
          <w:szCs w:val="24"/>
          <w:lang w:eastAsia="zh-CN" w:bidi="hi-IN"/>
        </w:rPr>
        <w:t xml:space="preserve"> </w:t>
      </w:r>
      <w:r>
        <w:rPr>
          <w:rFonts w:ascii="Times New Roman" w:eastAsia="NSimSun" w:hAnsi="Times New Roman" w:cs="Times New Roman"/>
          <w:kern w:val="2"/>
          <w:sz w:val="24"/>
          <w:szCs w:val="24"/>
          <w:lang w:val="en-US" w:eastAsia="zh-CN" w:bidi="hi-IN"/>
        </w:rPr>
        <w:t>Eastern</w:t>
      </w:r>
      <w:r>
        <w:rPr>
          <w:rFonts w:ascii="Times New Roman" w:eastAsia="NSimSun" w:hAnsi="Times New Roman" w:cs="Times New Roman"/>
          <w:kern w:val="2"/>
          <w:sz w:val="24"/>
          <w:szCs w:val="24"/>
          <w:lang w:eastAsia="zh-CN" w:bidi="hi-IN"/>
        </w:rPr>
        <w:t xml:space="preserve"> </w:t>
      </w:r>
      <w:r>
        <w:rPr>
          <w:rFonts w:ascii="Times New Roman" w:eastAsia="NSimSun" w:hAnsi="Times New Roman" w:cs="Times New Roman"/>
          <w:kern w:val="2"/>
          <w:sz w:val="24"/>
          <w:szCs w:val="24"/>
          <w:lang w:val="en-US" w:eastAsia="zh-CN" w:bidi="hi-IN"/>
        </w:rPr>
        <w:t>Europe</w:t>
      </w:r>
      <w:r>
        <w:rPr>
          <w:rFonts w:ascii="Times New Roman" w:eastAsia="NSimSun" w:hAnsi="Times New Roman" w:cs="Times New Roman"/>
          <w:kern w:val="2"/>
          <w:sz w:val="24"/>
          <w:szCs w:val="24"/>
          <w:lang w:eastAsia="zh-CN" w:bidi="hi-IN"/>
        </w:rPr>
        <w:t xml:space="preserve"> </w:t>
      </w:r>
      <w:r>
        <w:rPr>
          <w:rFonts w:ascii="Times New Roman" w:eastAsia="NSimSun" w:hAnsi="Times New Roman" w:cs="Times New Roman"/>
          <w:kern w:val="2"/>
          <w:sz w:val="24"/>
          <w:szCs w:val="24"/>
          <w:lang w:val="en-US" w:eastAsia="zh-CN" w:bidi="hi-IN"/>
        </w:rPr>
        <w:t>Energy</w:t>
      </w:r>
      <w:r>
        <w:rPr>
          <w:rFonts w:ascii="Times New Roman" w:eastAsia="NSimSun" w:hAnsi="Times New Roman" w:cs="Times New Roman"/>
          <w:kern w:val="2"/>
          <w:sz w:val="24"/>
          <w:szCs w:val="24"/>
          <w:lang w:eastAsia="zh-CN" w:bidi="hi-IN"/>
        </w:rPr>
        <w:t xml:space="preserve"> </w:t>
      </w:r>
      <w:r>
        <w:rPr>
          <w:rFonts w:ascii="Times New Roman" w:eastAsia="NSimSun" w:hAnsi="Times New Roman" w:cs="Times New Roman"/>
          <w:kern w:val="2"/>
          <w:sz w:val="24"/>
          <w:szCs w:val="24"/>
          <w:lang w:val="en-US" w:eastAsia="zh-CN" w:bidi="hi-IN"/>
        </w:rPr>
        <w:t>Efficiency</w:t>
      </w:r>
      <w:r>
        <w:rPr>
          <w:rFonts w:ascii="Times New Roman" w:eastAsia="NSimSun" w:hAnsi="Times New Roman" w:cs="Times New Roman"/>
          <w:kern w:val="2"/>
          <w:sz w:val="24"/>
          <w:szCs w:val="24"/>
          <w:lang w:eastAsia="zh-CN" w:bidi="hi-IN"/>
        </w:rPr>
        <w:t xml:space="preserve"> </w:t>
      </w:r>
      <w:r>
        <w:rPr>
          <w:rFonts w:ascii="Times New Roman" w:eastAsia="NSimSun" w:hAnsi="Times New Roman" w:cs="Times New Roman"/>
          <w:kern w:val="2"/>
          <w:sz w:val="24"/>
          <w:szCs w:val="24"/>
          <w:lang w:val="en-US" w:eastAsia="zh-CN" w:bidi="hi-IN"/>
        </w:rPr>
        <w:t>and</w:t>
      </w:r>
      <w:r>
        <w:rPr>
          <w:rFonts w:ascii="Times New Roman" w:eastAsia="NSimSun" w:hAnsi="Times New Roman" w:cs="Times New Roman"/>
          <w:kern w:val="2"/>
          <w:sz w:val="24"/>
          <w:szCs w:val="24"/>
          <w:lang w:eastAsia="zh-CN" w:bidi="hi-IN"/>
        </w:rPr>
        <w:t xml:space="preserve"> </w:t>
      </w:r>
      <w:r>
        <w:rPr>
          <w:rFonts w:ascii="Times New Roman" w:eastAsia="NSimSun" w:hAnsi="Times New Roman" w:cs="Times New Roman"/>
          <w:kern w:val="2"/>
          <w:sz w:val="24"/>
          <w:szCs w:val="24"/>
          <w:lang w:val="en-US" w:eastAsia="zh-CN" w:bidi="hi-IN"/>
        </w:rPr>
        <w:t>Environmental</w:t>
      </w:r>
      <w:r>
        <w:rPr>
          <w:rFonts w:ascii="Times New Roman" w:eastAsia="NSimSun" w:hAnsi="Times New Roman" w:cs="Times New Roman"/>
          <w:kern w:val="2"/>
          <w:sz w:val="24"/>
          <w:szCs w:val="24"/>
          <w:lang w:eastAsia="zh-CN" w:bidi="hi-IN"/>
        </w:rPr>
        <w:t xml:space="preserve"> </w:t>
      </w:r>
      <w:r>
        <w:rPr>
          <w:rFonts w:ascii="Times New Roman" w:eastAsia="NSimSun" w:hAnsi="Times New Roman" w:cs="Times New Roman"/>
          <w:kern w:val="2"/>
          <w:sz w:val="24"/>
          <w:szCs w:val="24"/>
          <w:lang w:val="en-US" w:eastAsia="zh-CN" w:bidi="hi-IN"/>
        </w:rPr>
        <w:t>Partnership</w:t>
      </w:r>
      <w:r>
        <w:rPr>
          <w:rFonts w:ascii="Times New Roman" w:eastAsia="NSimSun" w:hAnsi="Times New Roman" w:cs="Times New Roman"/>
          <w:kern w:val="2"/>
          <w:sz w:val="24"/>
          <w:szCs w:val="24"/>
          <w:lang w:eastAsia="zh-CN" w:bidi="hi-IN"/>
        </w:rPr>
        <w:t xml:space="preserve"> (Східна Європа «Енергоефективність» та Екологічне партнерство), WB (Світовий банк) та інші.</w:t>
      </w:r>
    </w:p>
    <w:p w:rsidR="00D227E2" w:rsidRDefault="00934FC4">
      <w:pPr>
        <w:spacing w:before="240" w:after="0"/>
        <w:ind w:firstLine="567"/>
        <w:contextualSpacing/>
        <w:jc w:val="both"/>
        <w:rPr>
          <w:rFonts w:ascii="Times New Roman" w:hAnsi="Times New Roman" w:cs="Times New Roman"/>
        </w:rPr>
      </w:pPr>
      <w:r>
        <w:rPr>
          <w:rFonts w:ascii="Times New Roman" w:eastAsia="NSimSun" w:hAnsi="Times New Roman" w:cs="Times New Roman"/>
          <w:b/>
          <w:bCs/>
          <w:kern w:val="2"/>
          <w:sz w:val="24"/>
          <w:szCs w:val="24"/>
          <w:u w:val="single"/>
          <w:lang w:eastAsia="zh-CN" w:bidi="hi-IN"/>
        </w:rPr>
        <w:t>Власні кошти підприємств та установ</w:t>
      </w:r>
    </w:p>
    <w:p w:rsidR="00D227E2" w:rsidRDefault="00934FC4">
      <w:pPr>
        <w:spacing w:after="0"/>
        <w:ind w:firstLine="567"/>
        <w:contextualSpacing/>
        <w:jc w:val="both"/>
        <w:rPr>
          <w:rFonts w:ascii="Times New Roman" w:hAnsi="Times New Roman" w:cs="Times New Roman"/>
        </w:rPr>
      </w:pPr>
      <w:r>
        <w:rPr>
          <w:rFonts w:ascii="Times New Roman" w:eastAsia="NSimSun" w:hAnsi="Times New Roman" w:cs="Times New Roman"/>
          <w:kern w:val="2"/>
          <w:sz w:val="24"/>
          <w:szCs w:val="24"/>
          <w:lang w:eastAsia="zh-CN" w:bidi="hi-IN"/>
        </w:rPr>
        <w:t>Власні кошти:</w:t>
      </w:r>
    </w:p>
    <w:p w:rsidR="00D227E2" w:rsidRDefault="00934FC4">
      <w:pPr>
        <w:spacing w:after="0"/>
        <w:ind w:firstLine="567"/>
        <w:contextualSpacing/>
        <w:jc w:val="both"/>
        <w:rPr>
          <w:rFonts w:ascii="Times New Roman" w:hAnsi="Times New Roman" w:cs="Times New Roman"/>
        </w:rPr>
      </w:pPr>
      <w:r>
        <w:rPr>
          <w:rFonts w:ascii="Times New Roman" w:eastAsia="NSimSun" w:hAnsi="Times New Roman" w:cs="Times New Roman"/>
          <w:kern w:val="2"/>
          <w:sz w:val="24"/>
          <w:szCs w:val="24"/>
          <w:lang w:eastAsia="zh-CN" w:bidi="hi-IN"/>
        </w:rPr>
        <w:t>1) підприємств теплокомуненерго</w:t>
      </w:r>
      <w:r>
        <w:rPr>
          <w:rFonts w:ascii="Times New Roman" w:eastAsia="TimesNewRomanPSMT" w:hAnsi="Times New Roman" w:cs="Times New Roman"/>
          <w:kern w:val="2"/>
          <w:sz w:val="24"/>
          <w:szCs w:val="24"/>
          <w:lang w:eastAsia="zh-CN" w:bidi="hi-IN"/>
        </w:rPr>
        <w:t>, які мають енергоємне виробництво;</w:t>
      </w:r>
    </w:p>
    <w:p w:rsidR="00D227E2" w:rsidRDefault="00934FC4">
      <w:pPr>
        <w:spacing w:after="0"/>
        <w:ind w:firstLine="567"/>
        <w:contextualSpacing/>
        <w:jc w:val="both"/>
        <w:rPr>
          <w:rFonts w:ascii="Times New Roman" w:hAnsi="Times New Roman" w:cs="Times New Roman"/>
        </w:rPr>
      </w:pPr>
      <w:r>
        <w:rPr>
          <w:rFonts w:ascii="Times New Roman" w:eastAsia="TimesNewRomanPSMT" w:hAnsi="Times New Roman" w:cs="Times New Roman"/>
          <w:kern w:val="2"/>
          <w:sz w:val="24"/>
          <w:szCs w:val="24"/>
          <w:lang w:eastAsia="zh-CN" w:bidi="hi-IN"/>
        </w:rPr>
        <w:t>2) установ освіти та культури, які можуть бути направлені для виконання енергоефективних заходів.</w:t>
      </w:r>
    </w:p>
    <w:p w:rsidR="00D227E2" w:rsidRDefault="00934FC4">
      <w:pPr>
        <w:spacing w:after="0"/>
        <w:ind w:firstLine="567"/>
        <w:contextualSpacing/>
        <w:jc w:val="both"/>
        <w:rPr>
          <w:rFonts w:ascii="Times New Roman" w:hAnsi="Times New Roman" w:cs="Times New Roman"/>
        </w:rPr>
      </w:pPr>
      <w:r>
        <w:rPr>
          <w:rFonts w:ascii="Times New Roman" w:eastAsia="TimesNewRomanPSMT" w:hAnsi="Times New Roman" w:cs="Times New Roman"/>
          <w:kern w:val="2"/>
          <w:sz w:val="24"/>
          <w:szCs w:val="24"/>
          <w:lang w:eastAsia="zh-CN" w:bidi="hi-IN"/>
        </w:rPr>
        <w:t>Амортизаційні відрахування та власний прибуток, переважно є найдешевшими і найбільш надійними, доступними джерелами фінансування короткострокових капітальних інвестицій.</w:t>
      </w:r>
    </w:p>
    <w:p w:rsidR="00D227E2" w:rsidRDefault="00934FC4">
      <w:pPr>
        <w:spacing w:before="240" w:after="0"/>
        <w:ind w:firstLine="567"/>
        <w:contextualSpacing/>
        <w:jc w:val="both"/>
        <w:rPr>
          <w:rFonts w:ascii="Times New Roman" w:hAnsi="Times New Roman" w:cs="Times New Roman"/>
        </w:rPr>
      </w:pPr>
      <w:r>
        <w:rPr>
          <w:rFonts w:ascii="Times New Roman" w:eastAsia="TimesNewRomanPSMT" w:hAnsi="Times New Roman" w:cs="Times New Roman"/>
          <w:b/>
          <w:bCs/>
          <w:kern w:val="2"/>
          <w:sz w:val="24"/>
          <w:szCs w:val="24"/>
          <w:u w:val="single"/>
          <w:lang w:eastAsia="zh-CN" w:bidi="hi-IN"/>
        </w:rPr>
        <w:t>Залучення приватного капіталу на умовах ЕСКО</w:t>
      </w:r>
    </w:p>
    <w:p w:rsidR="00D227E2" w:rsidRDefault="00934FC4">
      <w:pPr>
        <w:spacing w:before="240" w:after="0"/>
        <w:ind w:firstLine="567"/>
        <w:contextualSpacing/>
        <w:jc w:val="both"/>
        <w:rPr>
          <w:rFonts w:ascii="Times New Roman" w:hAnsi="Times New Roman" w:cs="Times New Roman"/>
        </w:rPr>
      </w:pPr>
      <w:r>
        <w:rPr>
          <w:rFonts w:ascii="Times New Roman" w:eastAsia="TimesNewRomanPSMT" w:hAnsi="Times New Roman" w:cs="Times New Roman"/>
          <w:kern w:val="2"/>
          <w:sz w:val="24"/>
          <w:szCs w:val="24"/>
          <w:lang w:eastAsia="zh-CN" w:bidi="hi-IN"/>
        </w:rPr>
        <w:t xml:space="preserve">Залучення приватного капіталу до фінансування довгострокових інвестиційних проєктів може здійснюватися через залучення енергосервісних компаній, які проводять роботи з термомодернізації будівлі, а далі надають послуги з енергосервісу в будинку або в бюджетному закладі відповідно до довгострокового договору. </w:t>
      </w:r>
    </w:p>
    <w:p w:rsidR="00D227E2" w:rsidRDefault="00934FC4">
      <w:pPr>
        <w:spacing w:before="240" w:after="0"/>
        <w:ind w:firstLine="567"/>
        <w:contextualSpacing/>
        <w:jc w:val="both"/>
        <w:rPr>
          <w:rFonts w:ascii="Times New Roman" w:hAnsi="Times New Roman" w:cs="Times New Roman"/>
        </w:rPr>
      </w:pPr>
      <w:r>
        <w:rPr>
          <w:rFonts w:ascii="Times New Roman" w:eastAsia="TimesNewRomanPSMT" w:hAnsi="Times New Roman" w:cs="Times New Roman"/>
          <w:b/>
          <w:bCs/>
          <w:iCs/>
          <w:kern w:val="2"/>
          <w:sz w:val="24"/>
          <w:szCs w:val="24"/>
          <w:u w:val="single"/>
          <w:lang w:eastAsia="zh-CN" w:bidi="hi-IN"/>
        </w:rPr>
        <w:t>Цільові внески співвласників багатоквартирних будинків</w:t>
      </w:r>
    </w:p>
    <w:p w:rsidR="00D227E2" w:rsidRDefault="00934FC4">
      <w:pPr>
        <w:spacing w:after="0"/>
        <w:ind w:firstLine="567"/>
        <w:contextualSpacing/>
        <w:jc w:val="both"/>
        <w:rPr>
          <w:rFonts w:ascii="Times New Roman" w:hAnsi="Times New Roman" w:cs="Times New Roman"/>
        </w:rPr>
      </w:pPr>
      <w:r>
        <w:rPr>
          <w:rFonts w:ascii="Times New Roman" w:eastAsia="TimesNewRomanPSMT" w:hAnsi="Times New Roman" w:cs="Times New Roman"/>
          <w:kern w:val="2"/>
          <w:sz w:val="24"/>
          <w:szCs w:val="24"/>
          <w:lang w:eastAsia="zh-CN" w:bidi="hi-IN"/>
        </w:rPr>
        <w:t>Цільові внески сплачуються співвласниками багатоквартирних будинків в обсязі, визначеному загальними зборами ОСББ, і спрямовуються, перш за все, на проведення робіт з удосконалення експлуатації внутрішніх будинкових інженерних систем та капітального ремонту будинків. Через обмеження такого фінансування є можливість поєднувати це джерело з іншими джерелами на умовах співфінансування.</w:t>
      </w:r>
    </w:p>
    <w:p w:rsidR="00D227E2" w:rsidRDefault="00934FC4">
      <w:pPr>
        <w:spacing w:before="240" w:after="0"/>
        <w:ind w:firstLine="567"/>
        <w:contextualSpacing/>
        <w:jc w:val="both"/>
        <w:rPr>
          <w:rFonts w:ascii="Times New Roman" w:hAnsi="Times New Roman" w:cs="Times New Roman"/>
        </w:rPr>
      </w:pPr>
      <w:r>
        <w:rPr>
          <w:rFonts w:ascii="Times New Roman" w:eastAsia="TimesNewRomanPSMT" w:hAnsi="Times New Roman" w:cs="Times New Roman"/>
          <w:b/>
          <w:bCs/>
          <w:iCs/>
          <w:kern w:val="2"/>
          <w:sz w:val="24"/>
          <w:szCs w:val="24"/>
          <w:u w:val="single"/>
          <w:lang w:eastAsia="zh-CN" w:bidi="hi-IN"/>
        </w:rPr>
        <w:t>Банківські кредити</w:t>
      </w:r>
    </w:p>
    <w:p w:rsidR="00D227E2" w:rsidRDefault="00934FC4">
      <w:pPr>
        <w:spacing w:after="0"/>
        <w:ind w:firstLine="567"/>
        <w:contextualSpacing/>
        <w:jc w:val="both"/>
        <w:rPr>
          <w:rFonts w:ascii="Times New Roman" w:hAnsi="Times New Roman" w:cs="Times New Roman"/>
        </w:rPr>
      </w:pPr>
      <w:r>
        <w:rPr>
          <w:rFonts w:ascii="Times New Roman" w:eastAsia="TimesNewRomanPSMT" w:hAnsi="Times New Roman" w:cs="Times New Roman"/>
          <w:kern w:val="2"/>
          <w:sz w:val="24"/>
          <w:szCs w:val="24"/>
          <w:lang w:eastAsia="zh-CN" w:bidi="hi-IN"/>
        </w:rPr>
        <w:t>Найпоширенішою формою фінансування інвестиційних проєктів у житловій сфері та сфері виробництва, транспортування та споживання теплової енергії можуть стати банківські кредити для фінансування, як короткострокових, так і середньострокових проєктів, а також кредити міжнародних фінансових інститутів та іноземних державних установ, таких як Світовий банк, ЄБРР, ЄІБ, БРРЄ та ін. (для середньострокових і довгострокових інвестиційних проєктів).</w:t>
      </w:r>
    </w:p>
    <w:p w:rsidR="00D227E2" w:rsidRDefault="00934FC4">
      <w:pPr>
        <w:spacing w:before="240" w:after="0"/>
        <w:ind w:firstLine="567"/>
        <w:contextualSpacing/>
        <w:jc w:val="both"/>
        <w:rPr>
          <w:rFonts w:ascii="Times New Roman" w:hAnsi="Times New Roman" w:cs="Times New Roman"/>
        </w:rPr>
      </w:pPr>
      <w:r>
        <w:rPr>
          <w:rFonts w:ascii="Times New Roman" w:eastAsia="TimesNewRomanPSMT" w:hAnsi="Times New Roman" w:cs="Times New Roman"/>
          <w:b/>
          <w:bCs/>
          <w:kern w:val="2"/>
          <w:sz w:val="24"/>
          <w:szCs w:val="24"/>
          <w:u w:val="single"/>
          <w:lang w:eastAsia="zh-CN" w:bidi="hi-IN"/>
        </w:rPr>
        <w:lastRenderedPageBreak/>
        <w:t>Комерційний (товарний) кредит</w:t>
      </w:r>
    </w:p>
    <w:p w:rsidR="00D227E2" w:rsidRDefault="00934FC4">
      <w:pPr>
        <w:spacing w:after="0"/>
        <w:ind w:firstLine="567"/>
        <w:contextualSpacing/>
        <w:jc w:val="both"/>
        <w:rPr>
          <w:rFonts w:ascii="Times New Roman" w:hAnsi="Times New Roman" w:cs="Times New Roman"/>
        </w:rPr>
      </w:pPr>
      <w:r>
        <w:rPr>
          <w:rFonts w:ascii="Times New Roman" w:eastAsia="TimesNewRomanPSMT" w:hAnsi="Times New Roman" w:cs="Times New Roman"/>
          <w:kern w:val="2"/>
          <w:sz w:val="24"/>
          <w:szCs w:val="24"/>
          <w:lang w:eastAsia="zh-CN" w:bidi="hi-IN"/>
        </w:rPr>
        <w:t>Комерційний кредит – це товарна форма кредиту, який надається продавцями для покупців у вигляді відстрочки платежу за продані товари, надані послуги. У покупця завдяки комерційному кредиту досягається тимчасова економія грошових коштів, скорочується потреба в банківському кредиті. Комерційний кредит, в більшості випадків, має короткостроковий характер. Конкретні терміни і розмір кредиту залежать від виду та вартості товару, фінансового стану контрагентів та кон'юнктури ринку.</w:t>
      </w:r>
    </w:p>
    <w:p w:rsidR="00D227E2" w:rsidRDefault="00934FC4">
      <w:pPr>
        <w:spacing w:before="240" w:after="0"/>
        <w:ind w:firstLine="567"/>
        <w:contextualSpacing/>
        <w:jc w:val="both"/>
        <w:rPr>
          <w:rFonts w:ascii="Times New Roman" w:hAnsi="Times New Roman" w:cs="Times New Roman"/>
        </w:rPr>
      </w:pPr>
      <w:r>
        <w:rPr>
          <w:rFonts w:ascii="Times New Roman" w:eastAsia="TimesNewRomanPSMT" w:hAnsi="Times New Roman" w:cs="Times New Roman"/>
          <w:b/>
          <w:bCs/>
          <w:iCs/>
          <w:kern w:val="2"/>
          <w:sz w:val="24"/>
          <w:szCs w:val="24"/>
          <w:u w:val="single"/>
          <w:lang w:eastAsia="zh-CN" w:bidi="hi-IN"/>
        </w:rPr>
        <w:t>Фінансовий лізинг</w:t>
      </w:r>
    </w:p>
    <w:p w:rsidR="00D227E2" w:rsidRDefault="00934FC4">
      <w:pPr>
        <w:spacing w:after="0"/>
        <w:ind w:firstLine="567"/>
        <w:contextualSpacing/>
        <w:jc w:val="both"/>
        <w:rPr>
          <w:rFonts w:ascii="Times New Roman" w:hAnsi="Times New Roman" w:cs="Times New Roman"/>
        </w:rPr>
      </w:pPr>
      <w:r>
        <w:rPr>
          <w:rFonts w:ascii="Times New Roman" w:eastAsia="TimesNewRomanPSMT" w:hAnsi="Times New Roman" w:cs="Times New Roman"/>
          <w:kern w:val="2"/>
          <w:sz w:val="24"/>
          <w:szCs w:val="24"/>
          <w:lang w:eastAsia="zh-CN" w:bidi="hi-IN"/>
        </w:rPr>
        <w:t>Фінансовий лізинг є одним з найбільш надійних законодавчо регламентованих інструментів залучення фінансування середньострокових інвестиційних проєктів у сфері виробництва, транспортування та постачання теплової енергії.</w:t>
      </w:r>
    </w:p>
    <w:p w:rsidR="00D227E2" w:rsidRDefault="00934FC4">
      <w:pPr>
        <w:spacing w:before="240" w:after="0"/>
        <w:ind w:firstLine="567"/>
        <w:contextualSpacing/>
        <w:jc w:val="both"/>
        <w:rPr>
          <w:rFonts w:ascii="Times New Roman" w:hAnsi="Times New Roman" w:cs="Times New Roman"/>
        </w:rPr>
      </w:pPr>
      <w:r>
        <w:rPr>
          <w:rFonts w:ascii="Times New Roman" w:eastAsia="NSimSun" w:hAnsi="Times New Roman" w:cs="Times New Roman"/>
          <w:kern w:val="2"/>
          <w:sz w:val="24"/>
          <w:szCs w:val="24"/>
          <w:lang w:eastAsia="zh-CN" w:bidi="hi-IN"/>
        </w:rPr>
        <w:t>Плановий обсяг коштів, які необхідно скерувати на реалізацію проєктів у обраних секторах ПДСЕРК становить 6 074 565,8 тис. грн (таблиця 87).</w:t>
      </w:r>
    </w:p>
    <w:p w:rsidR="00D227E2" w:rsidRDefault="00934FC4">
      <w:pPr>
        <w:spacing w:after="0"/>
        <w:ind w:firstLine="567"/>
        <w:contextualSpacing/>
        <w:jc w:val="center"/>
        <w:rPr>
          <w:rFonts w:ascii="Times New Roman" w:hAnsi="Times New Roman" w:cs="Times New Roman"/>
        </w:rPr>
      </w:pPr>
      <w:r>
        <w:rPr>
          <w:rFonts w:ascii="Times New Roman" w:eastAsia="NSimSun" w:hAnsi="Times New Roman" w:cs="Times New Roman"/>
          <w:kern w:val="2"/>
          <w:sz w:val="24"/>
          <w:szCs w:val="24"/>
          <w:lang w:eastAsia="zh-CN" w:bidi="hi-IN"/>
        </w:rPr>
        <w:t>Таблиця 87. Обсяг необхідних інвестицій для впровадження заходів з пом’якшення наслідків змін клімату (енергоефективних заходів) у Луцькій МТГ для виконання зобов’язань ПДСЕРК</w:t>
      </w:r>
    </w:p>
    <w:tbl>
      <w:tblPr>
        <w:tblW w:w="9648" w:type="dxa"/>
        <w:jc w:val="center"/>
        <w:tblLayout w:type="fixed"/>
        <w:tblLook w:val="0000" w:firstRow="0" w:lastRow="0" w:firstColumn="0" w:lastColumn="0" w:noHBand="0" w:noVBand="0"/>
      </w:tblPr>
      <w:tblGrid>
        <w:gridCol w:w="3290"/>
        <w:gridCol w:w="2329"/>
        <w:gridCol w:w="2138"/>
        <w:gridCol w:w="1891"/>
      </w:tblGrid>
      <w:tr w:rsidR="00D227E2">
        <w:trPr>
          <w:jc w:val="center"/>
        </w:trPr>
        <w:tc>
          <w:tcPr>
            <w:tcW w:w="328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ind w:firstLine="66"/>
              <w:contextualSpacing/>
              <w:jc w:val="center"/>
              <w:rPr>
                <w:rFonts w:ascii="Times New Roman" w:hAnsi="Times New Roman" w:cs="Times New Roman"/>
              </w:rPr>
            </w:pPr>
            <w:r>
              <w:rPr>
                <w:rFonts w:ascii="Times New Roman" w:eastAsia="NSimSun" w:hAnsi="Times New Roman" w:cs="Times New Roman"/>
                <w:bCs/>
                <w:color w:val="000000"/>
                <w:kern w:val="2"/>
                <w:lang w:eastAsia="zh-CN" w:bidi="hi-IN"/>
              </w:rPr>
              <w:t>Сектори</w:t>
            </w:r>
          </w:p>
        </w:tc>
        <w:tc>
          <w:tcPr>
            <w:tcW w:w="232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ind w:firstLine="66"/>
              <w:contextualSpacing/>
              <w:jc w:val="center"/>
              <w:rPr>
                <w:rFonts w:ascii="Times New Roman" w:hAnsi="Times New Roman" w:cs="Times New Roman"/>
              </w:rPr>
            </w:pPr>
            <w:r>
              <w:rPr>
                <w:rFonts w:ascii="Times New Roman" w:eastAsia="NSimSun" w:hAnsi="Times New Roman" w:cs="Times New Roman"/>
                <w:bCs/>
                <w:color w:val="000000"/>
                <w:kern w:val="2"/>
                <w:lang w:eastAsia="zh-CN" w:bidi="hi-IN"/>
              </w:rPr>
              <w:t>Виконані інвестиції станом на 2024 р., тис. грн</w:t>
            </w:r>
          </w:p>
        </w:tc>
        <w:tc>
          <w:tcPr>
            <w:tcW w:w="2138"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ind w:firstLine="66"/>
              <w:contextualSpacing/>
              <w:jc w:val="center"/>
              <w:rPr>
                <w:rFonts w:ascii="Times New Roman" w:hAnsi="Times New Roman" w:cs="Times New Roman"/>
              </w:rPr>
            </w:pPr>
            <w:r>
              <w:rPr>
                <w:rFonts w:ascii="Times New Roman" w:eastAsia="NSimSun" w:hAnsi="Times New Roman" w:cs="Times New Roman"/>
                <w:bCs/>
                <w:color w:val="000000"/>
                <w:kern w:val="2"/>
                <w:lang w:eastAsia="zh-CN" w:bidi="hi-IN"/>
              </w:rPr>
              <w:t xml:space="preserve">Загальна вартість інвестицій, </w:t>
            </w:r>
            <w:r>
              <w:rPr>
                <w:rFonts w:ascii="Times New Roman" w:eastAsia="NSimSun" w:hAnsi="Times New Roman" w:cs="Times New Roman"/>
                <w:bCs/>
                <w:color w:val="000000"/>
                <w:kern w:val="2"/>
                <w:lang w:eastAsia="zh-CN" w:bidi="hi-IN"/>
              </w:rPr>
              <w:br/>
              <w:t>тис. грн</w:t>
            </w:r>
          </w:p>
        </w:tc>
        <w:tc>
          <w:tcPr>
            <w:tcW w:w="189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widowControl w:val="0"/>
              <w:spacing w:after="0"/>
              <w:ind w:firstLine="66"/>
              <w:contextualSpacing/>
              <w:jc w:val="center"/>
              <w:rPr>
                <w:rFonts w:ascii="Times New Roman" w:hAnsi="Times New Roman" w:cs="Times New Roman"/>
              </w:rPr>
            </w:pPr>
            <w:r>
              <w:rPr>
                <w:rFonts w:ascii="Times New Roman" w:eastAsia="NSimSun" w:hAnsi="Times New Roman" w:cs="Times New Roman"/>
                <w:bCs/>
                <w:color w:val="000000"/>
                <w:kern w:val="2"/>
                <w:lang w:eastAsia="zh-CN" w:bidi="hi-IN"/>
              </w:rPr>
              <w:t>Відсоток виконаних інвестицій, %</w:t>
            </w:r>
          </w:p>
        </w:tc>
      </w:tr>
      <w:tr w:rsidR="00D227E2">
        <w:trPr>
          <w:jc w:val="center"/>
        </w:trPr>
        <w:tc>
          <w:tcPr>
            <w:tcW w:w="964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rPr>
                <w:rFonts w:ascii="Times New Roman" w:hAnsi="Times New Roman" w:cs="Times New Roman"/>
              </w:rPr>
            </w:pPr>
            <w:r>
              <w:rPr>
                <w:rFonts w:ascii="Times New Roman" w:eastAsia="NSimSun" w:hAnsi="Times New Roman" w:cs="Times New Roman"/>
                <w:kern w:val="2"/>
                <w:lang w:eastAsia="zh-CN" w:bidi="hi-IN"/>
              </w:rPr>
              <w:t>Будівлі, обладнання/об'єкти</w:t>
            </w:r>
          </w:p>
        </w:tc>
      </w:tr>
      <w:tr w:rsidR="00D227E2">
        <w:trPr>
          <w:jc w:val="center"/>
        </w:trPr>
        <w:tc>
          <w:tcPr>
            <w:tcW w:w="3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rPr>
                <w:rFonts w:ascii="Times New Roman" w:hAnsi="Times New Roman" w:cs="Times New Roman"/>
              </w:rPr>
            </w:pPr>
            <w:r>
              <w:rPr>
                <w:rFonts w:ascii="Times New Roman" w:eastAsia="NSimSun" w:hAnsi="Times New Roman" w:cs="Times New Roman"/>
                <w:kern w:val="2"/>
                <w:lang w:eastAsia="zh-CN" w:bidi="hi-IN"/>
              </w:rPr>
              <w:t>1. Муніципальні будівлі, обладнання/об'єкти</w:t>
            </w:r>
          </w:p>
        </w:tc>
        <w:tc>
          <w:tcPr>
            <w:tcW w:w="2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jc w:val="center"/>
              <w:rPr>
                <w:rFonts w:ascii="Times New Roman" w:eastAsia="NSimSun" w:hAnsi="Times New Roman" w:cs="Times New Roman"/>
                <w:kern w:val="2"/>
                <w:lang w:eastAsia="zh-CN" w:bidi="hi-IN"/>
              </w:rPr>
            </w:pPr>
            <w:r>
              <w:rPr>
                <w:rFonts w:ascii="Times New Roman" w:eastAsia="NSimSun" w:hAnsi="Times New Roman" w:cs="Times New Roman"/>
                <w:kern w:val="2"/>
                <w:lang w:eastAsia="zh-CN" w:bidi="hi-IN"/>
              </w:rPr>
              <w:t>1 175 226,3</w:t>
            </w:r>
          </w:p>
        </w:tc>
        <w:tc>
          <w:tcPr>
            <w:tcW w:w="2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jc w:val="center"/>
              <w:rPr>
                <w:rFonts w:ascii="Times New Roman" w:eastAsia="NSimSun" w:hAnsi="Times New Roman" w:cs="Times New Roman"/>
                <w:kern w:val="2"/>
                <w:lang w:eastAsia="zh-CN" w:bidi="hi-IN"/>
              </w:rPr>
            </w:pPr>
            <w:r>
              <w:rPr>
                <w:rFonts w:ascii="Times New Roman" w:eastAsia="NSimSun" w:hAnsi="Times New Roman" w:cs="Times New Roman"/>
                <w:kern w:val="2"/>
                <w:lang w:eastAsia="zh-CN" w:bidi="hi-IN"/>
              </w:rPr>
              <w:t>1 236 219,7</w:t>
            </w:r>
          </w:p>
        </w:tc>
        <w:tc>
          <w:tcPr>
            <w:tcW w:w="1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jc w:val="center"/>
              <w:rPr>
                <w:rFonts w:ascii="Times New Roman" w:eastAsia="NSimSun" w:hAnsi="Times New Roman" w:cs="Times New Roman"/>
                <w:kern w:val="2"/>
                <w:lang w:eastAsia="zh-CN" w:bidi="hi-IN"/>
              </w:rPr>
            </w:pPr>
            <w:r>
              <w:rPr>
                <w:rFonts w:ascii="Times New Roman" w:eastAsia="NSimSun" w:hAnsi="Times New Roman" w:cs="Times New Roman"/>
                <w:kern w:val="2"/>
                <w:lang w:eastAsia="zh-CN" w:bidi="hi-IN"/>
              </w:rPr>
              <w:t>95,1%</w:t>
            </w:r>
          </w:p>
        </w:tc>
      </w:tr>
      <w:tr w:rsidR="00D227E2">
        <w:trPr>
          <w:jc w:val="center"/>
        </w:trPr>
        <w:tc>
          <w:tcPr>
            <w:tcW w:w="3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rPr>
                <w:rFonts w:ascii="Times New Roman" w:hAnsi="Times New Roman" w:cs="Times New Roman"/>
              </w:rPr>
            </w:pPr>
            <w:r>
              <w:rPr>
                <w:rFonts w:ascii="Times New Roman" w:eastAsia="NSimSun" w:hAnsi="Times New Roman" w:cs="Times New Roman"/>
                <w:kern w:val="2"/>
                <w:lang w:eastAsia="zh-CN" w:bidi="hi-IN"/>
              </w:rPr>
              <w:t>2. Муніципальне зовнішнє  освітлення</w:t>
            </w:r>
          </w:p>
        </w:tc>
        <w:tc>
          <w:tcPr>
            <w:tcW w:w="2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jc w:val="center"/>
              <w:rPr>
                <w:rFonts w:ascii="Times New Roman" w:eastAsia="NSimSun" w:hAnsi="Times New Roman" w:cs="Times New Roman"/>
                <w:kern w:val="2"/>
                <w:lang w:eastAsia="zh-CN" w:bidi="hi-IN"/>
              </w:rPr>
            </w:pPr>
            <w:r>
              <w:rPr>
                <w:rFonts w:ascii="Times New Roman" w:eastAsia="NSimSun" w:hAnsi="Times New Roman" w:cs="Times New Roman"/>
                <w:kern w:val="2"/>
                <w:lang w:eastAsia="zh-CN" w:bidi="hi-IN"/>
              </w:rPr>
              <w:t>33 392,6</w:t>
            </w:r>
          </w:p>
        </w:tc>
        <w:tc>
          <w:tcPr>
            <w:tcW w:w="2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jc w:val="center"/>
              <w:rPr>
                <w:rFonts w:ascii="Times New Roman" w:eastAsia="NSimSun" w:hAnsi="Times New Roman" w:cs="Times New Roman"/>
                <w:kern w:val="2"/>
                <w:lang w:eastAsia="zh-CN" w:bidi="hi-IN"/>
              </w:rPr>
            </w:pPr>
            <w:r>
              <w:rPr>
                <w:rFonts w:ascii="Times New Roman" w:eastAsia="NSimSun" w:hAnsi="Times New Roman" w:cs="Times New Roman"/>
                <w:kern w:val="2"/>
                <w:lang w:eastAsia="zh-CN" w:bidi="hi-IN"/>
              </w:rPr>
              <w:t>33 392,6</w:t>
            </w:r>
          </w:p>
        </w:tc>
        <w:tc>
          <w:tcPr>
            <w:tcW w:w="1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jc w:val="center"/>
              <w:rPr>
                <w:rFonts w:ascii="Times New Roman" w:eastAsia="NSimSun" w:hAnsi="Times New Roman" w:cs="Times New Roman"/>
                <w:kern w:val="2"/>
                <w:lang w:eastAsia="zh-CN" w:bidi="hi-IN"/>
              </w:rPr>
            </w:pPr>
            <w:r>
              <w:rPr>
                <w:rFonts w:ascii="Times New Roman" w:eastAsia="NSimSun" w:hAnsi="Times New Roman" w:cs="Times New Roman"/>
                <w:kern w:val="2"/>
                <w:lang w:eastAsia="zh-CN" w:bidi="hi-IN"/>
              </w:rPr>
              <w:t>100%</w:t>
            </w:r>
          </w:p>
        </w:tc>
      </w:tr>
      <w:tr w:rsidR="00D227E2">
        <w:trPr>
          <w:jc w:val="center"/>
        </w:trPr>
        <w:tc>
          <w:tcPr>
            <w:tcW w:w="3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rPr>
                <w:rFonts w:ascii="Times New Roman" w:hAnsi="Times New Roman" w:cs="Times New Roman"/>
              </w:rPr>
            </w:pPr>
            <w:r>
              <w:rPr>
                <w:rFonts w:ascii="Times New Roman" w:eastAsia="NSimSun" w:hAnsi="Times New Roman" w:cs="Times New Roman"/>
                <w:kern w:val="2"/>
                <w:lang w:eastAsia="zh-CN" w:bidi="hi-IN"/>
              </w:rPr>
              <w:t>3. Житлові будівлі</w:t>
            </w:r>
          </w:p>
        </w:tc>
        <w:tc>
          <w:tcPr>
            <w:tcW w:w="2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jc w:val="center"/>
              <w:rPr>
                <w:rFonts w:ascii="Times New Roman" w:eastAsia="NSimSun" w:hAnsi="Times New Roman" w:cs="Times New Roman"/>
                <w:kern w:val="2"/>
                <w:lang w:eastAsia="zh-CN" w:bidi="hi-IN"/>
              </w:rPr>
            </w:pPr>
            <w:r>
              <w:rPr>
                <w:rFonts w:ascii="Times New Roman" w:eastAsia="NSimSun" w:hAnsi="Times New Roman" w:cs="Times New Roman"/>
                <w:kern w:val="2"/>
                <w:lang w:eastAsia="zh-CN" w:bidi="hi-IN"/>
              </w:rPr>
              <w:t>1 248 359,1</w:t>
            </w:r>
          </w:p>
        </w:tc>
        <w:tc>
          <w:tcPr>
            <w:tcW w:w="2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jc w:val="center"/>
              <w:rPr>
                <w:rFonts w:ascii="Times New Roman" w:eastAsia="NSimSun" w:hAnsi="Times New Roman" w:cs="Times New Roman"/>
                <w:kern w:val="2"/>
                <w:lang w:eastAsia="zh-CN" w:bidi="hi-IN"/>
              </w:rPr>
            </w:pPr>
            <w:r>
              <w:rPr>
                <w:rFonts w:ascii="Times New Roman" w:eastAsia="NSimSun" w:hAnsi="Times New Roman" w:cs="Times New Roman"/>
                <w:kern w:val="2"/>
                <w:lang w:eastAsia="zh-CN" w:bidi="hi-IN"/>
              </w:rPr>
              <w:t>3 444 759,1</w:t>
            </w:r>
          </w:p>
        </w:tc>
        <w:tc>
          <w:tcPr>
            <w:tcW w:w="1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jc w:val="center"/>
              <w:rPr>
                <w:rFonts w:ascii="Times New Roman" w:eastAsia="NSimSun" w:hAnsi="Times New Roman" w:cs="Times New Roman"/>
                <w:kern w:val="2"/>
                <w:lang w:eastAsia="zh-CN" w:bidi="hi-IN"/>
              </w:rPr>
            </w:pPr>
            <w:r>
              <w:rPr>
                <w:rFonts w:ascii="Times New Roman" w:eastAsia="NSimSun" w:hAnsi="Times New Roman" w:cs="Times New Roman"/>
                <w:kern w:val="2"/>
                <w:lang w:eastAsia="zh-CN" w:bidi="hi-IN"/>
              </w:rPr>
              <w:t>36,2%</w:t>
            </w:r>
          </w:p>
        </w:tc>
      </w:tr>
      <w:tr w:rsidR="00D227E2">
        <w:trPr>
          <w:jc w:val="center"/>
        </w:trPr>
        <w:tc>
          <w:tcPr>
            <w:tcW w:w="3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rPr>
                <w:rFonts w:ascii="Times New Roman" w:hAnsi="Times New Roman" w:cs="Times New Roman"/>
              </w:rPr>
            </w:pPr>
            <w:r>
              <w:rPr>
                <w:rFonts w:ascii="Times New Roman" w:eastAsia="NSimSun" w:hAnsi="Times New Roman" w:cs="Times New Roman"/>
                <w:kern w:val="2"/>
                <w:lang w:eastAsia="zh-CN" w:bidi="hi-IN"/>
              </w:rPr>
              <w:t>4. Третинні будівлі, обладнання/об’єкти</w:t>
            </w:r>
          </w:p>
        </w:tc>
        <w:tc>
          <w:tcPr>
            <w:tcW w:w="2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jc w:val="center"/>
              <w:rPr>
                <w:rFonts w:ascii="Times New Roman" w:eastAsia="NSimSun" w:hAnsi="Times New Roman" w:cs="Times New Roman"/>
                <w:kern w:val="2"/>
                <w:lang w:eastAsia="zh-CN" w:bidi="hi-IN"/>
              </w:rPr>
            </w:pPr>
            <w:r>
              <w:rPr>
                <w:rFonts w:ascii="Times New Roman" w:eastAsia="NSimSun" w:hAnsi="Times New Roman" w:cs="Times New Roman"/>
                <w:kern w:val="2"/>
                <w:lang w:eastAsia="zh-CN" w:bidi="hi-IN"/>
              </w:rPr>
              <w:t>218,0</w:t>
            </w:r>
          </w:p>
        </w:tc>
        <w:tc>
          <w:tcPr>
            <w:tcW w:w="2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jc w:val="center"/>
              <w:rPr>
                <w:rFonts w:ascii="Times New Roman" w:eastAsia="NSimSun" w:hAnsi="Times New Roman" w:cs="Times New Roman"/>
                <w:kern w:val="2"/>
                <w:lang w:eastAsia="zh-CN" w:bidi="hi-IN"/>
              </w:rPr>
            </w:pPr>
            <w:r>
              <w:rPr>
                <w:rFonts w:ascii="Times New Roman" w:eastAsia="NSimSun" w:hAnsi="Times New Roman" w:cs="Times New Roman"/>
                <w:kern w:val="2"/>
                <w:lang w:eastAsia="zh-CN" w:bidi="hi-IN"/>
              </w:rPr>
              <w:t>368,0</w:t>
            </w:r>
          </w:p>
        </w:tc>
        <w:tc>
          <w:tcPr>
            <w:tcW w:w="1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jc w:val="center"/>
              <w:rPr>
                <w:rFonts w:ascii="Times New Roman" w:eastAsia="NSimSun" w:hAnsi="Times New Roman" w:cs="Times New Roman"/>
                <w:kern w:val="2"/>
                <w:lang w:eastAsia="zh-CN" w:bidi="hi-IN"/>
              </w:rPr>
            </w:pPr>
            <w:r>
              <w:rPr>
                <w:rFonts w:ascii="Times New Roman" w:eastAsia="NSimSun" w:hAnsi="Times New Roman" w:cs="Times New Roman"/>
                <w:kern w:val="2"/>
                <w:lang w:eastAsia="zh-CN" w:bidi="hi-IN"/>
              </w:rPr>
              <w:t>0,0%</w:t>
            </w:r>
          </w:p>
        </w:tc>
      </w:tr>
      <w:tr w:rsidR="00D227E2">
        <w:trPr>
          <w:jc w:val="center"/>
        </w:trPr>
        <w:tc>
          <w:tcPr>
            <w:tcW w:w="964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rPr>
                <w:rFonts w:ascii="Times New Roman" w:hAnsi="Times New Roman" w:cs="Times New Roman"/>
              </w:rPr>
            </w:pPr>
            <w:r>
              <w:rPr>
                <w:rFonts w:ascii="Times New Roman" w:eastAsia="NSimSun" w:hAnsi="Times New Roman" w:cs="Times New Roman"/>
                <w:kern w:val="2"/>
                <w:lang w:eastAsia="zh-CN" w:bidi="hi-IN"/>
              </w:rPr>
              <w:t>Транспорт</w:t>
            </w:r>
          </w:p>
        </w:tc>
      </w:tr>
      <w:tr w:rsidR="00D227E2">
        <w:trPr>
          <w:jc w:val="center"/>
        </w:trPr>
        <w:tc>
          <w:tcPr>
            <w:tcW w:w="3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rPr>
                <w:rFonts w:ascii="Times New Roman" w:hAnsi="Times New Roman" w:cs="Times New Roman"/>
              </w:rPr>
            </w:pPr>
            <w:r>
              <w:rPr>
                <w:rFonts w:ascii="Times New Roman" w:eastAsia="NSimSun" w:hAnsi="Times New Roman" w:cs="Times New Roman"/>
                <w:kern w:val="2"/>
                <w:lang w:eastAsia="zh-CN" w:bidi="hi-IN"/>
              </w:rPr>
              <w:t>5. Транспорт</w:t>
            </w:r>
          </w:p>
        </w:tc>
        <w:tc>
          <w:tcPr>
            <w:tcW w:w="2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jc w:val="center"/>
              <w:rPr>
                <w:rFonts w:ascii="Times New Roman" w:eastAsia="NSimSun" w:hAnsi="Times New Roman" w:cs="Times New Roman"/>
                <w:kern w:val="2"/>
                <w:lang w:eastAsia="zh-CN" w:bidi="hi-IN"/>
              </w:rPr>
            </w:pPr>
            <w:r>
              <w:rPr>
                <w:rFonts w:ascii="Times New Roman" w:eastAsia="NSimSun" w:hAnsi="Times New Roman" w:cs="Times New Roman"/>
                <w:kern w:val="2"/>
                <w:lang w:eastAsia="zh-CN" w:bidi="hi-IN"/>
              </w:rPr>
              <w:t>412 984,9</w:t>
            </w:r>
          </w:p>
        </w:tc>
        <w:tc>
          <w:tcPr>
            <w:tcW w:w="2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jc w:val="center"/>
              <w:rPr>
                <w:rFonts w:ascii="Times New Roman" w:eastAsia="NSimSun" w:hAnsi="Times New Roman" w:cs="Times New Roman"/>
                <w:kern w:val="2"/>
                <w:lang w:eastAsia="zh-CN" w:bidi="hi-IN"/>
              </w:rPr>
            </w:pPr>
            <w:r>
              <w:rPr>
                <w:rFonts w:ascii="Times New Roman" w:eastAsia="NSimSun" w:hAnsi="Times New Roman" w:cs="Times New Roman"/>
                <w:kern w:val="2"/>
                <w:lang w:eastAsia="zh-CN" w:bidi="hi-IN"/>
              </w:rPr>
              <w:t>554 984,9</w:t>
            </w:r>
          </w:p>
        </w:tc>
        <w:tc>
          <w:tcPr>
            <w:tcW w:w="1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jc w:val="center"/>
              <w:rPr>
                <w:rFonts w:ascii="Times New Roman" w:eastAsia="NSimSun" w:hAnsi="Times New Roman" w:cs="Times New Roman"/>
                <w:kern w:val="2"/>
                <w:lang w:eastAsia="zh-CN" w:bidi="hi-IN"/>
              </w:rPr>
            </w:pPr>
            <w:r>
              <w:rPr>
                <w:rFonts w:ascii="Times New Roman" w:eastAsia="NSimSun" w:hAnsi="Times New Roman" w:cs="Times New Roman"/>
                <w:kern w:val="2"/>
                <w:lang w:eastAsia="zh-CN" w:bidi="hi-IN"/>
              </w:rPr>
              <w:t>74,4%</w:t>
            </w:r>
          </w:p>
        </w:tc>
      </w:tr>
      <w:tr w:rsidR="00D227E2">
        <w:trPr>
          <w:jc w:val="center"/>
        </w:trPr>
        <w:tc>
          <w:tcPr>
            <w:tcW w:w="964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rPr>
                <w:rFonts w:ascii="Times New Roman" w:hAnsi="Times New Roman" w:cs="Times New Roman"/>
              </w:rPr>
            </w:pPr>
            <w:r>
              <w:rPr>
                <w:rFonts w:ascii="Times New Roman" w:eastAsia="NSimSun" w:hAnsi="Times New Roman" w:cs="Times New Roman"/>
                <w:kern w:val="2"/>
                <w:lang w:eastAsia="zh-CN" w:bidi="hi-IN"/>
              </w:rPr>
              <w:t>Місцеве виробництво енергії</w:t>
            </w:r>
          </w:p>
        </w:tc>
      </w:tr>
      <w:tr w:rsidR="00D227E2">
        <w:trPr>
          <w:jc w:val="center"/>
        </w:trPr>
        <w:tc>
          <w:tcPr>
            <w:tcW w:w="3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rPr>
                <w:rFonts w:ascii="Times New Roman" w:hAnsi="Times New Roman" w:cs="Times New Roman"/>
              </w:rPr>
            </w:pPr>
            <w:r>
              <w:rPr>
                <w:rFonts w:ascii="Times New Roman" w:eastAsia="NSimSun" w:hAnsi="Times New Roman" w:cs="Times New Roman"/>
                <w:kern w:val="2"/>
                <w:lang w:eastAsia="zh-CN" w:bidi="hi-IN"/>
              </w:rPr>
              <w:t>6.Місцеве виробництво електроенергії</w:t>
            </w:r>
          </w:p>
        </w:tc>
        <w:tc>
          <w:tcPr>
            <w:tcW w:w="2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jc w:val="center"/>
              <w:rPr>
                <w:rFonts w:ascii="Times New Roman" w:eastAsia="NSimSun" w:hAnsi="Times New Roman" w:cs="Times New Roman"/>
                <w:kern w:val="2"/>
                <w:lang w:eastAsia="zh-CN" w:bidi="hi-IN"/>
              </w:rPr>
            </w:pPr>
            <w:r>
              <w:rPr>
                <w:rFonts w:ascii="Times New Roman" w:eastAsia="NSimSun" w:hAnsi="Times New Roman" w:cs="Times New Roman"/>
                <w:kern w:val="2"/>
                <w:lang w:eastAsia="zh-CN" w:bidi="hi-IN"/>
              </w:rPr>
              <w:t>0,0</w:t>
            </w:r>
          </w:p>
        </w:tc>
        <w:tc>
          <w:tcPr>
            <w:tcW w:w="2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jc w:val="center"/>
              <w:rPr>
                <w:rFonts w:ascii="Times New Roman" w:eastAsia="NSimSun" w:hAnsi="Times New Roman" w:cs="Times New Roman"/>
                <w:kern w:val="2"/>
                <w:lang w:eastAsia="zh-CN" w:bidi="hi-IN"/>
              </w:rPr>
            </w:pPr>
            <w:r>
              <w:rPr>
                <w:rFonts w:ascii="Times New Roman" w:eastAsia="NSimSun" w:hAnsi="Times New Roman" w:cs="Times New Roman"/>
                <w:kern w:val="2"/>
                <w:lang w:eastAsia="zh-CN" w:bidi="hi-IN"/>
              </w:rPr>
              <w:t>195 500,0</w:t>
            </w:r>
          </w:p>
        </w:tc>
        <w:tc>
          <w:tcPr>
            <w:tcW w:w="1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jc w:val="center"/>
              <w:rPr>
                <w:rFonts w:ascii="Times New Roman" w:eastAsia="NSimSun" w:hAnsi="Times New Roman" w:cs="Times New Roman"/>
                <w:kern w:val="2"/>
                <w:lang w:eastAsia="zh-CN" w:bidi="hi-IN"/>
              </w:rPr>
            </w:pPr>
            <w:r>
              <w:rPr>
                <w:rFonts w:ascii="Times New Roman" w:eastAsia="NSimSun" w:hAnsi="Times New Roman" w:cs="Times New Roman"/>
                <w:kern w:val="2"/>
                <w:lang w:eastAsia="zh-CN" w:bidi="hi-IN"/>
              </w:rPr>
              <w:t>0,0%</w:t>
            </w:r>
          </w:p>
        </w:tc>
      </w:tr>
      <w:tr w:rsidR="00D227E2">
        <w:trPr>
          <w:jc w:val="center"/>
        </w:trPr>
        <w:tc>
          <w:tcPr>
            <w:tcW w:w="3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rPr>
                <w:rFonts w:ascii="Times New Roman" w:hAnsi="Times New Roman" w:cs="Times New Roman"/>
              </w:rPr>
            </w:pPr>
            <w:r>
              <w:rPr>
                <w:rFonts w:ascii="Times New Roman" w:eastAsia="NSimSun" w:hAnsi="Times New Roman" w:cs="Times New Roman"/>
                <w:kern w:val="2"/>
                <w:lang w:eastAsia="zh-CN" w:bidi="hi-IN"/>
              </w:rPr>
              <w:t>7. Місцеве виробництво тепла/холоду</w:t>
            </w:r>
          </w:p>
        </w:tc>
        <w:tc>
          <w:tcPr>
            <w:tcW w:w="2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jc w:val="center"/>
              <w:rPr>
                <w:rFonts w:ascii="Times New Roman" w:eastAsia="NSimSun" w:hAnsi="Times New Roman" w:cs="Times New Roman"/>
                <w:kern w:val="2"/>
                <w:lang w:eastAsia="zh-CN" w:bidi="hi-IN"/>
              </w:rPr>
            </w:pPr>
            <w:r>
              <w:rPr>
                <w:rFonts w:ascii="Times New Roman" w:eastAsia="NSimSun" w:hAnsi="Times New Roman" w:cs="Times New Roman"/>
                <w:kern w:val="2"/>
                <w:lang w:eastAsia="zh-CN" w:bidi="hi-IN"/>
              </w:rPr>
              <w:t>252 919,7</w:t>
            </w:r>
          </w:p>
        </w:tc>
        <w:tc>
          <w:tcPr>
            <w:tcW w:w="2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jc w:val="center"/>
              <w:rPr>
                <w:rFonts w:ascii="Times New Roman" w:eastAsia="NSimSun" w:hAnsi="Times New Roman" w:cs="Times New Roman"/>
                <w:kern w:val="2"/>
                <w:lang w:eastAsia="zh-CN" w:bidi="hi-IN"/>
              </w:rPr>
            </w:pPr>
            <w:r>
              <w:rPr>
                <w:rFonts w:ascii="Times New Roman" w:eastAsia="NSimSun" w:hAnsi="Times New Roman" w:cs="Times New Roman"/>
                <w:kern w:val="2"/>
                <w:lang w:eastAsia="zh-CN" w:bidi="hi-IN"/>
              </w:rPr>
              <w:t>259 341,5</w:t>
            </w:r>
          </w:p>
        </w:tc>
        <w:tc>
          <w:tcPr>
            <w:tcW w:w="1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jc w:val="center"/>
              <w:rPr>
                <w:rFonts w:ascii="Times New Roman" w:eastAsia="NSimSun" w:hAnsi="Times New Roman" w:cs="Times New Roman"/>
                <w:kern w:val="2"/>
                <w:lang w:eastAsia="zh-CN" w:bidi="hi-IN"/>
              </w:rPr>
            </w:pPr>
            <w:r>
              <w:rPr>
                <w:rFonts w:ascii="Times New Roman" w:eastAsia="NSimSun" w:hAnsi="Times New Roman" w:cs="Times New Roman"/>
                <w:kern w:val="2"/>
                <w:lang w:eastAsia="zh-CN" w:bidi="hi-IN"/>
              </w:rPr>
              <w:t>97,5%</w:t>
            </w:r>
          </w:p>
        </w:tc>
      </w:tr>
      <w:tr w:rsidR="00D227E2">
        <w:trPr>
          <w:jc w:val="center"/>
        </w:trPr>
        <w:tc>
          <w:tcPr>
            <w:tcW w:w="964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rPr>
                <w:rFonts w:ascii="Times New Roman" w:hAnsi="Times New Roman" w:cs="Times New Roman"/>
              </w:rPr>
            </w:pPr>
            <w:r>
              <w:rPr>
                <w:rFonts w:ascii="Times New Roman" w:eastAsia="NSimSun" w:hAnsi="Times New Roman" w:cs="Times New Roman"/>
                <w:kern w:val="2"/>
                <w:lang w:eastAsia="zh-CN" w:bidi="hi-IN"/>
              </w:rPr>
              <w:t>Сектори, що не пов’язані з енергетикою</w:t>
            </w:r>
          </w:p>
        </w:tc>
      </w:tr>
      <w:tr w:rsidR="00D227E2">
        <w:trPr>
          <w:jc w:val="center"/>
        </w:trPr>
        <w:tc>
          <w:tcPr>
            <w:tcW w:w="3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rPr>
                <w:rFonts w:ascii="Times New Roman" w:hAnsi="Times New Roman" w:cs="Times New Roman"/>
              </w:rPr>
            </w:pPr>
            <w:r>
              <w:rPr>
                <w:rFonts w:ascii="Times New Roman" w:eastAsia="NSimSun" w:hAnsi="Times New Roman" w:cs="Times New Roman"/>
                <w:kern w:val="2"/>
                <w:lang w:eastAsia="zh-CN" w:bidi="hi-IN"/>
              </w:rPr>
              <w:t>8. Управління відходами</w:t>
            </w:r>
          </w:p>
        </w:tc>
        <w:tc>
          <w:tcPr>
            <w:tcW w:w="2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jc w:val="center"/>
              <w:rPr>
                <w:rFonts w:ascii="Times New Roman" w:eastAsia="NSimSun" w:hAnsi="Times New Roman" w:cs="Times New Roman"/>
                <w:kern w:val="2"/>
                <w:lang w:eastAsia="zh-CN" w:bidi="hi-IN"/>
              </w:rPr>
            </w:pPr>
            <w:r>
              <w:rPr>
                <w:rFonts w:ascii="Times New Roman" w:eastAsia="NSimSun" w:hAnsi="Times New Roman" w:cs="Times New Roman"/>
                <w:kern w:val="2"/>
                <w:lang w:eastAsia="zh-CN" w:bidi="hi-IN"/>
              </w:rPr>
              <w:t>10 000,0</w:t>
            </w:r>
          </w:p>
        </w:tc>
        <w:tc>
          <w:tcPr>
            <w:tcW w:w="2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jc w:val="center"/>
              <w:rPr>
                <w:rFonts w:ascii="Times New Roman" w:eastAsia="NSimSun" w:hAnsi="Times New Roman" w:cs="Times New Roman"/>
                <w:kern w:val="2"/>
                <w:lang w:eastAsia="zh-CN" w:bidi="hi-IN"/>
              </w:rPr>
            </w:pPr>
            <w:r>
              <w:rPr>
                <w:rFonts w:ascii="Times New Roman" w:eastAsia="NSimSun" w:hAnsi="Times New Roman" w:cs="Times New Roman"/>
                <w:kern w:val="2"/>
                <w:lang w:eastAsia="zh-CN" w:bidi="hi-IN"/>
              </w:rPr>
              <w:t>11 000,0</w:t>
            </w:r>
          </w:p>
        </w:tc>
        <w:tc>
          <w:tcPr>
            <w:tcW w:w="1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jc w:val="center"/>
              <w:rPr>
                <w:rFonts w:ascii="Times New Roman" w:eastAsia="NSimSun" w:hAnsi="Times New Roman" w:cs="Times New Roman"/>
                <w:kern w:val="2"/>
                <w:lang w:eastAsia="zh-CN" w:bidi="hi-IN"/>
              </w:rPr>
            </w:pPr>
            <w:r>
              <w:rPr>
                <w:rFonts w:ascii="Times New Roman" w:eastAsia="NSimSun" w:hAnsi="Times New Roman" w:cs="Times New Roman"/>
                <w:kern w:val="2"/>
                <w:lang w:eastAsia="zh-CN" w:bidi="hi-IN"/>
              </w:rPr>
              <w:t>90,9%</w:t>
            </w:r>
          </w:p>
        </w:tc>
      </w:tr>
      <w:tr w:rsidR="00D227E2">
        <w:trPr>
          <w:jc w:val="center"/>
        </w:trPr>
        <w:tc>
          <w:tcPr>
            <w:tcW w:w="3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rPr>
                <w:rFonts w:ascii="Times New Roman" w:hAnsi="Times New Roman" w:cs="Times New Roman"/>
              </w:rPr>
            </w:pPr>
            <w:r>
              <w:rPr>
                <w:rFonts w:ascii="Times New Roman" w:eastAsia="NSimSun" w:hAnsi="Times New Roman" w:cs="Times New Roman"/>
                <w:kern w:val="2"/>
                <w:lang w:eastAsia="zh-CN" w:bidi="hi-IN"/>
              </w:rPr>
              <w:t>9. Очищення та скидання стічних вод</w:t>
            </w:r>
          </w:p>
        </w:tc>
        <w:tc>
          <w:tcPr>
            <w:tcW w:w="2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jc w:val="center"/>
              <w:rPr>
                <w:rFonts w:ascii="Times New Roman" w:eastAsia="NSimSun" w:hAnsi="Times New Roman" w:cs="Times New Roman"/>
                <w:kern w:val="2"/>
                <w:lang w:eastAsia="zh-CN" w:bidi="hi-IN"/>
              </w:rPr>
            </w:pPr>
            <w:r>
              <w:rPr>
                <w:rFonts w:ascii="Times New Roman" w:eastAsia="NSimSun" w:hAnsi="Times New Roman" w:cs="Times New Roman"/>
                <w:kern w:val="2"/>
                <w:lang w:eastAsia="zh-CN" w:bidi="hi-IN"/>
              </w:rPr>
              <w:t>320 000,0</w:t>
            </w:r>
          </w:p>
        </w:tc>
        <w:tc>
          <w:tcPr>
            <w:tcW w:w="2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jc w:val="center"/>
              <w:rPr>
                <w:rFonts w:ascii="Times New Roman" w:eastAsia="NSimSun" w:hAnsi="Times New Roman" w:cs="Times New Roman"/>
                <w:kern w:val="2"/>
                <w:lang w:eastAsia="zh-CN" w:bidi="hi-IN"/>
              </w:rPr>
            </w:pPr>
            <w:r>
              <w:rPr>
                <w:rFonts w:ascii="Times New Roman" w:eastAsia="NSimSun" w:hAnsi="Times New Roman" w:cs="Times New Roman"/>
                <w:kern w:val="2"/>
                <w:lang w:eastAsia="zh-CN" w:bidi="hi-IN"/>
              </w:rPr>
              <w:t>320 000,0</w:t>
            </w:r>
          </w:p>
        </w:tc>
        <w:tc>
          <w:tcPr>
            <w:tcW w:w="1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jc w:val="center"/>
              <w:rPr>
                <w:rFonts w:ascii="Times New Roman" w:eastAsia="NSimSun" w:hAnsi="Times New Roman" w:cs="Times New Roman"/>
                <w:kern w:val="2"/>
                <w:lang w:eastAsia="zh-CN" w:bidi="hi-IN"/>
              </w:rPr>
            </w:pPr>
            <w:r>
              <w:rPr>
                <w:rFonts w:ascii="Times New Roman" w:eastAsia="NSimSun" w:hAnsi="Times New Roman" w:cs="Times New Roman"/>
                <w:kern w:val="2"/>
                <w:lang w:eastAsia="zh-CN" w:bidi="hi-IN"/>
              </w:rPr>
              <w:t>100%</w:t>
            </w:r>
          </w:p>
        </w:tc>
      </w:tr>
      <w:tr w:rsidR="00D227E2">
        <w:trPr>
          <w:jc w:val="center"/>
        </w:trPr>
        <w:tc>
          <w:tcPr>
            <w:tcW w:w="3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rPr>
                <w:rFonts w:ascii="Times New Roman" w:eastAsia="NSimSun" w:hAnsi="Times New Roman" w:cs="Times New Roman"/>
                <w:kern w:val="2"/>
                <w:lang w:eastAsia="zh-CN" w:bidi="hi-IN"/>
              </w:rPr>
            </w:pPr>
            <w:r>
              <w:rPr>
                <w:rFonts w:ascii="Times New Roman" w:eastAsia="NSimSun" w:hAnsi="Times New Roman" w:cs="Times New Roman"/>
                <w:kern w:val="2"/>
                <w:lang w:eastAsia="zh-CN" w:bidi="hi-IN"/>
              </w:rPr>
              <w:t>10. Інші неенергетичні сектори</w:t>
            </w:r>
          </w:p>
        </w:tc>
        <w:tc>
          <w:tcPr>
            <w:tcW w:w="2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jc w:val="center"/>
              <w:rPr>
                <w:rFonts w:ascii="Times New Roman" w:eastAsia="NSimSun" w:hAnsi="Times New Roman" w:cs="Times New Roman"/>
                <w:kern w:val="2"/>
                <w:lang w:eastAsia="zh-CN" w:bidi="hi-IN"/>
              </w:rPr>
            </w:pPr>
            <w:r>
              <w:rPr>
                <w:rFonts w:ascii="Times New Roman" w:eastAsia="NSimSun" w:hAnsi="Times New Roman" w:cs="Times New Roman"/>
                <w:kern w:val="2"/>
                <w:lang w:eastAsia="zh-CN" w:bidi="hi-IN"/>
              </w:rPr>
              <w:t>12 390,0</w:t>
            </w:r>
          </w:p>
        </w:tc>
        <w:tc>
          <w:tcPr>
            <w:tcW w:w="2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jc w:val="center"/>
              <w:rPr>
                <w:rFonts w:ascii="Times New Roman" w:eastAsia="NSimSun" w:hAnsi="Times New Roman" w:cs="Times New Roman"/>
                <w:kern w:val="2"/>
                <w:lang w:eastAsia="zh-CN" w:bidi="hi-IN"/>
              </w:rPr>
            </w:pPr>
            <w:r>
              <w:rPr>
                <w:rFonts w:ascii="Times New Roman" w:eastAsia="NSimSun" w:hAnsi="Times New Roman" w:cs="Times New Roman"/>
                <w:kern w:val="2"/>
                <w:lang w:eastAsia="zh-CN" w:bidi="hi-IN"/>
              </w:rPr>
              <w:t>19 000,0</w:t>
            </w:r>
          </w:p>
        </w:tc>
        <w:tc>
          <w:tcPr>
            <w:tcW w:w="1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jc w:val="center"/>
              <w:rPr>
                <w:rFonts w:ascii="Times New Roman" w:eastAsia="NSimSun" w:hAnsi="Times New Roman" w:cs="Times New Roman"/>
                <w:kern w:val="2"/>
                <w:lang w:eastAsia="zh-CN" w:bidi="hi-IN"/>
              </w:rPr>
            </w:pPr>
            <w:r>
              <w:rPr>
                <w:rFonts w:ascii="Times New Roman" w:eastAsia="NSimSun" w:hAnsi="Times New Roman" w:cs="Times New Roman"/>
                <w:kern w:val="2"/>
                <w:lang w:eastAsia="zh-CN" w:bidi="hi-IN"/>
              </w:rPr>
              <w:t>65,2%</w:t>
            </w:r>
          </w:p>
        </w:tc>
      </w:tr>
      <w:tr w:rsidR="00D227E2">
        <w:trPr>
          <w:jc w:val="center"/>
        </w:trPr>
        <w:tc>
          <w:tcPr>
            <w:tcW w:w="3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rPr>
                <w:rFonts w:ascii="Times New Roman" w:hAnsi="Times New Roman" w:cs="Times New Roman"/>
              </w:rPr>
            </w:pPr>
            <w:r>
              <w:rPr>
                <w:rFonts w:ascii="Times New Roman" w:eastAsia="NSimSun" w:hAnsi="Times New Roman" w:cs="Times New Roman"/>
                <w:kern w:val="2"/>
                <w:lang w:eastAsia="zh-CN" w:bidi="hi-IN"/>
              </w:rPr>
              <w:t>Всього</w:t>
            </w:r>
          </w:p>
        </w:tc>
        <w:tc>
          <w:tcPr>
            <w:tcW w:w="2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jc w:val="center"/>
              <w:rPr>
                <w:rFonts w:ascii="Times New Roman" w:eastAsia="NSimSun" w:hAnsi="Times New Roman" w:cs="Times New Roman"/>
                <w:kern w:val="2"/>
                <w:lang w:eastAsia="zh-CN" w:bidi="hi-IN"/>
              </w:rPr>
            </w:pPr>
            <w:r>
              <w:rPr>
                <w:rFonts w:ascii="Times New Roman" w:eastAsia="NSimSun" w:hAnsi="Times New Roman" w:cs="Times New Roman"/>
                <w:kern w:val="2"/>
                <w:lang w:eastAsia="zh-CN" w:bidi="hi-IN"/>
              </w:rPr>
              <w:t>3 465 490,5</w:t>
            </w:r>
          </w:p>
        </w:tc>
        <w:tc>
          <w:tcPr>
            <w:tcW w:w="2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jc w:val="center"/>
              <w:rPr>
                <w:rFonts w:ascii="Times New Roman" w:eastAsia="NSimSun" w:hAnsi="Times New Roman" w:cs="Times New Roman"/>
                <w:kern w:val="2"/>
                <w:lang w:eastAsia="zh-CN" w:bidi="hi-IN"/>
              </w:rPr>
            </w:pPr>
            <w:r>
              <w:rPr>
                <w:rFonts w:ascii="Times New Roman" w:eastAsia="NSimSun" w:hAnsi="Times New Roman" w:cs="Times New Roman"/>
                <w:kern w:val="2"/>
                <w:lang w:eastAsia="zh-CN" w:bidi="hi-IN"/>
              </w:rPr>
              <w:t>6 074 565,8</w:t>
            </w:r>
          </w:p>
        </w:tc>
        <w:tc>
          <w:tcPr>
            <w:tcW w:w="1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widowControl w:val="0"/>
              <w:spacing w:after="0"/>
              <w:ind w:firstLine="66"/>
              <w:contextualSpacing/>
              <w:jc w:val="center"/>
              <w:rPr>
                <w:rFonts w:ascii="Times New Roman" w:eastAsia="NSimSun" w:hAnsi="Times New Roman" w:cs="Times New Roman"/>
                <w:kern w:val="2"/>
                <w:lang w:eastAsia="zh-CN" w:bidi="hi-IN"/>
              </w:rPr>
            </w:pPr>
            <w:r>
              <w:rPr>
                <w:rFonts w:ascii="Times New Roman" w:eastAsia="NSimSun" w:hAnsi="Times New Roman" w:cs="Times New Roman"/>
                <w:kern w:val="2"/>
                <w:lang w:eastAsia="zh-CN" w:bidi="hi-IN"/>
              </w:rPr>
              <w:t>57%</w:t>
            </w:r>
          </w:p>
        </w:tc>
      </w:tr>
    </w:tbl>
    <w:p w:rsidR="00D227E2" w:rsidRDefault="00D227E2">
      <w:pPr>
        <w:widowControl w:val="0"/>
        <w:spacing w:after="0" w:line="240" w:lineRule="auto"/>
        <w:jc w:val="right"/>
        <w:rPr>
          <w:rFonts w:ascii="Times New Roman" w:eastAsia="Times New Roman" w:hAnsi="Times New Roman" w:cs="Times New Roman"/>
          <w:color w:val="000000"/>
          <w:sz w:val="24"/>
          <w:szCs w:val="24"/>
          <w:lang w:eastAsia="ru-RU"/>
        </w:rPr>
      </w:pPr>
    </w:p>
    <w:p w:rsidR="0096730C" w:rsidRDefault="0096730C">
      <w:pPr>
        <w:widowControl w:val="0"/>
        <w:spacing w:after="0" w:line="240" w:lineRule="auto"/>
        <w:jc w:val="right"/>
        <w:rPr>
          <w:rFonts w:ascii="Times New Roman" w:eastAsia="Times New Roman" w:hAnsi="Times New Roman" w:cs="Times New Roman"/>
          <w:color w:val="000000"/>
          <w:sz w:val="24"/>
          <w:szCs w:val="24"/>
          <w:lang w:eastAsia="ru-RU"/>
        </w:rPr>
      </w:pPr>
    </w:p>
    <w:p w:rsidR="0096730C" w:rsidRDefault="0096730C" w:rsidP="0096730C">
      <w:pPr>
        <w:spacing w:after="0" w:line="240" w:lineRule="auto"/>
        <w:rPr>
          <w:rFonts w:ascii="Times New Roman" w:eastAsia="Times New Roman" w:hAnsi="Times New Roman" w:cs="Times New Roman"/>
          <w:sz w:val="28"/>
          <w:szCs w:val="24"/>
          <w:lang w:eastAsia="ru-RU"/>
        </w:rPr>
      </w:pPr>
    </w:p>
    <w:p w:rsidR="0096730C" w:rsidRDefault="0096730C" w:rsidP="0096730C">
      <w:pPr>
        <w:spacing w:after="0" w:line="240" w:lineRule="auto"/>
        <w:rPr>
          <w:rFonts w:ascii="Times New Roman" w:hAnsi="Times New Roman" w:cs="Times New Roman"/>
        </w:rPr>
      </w:pPr>
      <w:r>
        <w:rPr>
          <w:rFonts w:ascii="Times New Roman" w:eastAsia="Times New Roman" w:hAnsi="Times New Roman" w:cs="Times New Roman"/>
          <w:sz w:val="28"/>
          <w:szCs w:val="24"/>
          <w:lang w:eastAsia="ru-RU"/>
        </w:rPr>
        <w:t>Секретар міської ради                                                         Юрій БЕЗПЯТКО</w:t>
      </w:r>
    </w:p>
    <w:p w:rsidR="0096730C" w:rsidRDefault="0096730C" w:rsidP="0096730C">
      <w:pPr>
        <w:spacing w:after="0" w:line="240" w:lineRule="auto"/>
        <w:jc w:val="both"/>
        <w:rPr>
          <w:rFonts w:ascii="Times New Roman" w:eastAsia="Times New Roman" w:hAnsi="Times New Roman" w:cs="Times New Roman"/>
          <w:sz w:val="16"/>
          <w:szCs w:val="16"/>
          <w:lang w:eastAsia="ru-RU"/>
        </w:rPr>
      </w:pPr>
    </w:p>
    <w:p w:rsidR="0096730C" w:rsidRDefault="0096730C" w:rsidP="0096730C">
      <w:pPr>
        <w:spacing w:after="0" w:line="240" w:lineRule="auto"/>
        <w:jc w:val="both"/>
        <w:rPr>
          <w:rFonts w:ascii="Times New Roman" w:eastAsia="Times New Roman" w:hAnsi="Times New Roman" w:cs="Times New Roman"/>
          <w:sz w:val="20"/>
          <w:szCs w:val="20"/>
          <w:lang w:eastAsia="ru-RU"/>
        </w:rPr>
      </w:pPr>
    </w:p>
    <w:p w:rsidR="0096730C" w:rsidRDefault="0096730C" w:rsidP="0096730C">
      <w:pPr>
        <w:spacing w:after="0" w:line="240" w:lineRule="auto"/>
        <w:rPr>
          <w:rFonts w:ascii="Times New Roman" w:eastAsia="Times New Roman" w:hAnsi="Times New Roman" w:cs="Times New Roman"/>
          <w:sz w:val="20"/>
          <w:szCs w:val="20"/>
          <w:lang w:eastAsia="ru-RU"/>
        </w:rPr>
      </w:pPr>
    </w:p>
    <w:p w:rsidR="0096730C" w:rsidRDefault="0096730C" w:rsidP="0096730C">
      <w:pPr>
        <w:spacing w:after="0" w:line="240" w:lineRule="auto"/>
        <w:rPr>
          <w:rFonts w:ascii="Times New Roman" w:hAnsi="Times New Roman" w:cs="Times New Roman"/>
        </w:rPr>
      </w:pPr>
      <w:r>
        <w:rPr>
          <w:rFonts w:ascii="Times New Roman" w:eastAsia="Times New Roman" w:hAnsi="Times New Roman" w:cs="Times New Roman"/>
          <w:sz w:val="24"/>
          <w:szCs w:val="24"/>
          <w:lang w:eastAsia="ru-RU"/>
        </w:rPr>
        <w:t>Смаль 777 955</w:t>
      </w:r>
    </w:p>
    <w:p w:rsidR="00D227E2" w:rsidRDefault="00934FC4" w:rsidP="0096730C">
      <w:pPr>
        <w:spacing w:after="0" w:line="240" w:lineRule="auto"/>
        <w:jc w:val="right"/>
        <w:rPr>
          <w:rFonts w:ascii="Times New Roman" w:hAnsi="Times New Roman" w:cs="Times New Roman"/>
        </w:rPr>
      </w:pPr>
      <w:r>
        <w:br w:type="page"/>
      </w:r>
      <w:r>
        <w:rPr>
          <w:rFonts w:ascii="Times New Roman" w:eastAsia="Times New Roman" w:hAnsi="Times New Roman" w:cs="Times New Roman"/>
          <w:b/>
          <w:bCs/>
          <w:color w:val="000000"/>
          <w:sz w:val="24"/>
          <w:szCs w:val="24"/>
          <w:lang w:eastAsia="ru-RU"/>
        </w:rPr>
        <w:lastRenderedPageBreak/>
        <w:t>ДОДАТОК 1</w:t>
      </w:r>
    </w:p>
    <w:p w:rsidR="00D227E2" w:rsidRDefault="00934FC4">
      <w:pPr>
        <w:spacing w:after="0"/>
        <w:jc w:val="center"/>
        <w:rPr>
          <w:rFonts w:ascii="Times New Roman" w:hAnsi="Times New Roman" w:cs="Times New Roman"/>
        </w:rPr>
      </w:pPr>
      <w:r>
        <w:rPr>
          <w:rFonts w:ascii="Times New Roman" w:eastAsia="NSimSun" w:hAnsi="Times New Roman" w:cs="Times New Roman"/>
          <w:b/>
          <w:bCs/>
          <w:kern w:val="2"/>
          <w:sz w:val="24"/>
          <w:szCs w:val="24"/>
          <w:shd w:val="clear" w:color="auto" w:fill="FFFFFF"/>
          <w:lang w:eastAsia="zh-CN" w:bidi="hi-IN"/>
        </w:rPr>
        <w:t>Результати опитування щодо енергоспоживання та стану провадження енергоефективних заходів для приватних будинків у сільських населених пунктах Луцької МТГ</w:t>
      </w:r>
    </w:p>
    <w:p w:rsidR="00D227E2" w:rsidRDefault="00934FC4">
      <w:pPr>
        <w:spacing w:after="0"/>
        <w:ind w:firstLine="709"/>
        <w:jc w:val="both"/>
        <w:rPr>
          <w:rFonts w:ascii="Times New Roman" w:hAnsi="Times New Roman" w:cs="Times New Roman"/>
        </w:rPr>
      </w:pPr>
      <w:r>
        <w:rPr>
          <w:rFonts w:ascii="Times New Roman" w:hAnsi="Times New Roman" w:cs="Times New Roman"/>
          <w:sz w:val="24"/>
          <w:szCs w:val="24"/>
        </w:rPr>
        <w:t>Для визначення стану приватних будинків та обсягу споживання енергоресурсів на опалення було проведено опитування власників приватних домогосподарств в старостинських округах Луцької МТГ.</w:t>
      </w:r>
    </w:p>
    <w:p w:rsidR="00D227E2" w:rsidRDefault="00934FC4">
      <w:pPr>
        <w:spacing w:after="0"/>
        <w:jc w:val="center"/>
        <w:rPr>
          <w:rFonts w:ascii="Times New Roman" w:hAnsi="Times New Roman" w:cs="Times New Roman"/>
        </w:rPr>
      </w:pPr>
      <w:r>
        <w:rPr>
          <w:rFonts w:ascii="Times New Roman" w:hAnsi="Times New Roman" w:cs="Times New Roman"/>
          <w:b/>
          <w:sz w:val="24"/>
          <w:szCs w:val="24"/>
        </w:rPr>
        <w:t>Результати опитування</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Під час опитування зібрані наступні дані та виконане їх оцінювання:</w:t>
      </w:r>
    </w:p>
    <w:p w:rsidR="00D227E2" w:rsidRDefault="00934FC4">
      <w:pPr>
        <w:numPr>
          <w:ilvl w:val="0"/>
          <w:numId w:val="34"/>
        </w:numPr>
        <w:tabs>
          <w:tab w:val="left" w:pos="851"/>
        </w:tabs>
        <w:spacing w:after="0"/>
        <w:ind w:left="0" w:firstLine="567"/>
        <w:contextualSpacing/>
        <w:jc w:val="both"/>
        <w:rPr>
          <w:rFonts w:ascii="Times New Roman" w:hAnsi="Times New Roman" w:cs="Times New Roman"/>
        </w:rPr>
      </w:pPr>
      <w:r>
        <w:rPr>
          <w:rFonts w:ascii="Times New Roman" w:hAnsi="Times New Roman" w:cs="Times New Roman"/>
          <w:sz w:val="24"/>
          <w:szCs w:val="24"/>
        </w:rPr>
        <w:t>визначено середні обсяги споживання одного домогосподарства станом на 2022 рік;</w:t>
      </w:r>
    </w:p>
    <w:p w:rsidR="00D227E2" w:rsidRDefault="00934FC4">
      <w:pPr>
        <w:numPr>
          <w:ilvl w:val="0"/>
          <w:numId w:val="34"/>
        </w:numPr>
        <w:tabs>
          <w:tab w:val="left" w:pos="851"/>
        </w:tabs>
        <w:spacing w:after="0"/>
        <w:ind w:left="0" w:firstLine="567"/>
        <w:contextualSpacing/>
        <w:jc w:val="both"/>
        <w:rPr>
          <w:rFonts w:ascii="Times New Roman" w:hAnsi="Times New Roman" w:cs="Times New Roman"/>
        </w:rPr>
      </w:pPr>
      <w:r>
        <w:rPr>
          <w:rFonts w:ascii="Times New Roman" w:hAnsi="Times New Roman" w:cs="Times New Roman"/>
          <w:sz w:val="24"/>
          <w:szCs w:val="24"/>
        </w:rPr>
        <w:t>визначено розподіл по обсягах енергоресурсів, що споживалися для потреб опалення у 2022 рік;</w:t>
      </w:r>
    </w:p>
    <w:p w:rsidR="00D227E2" w:rsidRDefault="00934FC4">
      <w:pPr>
        <w:numPr>
          <w:ilvl w:val="0"/>
          <w:numId w:val="34"/>
        </w:numPr>
        <w:tabs>
          <w:tab w:val="left" w:pos="851"/>
        </w:tabs>
        <w:spacing w:after="0"/>
        <w:ind w:left="0" w:firstLine="567"/>
        <w:contextualSpacing/>
        <w:jc w:val="both"/>
        <w:rPr>
          <w:rFonts w:ascii="Times New Roman" w:hAnsi="Times New Roman" w:cs="Times New Roman"/>
        </w:rPr>
      </w:pPr>
      <w:r>
        <w:rPr>
          <w:rFonts w:ascii="Times New Roman" w:hAnsi="Times New Roman" w:cs="Times New Roman"/>
          <w:sz w:val="24"/>
          <w:szCs w:val="24"/>
        </w:rPr>
        <w:t>визначено середні опалювальні площі приватних будинків;</w:t>
      </w:r>
    </w:p>
    <w:p w:rsidR="00D227E2" w:rsidRDefault="00934FC4">
      <w:pPr>
        <w:numPr>
          <w:ilvl w:val="0"/>
          <w:numId w:val="34"/>
        </w:numPr>
        <w:tabs>
          <w:tab w:val="left" w:pos="851"/>
        </w:tabs>
        <w:spacing w:after="0"/>
        <w:ind w:left="0" w:firstLine="567"/>
        <w:contextualSpacing/>
        <w:jc w:val="both"/>
        <w:rPr>
          <w:rFonts w:ascii="Times New Roman" w:hAnsi="Times New Roman" w:cs="Times New Roman"/>
        </w:rPr>
      </w:pPr>
      <w:r>
        <w:rPr>
          <w:rFonts w:ascii="Times New Roman" w:hAnsi="Times New Roman" w:cs="Times New Roman"/>
          <w:sz w:val="24"/>
          <w:szCs w:val="24"/>
        </w:rPr>
        <w:t>виконана оцінка за власними висновками домогосподарів відносно зменшення/ збільшення енергоспоживання у порівнянні з періодом 10 років тому.</w:t>
      </w:r>
    </w:p>
    <w:p w:rsidR="00D227E2" w:rsidRDefault="00934FC4">
      <w:pPr>
        <w:tabs>
          <w:tab w:val="left" w:pos="851"/>
        </w:tabs>
        <w:spacing w:after="0"/>
        <w:ind w:firstLine="567"/>
        <w:jc w:val="both"/>
        <w:rPr>
          <w:rFonts w:ascii="Times New Roman" w:hAnsi="Times New Roman" w:cs="Times New Roman"/>
        </w:rPr>
      </w:pPr>
      <w:r>
        <w:rPr>
          <w:rFonts w:ascii="Times New Roman" w:hAnsi="Times New Roman" w:cs="Times New Roman"/>
          <w:sz w:val="24"/>
          <w:szCs w:val="24"/>
        </w:rPr>
        <w:t xml:space="preserve">В опитуванні взяли участь 27 осіб (відповідно надані дані стосовно 27 приватних будинків) з 5 старостинських округів. Опитування проводилося за трьома категоріями будинків, щоб охопити всі типи будівель, які є у використанні станом на момент опитування: </w:t>
      </w:r>
    </w:p>
    <w:p w:rsidR="00D227E2" w:rsidRDefault="00934FC4">
      <w:pPr>
        <w:numPr>
          <w:ilvl w:val="0"/>
          <w:numId w:val="35"/>
        </w:numPr>
        <w:tabs>
          <w:tab w:val="left" w:pos="851"/>
        </w:tabs>
        <w:spacing w:after="0"/>
        <w:ind w:left="0" w:firstLine="567"/>
        <w:contextualSpacing/>
        <w:jc w:val="both"/>
        <w:rPr>
          <w:rFonts w:ascii="Times New Roman" w:hAnsi="Times New Roman" w:cs="Times New Roman"/>
        </w:rPr>
      </w:pPr>
      <w:r>
        <w:rPr>
          <w:rFonts w:ascii="Times New Roman" w:hAnsi="Times New Roman" w:cs="Times New Roman"/>
          <w:sz w:val="24"/>
          <w:szCs w:val="24"/>
        </w:rPr>
        <w:t>стара будівля НЕ УТЕПЛЕНА (будівля понад 50 років);</w:t>
      </w:r>
    </w:p>
    <w:p w:rsidR="00D227E2" w:rsidRDefault="00934FC4">
      <w:pPr>
        <w:numPr>
          <w:ilvl w:val="0"/>
          <w:numId w:val="35"/>
        </w:numPr>
        <w:tabs>
          <w:tab w:val="left" w:pos="851"/>
        </w:tabs>
        <w:spacing w:after="0"/>
        <w:ind w:left="0" w:firstLine="567"/>
        <w:contextualSpacing/>
        <w:jc w:val="both"/>
        <w:rPr>
          <w:rFonts w:ascii="Times New Roman" w:hAnsi="Times New Roman" w:cs="Times New Roman"/>
        </w:rPr>
      </w:pPr>
      <w:r>
        <w:rPr>
          <w:rFonts w:ascii="Times New Roman" w:hAnsi="Times New Roman" w:cs="Times New Roman"/>
          <w:sz w:val="24"/>
          <w:szCs w:val="24"/>
        </w:rPr>
        <w:t>стара будівля УТЕПЛЕНА (будівля понад 50 років);</w:t>
      </w:r>
    </w:p>
    <w:p w:rsidR="00D227E2" w:rsidRDefault="00934FC4">
      <w:pPr>
        <w:numPr>
          <w:ilvl w:val="0"/>
          <w:numId w:val="35"/>
        </w:numPr>
        <w:tabs>
          <w:tab w:val="left" w:pos="851"/>
        </w:tabs>
        <w:spacing w:after="0"/>
        <w:ind w:left="0" w:firstLine="567"/>
        <w:contextualSpacing/>
        <w:jc w:val="both"/>
        <w:rPr>
          <w:rFonts w:ascii="Times New Roman" w:hAnsi="Times New Roman" w:cs="Times New Roman"/>
        </w:rPr>
      </w:pPr>
      <w:r>
        <w:rPr>
          <w:rFonts w:ascii="Times New Roman" w:hAnsi="Times New Roman" w:cs="Times New Roman"/>
          <w:sz w:val="24"/>
          <w:szCs w:val="24"/>
        </w:rPr>
        <w:t>відносно НОВА будівля (побудована в найближчі десятиліття).</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До складу опитувальника входили наступні питання:</w:t>
      </w:r>
    </w:p>
    <w:tbl>
      <w:tblPr>
        <w:tblW w:w="9654" w:type="dxa"/>
        <w:tblInd w:w="93" w:type="dxa"/>
        <w:tblLayout w:type="fixed"/>
        <w:tblCellMar>
          <w:top w:w="55" w:type="dxa"/>
          <w:bottom w:w="55" w:type="dxa"/>
        </w:tblCellMar>
        <w:tblLook w:val="04A0" w:firstRow="1" w:lastRow="0" w:firstColumn="1" w:lastColumn="0" w:noHBand="0" w:noVBand="1"/>
      </w:tblPr>
      <w:tblGrid>
        <w:gridCol w:w="441"/>
        <w:gridCol w:w="9213"/>
      </w:tblGrid>
      <w:tr w:rsidR="00D227E2">
        <w:tc>
          <w:tcPr>
            <w:tcW w:w="441" w:type="dxa"/>
            <w:tcBorders>
              <w:top w:val="single" w:sz="4" w:space="0" w:color="000000"/>
              <w:left w:val="single" w:sz="4" w:space="0" w:color="000000"/>
              <w:bottom w:val="single" w:sz="4" w:space="0" w:color="000000"/>
            </w:tcBorders>
            <w:shd w:val="clear" w:color="auto" w:fill="auto"/>
          </w:tcPr>
          <w:p w:rsidR="00D227E2" w:rsidRDefault="00934FC4">
            <w:pPr>
              <w:spacing w:after="0" w:line="240" w:lineRule="auto"/>
              <w:jc w:val="both"/>
              <w:rPr>
                <w:rFonts w:ascii="Times New Roman" w:hAnsi="Times New Roman" w:cs="Times New Roman"/>
              </w:rPr>
            </w:pPr>
            <w:r>
              <w:rPr>
                <w:rFonts w:ascii="Times New Roman" w:eastAsia="Times New Roman" w:hAnsi="Times New Roman" w:cs="Times New Roman"/>
                <w:color w:val="000000"/>
                <w:lang w:eastAsia="ru-RU"/>
              </w:rPr>
              <w:t>1.</w:t>
            </w:r>
          </w:p>
        </w:tc>
        <w:tc>
          <w:tcPr>
            <w:tcW w:w="9212"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both"/>
              <w:rPr>
                <w:rFonts w:ascii="Times New Roman" w:hAnsi="Times New Roman" w:cs="Times New Roman"/>
              </w:rPr>
            </w:pPr>
            <w:r>
              <w:rPr>
                <w:rFonts w:ascii="Times New Roman" w:eastAsia="Times New Roman" w:hAnsi="Times New Roman" w:cs="Times New Roman"/>
                <w:color w:val="000000"/>
                <w:lang w:eastAsia="ru-RU"/>
              </w:rPr>
              <w:t>Загальна площа будинку, кв.м.</w:t>
            </w:r>
          </w:p>
        </w:tc>
      </w:tr>
      <w:tr w:rsidR="00D227E2">
        <w:tc>
          <w:tcPr>
            <w:tcW w:w="441" w:type="dxa"/>
            <w:tcBorders>
              <w:left w:val="single" w:sz="4" w:space="0" w:color="000000"/>
              <w:bottom w:val="single" w:sz="4" w:space="0" w:color="000000"/>
            </w:tcBorders>
            <w:shd w:val="clear" w:color="auto" w:fill="auto"/>
          </w:tcPr>
          <w:p w:rsidR="00D227E2" w:rsidRDefault="00934FC4">
            <w:pPr>
              <w:spacing w:after="0" w:line="240" w:lineRule="auto"/>
              <w:jc w:val="both"/>
              <w:rPr>
                <w:rFonts w:ascii="Times New Roman" w:hAnsi="Times New Roman" w:cs="Times New Roman"/>
              </w:rPr>
            </w:pPr>
            <w:r>
              <w:rPr>
                <w:rFonts w:ascii="Times New Roman" w:eastAsia="Times New Roman" w:hAnsi="Times New Roman" w:cs="Times New Roman"/>
                <w:color w:val="000000"/>
                <w:lang w:eastAsia="ru-RU"/>
              </w:rPr>
              <w:t>2.</w:t>
            </w:r>
          </w:p>
        </w:tc>
        <w:tc>
          <w:tcPr>
            <w:tcW w:w="9212" w:type="dxa"/>
            <w:tcBorders>
              <w:left w:val="single" w:sz="4" w:space="0" w:color="000000"/>
              <w:bottom w:val="single" w:sz="4" w:space="0" w:color="000000"/>
              <w:right w:val="single" w:sz="4" w:space="0" w:color="000000"/>
            </w:tcBorders>
            <w:shd w:val="clear" w:color="auto" w:fill="auto"/>
          </w:tcPr>
          <w:p w:rsidR="00D227E2" w:rsidRDefault="00934FC4">
            <w:pPr>
              <w:spacing w:after="0" w:line="240" w:lineRule="auto"/>
              <w:jc w:val="both"/>
              <w:rPr>
                <w:rFonts w:ascii="Times New Roman" w:hAnsi="Times New Roman" w:cs="Times New Roman"/>
              </w:rPr>
            </w:pPr>
            <w:r>
              <w:rPr>
                <w:rFonts w:ascii="Times New Roman" w:eastAsia="Times New Roman" w:hAnsi="Times New Roman" w:cs="Times New Roman"/>
                <w:color w:val="000000"/>
                <w:lang w:eastAsia="ru-RU"/>
              </w:rPr>
              <w:t>Тип опалення (газовий/електричний/твердопаливний котел, піч, грубка/інше</w:t>
            </w:r>
          </w:p>
        </w:tc>
      </w:tr>
      <w:tr w:rsidR="00D227E2">
        <w:trPr>
          <w:trHeight w:val="269"/>
        </w:trPr>
        <w:tc>
          <w:tcPr>
            <w:tcW w:w="441" w:type="dxa"/>
            <w:vMerge w:val="restart"/>
            <w:tcBorders>
              <w:left w:val="single" w:sz="4" w:space="0" w:color="000000"/>
              <w:bottom w:val="single" w:sz="4" w:space="0" w:color="000000"/>
            </w:tcBorders>
            <w:shd w:val="clear" w:color="auto" w:fill="auto"/>
          </w:tcPr>
          <w:p w:rsidR="00D227E2" w:rsidRDefault="00934FC4">
            <w:pPr>
              <w:spacing w:after="0" w:line="240" w:lineRule="auto"/>
              <w:jc w:val="both"/>
              <w:rPr>
                <w:rFonts w:ascii="Times New Roman" w:hAnsi="Times New Roman" w:cs="Times New Roman"/>
              </w:rPr>
            </w:pPr>
            <w:r>
              <w:rPr>
                <w:rFonts w:ascii="Times New Roman" w:eastAsia="Times New Roman" w:hAnsi="Times New Roman" w:cs="Times New Roman"/>
                <w:color w:val="000000"/>
                <w:lang w:eastAsia="ru-RU"/>
              </w:rPr>
              <w:t>3.</w:t>
            </w:r>
          </w:p>
        </w:tc>
        <w:tc>
          <w:tcPr>
            <w:tcW w:w="9212" w:type="dxa"/>
            <w:vMerge w:val="restart"/>
            <w:tcBorders>
              <w:left w:val="single" w:sz="4" w:space="0" w:color="000000"/>
              <w:bottom w:val="single" w:sz="4" w:space="0" w:color="000000"/>
              <w:right w:val="single" w:sz="4" w:space="0" w:color="000000"/>
            </w:tcBorders>
            <w:shd w:val="clear" w:color="auto" w:fill="auto"/>
          </w:tcPr>
          <w:p w:rsidR="00D227E2" w:rsidRDefault="00934FC4">
            <w:pPr>
              <w:spacing w:after="0" w:line="240" w:lineRule="auto"/>
              <w:jc w:val="both"/>
              <w:rPr>
                <w:rFonts w:ascii="Times New Roman" w:hAnsi="Times New Roman" w:cs="Times New Roman"/>
              </w:rPr>
            </w:pPr>
            <w:r>
              <w:rPr>
                <w:rFonts w:ascii="Times New Roman" w:eastAsia="Times New Roman" w:hAnsi="Times New Roman" w:cs="Times New Roman"/>
                <w:color w:val="000000"/>
                <w:lang w:eastAsia="ru-RU"/>
              </w:rPr>
              <w:t>Взимку будинок опалюється повністю, чи частково?</w:t>
            </w:r>
          </w:p>
        </w:tc>
      </w:tr>
      <w:tr w:rsidR="00D227E2">
        <w:trPr>
          <w:trHeight w:val="253"/>
        </w:trPr>
        <w:tc>
          <w:tcPr>
            <w:tcW w:w="441" w:type="dxa"/>
            <w:vMerge/>
            <w:tcBorders>
              <w:left w:val="single" w:sz="4" w:space="0" w:color="000000"/>
              <w:bottom w:val="single" w:sz="4" w:space="0" w:color="000000"/>
            </w:tcBorders>
            <w:vAlign w:val="center"/>
          </w:tcPr>
          <w:p w:rsidR="00D227E2" w:rsidRDefault="00D227E2">
            <w:pPr>
              <w:spacing w:after="0" w:line="240" w:lineRule="auto"/>
              <w:jc w:val="both"/>
              <w:rPr>
                <w:rFonts w:ascii="Times New Roman" w:eastAsia="Times New Roman" w:hAnsi="Times New Roman" w:cs="Times New Roman"/>
                <w:color w:val="000000"/>
                <w:lang w:eastAsia="ru-RU"/>
              </w:rPr>
            </w:pPr>
          </w:p>
        </w:tc>
        <w:tc>
          <w:tcPr>
            <w:tcW w:w="9212" w:type="dxa"/>
            <w:vMerge/>
            <w:tcBorders>
              <w:left w:val="single" w:sz="4" w:space="0" w:color="000000"/>
              <w:bottom w:val="single" w:sz="4" w:space="0" w:color="000000"/>
              <w:right w:val="single" w:sz="4" w:space="0" w:color="000000"/>
            </w:tcBorders>
            <w:vAlign w:val="center"/>
          </w:tcPr>
          <w:p w:rsidR="00D227E2" w:rsidRDefault="00D227E2">
            <w:pPr>
              <w:spacing w:after="0" w:line="240" w:lineRule="auto"/>
              <w:jc w:val="both"/>
              <w:rPr>
                <w:rFonts w:ascii="Times New Roman" w:eastAsia="Times New Roman" w:hAnsi="Times New Roman" w:cs="Times New Roman"/>
                <w:color w:val="000000"/>
                <w:lang w:eastAsia="ru-RU"/>
              </w:rPr>
            </w:pPr>
          </w:p>
        </w:tc>
      </w:tr>
      <w:tr w:rsidR="00D227E2">
        <w:tc>
          <w:tcPr>
            <w:tcW w:w="441" w:type="dxa"/>
            <w:tcBorders>
              <w:left w:val="single" w:sz="4" w:space="0" w:color="000000"/>
              <w:bottom w:val="single" w:sz="4" w:space="0" w:color="000000"/>
            </w:tcBorders>
            <w:shd w:val="clear" w:color="auto" w:fill="auto"/>
          </w:tcPr>
          <w:p w:rsidR="00D227E2" w:rsidRDefault="00934FC4">
            <w:pPr>
              <w:spacing w:after="0" w:line="240" w:lineRule="auto"/>
              <w:jc w:val="both"/>
              <w:rPr>
                <w:rFonts w:ascii="Times New Roman" w:hAnsi="Times New Roman" w:cs="Times New Roman"/>
              </w:rPr>
            </w:pPr>
            <w:r>
              <w:rPr>
                <w:rFonts w:ascii="Times New Roman" w:eastAsia="Times New Roman" w:hAnsi="Times New Roman" w:cs="Times New Roman"/>
                <w:color w:val="000000"/>
                <w:lang w:eastAsia="ru-RU"/>
              </w:rPr>
              <w:t>4.</w:t>
            </w:r>
          </w:p>
        </w:tc>
        <w:tc>
          <w:tcPr>
            <w:tcW w:w="9212" w:type="dxa"/>
            <w:tcBorders>
              <w:left w:val="single" w:sz="4" w:space="0" w:color="000000"/>
              <w:bottom w:val="single" w:sz="4" w:space="0" w:color="000000"/>
              <w:right w:val="single" w:sz="4" w:space="0" w:color="000000"/>
            </w:tcBorders>
            <w:shd w:val="clear" w:color="auto" w:fill="auto"/>
          </w:tcPr>
          <w:p w:rsidR="00D227E2" w:rsidRDefault="00934FC4">
            <w:pPr>
              <w:spacing w:after="0" w:line="240" w:lineRule="auto"/>
              <w:jc w:val="both"/>
              <w:rPr>
                <w:rFonts w:ascii="Times New Roman" w:hAnsi="Times New Roman" w:cs="Times New Roman"/>
              </w:rPr>
            </w:pPr>
            <w:r>
              <w:rPr>
                <w:rFonts w:ascii="Times New Roman" w:eastAsia="Times New Roman" w:hAnsi="Times New Roman" w:cs="Times New Roman"/>
                <w:color w:val="000000"/>
                <w:lang w:eastAsia="ru-RU"/>
              </w:rPr>
              <w:t>Відчуття температури взимку (дуже холодно, нормально/комфортно, тепло)</w:t>
            </w:r>
          </w:p>
        </w:tc>
      </w:tr>
      <w:tr w:rsidR="00D227E2">
        <w:trPr>
          <w:trHeight w:val="269"/>
        </w:trPr>
        <w:tc>
          <w:tcPr>
            <w:tcW w:w="441" w:type="dxa"/>
            <w:vMerge w:val="restart"/>
            <w:tcBorders>
              <w:left w:val="single" w:sz="4" w:space="0" w:color="000000"/>
              <w:bottom w:val="single" w:sz="4" w:space="0" w:color="000000"/>
            </w:tcBorders>
            <w:shd w:val="clear" w:color="auto" w:fill="auto"/>
          </w:tcPr>
          <w:p w:rsidR="00D227E2" w:rsidRDefault="00934FC4">
            <w:pPr>
              <w:spacing w:after="0" w:line="240" w:lineRule="auto"/>
              <w:jc w:val="both"/>
              <w:rPr>
                <w:rFonts w:ascii="Times New Roman" w:hAnsi="Times New Roman" w:cs="Times New Roman"/>
              </w:rPr>
            </w:pPr>
            <w:r>
              <w:rPr>
                <w:rFonts w:ascii="Times New Roman" w:eastAsia="Times New Roman" w:hAnsi="Times New Roman" w:cs="Times New Roman"/>
                <w:color w:val="000000"/>
                <w:lang w:eastAsia="ru-RU"/>
              </w:rPr>
              <w:t>5.</w:t>
            </w:r>
          </w:p>
        </w:tc>
        <w:tc>
          <w:tcPr>
            <w:tcW w:w="9212" w:type="dxa"/>
            <w:vMerge w:val="restart"/>
            <w:tcBorders>
              <w:left w:val="single" w:sz="4" w:space="0" w:color="000000"/>
              <w:bottom w:val="single" w:sz="4" w:space="0" w:color="000000"/>
              <w:right w:val="single" w:sz="4" w:space="0" w:color="000000"/>
            </w:tcBorders>
            <w:shd w:val="clear" w:color="auto" w:fill="auto"/>
          </w:tcPr>
          <w:p w:rsidR="00D227E2" w:rsidRDefault="00934FC4">
            <w:pPr>
              <w:spacing w:after="0" w:line="240" w:lineRule="auto"/>
              <w:jc w:val="both"/>
              <w:rPr>
                <w:rFonts w:ascii="Times New Roman" w:hAnsi="Times New Roman" w:cs="Times New Roman"/>
              </w:rPr>
            </w:pPr>
            <w:r>
              <w:rPr>
                <w:rFonts w:ascii="Times New Roman" w:eastAsia="Times New Roman" w:hAnsi="Times New Roman" w:cs="Times New Roman"/>
                <w:color w:val="000000"/>
                <w:lang w:eastAsia="ru-RU"/>
              </w:rPr>
              <w:t>Скільки спожили енергоресурсу за 2022 рік? (зазначити річне споживання газу/дров/вугілля/електроенергії (якщо електрокотел)</w:t>
            </w:r>
          </w:p>
        </w:tc>
      </w:tr>
      <w:tr w:rsidR="00D227E2">
        <w:trPr>
          <w:trHeight w:val="253"/>
        </w:trPr>
        <w:tc>
          <w:tcPr>
            <w:tcW w:w="441" w:type="dxa"/>
            <w:vMerge/>
            <w:tcBorders>
              <w:left w:val="single" w:sz="4" w:space="0" w:color="000000"/>
              <w:bottom w:val="single" w:sz="4" w:space="0" w:color="000000"/>
            </w:tcBorders>
            <w:vAlign w:val="center"/>
          </w:tcPr>
          <w:p w:rsidR="00D227E2" w:rsidRDefault="00D227E2">
            <w:pPr>
              <w:spacing w:after="0" w:line="240" w:lineRule="auto"/>
              <w:jc w:val="both"/>
              <w:rPr>
                <w:rFonts w:ascii="Times New Roman" w:eastAsia="Times New Roman" w:hAnsi="Times New Roman" w:cs="Times New Roman"/>
                <w:color w:val="000000"/>
                <w:lang w:eastAsia="ru-RU"/>
              </w:rPr>
            </w:pPr>
          </w:p>
        </w:tc>
        <w:tc>
          <w:tcPr>
            <w:tcW w:w="9212" w:type="dxa"/>
            <w:vMerge/>
            <w:tcBorders>
              <w:left w:val="single" w:sz="4" w:space="0" w:color="000000"/>
              <w:bottom w:val="single" w:sz="4" w:space="0" w:color="000000"/>
              <w:right w:val="single" w:sz="4" w:space="0" w:color="000000"/>
            </w:tcBorders>
            <w:vAlign w:val="center"/>
          </w:tcPr>
          <w:p w:rsidR="00D227E2" w:rsidRDefault="00D227E2">
            <w:pPr>
              <w:spacing w:after="0" w:line="240" w:lineRule="auto"/>
              <w:jc w:val="both"/>
              <w:rPr>
                <w:rFonts w:ascii="Times New Roman" w:eastAsia="Times New Roman" w:hAnsi="Times New Roman" w:cs="Times New Roman"/>
                <w:color w:val="000000"/>
                <w:lang w:eastAsia="ru-RU"/>
              </w:rPr>
            </w:pPr>
          </w:p>
        </w:tc>
      </w:tr>
      <w:tr w:rsidR="00D227E2">
        <w:trPr>
          <w:trHeight w:val="269"/>
        </w:trPr>
        <w:tc>
          <w:tcPr>
            <w:tcW w:w="441" w:type="dxa"/>
            <w:vMerge w:val="restart"/>
            <w:tcBorders>
              <w:left w:val="single" w:sz="4" w:space="0" w:color="000000"/>
              <w:bottom w:val="single" w:sz="4" w:space="0" w:color="000000"/>
            </w:tcBorders>
            <w:shd w:val="clear" w:color="auto" w:fill="auto"/>
          </w:tcPr>
          <w:p w:rsidR="00D227E2" w:rsidRDefault="00934FC4">
            <w:pPr>
              <w:spacing w:after="0" w:line="240" w:lineRule="auto"/>
              <w:jc w:val="both"/>
              <w:rPr>
                <w:rFonts w:ascii="Times New Roman" w:hAnsi="Times New Roman" w:cs="Times New Roman"/>
              </w:rPr>
            </w:pPr>
            <w:r>
              <w:rPr>
                <w:rFonts w:ascii="Times New Roman" w:eastAsia="Times New Roman" w:hAnsi="Times New Roman" w:cs="Times New Roman"/>
                <w:color w:val="000000"/>
                <w:lang w:eastAsia="ru-RU"/>
              </w:rPr>
              <w:t>6.</w:t>
            </w:r>
          </w:p>
        </w:tc>
        <w:tc>
          <w:tcPr>
            <w:tcW w:w="9212" w:type="dxa"/>
            <w:vMerge w:val="restart"/>
            <w:tcBorders>
              <w:left w:val="single" w:sz="4" w:space="0" w:color="000000"/>
              <w:bottom w:val="single" w:sz="4" w:space="0" w:color="000000"/>
              <w:right w:val="single" w:sz="4" w:space="0" w:color="000000"/>
            </w:tcBorders>
            <w:shd w:val="clear" w:color="auto" w:fill="auto"/>
          </w:tcPr>
          <w:p w:rsidR="00D227E2" w:rsidRDefault="00934FC4">
            <w:pPr>
              <w:spacing w:after="0" w:line="240" w:lineRule="auto"/>
              <w:jc w:val="both"/>
              <w:rPr>
                <w:rFonts w:ascii="Times New Roman" w:hAnsi="Times New Roman" w:cs="Times New Roman"/>
              </w:rPr>
            </w:pPr>
            <w:r>
              <w:rPr>
                <w:rFonts w:ascii="Times New Roman" w:eastAsia="Times New Roman" w:hAnsi="Times New Roman" w:cs="Times New Roman"/>
                <w:color w:val="000000"/>
                <w:lang w:eastAsia="ru-RU"/>
              </w:rPr>
              <w:t xml:space="preserve">Чи змінюється споживання енергоресурсу у порівнянні зі споживанням 10 років тому? Якщо так </w:t>
            </w:r>
            <w:r>
              <w:rPr>
                <w:rFonts w:ascii="Times New Roman" w:hAnsi="Times New Roman" w:cs="Times New Roman"/>
                <w:color w:val="000000"/>
                <w:sz w:val="24"/>
                <w:szCs w:val="24"/>
                <w:shd w:val="clear" w:color="auto" w:fill="FFFFFF"/>
                <w:lang w:eastAsia="zh-CN" w:bidi="hi-IN"/>
              </w:rPr>
              <w:t>–</w:t>
            </w:r>
            <w:r>
              <w:rPr>
                <w:rFonts w:ascii="Times New Roman" w:eastAsia="Times New Roman" w:hAnsi="Times New Roman" w:cs="Times New Roman"/>
                <w:color w:val="000000"/>
                <w:lang w:eastAsia="ru-RU"/>
              </w:rPr>
              <w:t xml:space="preserve"> то в сторону збільшення, чи зменшення? На вашу думку </w:t>
            </w:r>
            <w:r>
              <w:rPr>
                <w:rFonts w:ascii="Times New Roman" w:hAnsi="Times New Roman" w:cs="Times New Roman"/>
                <w:color w:val="000000"/>
                <w:sz w:val="24"/>
                <w:szCs w:val="24"/>
                <w:shd w:val="clear" w:color="auto" w:fill="FFFFFF"/>
                <w:lang w:eastAsia="zh-CN" w:bidi="hi-IN"/>
              </w:rPr>
              <w:t>–</w:t>
            </w:r>
            <w:r>
              <w:rPr>
                <w:rFonts w:ascii="Times New Roman" w:eastAsia="Times New Roman" w:hAnsi="Times New Roman" w:cs="Times New Roman"/>
                <w:color w:val="000000"/>
                <w:lang w:eastAsia="ru-RU"/>
              </w:rPr>
              <w:t xml:space="preserve"> чому так відбувається?</w:t>
            </w:r>
          </w:p>
        </w:tc>
      </w:tr>
      <w:tr w:rsidR="00D227E2">
        <w:trPr>
          <w:trHeight w:val="253"/>
        </w:trPr>
        <w:tc>
          <w:tcPr>
            <w:tcW w:w="441" w:type="dxa"/>
            <w:vMerge/>
            <w:tcBorders>
              <w:left w:val="single" w:sz="4" w:space="0" w:color="000000"/>
              <w:bottom w:val="single" w:sz="4" w:space="0" w:color="000000"/>
            </w:tcBorders>
            <w:vAlign w:val="center"/>
          </w:tcPr>
          <w:p w:rsidR="00D227E2" w:rsidRDefault="00D227E2">
            <w:pPr>
              <w:spacing w:after="0" w:line="240" w:lineRule="auto"/>
              <w:jc w:val="both"/>
              <w:rPr>
                <w:rFonts w:ascii="Times New Roman" w:eastAsia="Times New Roman" w:hAnsi="Times New Roman" w:cs="Times New Roman"/>
                <w:color w:val="000000"/>
                <w:lang w:eastAsia="ru-RU"/>
              </w:rPr>
            </w:pPr>
          </w:p>
        </w:tc>
        <w:tc>
          <w:tcPr>
            <w:tcW w:w="9212" w:type="dxa"/>
            <w:vMerge/>
            <w:tcBorders>
              <w:left w:val="single" w:sz="4" w:space="0" w:color="000000"/>
              <w:bottom w:val="single" w:sz="4" w:space="0" w:color="000000"/>
              <w:right w:val="single" w:sz="4" w:space="0" w:color="000000"/>
            </w:tcBorders>
            <w:vAlign w:val="center"/>
          </w:tcPr>
          <w:p w:rsidR="00D227E2" w:rsidRDefault="00D227E2">
            <w:pPr>
              <w:spacing w:after="0" w:line="240" w:lineRule="auto"/>
              <w:jc w:val="both"/>
              <w:rPr>
                <w:rFonts w:ascii="Times New Roman" w:eastAsia="Times New Roman" w:hAnsi="Times New Roman" w:cs="Times New Roman"/>
                <w:color w:val="000000"/>
                <w:lang w:eastAsia="ru-RU"/>
              </w:rPr>
            </w:pPr>
          </w:p>
        </w:tc>
      </w:tr>
      <w:tr w:rsidR="00D227E2">
        <w:tc>
          <w:tcPr>
            <w:tcW w:w="441" w:type="dxa"/>
            <w:tcBorders>
              <w:left w:val="single" w:sz="4" w:space="0" w:color="000000"/>
              <w:bottom w:val="single" w:sz="4" w:space="0" w:color="000000"/>
            </w:tcBorders>
            <w:shd w:val="clear" w:color="auto" w:fill="auto"/>
          </w:tcPr>
          <w:p w:rsidR="00D227E2" w:rsidRDefault="00934FC4">
            <w:pPr>
              <w:spacing w:after="0" w:line="240" w:lineRule="auto"/>
              <w:jc w:val="both"/>
              <w:rPr>
                <w:rFonts w:ascii="Times New Roman" w:hAnsi="Times New Roman" w:cs="Times New Roman"/>
              </w:rPr>
            </w:pPr>
            <w:r>
              <w:rPr>
                <w:rFonts w:ascii="Times New Roman" w:eastAsia="Times New Roman" w:hAnsi="Times New Roman" w:cs="Times New Roman"/>
                <w:color w:val="000000"/>
                <w:lang w:eastAsia="ru-RU"/>
              </w:rPr>
              <w:t>7.</w:t>
            </w:r>
          </w:p>
        </w:tc>
        <w:tc>
          <w:tcPr>
            <w:tcW w:w="9212" w:type="dxa"/>
            <w:tcBorders>
              <w:left w:val="single" w:sz="4" w:space="0" w:color="000000"/>
              <w:bottom w:val="single" w:sz="4" w:space="0" w:color="000000"/>
              <w:right w:val="single" w:sz="4" w:space="0" w:color="000000"/>
            </w:tcBorders>
            <w:shd w:val="clear" w:color="auto" w:fill="auto"/>
          </w:tcPr>
          <w:p w:rsidR="00D227E2" w:rsidRDefault="00934FC4">
            <w:pPr>
              <w:spacing w:after="0" w:line="240" w:lineRule="auto"/>
              <w:jc w:val="both"/>
              <w:rPr>
                <w:rFonts w:ascii="Times New Roman" w:hAnsi="Times New Roman" w:cs="Times New Roman"/>
              </w:rPr>
            </w:pPr>
            <w:r>
              <w:rPr>
                <w:rFonts w:ascii="Times New Roman" w:eastAsia="Times New Roman" w:hAnsi="Times New Roman" w:cs="Times New Roman"/>
                <w:color w:val="000000"/>
                <w:lang w:eastAsia="ru-RU"/>
              </w:rPr>
              <w:t>Поточна ситуація щодо впровадження енергоефективних заходів: встановлення металопластикових вікон, дверей, утеплення стін, стелі, даху, заміна освітлення, заміна інженерних мереж, зокрема системи опалення будинку тощо (чи проводилося? Як саме, які саме?)</w:t>
            </w:r>
          </w:p>
        </w:tc>
      </w:tr>
    </w:tbl>
    <w:p w:rsidR="00D227E2" w:rsidRDefault="00934FC4">
      <w:pPr>
        <w:spacing w:after="0"/>
        <w:jc w:val="center"/>
        <w:rPr>
          <w:rFonts w:ascii="Times New Roman" w:hAnsi="Times New Roman" w:cs="Times New Roman"/>
        </w:rPr>
      </w:pPr>
      <w:r>
        <w:rPr>
          <w:rFonts w:ascii="Times New Roman" w:hAnsi="Times New Roman" w:cs="Times New Roman"/>
          <w:b/>
          <w:sz w:val="24"/>
          <w:szCs w:val="24"/>
        </w:rPr>
        <w:t>Комфортність умов у приміщеннях</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Можливі відповіді на запит щодо комфортності перебування у приміщеннях збиралися з визначенням категорій «тепло»/«нормально», «комфортно»/«прохолодно».</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За результатами 26 (96,3 %) опитуваних оцінюють температуру у приміщення своїх домівок як «тепло». Тільки один господар (3,7 %) відмітив, що за відчуттями у них «прохолодно». Всі опитувані відмітили, що вони опалюють повністю весь будинок.</w:t>
      </w:r>
    </w:p>
    <w:p w:rsidR="00D227E2" w:rsidRDefault="00934FC4">
      <w:pPr>
        <w:spacing w:after="0"/>
        <w:jc w:val="center"/>
        <w:rPr>
          <w:rFonts w:ascii="Times New Roman" w:hAnsi="Times New Roman" w:cs="Times New Roman"/>
        </w:rPr>
      </w:pPr>
      <w:r>
        <w:rPr>
          <w:rFonts w:ascii="Times New Roman" w:hAnsi="Times New Roman" w:cs="Times New Roman"/>
          <w:b/>
          <w:sz w:val="24"/>
          <w:szCs w:val="24"/>
        </w:rPr>
        <w:t>Визначення рівня енергоспоживання на опалення</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 xml:space="preserve">За результатами аналізу отриманих даних складена наступна таблиця щодо типів опалення за типами енергоресурсу або комбінованого типу. </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Типи опалення у сільських населених пунктах Луцької МТГ станом на 2022 рік.</w:t>
      </w:r>
    </w:p>
    <w:tbl>
      <w:tblPr>
        <w:tblW w:w="9397" w:type="dxa"/>
        <w:jc w:val="center"/>
        <w:tblLayout w:type="fixed"/>
        <w:tblLook w:val="04A0" w:firstRow="1" w:lastRow="0" w:firstColumn="1" w:lastColumn="0" w:noHBand="0" w:noVBand="1"/>
      </w:tblPr>
      <w:tblGrid>
        <w:gridCol w:w="1985"/>
        <w:gridCol w:w="1560"/>
        <w:gridCol w:w="1417"/>
        <w:gridCol w:w="1418"/>
        <w:gridCol w:w="1179"/>
        <w:gridCol w:w="1838"/>
      </w:tblGrid>
      <w:tr w:rsidR="00D227E2">
        <w:trPr>
          <w:trHeight w:val="990"/>
          <w:jc w:val="center"/>
        </w:trPr>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lastRenderedPageBreak/>
              <w:t>Старостинський округ</w:t>
            </w:r>
          </w:p>
        </w:tc>
        <w:tc>
          <w:tcPr>
            <w:tcW w:w="1560" w:type="dxa"/>
            <w:tcBorders>
              <w:top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Кількість будинків в опитуванні</w:t>
            </w:r>
          </w:p>
        </w:tc>
        <w:tc>
          <w:tcPr>
            <w:tcW w:w="1417" w:type="dxa"/>
            <w:tcBorders>
              <w:top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Дрова</w:t>
            </w:r>
          </w:p>
        </w:tc>
        <w:tc>
          <w:tcPr>
            <w:tcW w:w="1418" w:type="dxa"/>
            <w:tcBorders>
              <w:top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Природний газ</w:t>
            </w:r>
          </w:p>
        </w:tc>
        <w:tc>
          <w:tcPr>
            <w:tcW w:w="1179" w:type="dxa"/>
            <w:tcBorders>
              <w:top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Дрова + Газ</w:t>
            </w:r>
          </w:p>
        </w:tc>
        <w:tc>
          <w:tcPr>
            <w:tcW w:w="1838" w:type="dxa"/>
            <w:tcBorders>
              <w:top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Електроенергія</w:t>
            </w:r>
          </w:p>
        </w:tc>
      </w:tr>
      <w:tr w:rsidR="00D227E2">
        <w:trPr>
          <w:trHeight w:val="288"/>
          <w:jc w:val="center"/>
        </w:trPr>
        <w:tc>
          <w:tcPr>
            <w:tcW w:w="1984" w:type="dxa"/>
            <w:tcBorders>
              <w:left w:val="single" w:sz="4" w:space="0" w:color="000000"/>
              <w:bottom w:val="single" w:sz="4" w:space="0" w:color="000000"/>
              <w:right w:val="single" w:sz="4" w:space="0" w:color="000000"/>
            </w:tcBorders>
            <w:shd w:val="clear" w:color="auto" w:fill="auto"/>
            <w:vAlign w:val="bottom"/>
          </w:tcPr>
          <w:p w:rsidR="00D227E2" w:rsidRDefault="00934FC4">
            <w:pPr>
              <w:spacing w:after="0" w:line="240" w:lineRule="auto"/>
              <w:jc w:val="both"/>
              <w:rPr>
                <w:rFonts w:ascii="Times New Roman" w:hAnsi="Times New Roman" w:cs="Times New Roman"/>
              </w:rPr>
            </w:pPr>
            <w:r>
              <w:rPr>
                <w:rFonts w:ascii="Times New Roman" w:eastAsia="Times New Roman" w:hAnsi="Times New Roman" w:cs="Times New Roman"/>
                <w:color w:val="000000"/>
                <w:sz w:val="24"/>
                <w:szCs w:val="24"/>
                <w:lang w:eastAsia="uk-UA"/>
              </w:rPr>
              <w:t>Боголюбський</w:t>
            </w:r>
          </w:p>
        </w:tc>
        <w:tc>
          <w:tcPr>
            <w:tcW w:w="1560" w:type="dxa"/>
            <w:tcBorders>
              <w:bottom w:val="single" w:sz="4" w:space="0" w:color="000000"/>
              <w:right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6</w:t>
            </w:r>
          </w:p>
        </w:tc>
        <w:tc>
          <w:tcPr>
            <w:tcW w:w="1417" w:type="dxa"/>
            <w:tcBorders>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1</w:t>
            </w:r>
          </w:p>
        </w:tc>
        <w:tc>
          <w:tcPr>
            <w:tcW w:w="1418" w:type="dxa"/>
            <w:tcBorders>
              <w:bottom w:val="single" w:sz="4" w:space="0" w:color="000000"/>
              <w:right w:val="single" w:sz="4" w:space="0" w:color="000000"/>
            </w:tcBorders>
            <w:shd w:val="clear" w:color="auto" w:fill="auto"/>
          </w:tcPr>
          <w:p w:rsidR="00D227E2" w:rsidRDefault="00934FC4">
            <w:pPr>
              <w:spacing w:after="0" w:line="240" w:lineRule="auto"/>
              <w:jc w:val="center"/>
              <w:rPr>
                <w:rFonts w:ascii="Times New Roman" w:hAnsi="Times New Roman" w:cs="Times New Roman"/>
              </w:rPr>
            </w:pPr>
            <w:r>
              <w:rPr>
                <w:rFonts w:ascii="Times New Roman" w:hAnsi="Times New Roman" w:cs="Times New Roman"/>
                <w:sz w:val="24"/>
                <w:szCs w:val="24"/>
              </w:rPr>
              <w:t>5</w:t>
            </w:r>
          </w:p>
        </w:tc>
        <w:tc>
          <w:tcPr>
            <w:tcW w:w="1179" w:type="dxa"/>
            <w:tcBorders>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w:t>
            </w:r>
          </w:p>
        </w:tc>
        <w:tc>
          <w:tcPr>
            <w:tcW w:w="1838" w:type="dxa"/>
            <w:tcBorders>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1</w:t>
            </w:r>
          </w:p>
        </w:tc>
      </w:tr>
      <w:tr w:rsidR="00D227E2">
        <w:trPr>
          <w:trHeight w:val="288"/>
          <w:jc w:val="center"/>
        </w:trPr>
        <w:tc>
          <w:tcPr>
            <w:tcW w:w="1984" w:type="dxa"/>
            <w:tcBorders>
              <w:left w:val="single" w:sz="4" w:space="0" w:color="000000"/>
              <w:bottom w:val="single" w:sz="4" w:space="0" w:color="000000"/>
              <w:right w:val="single" w:sz="4" w:space="0" w:color="000000"/>
            </w:tcBorders>
            <w:shd w:val="clear" w:color="auto" w:fill="auto"/>
            <w:vAlign w:val="bottom"/>
          </w:tcPr>
          <w:p w:rsidR="00D227E2" w:rsidRDefault="00934FC4">
            <w:pPr>
              <w:spacing w:after="0" w:line="240" w:lineRule="auto"/>
              <w:jc w:val="both"/>
              <w:rPr>
                <w:rFonts w:ascii="Times New Roman" w:hAnsi="Times New Roman" w:cs="Times New Roman"/>
              </w:rPr>
            </w:pPr>
            <w:r>
              <w:rPr>
                <w:rFonts w:ascii="Times New Roman" w:eastAsia="Times New Roman" w:hAnsi="Times New Roman" w:cs="Times New Roman"/>
                <w:color w:val="000000"/>
                <w:sz w:val="24"/>
                <w:szCs w:val="24"/>
                <w:lang w:eastAsia="uk-UA"/>
              </w:rPr>
              <w:t>Жидичинський</w:t>
            </w:r>
          </w:p>
        </w:tc>
        <w:tc>
          <w:tcPr>
            <w:tcW w:w="1560" w:type="dxa"/>
            <w:tcBorders>
              <w:bottom w:val="single" w:sz="4" w:space="0" w:color="000000"/>
              <w:right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6</w:t>
            </w:r>
          </w:p>
        </w:tc>
        <w:tc>
          <w:tcPr>
            <w:tcW w:w="1417" w:type="dxa"/>
            <w:tcBorders>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1</w:t>
            </w:r>
          </w:p>
        </w:tc>
        <w:tc>
          <w:tcPr>
            <w:tcW w:w="1418" w:type="dxa"/>
            <w:tcBorders>
              <w:bottom w:val="single" w:sz="4" w:space="0" w:color="000000"/>
              <w:right w:val="single" w:sz="4" w:space="0" w:color="000000"/>
            </w:tcBorders>
            <w:shd w:val="clear" w:color="auto" w:fill="auto"/>
          </w:tcPr>
          <w:p w:rsidR="00D227E2" w:rsidRDefault="00934FC4">
            <w:pPr>
              <w:spacing w:after="0" w:line="240" w:lineRule="auto"/>
              <w:jc w:val="center"/>
              <w:rPr>
                <w:rFonts w:ascii="Times New Roman" w:hAnsi="Times New Roman" w:cs="Times New Roman"/>
              </w:rPr>
            </w:pPr>
            <w:r>
              <w:rPr>
                <w:rFonts w:ascii="Times New Roman" w:hAnsi="Times New Roman" w:cs="Times New Roman"/>
                <w:sz w:val="24"/>
                <w:szCs w:val="24"/>
              </w:rPr>
              <w:t>4</w:t>
            </w:r>
          </w:p>
        </w:tc>
        <w:tc>
          <w:tcPr>
            <w:tcW w:w="1179" w:type="dxa"/>
            <w:tcBorders>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w:t>
            </w:r>
          </w:p>
        </w:tc>
        <w:tc>
          <w:tcPr>
            <w:tcW w:w="1838" w:type="dxa"/>
            <w:tcBorders>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w:t>
            </w:r>
          </w:p>
        </w:tc>
      </w:tr>
      <w:tr w:rsidR="00D227E2">
        <w:trPr>
          <w:trHeight w:val="288"/>
          <w:jc w:val="center"/>
        </w:trPr>
        <w:tc>
          <w:tcPr>
            <w:tcW w:w="1984" w:type="dxa"/>
            <w:tcBorders>
              <w:left w:val="single" w:sz="4" w:space="0" w:color="000000"/>
              <w:bottom w:val="single" w:sz="4" w:space="0" w:color="000000"/>
              <w:right w:val="single" w:sz="4" w:space="0" w:color="000000"/>
            </w:tcBorders>
            <w:shd w:val="clear" w:color="auto" w:fill="auto"/>
            <w:vAlign w:val="bottom"/>
          </w:tcPr>
          <w:p w:rsidR="00D227E2" w:rsidRDefault="00934FC4">
            <w:pPr>
              <w:spacing w:after="0" w:line="240" w:lineRule="auto"/>
              <w:jc w:val="both"/>
              <w:rPr>
                <w:rFonts w:ascii="Times New Roman" w:hAnsi="Times New Roman" w:cs="Times New Roman"/>
              </w:rPr>
            </w:pPr>
            <w:r>
              <w:rPr>
                <w:rFonts w:ascii="Times New Roman" w:eastAsia="Times New Roman" w:hAnsi="Times New Roman" w:cs="Times New Roman"/>
                <w:color w:val="000000"/>
                <w:sz w:val="24"/>
                <w:szCs w:val="24"/>
                <w:lang w:eastAsia="uk-UA"/>
              </w:rPr>
              <w:t>Заборольський</w:t>
            </w:r>
          </w:p>
        </w:tc>
        <w:tc>
          <w:tcPr>
            <w:tcW w:w="1560" w:type="dxa"/>
            <w:tcBorders>
              <w:bottom w:val="single" w:sz="4" w:space="0" w:color="000000"/>
              <w:right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6</w:t>
            </w:r>
          </w:p>
        </w:tc>
        <w:tc>
          <w:tcPr>
            <w:tcW w:w="1417" w:type="dxa"/>
            <w:tcBorders>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1</w:t>
            </w:r>
          </w:p>
        </w:tc>
        <w:tc>
          <w:tcPr>
            <w:tcW w:w="1418" w:type="dxa"/>
            <w:tcBorders>
              <w:bottom w:val="single" w:sz="4" w:space="0" w:color="000000"/>
              <w:right w:val="single" w:sz="4" w:space="0" w:color="000000"/>
            </w:tcBorders>
            <w:shd w:val="clear" w:color="auto" w:fill="auto"/>
          </w:tcPr>
          <w:p w:rsidR="00D227E2" w:rsidRDefault="00934FC4">
            <w:pPr>
              <w:spacing w:after="0" w:line="240" w:lineRule="auto"/>
              <w:jc w:val="center"/>
              <w:rPr>
                <w:rFonts w:ascii="Times New Roman" w:hAnsi="Times New Roman" w:cs="Times New Roman"/>
              </w:rPr>
            </w:pPr>
            <w:r>
              <w:rPr>
                <w:rFonts w:ascii="Times New Roman" w:hAnsi="Times New Roman" w:cs="Times New Roman"/>
                <w:sz w:val="24"/>
                <w:szCs w:val="24"/>
              </w:rPr>
              <w:t>5</w:t>
            </w:r>
          </w:p>
        </w:tc>
        <w:tc>
          <w:tcPr>
            <w:tcW w:w="1179" w:type="dxa"/>
            <w:tcBorders>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w:t>
            </w:r>
          </w:p>
        </w:tc>
        <w:tc>
          <w:tcPr>
            <w:tcW w:w="1838" w:type="dxa"/>
            <w:tcBorders>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w:t>
            </w:r>
          </w:p>
        </w:tc>
      </w:tr>
      <w:tr w:rsidR="00D227E2">
        <w:trPr>
          <w:trHeight w:val="288"/>
          <w:jc w:val="center"/>
        </w:trPr>
        <w:tc>
          <w:tcPr>
            <w:tcW w:w="1984" w:type="dxa"/>
            <w:tcBorders>
              <w:left w:val="single" w:sz="4" w:space="0" w:color="000000"/>
              <w:bottom w:val="single" w:sz="4" w:space="0" w:color="000000"/>
              <w:right w:val="single" w:sz="4" w:space="0" w:color="000000"/>
            </w:tcBorders>
            <w:shd w:val="clear" w:color="auto" w:fill="auto"/>
            <w:vAlign w:val="bottom"/>
          </w:tcPr>
          <w:p w:rsidR="00D227E2" w:rsidRDefault="00934FC4">
            <w:pPr>
              <w:spacing w:after="0" w:line="240" w:lineRule="auto"/>
              <w:jc w:val="both"/>
              <w:rPr>
                <w:rFonts w:ascii="Times New Roman" w:hAnsi="Times New Roman" w:cs="Times New Roman"/>
              </w:rPr>
            </w:pPr>
            <w:r>
              <w:rPr>
                <w:rFonts w:ascii="Times New Roman" w:eastAsia="Times New Roman" w:hAnsi="Times New Roman" w:cs="Times New Roman"/>
                <w:color w:val="000000"/>
                <w:sz w:val="24"/>
                <w:szCs w:val="24"/>
                <w:lang w:eastAsia="uk-UA"/>
              </w:rPr>
              <w:t>Княгининок</w:t>
            </w:r>
          </w:p>
        </w:tc>
        <w:tc>
          <w:tcPr>
            <w:tcW w:w="1560" w:type="dxa"/>
            <w:tcBorders>
              <w:bottom w:val="single" w:sz="4" w:space="0" w:color="000000"/>
              <w:right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3</w:t>
            </w:r>
          </w:p>
        </w:tc>
        <w:tc>
          <w:tcPr>
            <w:tcW w:w="1417" w:type="dxa"/>
            <w:tcBorders>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1</w:t>
            </w:r>
          </w:p>
        </w:tc>
        <w:tc>
          <w:tcPr>
            <w:tcW w:w="1418" w:type="dxa"/>
            <w:tcBorders>
              <w:bottom w:val="single" w:sz="4" w:space="0" w:color="000000"/>
              <w:right w:val="single" w:sz="4" w:space="0" w:color="000000"/>
            </w:tcBorders>
            <w:shd w:val="clear" w:color="auto" w:fill="auto"/>
          </w:tcPr>
          <w:p w:rsidR="00D227E2" w:rsidRDefault="00934FC4">
            <w:pPr>
              <w:spacing w:after="0" w:line="240" w:lineRule="auto"/>
              <w:jc w:val="center"/>
              <w:rPr>
                <w:rFonts w:ascii="Times New Roman" w:hAnsi="Times New Roman" w:cs="Times New Roman"/>
              </w:rPr>
            </w:pPr>
            <w:r>
              <w:rPr>
                <w:rFonts w:ascii="Times New Roman" w:hAnsi="Times New Roman" w:cs="Times New Roman"/>
                <w:sz w:val="24"/>
                <w:szCs w:val="24"/>
              </w:rPr>
              <w:t>1</w:t>
            </w:r>
          </w:p>
        </w:tc>
        <w:tc>
          <w:tcPr>
            <w:tcW w:w="1179" w:type="dxa"/>
            <w:tcBorders>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1</w:t>
            </w:r>
          </w:p>
        </w:tc>
        <w:tc>
          <w:tcPr>
            <w:tcW w:w="1838" w:type="dxa"/>
            <w:tcBorders>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w:t>
            </w:r>
          </w:p>
        </w:tc>
      </w:tr>
      <w:tr w:rsidR="00D227E2">
        <w:trPr>
          <w:trHeight w:val="288"/>
          <w:jc w:val="center"/>
        </w:trPr>
        <w:tc>
          <w:tcPr>
            <w:tcW w:w="1984" w:type="dxa"/>
            <w:tcBorders>
              <w:left w:val="single" w:sz="4" w:space="0" w:color="000000"/>
              <w:bottom w:val="single" w:sz="4" w:space="0" w:color="000000"/>
              <w:right w:val="single" w:sz="4" w:space="0" w:color="000000"/>
            </w:tcBorders>
            <w:shd w:val="clear" w:color="auto" w:fill="auto"/>
            <w:vAlign w:val="bottom"/>
          </w:tcPr>
          <w:p w:rsidR="00D227E2" w:rsidRDefault="00934FC4">
            <w:pPr>
              <w:spacing w:after="0" w:line="240" w:lineRule="auto"/>
              <w:jc w:val="both"/>
              <w:rPr>
                <w:rFonts w:ascii="Times New Roman" w:hAnsi="Times New Roman" w:cs="Times New Roman"/>
              </w:rPr>
            </w:pPr>
            <w:r>
              <w:rPr>
                <w:rFonts w:ascii="Times New Roman" w:eastAsia="Times New Roman" w:hAnsi="Times New Roman" w:cs="Times New Roman"/>
                <w:color w:val="000000"/>
                <w:sz w:val="24"/>
                <w:szCs w:val="24"/>
                <w:lang w:eastAsia="uk-UA"/>
              </w:rPr>
              <w:t>Прилуцький</w:t>
            </w:r>
          </w:p>
        </w:tc>
        <w:tc>
          <w:tcPr>
            <w:tcW w:w="1560" w:type="dxa"/>
            <w:tcBorders>
              <w:bottom w:val="single" w:sz="4" w:space="0" w:color="000000"/>
              <w:right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6</w:t>
            </w:r>
          </w:p>
        </w:tc>
        <w:tc>
          <w:tcPr>
            <w:tcW w:w="1417" w:type="dxa"/>
            <w:tcBorders>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w:t>
            </w:r>
          </w:p>
        </w:tc>
        <w:tc>
          <w:tcPr>
            <w:tcW w:w="1418" w:type="dxa"/>
            <w:tcBorders>
              <w:bottom w:val="single" w:sz="4" w:space="0" w:color="000000"/>
              <w:right w:val="single" w:sz="4" w:space="0" w:color="000000"/>
            </w:tcBorders>
            <w:shd w:val="clear" w:color="auto" w:fill="auto"/>
          </w:tcPr>
          <w:p w:rsidR="00D227E2" w:rsidRDefault="00934FC4">
            <w:pPr>
              <w:spacing w:after="0" w:line="240" w:lineRule="auto"/>
              <w:jc w:val="center"/>
              <w:rPr>
                <w:rFonts w:ascii="Times New Roman" w:hAnsi="Times New Roman" w:cs="Times New Roman"/>
              </w:rPr>
            </w:pPr>
            <w:r>
              <w:rPr>
                <w:rFonts w:ascii="Times New Roman" w:hAnsi="Times New Roman" w:cs="Times New Roman"/>
                <w:sz w:val="24"/>
                <w:szCs w:val="24"/>
              </w:rPr>
              <w:t>4</w:t>
            </w:r>
          </w:p>
        </w:tc>
        <w:tc>
          <w:tcPr>
            <w:tcW w:w="1179" w:type="dxa"/>
            <w:tcBorders>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2</w:t>
            </w:r>
          </w:p>
        </w:tc>
        <w:tc>
          <w:tcPr>
            <w:tcW w:w="1838" w:type="dxa"/>
            <w:tcBorders>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w:t>
            </w:r>
          </w:p>
        </w:tc>
      </w:tr>
      <w:tr w:rsidR="00D227E2">
        <w:trPr>
          <w:trHeight w:val="300"/>
          <w:jc w:val="center"/>
        </w:trPr>
        <w:tc>
          <w:tcPr>
            <w:tcW w:w="1984" w:type="dxa"/>
            <w:tcBorders>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both"/>
              <w:rPr>
                <w:rFonts w:ascii="Times New Roman" w:hAnsi="Times New Roman" w:cs="Times New Roman"/>
              </w:rPr>
            </w:pPr>
            <w:r>
              <w:rPr>
                <w:rFonts w:ascii="Times New Roman" w:eastAsia="Times New Roman" w:hAnsi="Times New Roman" w:cs="Times New Roman"/>
                <w:bCs/>
                <w:color w:val="000000"/>
                <w:sz w:val="24"/>
                <w:szCs w:val="24"/>
                <w:lang w:eastAsia="uk-UA"/>
              </w:rPr>
              <w:t>Загалом</w:t>
            </w:r>
          </w:p>
        </w:tc>
        <w:tc>
          <w:tcPr>
            <w:tcW w:w="1560" w:type="dxa"/>
            <w:tcBorders>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uk-UA"/>
              </w:rPr>
              <w:t>27</w:t>
            </w:r>
          </w:p>
        </w:tc>
        <w:tc>
          <w:tcPr>
            <w:tcW w:w="1417" w:type="dxa"/>
            <w:tcBorders>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uk-UA"/>
              </w:rPr>
              <w:t>4</w:t>
            </w:r>
          </w:p>
        </w:tc>
        <w:tc>
          <w:tcPr>
            <w:tcW w:w="1418" w:type="dxa"/>
            <w:tcBorders>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uk-UA"/>
              </w:rPr>
              <w:t>19</w:t>
            </w:r>
          </w:p>
        </w:tc>
        <w:tc>
          <w:tcPr>
            <w:tcW w:w="1179" w:type="dxa"/>
            <w:tcBorders>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uk-UA"/>
              </w:rPr>
              <w:t>3</w:t>
            </w:r>
          </w:p>
        </w:tc>
        <w:tc>
          <w:tcPr>
            <w:tcW w:w="1838" w:type="dxa"/>
            <w:tcBorders>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uk-UA"/>
              </w:rPr>
              <w:t>1</w:t>
            </w:r>
          </w:p>
        </w:tc>
      </w:tr>
      <w:tr w:rsidR="00D227E2">
        <w:trPr>
          <w:trHeight w:val="300"/>
          <w:jc w:val="center"/>
        </w:trPr>
        <w:tc>
          <w:tcPr>
            <w:tcW w:w="1984" w:type="dxa"/>
            <w:shd w:val="clear" w:color="auto" w:fill="auto"/>
            <w:vAlign w:val="center"/>
          </w:tcPr>
          <w:p w:rsidR="00D227E2" w:rsidRDefault="00D227E2">
            <w:pPr>
              <w:spacing w:after="0" w:line="240" w:lineRule="auto"/>
              <w:jc w:val="both"/>
              <w:rPr>
                <w:rFonts w:ascii="Times New Roman" w:eastAsia="Times New Roman" w:hAnsi="Times New Roman" w:cs="Times New Roman"/>
                <w:b/>
                <w:bCs/>
                <w:color w:val="000000"/>
                <w:sz w:val="24"/>
                <w:szCs w:val="24"/>
                <w:lang w:eastAsia="uk-UA"/>
              </w:rPr>
            </w:pPr>
          </w:p>
        </w:tc>
        <w:tc>
          <w:tcPr>
            <w:tcW w:w="1560" w:type="dxa"/>
            <w:shd w:val="clear" w:color="auto" w:fill="auto"/>
            <w:vAlign w:val="center"/>
          </w:tcPr>
          <w:p w:rsidR="00D227E2" w:rsidRDefault="00D227E2">
            <w:pPr>
              <w:spacing w:after="0" w:line="240" w:lineRule="auto"/>
              <w:jc w:val="center"/>
              <w:rPr>
                <w:rFonts w:ascii="Times New Roman" w:eastAsia="Times New Roman" w:hAnsi="Times New Roman" w:cs="Times New Roman"/>
                <w:sz w:val="24"/>
                <w:szCs w:val="24"/>
                <w:lang w:eastAsia="uk-UA"/>
              </w:rPr>
            </w:pPr>
          </w:p>
        </w:tc>
        <w:tc>
          <w:tcPr>
            <w:tcW w:w="1417" w:type="dxa"/>
            <w:tcBorders>
              <w:left w:val="single" w:sz="4" w:space="0" w:color="000000"/>
              <w:bottom w:val="single" w:sz="4" w:space="0" w:color="000000"/>
              <w:right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14,8 %</w:t>
            </w:r>
          </w:p>
        </w:tc>
        <w:tc>
          <w:tcPr>
            <w:tcW w:w="1418" w:type="dxa"/>
            <w:tcBorders>
              <w:bottom w:val="single" w:sz="4" w:space="0" w:color="000000"/>
              <w:right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70,4 %</w:t>
            </w:r>
          </w:p>
        </w:tc>
        <w:tc>
          <w:tcPr>
            <w:tcW w:w="1179" w:type="dxa"/>
            <w:tcBorders>
              <w:bottom w:val="single" w:sz="4" w:space="0" w:color="000000"/>
              <w:right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11,1 %</w:t>
            </w:r>
          </w:p>
        </w:tc>
        <w:tc>
          <w:tcPr>
            <w:tcW w:w="1838" w:type="dxa"/>
            <w:tcBorders>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lang w:eastAsia="uk-UA"/>
              </w:rPr>
              <w:t>3,7 %</w:t>
            </w:r>
          </w:p>
        </w:tc>
      </w:tr>
    </w:tbl>
    <w:p w:rsidR="00D227E2" w:rsidRDefault="00934FC4">
      <w:pPr>
        <w:spacing w:after="0"/>
        <w:ind w:firstLine="709"/>
        <w:jc w:val="both"/>
        <w:rPr>
          <w:rFonts w:ascii="Times New Roman" w:hAnsi="Times New Roman" w:cs="Times New Roman"/>
        </w:rPr>
      </w:pPr>
      <w:r>
        <w:rPr>
          <w:rFonts w:ascii="Times New Roman" w:hAnsi="Times New Roman" w:cs="Times New Roman"/>
          <w:sz w:val="24"/>
          <w:szCs w:val="24"/>
        </w:rPr>
        <w:t>На діаграмі наведений розподіл часток за типами опалення.</w:t>
      </w:r>
    </w:p>
    <w:p w:rsidR="00D227E2" w:rsidRDefault="00934FC4">
      <w:pPr>
        <w:spacing w:after="0"/>
        <w:ind w:firstLine="709"/>
        <w:jc w:val="center"/>
        <w:rPr>
          <w:rFonts w:ascii="Times New Roman" w:hAnsi="Times New Roman" w:cs="Times New Roman"/>
        </w:rPr>
      </w:pPr>
      <w:r>
        <w:rPr>
          <w:noProof/>
          <w:lang w:eastAsia="uk-UA"/>
        </w:rPr>
        <w:drawing>
          <wp:inline distT="0" distB="0" distL="0" distR="0" wp14:anchorId="0DB168B1" wp14:editId="6A0A193A">
            <wp:extent cx="3984625" cy="2223135"/>
            <wp:effectExtent l="0" t="0" r="0" b="0"/>
            <wp:docPr id="87"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r>
        <w:rPr>
          <w:rFonts w:ascii="Times New Roman" w:hAnsi="Times New Roman" w:cs="Times New Roman"/>
          <w:sz w:val="24"/>
          <w:szCs w:val="24"/>
        </w:rPr>
        <w:t> </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 xml:space="preserve">Результати опитування показали, що більшість будинків, які досліджувалися в рамках опитування (70,4 %), опалюється тільки за рахунок природного газу. Частина з них вказала, що проводили заміну котла на ефективніший протягом останніх 10 років. Ще 14,8 % приватних будівель у громаді, власники яких брали участь у опитуванні, станом на 2023 рік опалюються тільки дровами. Також 11,1 % опитуваних опалюється, комбінуючи опалення дровами та природним газом. </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Відповідно до отриманих даних щодо об’ємів споживання енергоресурсів наведено кількість спожитих енергоресурсів за опалювальний період у 2022 році у населених пунктах Луцької МТГ, в натуральних показниках.</w:t>
      </w:r>
    </w:p>
    <w:tbl>
      <w:tblPr>
        <w:tblW w:w="9526" w:type="dxa"/>
        <w:tblInd w:w="109" w:type="dxa"/>
        <w:tblLayout w:type="fixed"/>
        <w:tblCellMar>
          <w:top w:w="55" w:type="dxa"/>
          <w:bottom w:w="55" w:type="dxa"/>
        </w:tblCellMar>
        <w:tblLook w:val="04A0" w:firstRow="1" w:lastRow="0" w:firstColumn="1" w:lastColumn="0" w:noHBand="0" w:noVBand="1"/>
      </w:tblPr>
      <w:tblGrid>
        <w:gridCol w:w="2019"/>
        <w:gridCol w:w="1699"/>
        <w:gridCol w:w="1698"/>
        <w:gridCol w:w="1136"/>
        <w:gridCol w:w="1273"/>
        <w:gridCol w:w="1701"/>
      </w:tblGrid>
      <w:tr w:rsidR="00D227E2">
        <w:tc>
          <w:tcPr>
            <w:tcW w:w="2018" w:type="dxa"/>
            <w:vMerge w:val="restart"/>
            <w:tcBorders>
              <w:top w:val="single" w:sz="4" w:space="0" w:color="000000"/>
              <w:left w:val="single" w:sz="4" w:space="0" w:color="000000"/>
              <w:bottom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Старостинський округ</w:t>
            </w:r>
          </w:p>
        </w:tc>
        <w:tc>
          <w:tcPr>
            <w:tcW w:w="7507"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Споживання палива за 2022 рік</w:t>
            </w:r>
          </w:p>
        </w:tc>
      </w:tr>
      <w:tr w:rsidR="00D227E2">
        <w:tc>
          <w:tcPr>
            <w:tcW w:w="2018" w:type="dxa"/>
            <w:vMerge/>
            <w:tcBorders>
              <w:left w:val="single" w:sz="4" w:space="0" w:color="000000"/>
              <w:bottom w:val="single" w:sz="4" w:space="0" w:color="000000"/>
            </w:tcBorders>
            <w:shd w:val="clear" w:color="auto" w:fill="auto"/>
            <w:vAlign w:val="center"/>
          </w:tcPr>
          <w:p w:rsidR="00D227E2" w:rsidRDefault="00D227E2">
            <w:pPr>
              <w:spacing w:after="0" w:line="240" w:lineRule="auto"/>
              <w:jc w:val="center"/>
              <w:rPr>
                <w:rFonts w:ascii="Times New Roman" w:eastAsia="Times New Roman" w:hAnsi="Times New Roman" w:cs="Times New Roman"/>
                <w:color w:val="000000"/>
                <w:lang w:eastAsia="uk-UA"/>
              </w:rPr>
            </w:pPr>
          </w:p>
        </w:tc>
        <w:tc>
          <w:tcPr>
            <w:tcW w:w="1699" w:type="dxa"/>
            <w:tcBorders>
              <w:left w:val="single" w:sz="4" w:space="0" w:color="000000"/>
              <w:bottom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Дрова, складометр</w:t>
            </w:r>
          </w:p>
        </w:tc>
        <w:tc>
          <w:tcPr>
            <w:tcW w:w="1698" w:type="dxa"/>
            <w:tcBorders>
              <w:left w:val="single" w:sz="4" w:space="0" w:color="000000"/>
              <w:bottom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Природний газ, куб. м</w:t>
            </w:r>
          </w:p>
        </w:tc>
        <w:tc>
          <w:tcPr>
            <w:tcW w:w="2409" w:type="dxa"/>
            <w:gridSpan w:val="2"/>
            <w:tcBorders>
              <w:left w:val="single" w:sz="4" w:space="0" w:color="000000"/>
              <w:bottom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Дрова + Газ, складометр/ куб.</w:t>
            </w:r>
            <w:r>
              <w:rPr>
                <w:rFonts w:ascii="Times New Roman" w:hAnsi="Times New Roman" w:cs="Times New Roman"/>
              </w:rPr>
              <w:t> </w:t>
            </w:r>
            <w:r>
              <w:rPr>
                <w:rFonts w:ascii="Times New Roman" w:eastAsia="Times New Roman" w:hAnsi="Times New Roman" w:cs="Times New Roman"/>
                <w:color w:val="000000"/>
                <w:lang w:eastAsia="uk-UA"/>
              </w:rPr>
              <w:t>м</w:t>
            </w:r>
          </w:p>
        </w:tc>
        <w:tc>
          <w:tcPr>
            <w:tcW w:w="1701" w:type="dxa"/>
            <w:tcBorders>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Електроенергія кВт.год</w:t>
            </w:r>
          </w:p>
        </w:tc>
      </w:tr>
      <w:tr w:rsidR="00D227E2">
        <w:tc>
          <w:tcPr>
            <w:tcW w:w="2018" w:type="dxa"/>
            <w:tcBorders>
              <w:left w:val="single" w:sz="4" w:space="0" w:color="000000"/>
              <w:bottom w:val="single" w:sz="4" w:space="0" w:color="000000"/>
            </w:tcBorders>
            <w:shd w:val="clear" w:color="auto" w:fill="auto"/>
          </w:tcPr>
          <w:p w:rsidR="00D227E2" w:rsidRDefault="00934FC4">
            <w:pPr>
              <w:spacing w:after="0" w:line="240" w:lineRule="auto"/>
              <w:jc w:val="both"/>
              <w:rPr>
                <w:rFonts w:ascii="Times New Roman" w:hAnsi="Times New Roman" w:cs="Times New Roman"/>
              </w:rPr>
            </w:pPr>
            <w:r>
              <w:rPr>
                <w:rFonts w:ascii="Times New Roman" w:eastAsia="Times New Roman" w:hAnsi="Times New Roman" w:cs="Times New Roman"/>
                <w:color w:val="000000"/>
                <w:lang w:eastAsia="uk-UA"/>
              </w:rPr>
              <w:t>Боголюбський</w:t>
            </w:r>
          </w:p>
        </w:tc>
        <w:tc>
          <w:tcPr>
            <w:tcW w:w="1699" w:type="dxa"/>
            <w:tcBorders>
              <w:left w:val="single" w:sz="4" w:space="0" w:color="000000"/>
              <w:bottom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10</w:t>
            </w:r>
          </w:p>
        </w:tc>
        <w:tc>
          <w:tcPr>
            <w:tcW w:w="1698" w:type="dxa"/>
            <w:tcBorders>
              <w:left w:val="single" w:sz="4" w:space="0" w:color="000000"/>
              <w:bottom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7650</w:t>
            </w:r>
          </w:p>
        </w:tc>
        <w:tc>
          <w:tcPr>
            <w:tcW w:w="1136" w:type="dxa"/>
            <w:tcBorders>
              <w:left w:val="single" w:sz="4" w:space="0" w:color="000000"/>
              <w:bottom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w:t>
            </w:r>
          </w:p>
        </w:tc>
        <w:tc>
          <w:tcPr>
            <w:tcW w:w="1273" w:type="dxa"/>
            <w:tcBorders>
              <w:left w:val="single" w:sz="4" w:space="0" w:color="000000"/>
              <w:bottom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w:t>
            </w:r>
          </w:p>
        </w:tc>
        <w:tc>
          <w:tcPr>
            <w:tcW w:w="1701" w:type="dxa"/>
            <w:tcBorders>
              <w:left w:val="single" w:sz="4" w:space="0" w:color="000000"/>
              <w:bottom w:val="single" w:sz="4" w:space="0" w:color="000000"/>
              <w:right w:val="single" w:sz="4" w:space="0" w:color="000000"/>
            </w:tcBorders>
            <w:shd w:val="clear" w:color="auto" w:fill="auto"/>
            <w:vAlign w:val="bottom"/>
          </w:tcPr>
          <w:p w:rsidR="00D227E2" w:rsidRDefault="00D227E2">
            <w:pPr>
              <w:spacing w:after="0" w:line="240" w:lineRule="auto"/>
              <w:jc w:val="center"/>
              <w:rPr>
                <w:rFonts w:ascii="Times New Roman" w:eastAsia="Times New Roman" w:hAnsi="Times New Roman" w:cs="Times New Roman"/>
                <w:color w:val="000000"/>
                <w:lang w:eastAsia="uk-UA"/>
              </w:rPr>
            </w:pPr>
          </w:p>
        </w:tc>
      </w:tr>
      <w:tr w:rsidR="00D227E2">
        <w:tc>
          <w:tcPr>
            <w:tcW w:w="2018" w:type="dxa"/>
            <w:tcBorders>
              <w:left w:val="single" w:sz="4" w:space="0" w:color="000000"/>
              <w:bottom w:val="single" w:sz="4" w:space="0" w:color="000000"/>
            </w:tcBorders>
            <w:shd w:val="clear" w:color="auto" w:fill="auto"/>
          </w:tcPr>
          <w:p w:rsidR="00D227E2" w:rsidRDefault="00934FC4">
            <w:pPr>
              <w:spacing w:after="0" w:line="240" w:lineRule="auto"/>
              <w:jc w:val="both"/>
              <w:rPr>
                <w:rFonts w:ascii="Times New Roman" w:hAnsi="Times New Roman" w:cs="Times New Roman"/>
              </w:rPr>
            </w:pPr>
            <w:r>
              <w:rPr>
                <w:rFonts w:ascii="Times New Roman" w:eastAsia="Times New Roman" w:hAnsi="Times New Roman" w:cs="Times New Roman"/>
                <w:color w:val="000000"/>
                <w:lang w:eastAsia="uk-UA"/>
              </w:rPr>
              <w:t>Жидичинський</w:t>
            </w:r>
          </w:p>
        </w:tc>
        <w:tc>
          <w:tcPr>
            <w:tcW w:w="1699" w:type="dxa"/>
            <w:tcBorders>
              <w:left w:val="single" w:sz="4" w:space="0" w:color="000000"/>
              <w:bottom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4</w:t>
            </w:r>
          </w:p>
        </w:tc>
        <w:tc>
          <w:tcPr>
            <w:tcW w:w="1698" w:type="dxa"/>
            <w:tcBorders>
              <w:left w:val="single" w:sz="4" w:space="0" w:color="000000"/>
              <w:bottom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7760</w:t>
            </w:r>
          </w:p>
        </w:tc>
        <w:tc>
          <w:tcPr>
            <w:tcW w:w="1136" w:type="dxa"/>
            <w:tcBorders>
              <w:left w:val="single" w:sz="4" w:space="0" w:color="000000"/>
              <w:bottom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w:t>
            </w:r>
          </w:p>
        </w:tc>
        <w:tc>
          <w:tcPr>
            <w:tcW w:w="1273" w:type="dxa"/>
            <w:tcBorders>
              <w:left w:val="single" w:sz="4" w:space="0" w:color="000000"/>
              <w:bottom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w:t>
            </w:r>
          </w:p>
        </w:tc>
        <w:tc>
          <w:tcPr>
            <w:tcW w:w="1701" w:type="dxa"/>
            <w:tcBorders>
              <w:left w:val="single" w:sz="4" w:space="0" w:color="000000"/>
              <w:bottom w:val="single" w:sz="4" w:space="0" w:color="000000"/>
              <w:right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17280</w:t>
            </w:r>
          </w:p>
        </w:tc>
      </w:tr>
      <w:tr w:rsidR="00D227E2">
        <w:tc>
          <w:tcPr>
            <w:tcW w:w="2018" w:type="dxa"/>
            <w:tcBorders>
              <w:left w:val="single" w:sz="4" w:space="0" w:color="000000"/>
              <w:bottom w:val="single" w:sz="4" w:space="0" w:color="000000"/>
            </w:tcBorders>
            <w:shd w:val="clear" w:color="auto" w:fill="auto"/>
          </w:tcPr>
          <w:p w:rsidR="00D227E2" w:rsidRDefault="00934FC4">
            <w:pPr>
              <w:spacing w:after="0" w:line="240" w:lineRule="auto"/>
              <w:jc w:val="both"/>
              <w:rPr>
                <w:rFonts w:ascii="Times New Roman" w:hAnsi="Times New Roman" w:cs="Times New Roman"/>
              </w:rPr>
            </w:pPr>
            <w:r>
              <w:rPr>
                <w:rFonts w:ascii="Times New Roman" w:eastAsia="Times New Roman" w:hAnsi="Times New Roman" w:cs="Times New Roman"/>
                <w:color w:val="000000"/>
                <w:lang w:eastAsia="uk-UA"/>
              </w:rPr>
              <w:t>Заборольський</w:t>
            </w:r>
          </w:p>
        </w:tc>
        <w:tc>
          <w:tcPr>
            <w:tcW w:w="1699" w:type="dxa"/>
            <w:tcBorders>
              <w:left w:val="single" w:sz="4" w:space="0" w:color="000000"/>
              <w:bottom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18</w:t>
            </w:r>
          </w:p>
        </w:tc>
        <w:tc>
          <w:tcPr>
            <w:tcW w:w="1698" w:type="dxa"/>
            <w:tcBorders>
              <w:left w:val="single" w:sz="4" w:space="0" w:color="000000"/>
              <w:bottom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8300</w:t>
            </w:r>
          </w:p>
        </w:tc>
        <w:tc>
          <w:tcPr>
            <w:tcW w:w="1136" w:type="dxa"/>
            <w:tcBorders>
              <w:left w:val="single" w:sz="4" w:space="0" w:color="000000"/>
              <w:bottom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w:t>
            </w:r>
          </w:p>
        </w:tc>
        <w:tc>
          <w:tcPr>
            <w:tcW w:w="1273" w:type="dxa"/>
            <w:tcBorders>
              <w:left w:val="single" w:sz="4" w:space="0" w:color="000000"/>
              <w:bottom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w:t>
            </w:r>
          </w:p>
        </w:tc>
        <w:tc>
          <w:tcPr>
            <w:tcW w:w="1701" w:type="dxa"/>
            <w:tcBorders>
              <w:left w:val="single" w:sz="4" w:space="0" w:color="000000"/>
              <w:bottom w:val="single" w:sz="4" w:space="0" w:color="000000"/>
              <w:right w:val="single" w:sz="4" w:space="0" w:color="000000"/>
            </w:tcBorders>
            <w:shd w:val="clear" w:color="auto" w:fill="auto"/>
            <w:vAlign w:val="bottom"/>
          </w:tcPr>
          <w:p w:rsidR="00D227E2" w:rsidRDefault="00D227E2">
            <w:pPr>
              <w:spacing w:after="0" w:line="240" w:lineRule="auto"/>
              <w:jc w:val="center"/>
              <w:rPr>
                <w:rFonts w:ascii="Times New Roman" w:eastAsia="Times New Roman" w:hAnsi="Times New Roman" w:cs="Times New Roman"/>
                <w:color w:val="000000"/>
                <w:lang w:eastAsia="uk-UA"/>
              </w:rPr>
            </w:pPr>
          </w:p>
        </w:tc>
      </w:tr>
      <w:tr w:rsidR="00D227E2">
        <w:tc>
          <w:tcPr>
            <w:tcW w:w="2018" w:type="dxa"/>
            <w:tcBorders>
              <w:left w:val="single" w:sz="4" w:space="0" w:color="000000"/>
              <w:bottom w:val="single" w:sz="4" w:space="0" w:color="000000"/>
            </w:tcBorders>
            <w:shd w:val="clear" w:color="auto" w:fill="auto"/>
          </w:tcPr>
          <w:p w:rsidR="00D227E2" w:rsidRDefault="00934FC4">
            <w:pPr>
              <w:spacing w:after="0" w:line="240" w:lineRule="auto"/>
              <w:jc w:val="both"/>
              <w:rPr>
                <w:rFonts w:ascii="Times New Roman" w:hAnsi="Times New Roman" w:cs="Times New Roman"/>
              </w:rPr>
            </w:pPr>
            <w:r>
              <w:rPr>
                <w:rFonts w:ascii="Times New Roman" w:eastAsia="Times New Roman" w:hAnsi="Times New Roman" w:cs="Times New Roman"/>
                <w:color w:val="000000"/>
                <w:lang w:eastAsia="uk-UA"/>
              </w:rPr>
              <w:t>Княгининок</w:t>
            </w:r>
          </w:p>
        </w:tc>
        <w:tc>
          <w:tcPr>
            <w:tcW w:w="1699" w:type="dxa"/>
            <w:tcBorders>
              <w:left w:val="single" w:sz="4" w:space="0" w:color="000000"/>
              <w:bottom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12</w:t>
            </w:r>
          </w:p>
        </w:tc>
        <w:tc>
          <w:tcPr>
            <w:tcW w:w="1698" w:type="dxa"/>
            <w:tcBorders>
              <w:left w:val="single" w:sz="4" w:space="0" w:color="000000"/>
              <w:bottom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2100</w:t>
            </w:r>
          </w:p>
        </w:tc>
        <w:tc>
          <w:tcPr>
            <w:tcW w:w="1136" w:type="dxa"/>
            <w:tcBorders>
              <w:left w:val="single" w:sz="4" w:space="0" w:color="000000"/>
              <w:bottom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5</w:t>
            </w:r>
          </w:p>
        </w:tc>
        <w:tc>
          <w:tcPr>
            <w:tcW w:w="1273" w:type="dxa"/>
            <w:tcBorders>
              <w:left w:val="single" w:sz="4" w:space="0" w:color="000000"/>
              <w:bottom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1500</w:t>
            </w:r>
          </w:p>
        </w:tc>
        <w:tc>
          <w:tcPr>
            <w:tcW w:w="1701" w:type="dxa"/>
            <w:tcBorders>
              <w:left w:val="single" w:sz="4" w:space="0" w:color="000000"/>
              <w:bottom w:val="single" w:sz="4" w:space="0" w:color="000000"/>
              <w:right w:val="single" w:sz="4" w:space="0" w:color="000000"/>
            </w:tcBorders>
            <w:shd w:val="clear" w:color="auto" w:fill="auto"/>
            <w:vAlign w:val="bottom"/>
          </w:tcPr>
          <w:p w:rsidR="00D227E2" w:rsidRDefault="00D227E2">
            <w:pPr>
              <w:spacing w:after="0" w:line="240" w:lineRule="auto"/>
              <w:jc w:val="center"/>
              <w:rPr>
                <w:rFonts w:ascii="Times New Roman" w:eastAsia="Times New Roman" w:hAnsi="Times New Roman" w:cs="Times New Roman"/>
                <w:color w:val="000000"/>
                <w:lang w:eastAsia="uk-UA"/>
              </w:rPr>
            </w:pPr>
          </w:p>
        </w:tc>
      </w:tr>
      <w:tr w:rsidR="00D227E2">
        <w:tc>
          <w:tcPr>
            <w:tcW w:w="2018" w:type="dxa"/>
            <w:tcBorders>
              <w:left w:val="single" w:sz="4" w:space="0" w:color="000000"/>
              <w:bottom w:val="single" w:sz="4" w:space="0" w:color="000000"/>
            </w:tcBorders>
            <w:shd w:val="clear" w:color="auto" w:fill="auto"/>
          </w:tcPr>
          <w:p w:rsidR="00D227E2" w:rsidRDefault="00934FC4">
            <w:pPr>
              <w:spacing w:after="0" w:line="240" w:lineRule="auto"/>
              <w:jc w:val="both"/>
              <w:rPr>
                <w:rFonts w:ascii="Times New Roman" w:hAnsi="Times New Roman" w:cs="Times New Roman"/>
              </w:rPr>
            </w:pPr>
            <w:r>
              <w:rPr>
                <w:rFonts w:ascii="Times New Roman" w:eastAsia="Times New Roman" w:hAnsi="Times New Roman" w:cs="Times New Roman"/>
                <w:color w:val="000000"/>
                <w:lang w:eastAsia="uk-UA"/>
              </w:rPr>
              <w:t>Прилуцький</w:t>
            </w:r>
          </w:p>
        </w:tc>
        <w:tc>
          <w:tcPr>
            <w:tcW w:w="1699" w:type="dxa"/>
            <w:tcBorders>
              <w:left w:val="single" w:sz="4" w:space="0" w:color="000000"/>
              <w:bottom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0</w:t>
            </w:r>
          </w:p>
        </w:tc>
        <w:tc>
          <w:tcPr>
            <w:tcW w:w="1698" w:type="dxa"/>
            <w:tcBorders>
              <w:left w:val="single" w:sz="4" w:space="0" w:color="000000"/>
              <w:bottom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7735</w:t>
            </w:r>
          </w:p>
        </w:tc>
        <w:tc>
          <w:tcPr>
            <w:tcW w:w="1136" w:type="dxa"/>
            <w:tcBorders>
              <w:left w:val="single" w:sz="4" w:space="0" w:color="000000"/>
              <w:bottom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18</w:t>
            </w:r>
          </w:p>
        </w:tc>
        <w:tc>
          <w:tcPr>
            <w:tcW w:w="1273" w:type="dxa"/>
            <w:tcBorders>
              <w:left w:val="single" w:sz="4" w:space="0" w:color="000000"/>
              <w:bottom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color w:val="000000"/>
                <w:lang w:eastAsia="uk-UA"/>
              </w:rPr>
              <w:t>1400</w:t>
            </w:r>
          </w:p>
        </w:tc>
        <w:tc>
          <w:tcPr>
            <w:tcW w:w="1701" w:type="dxa"/>
            <w:tcBorders>
              <w:left w:val="single" w:sz="4" w:space="0" w:color="000000"/>
              <w:bottom w:val="single" w:sz="4" w:space="0" w:color="000000"/>
              <w:right w:val="single" w:sz="4" w:space="0" w:color="000000"/>
            </w:tcBorders>
            <w:shd w:val="clear" w:color="auto" w:fill="auto"/>
            <w:vAlign w:val="bottom"/>
          </w:tcPr>
          <w:p w:rsidR="00D227E2" w:rsidRDefault="00D227E2">
            <w:pPr>
              <w:spacing w:after="0" w:line="240" w:lineRule="auto"/>
              <w:jc w:val="center"/>
              <w:rPr>
                <w:rFonts w:ascii="Times New Roman" w:eastAsia="Times New Roman" w:hAnsi="Times New Roman" w:cs="Times New Roman"/>
                <w:color w:val="000000"/>
                <w:lang w:eastAsia="uk-UA"/>
              </w:rPr>
            </w:pPr>
          </w:p>
        </w:tc>
      </w:tr>
      <w:tr w:rsidR="00D227E2">
        <w:tc>
          <w:tcPr>
            <w:tcW w:w="2018" w:type="dxa"/>
            <w:tcBorders>
              <w:left w:val="single" w:sz="4" w:space="0" w:color="000000"/>
              <w:bottom w:val="single" w:sz="4" w:space="0" w:color="000000"/>
            </w:tcBorders>
            <w:shd w:val="clear" w:color="auto" w:fill="auto"/>
            <w:vAlign w:val="bottom"/>
          </w:tcPr>
          <w:p w:rsidR="00D227E2" w:rsidRDefault="00934FC4">
            <w:pPr>
              <w:spacing w:after="0" w:line="240" w:lineRule="auto"/>
              <w:jc w:val="both"/>
              <w:rPr>
                <w:rFonts w:ascii="Times New Roman" w:hAnsi="Times New Roman" w:cs="Times New Roman"/>
              </w:rPr>
            </w:pPr>
            <w:r>
              <w:rPr>
                <w:rFonts w:ascii="Times New Roman" w:eastAsia="Times New Roman" w:hAnsi="Times New Roman" w:cs="Times New Roman"/>
                <w:bCs/>
                <w:color w:val="000000"/>
                <w:lang w:eastAsia="uk-UA"/>
              </w:rPr>
              <w:t>Загалом</w:t>
            </w:r>
          </w:p>
        </w:tc>
        <w:tc>
          <w:tcPr>
            <w:tcW w:w="1699" w:type="dxa"/>
            <w:tcBorders>
              <w:left w:val="single" w:sz="4" w:space="0" w:color="000000"/>
              <w:bottom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44</w:t>
            </w:r>
          </w:p>
        </w:tc>
        <w:tc>
          <w:tcPr>
            <w:tcW w:w="1698" w:type="dxa"/>
            <w:tcBorders>
              <w:left w:val="single" w:sz="4" w:space="0" w:color="000000"/>
              <w:bottom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33545</w:t>
            </w:r>
          </w:p>
        </w:tc>
        <w:tc>
          <w:tcPr>
            <w:tcW w:w="1136" w:type="dxa"/>
            <w:tcBorders>
              <w:left w:val="single" w:sz="4" w:space="0" w:color="000000"/>
              <w:bottom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23</w:t>
            </w:r>
          </w:p>
        </w:tc>
        <w:tc>
          <w:tcPr>
            <w:tcW w:w="1273" w:type="dxa"/>
            <w:tcBorders>
              <w:left w:val="single" w:sz="4" w:space="0" w:color="000000"/>
              <w:bottom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2900</w:t>
            </w:r>
          </w:p>
        </w:tc>
        <w:tc>
          <w:tcPr>
            <w:tcW w:w="1701" w:type="dxa"/>
            <w:tcBorders>
              <w:left w:val="single" w:sz="4" w:space="0" w:color="000000"/>
              <w:bottom w:val="single" w:sz="4" w:space="0" w:color="000000"/>
              <w:right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uk-UA"/>
              </w:rPr>
              <w:t>17280</w:t>
            </w:r>
          </w:p>
        </w:tc>
      </w:tr>
    </w:tbl>
    <w:p w:rsidR="00046754" w:rsidRDefault="00046754">
      <w:pPr>
        <w:spacing w:after="0"/>
        <w:ind w:firstLine="567"/>
        <w:jc w:val="both"/>
        <w:rPr>
          <w:rFonts w:ascii="Times New Roman" w:hAnsi="Times New Roman" w:cs="Times New Roman"/>
          <w:sz w:val="24"/>
          <w:szCs w:val="24"/>
        </w:rPr>
      </w:pPr>
    </w:p>
    <w:p w:rsidR="00046754" w:rsidRDefault="00046754">
      <w:pPr>
        <w:spacing w:after="0"/>
        <w:ind w:firstLine="567"/>
        <w:jc w:val="both"/>
        <w:rPr>
          <w:rFonts w:ascii="Times New Roman" w:hAnsi="Times New Roman" w:cs="Times New Roman"/>
          <w:sz w:val="24"/>
          <w:szCs w:val="24"/>
        </w:rPr>
      </w:pP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Для подальшого аналізу та підведення підсумків використано коефіцієнти переведення натуральних показників у МВт.год:</w:t>
      </w:r>
    </w:p>
    <w:tbl>
      <w:tblPr>
        <w:tblW w:w="8092" w:type="dxa"/>
        <w:jc w:val="center"/>
        <w:tblLayout w:type="fixed"/>
        <w:tblCellMar>
          <w:top w:w="55" w:type="dxa"/>
          <w:bottom w:w="55" w:type="dxa"/>
        </w:tblCellMar>
        <w:tblLook w:val="04A0" w:firstRow="1" w:lastRow="0" w:firstColumn="1" w:lastColumn="0" w:noHBand="0" w:noVBand="1"/>
      </w:tblPr>
      <w:tblGrid>
        <w:gridCol w:w="2209"/>
        <w:gridCol w:w="2778"/>
        <w:gridCol w:w="3105"/>
      </w:tblGrid>
      <w:tr w:rsidR="00D227E2">
        <w:trPr>
          <w:jc w:val="center"/>
        </w:trPr>
        <w:tc>
          <w:tcPr>
            <w:tcW w:w="2209" w:type="dxa"/>
            <w:tcBorders>
              <w:top w:val="single" w:sz="4" w:space="0" w:color="000000"/>
              <w:left w:val="single" w:sz="4" w:space="0" w:color="000000"/>
              <w:bottom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ru-RU"/>
              </w:rPr>
              <w:lastRenderedPageBreak/>
              <w:t>Джерело енергії</w:t>
            </w:r>
          </w:p>
        </w:tc>
        <w:tc>
          <w:tcPr>
            <w:tcW w:w="2778" w:type="dxa"/>
            <w:tcBorders>
              <w:top w:val="single" w:sz="4" w:space="0" w:color="000000"/>
              <w:left w:val="single" w:sz="4" w:space="0" w:color="000000"/>
              <w:bottom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ru-RU"/>
              </w:rPr>
              <w:t>Натуральний показник</w:t>
            </w:r>
          </w:p>
        </w:tc>
        <w:tc>
          <w:tcPr>
            <w:tcW w:w="3105" w:type="dxa"/>
            <w:tcBorders>
              <w:top w:val="single" w:sz="4" w:space="0" w:color="000000"/>
              <w:left w:val="single" w:sz="4" w:space="0" w:color="000000"/>
              <w:bottom w:val="single" w:sz="4" w:space="0" w:color="000000"/>
              <w:right w:val="single" w:sz="4" w:space="0" w:color="000000"/>
            </w:tcBorders>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ru-RU"/>
              </w:rPr>
              <w:t>Коефіцієнт переведення в МВт.год</w:t>
            </w:r>
          </w:p>
        </w:tc>
      </w:tr>
      <w:tr w:rsidR="00D227E2">
        <w:trPr>
          <w:jc w:val="center"/>
        </w:trPr>
        <w:tc>
          <w:tcPr>
            <w:tcW w:w="2209" w:type="dxa"/>
            <w:tcBorders>
              <w:left w:val="single" w:sz="4" w:space="0" w:color="000000"/>
              <w:bottom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ru-RU"/>
              </w:rPr>
              <w:t>Дрова</w:t>
            </w:r>
          </w:p>
        </w:tc>
        <w:tc>
          <w:tcPr>
            <w:tcW w:w="2778" w:type="dxa"/>
            <w:tcBorders>
              <w:left w:val="single" w:sz="4" w:space="0" w:color="000000"/>
              <w:bottom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ru-RU"/>
              </w:rPr>
              <w:t>складометр</w:t>
            </w:r>
          </w:p>
        </w:tc>
        <w:tc>
          <w:tcPr>
            <w:tcW w:w="3105" w:type="dxa"/>
            <w:tcBorders>
              <w:left w:val="single" w:sz="4" w:space="0" w:color="000000"/>
              <w:bottom w:val="single" w:sz="4" w:space="0" w:color="000000"/>
              <w:right w:val="single" w:sz="4" w:space="0" w:color="000000"/>
            </w:tcBorders>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ru-RU"/>
              </w:rPr>
              <w:t>2,087</w:t>
            </w:r>
          </w:p>
        </w:tc>
      </w:tr>
      <w:tr w:rsidR="00D227E2">
        <w:trPr>
          <w:jc w:val="center"/>
        </w:trPr>
        <w:tc>
          <w:tcPr>
            <w:tcW w:w="2209" w:type="dxa"/>
            <w:tcBorders>
              <w:left w:val="single" w:sz="4" w:space="0" w:color="000000"/>
              <w:bottom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ru-RU"/>
              </w:rPr>
              <w:t>Природний газ</w:t>
            </w:r>
          </w:p>
        </w:tc>
        <w:tc>
          <w:tcPr>
            <w:tcW w:w="2778" w:type="dxa"/>
            <w:tcBorders>
              <w:left w:val="single" w:sz="4" w:space="0" w:color="000000"/>
              <w:bottom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ru-RU"/>
              </w:rPr>
              <w:t>м</w:t>
            </w:r>
            <w:r>
              <w:rPr>
                <w:rFonts w:ascii="Times New Roman" w:eastAsia="Times New Roman" w:hAnsi="Times New Roman" w:cs="Times New Roman"/>
                <w:bCs/>
                <w:color w:val="000000"/>
                <w:vertAlign w:val="superscript"/>
                <w:lang w:eastAsia="ru-RU"/>
              </w:rPr>
              <w:t>3</w:t>
            </w:r>
          </w:p>
        </w:tc>
        <w:tc>
          <w:tcPr>
            <w:tcW w:w="3105" w:type="dxa"/>
            <w:tcBorders>
              <w:left w:val="single" w:sz="4" w:space="0" w:color="000000"/>
              <w:bottom w:val="single" w:sz="4" w:space="0" w:color="000000"/>
              <w:right w:val="single" w:sz="4" w:space="0" w:color="000000"/>
            </w:tcBorders>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ru-RU"/>
              </w:rPr>
              <w:t>0,009432</w:t>
            </w:r>
          </w:p>
        </w:tc>
      </w:tr>
      <w:tr w:rsidR="00D227E2">
        <w:trPr>
          <w:jc w:val="center"/>
        </w:trPr>
        <w:tc>
          <w:tcPr>
            <w:tcW w:w="2209" w:type="dxa"/>
            <w:tcBorders>
              <w:left w:val="single" w:sz="4" w:space="0" w:color="000000"/>
              <w:bottom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ru-RU"/>
              </w:rPr>
              <w:t>Електроенергія</w:t>
            </w:r>
          </w:p>
        </w:tc>
        <w:tc>
          <w:tcPr>
            <w:tcW w:w="2778" w:type="dxa"/>
            <w:tcBorders>
              <w:left w:val="single" w:sz="4" w:space="0" w:color="000000"/>
              <w:bottom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ru-RU"/>
              </w:rPr>
              <w:t>кВт.год</w:t>
            </w:r>
          </w:p>
        </w:tc>
        <w:tc>
          <w:tcPr>
            <w:tcW w:w="3105" w:type="dxa"/>
            <w:tcBorders>
              <w:left w:val="single" w:sz="4" w:space="0" w:color="000000"/>
              <w:bottom w:val="single" w:sz="4" w:space="0" w:color="000000"/>
              <w:right w:val="single" w:sz="4" w:space="0" w:color="000000"/>
            </w:tcBorders>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ru-RU"/>
              </w:rPr>
              <w:t>0,001</w:t>
            </w:r>
          </w:p>
        </w:tc>
      </w:tr>
    </w:tbl>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Обсяги споживання енергоресурсів на опалення  мають наступний розподіл:</w:t>
      </w:r>
    </w:p>
    <w:p w:rsidR="00D227E2" w:rsidRDefault="00934FC4">
      <w:pPr>
        <w:spacing w:after="0"/>
        <w:ind w:firstLine="709"/>
        <w:jc w:val="center"/>
        <w:rPr>
          <w:rFonts w:ascii="Times New Roman" w:hAnsi="Times New Roman" w:cs="Times New Roman"/>
        </w:rPr>
      </w:pPr>
      <w:r>
        <w:rPr>
          <w:noProof/>
          <w:lang w:eastAsia="uk-UA"/>
        </w:rPr>
        <w:drawing>
          <wp:inline distT="0" distB="0" distL="0" distR="0">
            <wp:extent cx="4282440" cy="2447290"/>
            <wp:effectExtent l="0" t="0" r="0" b="0"/>
            <wp:docPr id="88" name="Об'єкт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Розподіл за кількістю спожитих енергоресурсів при різних типах опалення відрізняється від попередньої діаграми і каже про зменшення частки споживання природного газу (до 63 %), та збільшення частки споживання дров (до 18 %) та дров у поєднанні з природним газом (до 15,0 %).</w:t>
      </w:r>
    </w:p>
    <w:p w:rsidR="00D227E2" w:rsidRDefault="00934FC4">
      <w:pPr>
        <w:spacing w:after="0"/>
        <w:ind w:firstLine="567"/>
        <w:jc w:val="both"/>
        <w:rPr>
          <w:rFonts w:ascii="Times New Roman" w:hAnsi="Times New Roman" w:cs="Times New Roman"/>
        </w:rPr>
      </w:pPr>
      <w:r>
        <w:rPr>
          <w:rFonts w:ascii="Times New Roman" w:hAnsi="Times New Roman" w:cs="Times New Roman"/>
          <w:sz w:val="24"/>
          <w:szCs w:val="24"/>
        </w:rPr>
        <w:t>Загальна кількість спожитої енергії за результатами опитування</w:t>
      </w:r>
      <w:r>
        <w:rPr>
          <w:rFonts w:ascii="Times New Roman" w:hAnsi="Times New Roman" w:cs="Times New Roman"/>
          <w:sz w:val="24"/>
          <w:szCs w:val="24"/>
        </w:rPr>
        <w:br/>
        <w:t>та відсотковий розподіл за типами енергоресурсу:</w:t>
      </w:r>
    </w:p>
    <w:tbl>
      <w:tblPr>
        <w:tblW w:w="9258" w:type="dxa"/>
        <w:jc w:val="center"/>
        <w:tblLayout w:type="fixed"/>
        <w:tblCellMar>
          <w:top w:w="55" w:type="dxa"/>
          <w:bottom w:w="55" w:type="dxa"/>
        </w:tblCellMar>
        <w:tblLook w:val="04A0" w:firstRow="1" w:lastRow="0" w:firstColumn="1" w:lastColumn="0" w:noHBand="0" w:noVBand="1"/>
      </w:tblPr>
      <w:tblGrid>
        <w:gridCol w:w="3131"/>
        <w:gridCol w:w="3229"/>
        <w:gridCol w:w="2898"/>
      </w:tblGrid>
      <w:tr w:rsidR="00D227E2">
        <w:trPr>
          <w:jc w:val="center"/>
        </w:trPr>
        <w:tc>
          <w:tcPr>
            <w:tcW w:w="3131" w:type="dxa"/>
            <w:tcBorders>
              <w:top w:val="single" w:sz="4" w:space="0" w:color="000000"/>
              <w:left w:val="single" w:sz="4" w:space="0" w:color="000000"/>
              <w:bottom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ru-RU"/>
              </w:rPr>
              <w:t>Джерело енергії</w:t>
            </w:r>
          </w:p>
        </w:tc>
        <w:tc>
          <w:tcPr>
            <w:tcW w:w="3229" w:type="dxa"/>
            <w:tcBorders>
              <w:top w:val="single" w:sz="4" w:space="0" w:color="000000"/>
              <w:left w:val="single" w:sz="4" w:space="0" w:color="000000"/>
              <w:bottom w:val="single" w:sz="4" w:space="0" w:color="000000"/>
            </w:tcBorders>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ru-RU"/>
              </w:rPr>
              <w:t>Кількість спожитої енергії, МВт.год</w:t>
            </w:r>
          </w:p>
        </w:tc>
        <w:tc>
          <w:tcPr>
            <w:tcW w:w="28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br/>
              <w:t>від загального споживання</w:t>
            </w:r>
          </w:p>
        </w:tc>
      </w:tr>
      <w:tr w:rsidR="00D227E2">
        <w:trPr>
          <w:trHeight w:val="214"/>
          <w:jc w:val="center"/>
        </w:trPr>
        <w:tc>
          <w:tcPr>
            <w:tcW w:w="3131" w:type="dxa"/>
            <w:tcBorders>
              <w:left w:val="single" w:sz="4" w:space="0" w:color="000000"/>
              <w:bottom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ru-RU"/>
              </w:rPr>
              <w:t>Дрова</w:t>
            </w:r>
          </w:p>
        </w:tc>
        <w:tc>
          <w:tcPr>
            <w:tcW w:w="3229" w:type="dxa"/>
            <w:tcBorders>
              <w:left w:val="single" w:sz="4" w:space="0" w:color="000000"/>
              <w:bottom w:val="single" w:sz="4" w:space="0" w:color="000000"/>
            </w:tcBorders>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ru-RU"/>
              </w:rPr>
              <w:t>139,8</w:t>
            </w:r>
          </w:p>
        </w:tc>
        <w:tc>
          <w:tcPr>
            <w:tcW w:w="2898" w:type="dxa"/>
            <w:tcBorders>
              <w:left w:val="single" w:sz="4" w:space="0" w:color="000000"/>
              <w:bottom w:val="single" w:sz="4" w:space="0" w:color="000000"/>
              <w:right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ru-RU"/>
              </w:rPr>
              <w:t>27,9 %</w:t>
            </w:r>
          </w:p>
        </w:tc>
      </w:tr>
      <w:tr w:rsidR="00D227E2">
        <w:trPr>
          <w:trHeight w:val="120"/>
          <w:jc w:val="center"/>
        </w:trPr>
        <w:tc>
          <w:tcPr>
            <w:tcW w:w="3131" w:type="dxa"/>
            <w:tcBorders>
              <w:left w:val="single" w:sz="4" w:space="0" w:color="000000"/>
              <w:bottom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ru-RU"/>
              </w:rPr>
              <w:t>Природний газ</w:t>
            </w:r>
          </w:p>
        </w:tc>
        <w:tc>
          <w:tcPr>
            <w:tcW w:w="3229" w:type="dxa"/>
            <w:tcBorders>
              <w:left w:val="single" w:sz="4" w:space="0" w:color="000000"/>
              <w:bottom w:val="single" w:sz="4" w:space="0" w:color="000000"/>
            </w:tcBorders>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ru-RU"/>
              </w:rPr>
              <w:t>343,7</w:t>
            </w:r>
          </w:p>
        </w:tc>
        <w:tc>
          <w:tcPr>
            <w:tcW w:w="2898" w:type="dxa"/>
            <w:tcBorders>
              <w:left w:val="single" w:sz="4" w:space="0" w:color="000000"/>
              <w:bottom w:val="single" w:sz="4" w:space="0" w:color="000000"/>
              <w:right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ru-RU"/>
              </w:rPr>
              <w:t>68,6 %</w:t>
            </w:r>
          </w:p>
        </w:tc>
      </w:tr>
      <w:tr w:rsidR="00D227E2">
        <w:trPr>
          <w:trHeight w:val="150"/>
          <w:jc w:val="center"/>
        </w:trPr>
        <w:tc>
          <w:tcPr>
            <w:tcW w:w="3131" w:type="dxa"/>
            <w:tcBorders>
              <w:left w:val="single" w:sz="4" w:space="0" w:color="000000"/>
              <w:bottom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ru-RU"/>
              </w:rPr>
              <w:t>Електроенергія</w:t>
            </w:r>
          </w:p>
        </w:tc>
        <w:tc>
          <w:tcPr>
            <w:tcW w:w="3229" w:type="dxa"/>
            <w:tcBorders>
              <w:left w:val="single" w:sz="4" w:space="0" w:color="000000"/>
              <w:bottom w:val="single" w:sz="4" w:space="0" w:color="000000"/>
            </w:tcBorders>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ru-RU"/>
              </w:rPr>
              <w:t>17,3</w:t>
            </w:r>
          </w:p>
        </w:tc>
        <w:tc>
          <w:tcPr>
            <w:tcW w:w="2898" w:type="dxa"/>
            <w:tcBorders>
              <w:left w:val="single" w:sz="4" w:space="0" w:color="000000"/>
              <w:bottom w:val="single" w:sz="4" w:space="0" w:color="000000"/>
              <w:right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lang w:eastAsia="ru-RU"/>
              </w:rPr>
              <w:t>3,4 %</w:t>
            </w:r>
          </w:p>
        </w:tc>
      </w:tr>
    </w:tbl>
    <w:p w:rsidR="00D227E2" w:rsidRDefault="00934FC4">
      <w:pPr>
        <w:spacing w:after="0"/>
        <w:ind w:firstLine="709"/>
        <w:jc w:val="center"/>
        <w:rPr>
          <w:rFonts w:ascii="Times New Roman" w:hAnsi="Times New Roman" w:cs="Times New Roman"/>
        </w:rPr>
      </w:pPr>
      <w:r>
        <w:rPr>
          <w:rFonts w:ascii="Times New Roman" w:hAnsi="Times New Roman" w:cs="Times New Roman"/>
        </w:rPr>
        <w:t> </w:t>
      </w:r>
    </w:p>
    <w:p w:rsidR="00D227E2" w:rsidRDefault="00934FC4">
      <w:pPr>
        <w:spacing w:after="0"/>
        <w:ind w:firstLine="709"/>
        <w:jc w:val="center"/>
        <w:rPr>
          <w:rFonts w:ascii="Times New Roman" w:hAnsi="Times New Roman" w:cs="Times New Roman"/>
          <w:sz w:val="24"/>
          <w:szCs w:val="24"/>
        </w:rPr>
      </w:pPr>
      <w:r>
        <w:rPr>
          <w:rFonts w:ascii="Times New Roman" w:hAnsi="Times New Roman" w:cs="Times New Roman"/>
          <w:noProof/>
          <w:sz w:val="24"/>
          <w:szCs w:val="24"/>
          <w:lang w:eastAsia="uk-UA"/>
        </w:rPr>
        <w:drawing>
          <wp:anchor distT="0" distB="0" distL="0" distR="0" simplePos="0" relativeHeight="26" behindDoc="0" locked="0" layoutInCell="0" allowOverlap="1">
            <wp:simplePos x="0" y="0"/>
            <wp:positionH relativeFrom="column">
              <wp:posOffset>1207770</wp:posOffset>
            </wp:positionH>
            <wp:positionV relativeFrom="paragraph">
              <wp:posOffset>18415</wp:posOffset>
            </wp:positionV>
            <wp:extent cx="4008755" cy="2443480"/>
            <wp:effectExtent l="0" t="0" r="0" b="0"/>
            <wp:wrapSquare wrapText="largest"/>
            <wp:docPr id="89" name="Об'єкт42" descr="діаграма"/>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anchor>
        </w:drawing>
      </w:r>
    </w:p>
    <w:p w:rsidR="00D227E2" w:rsidRDefault="00D227E2">
      <w:pPr>
        <w:spacing w:after="0"/>
        <w:ind w:firstLine="709"/>
        <w:jc w:val="center"/>
        <w:rPr>
          <w:rFonts w:ascii="Times New Roman" w:hAnsi="Times New Roman" w:cs="Times New Roman"/>
          <w:sz w:val="24"/>
          <w:szCs w:val="24"/>
        </w:rPr>
      </w:pPr>
    </w:p>
    <w:p w:rsidR="00D227E2" w:rsidRDefault="00D227E2">
      <w:pPr>
        <w:spacing w:after="0"/>
        <w:ind w:firstLine="709"/>
        <w:jc w:val="center"/>
        <w:rPr>
          <w:rFonts w:ascii="Times New Roman" w:hAnsi="Times New Roman" w:cs="Times New Roman"/>
          <w:sz w:val="24"/>
          <w:szCs w:val="24"/>
        </w:rPr>
      </w:pPr>
    </w:p>
    <w:p w:rsidR="00D227E2" w:rsidRDefault="00D227E2">
      <w:pPr>
        <w:spacing w:after="0"/>
        <w:ind w:firstLine="709"/>
        <w:jc w:val="center"/>
        <w:rPr>
          <w:rFonts w:ascii="Times New Roman" w:hAnsi="Times New Roman" w:cs="Times New Roman"/>
          <w:sz w:val="24"/>
          <w:szCs w:val="24"/>
        </w:rPr>
      </w:pPr>
    </w:p>
    <w:p w:rsidR="00D227E2" w:rsidRDefault="00D227E2">
      <w:pPr>
        <w:spacing w:after="0"/>
        <w:ind w:firstLine="709"/>
        <w:jc w:val="center"/>
        <w:rPr>
          <w:rFonts w:ascii="Times New Roman" w:hAnsi="Times New Roman" w:cs="Times New Roman"/>
          <w:sz w:val="24"/>
          <w:szCs w:val="24"/>
        </w:rPr>
      </w:pPr>
    </w:p>
    <w:p w:rsidR="00D227E2" w:rsidRDefault="00D227E2">
      <w:pPr>
        <w:spacing w:after="0"/>
        <w:ind w:firstLine="709"/>
        <w:jc w:val="center"/>
        <w:rPr>
          <w:rFonts w:ascii="Times New Roman" w:hAnsi="Times New Roman" w:cs="Times New Roman"/>
          <w:sz w:val="24"/>
          <w:szCs w:val="24"/>
        </w:rPr>
      </w:pPr>
    </w:p>
    <w:p w:rsidR="00D227E2" w:rsidRDefault="00D227E2">
      <w:pPr>
        <w:spacing w:after="0"/>
        <w:ind w:firstLine="709"/>
        <w:jc w:val="center"/>
        <w:rPr>
          <w:rFonts w:ascii="Times New Roman" w:hAnsi="Times New Roman" w:cs="Times New Roman"/>
          <w:sz w:val="24"/>
          <w:szCs w:val="24"/>
        </w:rPr>
      </w:pPr>
    </w:p>
    <w:p w:rsidR="00D227E2" w:rsidRDefault="00D227E2">
      <w:pPr>
        <w:spacing w:after="0"/>
        <w:ind w:firstLine="709"/>
        <w:jc w:val="center"/>
        <w:rPr>
          <w:rFonts w:ascii="Times New Roman" w:hAnsi="Times New Roman" w:cs="Times New Roman"/>
          <w:sz w:val="24"/>
          <w:szCs w:val="24"/>
        </w:rPr>
      </w:pPr>
    </w:p>
    <w:p w:rsidR="00D227E2" w:rsidRDefault="00D227E2">
      <w:pPr>
        <w:spacing w:after="0"/>
        <w:ind w:firstLine="709"/>
        <w:jc w:val="center"/>
        <w:rPr>
          <w:rFonts w:ascii="Times New Roman" w:hAnsi="Times New Roman" w:cs="Times New Roman"/>
          <w:sz w:val="24"/>
          <w:szCs w:val="24"/>
        </w:rPr>
      </w:pPr>
    </w:p>
    <w:p w:rsidR="00D227E2" w:rsidRDefault="00D227E2">
      <w:pPr>
        <w:spacing w:after="0"/>
        <w:ind w:firstLine="709"/>
        <w:jc w:val="center"/>
        <w:rPr>
          <w:rFonts w:ascii="Times New Roman" w:hAnsi="Times New Roman" w:cs="Times New Roman"/>
          <w:sz w:val="24"/>
          <w:szCs w:val="24"/>
        </w:rPr>
      </w:pPr>
    </w:p>
    <w:p w:rsidR="00D227E2" w:rsidRDefault="00D227E2">
      <w:pPr>
        <w:spacing w:after="0"/>
        <w:ind w:firstLine="709"/>
        <w:jc w:val="center"/>
        <w:rPr>
          <w:rFonts w:ascii="Times New Roman" w:hAnsi="Times New Roman" w:cs="Times New Roman"/>
          <w:sz w:val="24"/>
          <w:szCs w:val="24"/>
        </w:rPr>
      </w:pPr>
    </w:p>
    <w:p w:rsidR="00D227E2" w:rsidRDefault="00D227E2">
      <w:pPr>
        <w:spacing w:after="0"/>
        <w:ind w:firstLine="709"/>
        <w:jc w:val="center"/>
        <w:rPr>
          <w:rFonts w:ascii="Times New Roman" w:hAnsi="Times New Roman" w:cs="Times New Roman"/>
          <w:sz w:val="24"/>
          <w:szCs w:val="24"/>
        </w:rPr>
      </w:pPr>
    </w:p>
    <w:p w:rsidR="00C3716D" w:rsidRDefault="00C3716D">
      <w:pPr>
        <w:spacing w:after="0"/>
        <w:jc w:val="both"/>
        <w:rPr>
          <w:rFonts w:ascii="Times New Roman" w:hAnsi="Times New Roman" w:cs="Times New Roman"/>
          <w:b/>
          <w:sz w:val="24"/>
          <w:szCs w:val="24"/>
        </w:rPr>
      </w:pPr>
    </w:p>
    <w:p w:rsidR="00D227E2" w:rsidRDefault="00934FC4">
      <w:pPr>
        <w:spacing w:after="0"/>
        <w:jc w:val="both"/>
        <w:rPr>
          <w:rFonts w:ascii="Times New Roman" w:hAnsi="Times New Roman" w:cs="Times New Roman"/>
        </w:rPr>
      </w:pPr>
      <w:r>
        <w:rPr>
          <w:rFonts w:ascii="Times New Roman" w:hAnsi="Times New Roman" w:cs="Times New Roman"/>
          <w:b/>
          <w:sz w:val="24"/>
          <w:szCs w:val="24"/>
        </w:rPr>
        <w:t>Питоме енергоспоживання на опалення для домогосподарств – 0,22 МВт.год/м</w:t>
      </w:r>
      <w:r>
        <w:rPr>
          <w:rFonts w:ascii="Times New Roman" w:hAnsi="Times New Roman" w:cs="Times New Roman"/>
          <w:b/>
          <w:sz w:val="24"/>
          <w:szCs w:val="24"/>
          <w:vertAlign w:val="superscript"/>
        </w:rPr>
        <w:t>2</w:t>
      </w:r>
      <w:r>
        <w:rPr>
          <w:rFonts w:ascii="Times New Roman" w:hAnsi="Times New Roman" w:cs="Times New Roman"/>
          <w:b/>
          <w:sz w:val="24"/>
          <w:szCs w:val="24"/>
        </w:rPr>
        <w:t xml:space="preserve"> в рік.</w:t>
      </w:r>
    </w:p>
    <w:p w:rsidR="00D227E2" w:rsidRDefault="00934FC4">
      <w:pPr>
        <w:spacing w:after="0"/>
        <w:jc w:val="both"/>
        <w:rPr>
          <w:rFonts w:ascii="Times New Roman" w:hAnsi="Times New Roman" w:cs="Times New Roman"/>
        </w:rPr>
      </w:pPr>
      <w:r>
        <w:rPr>
          <w:rFonts w:ascii="Times New Roman" w:hAnsi="Times New Roman" w:cs="Times New Roman"/>
          <w:b/>
          <w:sz w:val="24"/>
          <w:szCs w:val="24"/>
        </w:rPr>
        <w:lastRenderedPageBreak/>
        <w:t xml:space="preserve"> Середнє енергоспоживання на опалення одного домогосподарства – 18,6 МВт.год в рік.</w:t>
      </w:r>
    </w:p>
    <w:p w:rsidR="00D227E2" w:rsidRDefault="00934FC4">
      <w:pPr>
        <w:spacing w:after="0"/>
        <w:ind w:firstLine="709"/>
        <w:jc w:val="both"/>
        <w:rPr>
          <w:rFonts w:ascii="Times New Roman" w:hAnsi="Times New Roman" w:cs="Times New Roman"/>
        </w:rPr>
      </w:pPr>
      <w:r>
        <w:rPr>
          <w:rFonts w:ascii="Times New Roman" w:hAnsi="Times New Roman" w:cs="Times New Roman"/>
          <w:sz w:val="24"/>
          <w:szCs w:val="24"/>
        </w:rPr>
        <w:t>Для подальших розрахунків і визначення загальної кількості спожитої енергії буде використовуватися питомий показник споживання кожного типу палива, кількість приватних домогосподарств в населених пунктах громади.</w:t>
      </w:r>
    </w:p>
    <w:p w:rsidR="00D227E2" w:rsidRDefault="00934FC4">
      <w:pPr>
        <w:spacing w:after="0"/>
        <w:ind w:firstLine="709"/>
        <w:jc w:val="both"/>
        <w:rPr>
          <w:rFonts w:ascii="Times New Roman" w:hAnsi="Times New Roman" w:cs="Times New Roman"/>
        </w:rPr>
      </w:pPr>
      <w:r>
        <w:rPr>
          <w:rFonts w:ascii="Times New Roman" w:hAnsi="Times New Roman" w:cs="Times New Roman"/>
          <w:sz w:val="24"/>
          <w:szCs w:val="24"/>
        </w:rPr>
        <w:t>Розрахункова кількість приватних домогосподарств у Луцькій МТГ – 14506.</w:t>
      </w:r>
    </w:p>
    <w:p w:rsidR="00D227E2" w:rsidRDefault="00934FC4">
      <w:pPr>
        <w:spacing w:after="0"/>
        <w:ind w:firstLine="709"/>
        <w:jc w:val="both"/>
        <w:rPr>
          <w:rFonts w:ascii="Times New Roman" w:hAnsi="Times New Roman" w:cs="Times New Roman"/>
        </w:rPr>
      </w:pPr>
      <w:r>
        <w:rPr>
          <w:rFonts w:ascii="Times New Roman" w:hAnsi="Times New Roman" w:cs="Times New Roman"/>
          <w:sz w:val="24"/>
          <w:szCs w:val="24"/>
        </w:rPr>
        <w:t>Підсумкові показники споживання енергоресурсів для потреб опалення у населених пунктах Луцької МТГ станом на 2022 р.</w:t>
      </w:r>
    </w:p>
    <w:tbl>
      <w:tblPr>
        <w:tblW w:w="8973" w:type="dxa"/>
        <w:jc w:val="center"/>
        <w:tblLayout w:type="fixed"/>
        <w:tblLook w:val="04A0" w:firstRow="1" w:lastRow="0" w:firstColumn="1" w:lastColumn="0" w:noHBand="0" w:noVBand="1"/>
      </w:tblPr>
      <w:tblGrid>
        <w:gridCol w:w="2008"/>
        <w:gridCol w:w="1415"/>
        <w:gridCol w:w="1843"/>
        <w:gridCol w:w="1697"/>
        <w:gridCol w:w="2010"/>
      </w:tblGrid>
      <w:tr w:rsidR="00D227E2">
        <w:trPr>
          <w:trHeight w:val="300"/>
          <w:jc w:val="center"/>
        </w:trPr>
        <w:tc>
          <w:tcPr>
            <w:tcW w:w="2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ru-RU"/>
              </w:rPr>
              <w:t>Типи енергоресурсу</w:t>
            </w:r>
          </w:p>
        </w:tc>
        <w:tc>
          <w:tcPr>
            <w:tcW w:w="1415" w:type="dxa"/>
            <w:tcBorders>
              <w:top w:val="single" w:sz="4" w:space="0" w:color="000000"/>
              <w:bottom w:val="single" w:sz="4" w:space="0" w:color="000000"/>
              <w:right w:val="single" w:sz="4" w:space="0" w:color="000000"/>
            </w:tcBorders>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ru-RU"/>
              </w:rPr>
              <w:t>Одиниці</w:t>
            </w:r>
          </w:p>
        </w:tc>
        <w:tc>
          <w:tcPr>
            <w:tcW w:w="1843" w:type="dxa"/>
            <w:tcBorders>
              <w:top w:val="single" w:sz="4" w:space="0" w:color="000000"/>
              <w:left w:val="single" w:sz="4" w:space="0" w:color="000000"/>
              <w:bottom w:val="single" w:sz="4" w:space="0" w:color="000000"/>
              <w:right w:val="single" w:sz="4" w:space="0" w:color="000000"/>
            </w:tcBorders>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ru-RU"/>
              </w:rPr>
              <w:t>Споживання в натуральних величинах</w:t>
            </w:r>
          </w:p>
        </w:tc>
        <w:tc>
          <w:tcPr>
            <w:tcW w:w="1697" w:type="dxa"/>
            <w:tcBorders>
              <w:top w:val="single" w:sz="4" w:space="0" w:color="000000"/>
              <w:left w:val="single" w:sz="4" w:space="0" w:color="000000"/>
              <w:bottom w:val="single" w:sz="4" w:space="0" w:color="000000"/>
              <w:right w:val="single" w:sz="4" w:space="0" w:color="000000"/>
            </w:tcBorders>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ru-RU"/>
              </w:rPr>
              <w:t>Споживання в МВт.год</w:t>
            </w:r>
          </w:p>
        </w:tc>
        <w:tc>
          <w:tcPr>
            <w:tcW w:w="201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ru-RU"/>
              </w:rPr>
              <w:t>% від загального обсягу використання</w:t>
            </w:r>
          </w:p>
        </w:tc>
      </w:tr>
      <w:tr w:rsidR="00D227E2">
        <w:trPr>
          <w:trHeight w:val="300"/>
          <w:jc w:val="center"/>
        </w:trPr>
        <w:tc>
          <w:tcPr>
            <w:tcW w:w="2008" w:type="dxa"/>
            <w:tcBorders>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ru-RU"/>
              </w:rPr>
              <w:t>Дрова</w:t>
            </w:r>
          </w:p>
        </w:tc>
        <w:tc>
          <w:tcPr>
            <w:tcW w:w="1415" w:type="dxa"/>
            <w:tcBorders>
              <w:top w:val="single" w:sz="4" w:space="0" w:color="000000"/>
              <w:bottom w:val="single" w:sz="4" w:space="0" w:color="000000"/>
              <w:right w:val="single" w:sz="4" w:space="0" w:color="000000"/>
            </w:tcBorders>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ru-RU"/>
              </w:rPr>
              <w:t>т</w:t>
            </w:r>
          </w:p>
        </w:tc>
        <w:tc>
          <w:tcPr>
            <w:tcW w:w="1843" w:type="dxa"/>
            <w:tcBorders>
              <w:top w:val="single" w:sz="4" w:space="0" w:color="000000"/>
              <w:left w:val="single" w:sz="4" w:space="0" w:color="000000"/>
              <w:bottom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ru-RU"/>
              </w:rPr>
              <w:t>17782,21</w:t>
            </w:r>
          </w:p>
        </w:tc>
        <w:tc>
          <w:tcPr>
            <w:tcW w:w="1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ru-RU"/>
              </w:rPr>
              <w:t>75133,0</w:t>
            </w:r>
          </w:p>
        </w:tc>
        <w:tc>
          <w:tcPr>
            <w:tcW w:w="2010" w:type="dxa"/>
            <w:tcBorders>
              <w:left w:val="single" w:sz="4" w:space="0" w:color="000000"/>
              <w:bottom w:val="single" w:sz="4" w:space="0" w:color="000000"/>
              <w:right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ru-RU"/>
              </w:rPr>
              <w:t>27,9%</w:t>
            </w:r>
          </w:p>
        </w:tc>
      </w:tr>
      <w:tr w:rsidR="00D227E2">
        <w:trPr>
          <w:trHeight w:val="300"/>
          <w:jc w:val="center"/>
        </w:trPr>
        <w:tc>
          <w:tcPr>
            <w:tcW w:w="2008" w:type="dxa"/>
            <w:tcBorders>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ru-RU"/>
              </w:rPr>
              <w:t>Природний газ</w:t>
            </w:r>
          </w:p>
        </w:tc>
        <w:tc>
          <w:tcPr>
            <w:tcW w:w="1415" w:type="dxa"/>
            <w:tcBorders>
              <w:top w:val="single" w:sz="4" w:space="0" w:color="000000"/>
              <w:bottom w:val="single" w:sz="4" w:space="0" w:color="000000"/>
              <w:right w:val="single" w:sz="4" w:space="0" w:color="000000"/>
            </w:tcBorders>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ru-RU"/>
              </w:rPr>
              <w:t>тис. куб. м</w:t>
            </w:r>
          </w:p>
        </w:tc>
        <w:tc>
          <w:tcPr>
            <w:tcW w:w="1843" w:type="dxa"/>
            <w:tcBorders>
              <w:left w:val="single" w:sz="4" w:space="0" w:color="000000"/>
              <w:bottom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ru-RU"/>
              </w:rPr>
              <w:t>19580,41</w:t>
            </w:r>
          </w:p>
        </w:tc>
        <w:tc>
          <w:tcPr>
            <w:tcW w:w="1697" w:type="dxa"/>
            <w:tcBorders>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ru-RU"/>
              </w:rPr>
              <w:t>184682,5</w:t>
            </w:r>
          </w:p>
        </w:tc>
        <w:tc>
          <w:tcPr>
            <w:tcW w:w="2010" w:type="dxa"/>
            <w:tcBorders>
              <w:left w:val="single" w:sz="4" w:space="0" w:color="000000"/>
              <w:bottom w:val="single" w:sz="4" w:space="0" w:color="000000"/>
              <w:right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ru-RU"/>
              </w:rPr>
              <w:t>68,6%</w:t>
            </w:r>
          </w:p>
        </w:tc>
      </w:tr>
      <w:tr w:rsidR="00D227E2">
        <w:trPr>
          <w:trHeight w:val="300"/>
          <w:jc w:val="center"/>
        </w:trPr>
        <w:tc>
          <w:tcPr>
            <w:tcW w:w="2008" w:type="dxa"/>
            <w:tcBorders>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ru-RU"/>
              </w:rPr>
              <w:t>Електроенергія</w:t>
            </w:r>
          </w:p>
        </w:tc>
        <w:tc>
          <w:tcPr>
            <w:tcW w:w="1415" w:type="dxa"/>
            <w:tcBorders>
              <w:top w:val="single" w:sz="4" w:space="0" w:color="000000"/>
              <w:bottom w:val="single" w:sz="4" w:space="0" w:color="000000"/>
              <w:right w:val="single" w:sz="4" w:space="0" w:color="000000"/>
            </w:tcBorders>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ru-RU"/>
              </w:rPr>
              <w:t>МВт.год</w:t>
            </w:r>
          </w:p>
        </w:tc>
        <w:tc>
          <w:tcPr>
            <w:tcW w:w="1843" w:type="dxa"/>
            <w:tcBorders>
              <w:left w:val="single" w:sz="4" w:space="0" w:color="000000"/>
              <w:bottom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ru-RU"/>
              </w:rPr>
              <w:t>9283,84</w:t>
            </w:r>
          </w:p>
        </w:tc>
        <w:tc>
          <w:tcPr>
            <w:tcW w:w="1697" w:type="dxa"/>
            <w:tcBorders>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ru-RU"/>
              </w:rPr>
              <w:t>9283,8</w:t>
            </w:r>
          </w:p>
        </w:tc>
        <w:tc>
          <w:tcPr>
            <w:tcW w:w="2010" w:type="dxa"/>
            <w:tcBorders>
              <w:left w:val="single" w:sz="4" w:space="0" w:color="000000"/>
              <w:bottom w:val="single" w:sz="4" w:space="0" w:color="000000"/>
              <w:right w:val="single" w:sz="4" w:space="0" w:color="000000"/>
            </w:tcBorders>
            <w:shd w:val="clear" w:color="auto" w:fill="auto"/>
            <w:vAlign w:val="bottom"/>
          </w:tcPr>
          <w:p w:rsidR="00D227E2" w:rsidRDefault="00934FC4">
            <w:pPr>
              <w:spacing w:after="0" w:line="240" w:lineRule="auto"/>
              <w:jc w:val="center"/>
              <w:rPr>
                <w:rFonts w:ascii="Times New Roman" w:hAnsi="Times New Roman" w:cs="Times New Roman"/>
              </w:rPr>
            </w:pPr>
            <w:r>
              <w:rPr>
                <w:rFonts w:ascii="Times New Roman" w:eastAsia="Times New Roman" w:hAnsi="Times New Roman" w:cs="Times New Roman"/>
                <w:bCs/>
                <w:color w:val="000000"/>
                <w:sz w:val="24"/>
                <w:szCs w:val="24"/>
                <w:lang w:eastAsia="ru-RU"/>
              </w:rPr>
              <w:t>3,4%</w:t>
            </w:r>
          </w:p>
        </w:tc>
      </w:tr>
    </w:tbl>
    <w:p w:rsidR="00D227E2" w:rsidRDefault="00934FC4">
      <w:pPr>
        <w:spacing w:after="0"/>
        <w:jc w:val="center"/>
        <w:rPr>
          <w:rFonts w:ascii="Times New Roman" w:hAnsi="Times New Roman" w:cs="Times New Roman"/>
        </w:rPr>
      </w:pPr>
      <w:r>
        <w:rPr>
          <w:rFonts w:ascii="Times New Roman" w:hAnsi="Times New Roman" w:cs="Times New Roman"/>
          <w:b/>
          <w:sz w:val="24"/>
          <w:szCs w:val="24"/>
        </w:rPr>
        <w:t>Тенденція щодо збільшення/зменшення енергоспоживання на опалення</w:t>
      </w:r>
    </w:p>
    <w:p w:rsidR="00D227E2" w:rsidRDefault="00934FC4">
      <w:pPr>
        <w:spacing w:after="0"/>
        <w:ind w:firstLine="709"/>
        <w:jc w:val="both"/>
        <w:rPr>
          <w:rFonts w:ascii="Times New Roman" w:hAnsi="Times New Roman" w:cs="Times New Roman"/>
        </w:rPr>
      </w:pPr>
      <w:r>
        <w:rPr>
          <w:rFonts w:ascii="Times New Roman" w:hAnsi="Times New Roman" w:cs="Times New Roman"/>
          <w:sz w:val="24"/>
          <w:szCs w:val="24"/>
        </w:rPr>
        <w:t>Крім визначення загальних обсягів енергоспоживання під час опитування було зібрано дані стосовно оцінки домогосподарями тенденції щодо зменшення/збільшення енергоспоживання на опалення за останні 10 років, проведених енергоефективних заходів та планів щодо подальших заходів для покращення енергоефективності будівель.</w:t>
      </w:r>
    </w:p>
    <w:p w:rsidR="00D227E2" w:rsidRDefault="00934FC4">
      <w:pPr>
        <w:spacing w:after="0"/>
        <w:ind w:firstLine="709"/>
        <w:jc w:val="both"/>
        <w:rPr>
          <w:rFonts w:ascii="Times New Roman" w:hAnsi="Times New Roman" w:cs="Times New Roman"/>
        </w:rPr>
      </w:pPr>
      <w:r>
        <w:rPr>
          <w:rFonts w:ascii="Times New Roman" w:hAnsi="Times New Roman" w:cs="Times New Roman"/>
          <w:sz w:val="24"/>
          <w:szCs w:val="24"/>
        </w:rPr>
        <w:t xml:space="preserve">Так, більшість опитуваних (59,3 %) відмітили, що їх енергоспоживання на опалення зменшилося. Частина опитуваних (14,8 %) відмітила, що рівень енергоспоживання на опалення не змінився. І ніхто з опитуваних не зазначив, що відчув збільшення енергоспоживання на опалення. </w:t>
      </w:r>
    </w:p>
    <w:p w:rsidR="00D227E2" w:rsidRDefault="00934FC4">
      <w:pPr>
        <w:spacing w:after="0"/>
        <w:ind w:firstLine="709"/>
        <w:jc w:val="center"/>
        <w:rPr>
          <w:rFonts w:ascii="Times New Roman" w:hAnsi="Times New Roman" w:cs="Times New Roman"/>
        </w:rPr>
      </w:pPr>
      <w:r>
        <w:rPr>
          <w:noProof/>
          <w:lang w:eastAsia="uk-UA"/>
        </w:rPr>
        <w:drawing>
          <wp:inline distT="0" distB="0" distL="0" distR="0">
            <wp:extent cx="3942080" cy="2256155"/>
            <wp:effectExtent l="0" t="0" r="0" b="0"/>
            <wp:docPr id="90" name="Об'єкт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r>
        <w:rPr>
          <w:rFonts w:ascii="Times New Roman" w:hAnsi="Times New Roman" w:cs="Times New Roman"/>
        </w:rPr>
        <w:t> </w:t>
      </w:r>
    </w:p>
    <w:p w:rsidR="00D227E2" w:rsidRDefault="00934FC4">
      <w:pPr>
        <w:spacing w:after="0"/>
        <w:jc w:val="center"/>
        <w:rPr>
          <w:rFonts w:ascii="Times New Roman" w:hAnsi="Times New Roman" w:cs="Times New Roman"/>
        </w:rPr>
      </w:pPr>
      <w:r>
        <w:rPr>
          <w:rFonts w:ascii="Times New Roman" w:hAnsi="Times New Roman" w:cs="Times New Roman"/>
          <w:b/>
          <w:sz w:val="24"/>
          <w:szCs w:val="24"/>
        </w:rPr>
        <w:t>Проведення енергоефективних заходів</w:t>
      </w:r>
    </w:p>
    <w:p w:rsidR="00D227E2" w:rsidRDefault="00934FC4">
      <w:pPr>
        <w:spacing w:after="0"/>
        <w:ind w:firstLine="709"/>
        <w:jc w:val="both"/>
        <w:rPr>
          <w:rFonts w:ascii="Times New Roman" w:hAnsi="Times New Roman" w:cs="Times New Roman"/>
        </w:rPr>
      </w:pPr>
      <w:r>
        <w:rPr>
          <w:rFonts w:ascii="Times New Roman" w:hAnsi="Times New Roman" w:cs="Times New Roman"/>
          <w:sz w:val="24"/>
          <w:szCs w:val="24"/>
        </w:rPr>
        <w:t>Серед опитуваних 70 % вже проводили енергоефективні заходи, а саме:</w:t>
      </w:r>
    </w:p>
    <w:p w:rsidR="00D227E2" w:rsidRDefault="00934FC4">
      <w:pPr>
        <w:numPr>
          <w:ilvl w:val="0"/>
          <w:numId w:val="36"/>
        </w:numPr>
        <w:spacing w:after="0"/>
        <w:contextualSpacing/>
        <w:jc w:val="both"/>
        <w:rPr>
          <w:rFonts w:ascii="Times New Roman" w:hAnsi="Times New Roman" w:cs="Times New Roman"/>
        </w:rPr>
      </w:pPr>
      <w:r>
        <w:rPr>
          <w:rFonts w:ascii="Times New Roman" w:hAnsi="Times New Roman" w:cs="Times New Roman"/>
          <w:sz w:val="24"/>
          <w:szCs w:val="24"/>
        </w:rPr>
        <w:t>повне утеплення будівлі;</w:t>
      </w:r>
    </w:p>
    <w:p w:rsidR="00D227E2" w:rsidRDefault="00934FC4">
      <w:pPr>
        <w:numPr>
          <w:ilvl w:val="0"/>
          <w:numId w:val="36"/>
        </w:numPr>
        <w:spacing w:after="0"/>
        <w:contextualSpacing/>
        <w:jc w:val="both"/>
        <w:rPr>
          <w:rFonts w:ascii="Times New Roman" w:hAnsi="Times New Roman" w:cs="Times New Roman"/>
        </w:rPr>
      </w:pPr>
      <w:r>
        <w:rPr>
          <w:rFonts w:ascii="Times New Roman" w:hAnsi="Times New Roman" w:cs="Times New Roman"/>
          <w:sz w:val="24"/>
          <w:szCs w:val="24"/>
        </w:rPr>
        <w:t>часткове утеплення;</w:t>
      </w:r>
    </w:p>
    <w:p w:rsidR="00D227E2" w:rsidRDefault="00934FC4">
      <w:pPr>
        <w:numPr>
          <w:ilvl w:val="0"/>
          <w:numId w:val="36"/>
        </w:numPr>
        <w:spacing w:after="0"/>
        <w:contextualSpacing/>
        <w:jc w:val="both"/>
        <w:rPr>
          <w:rFonts w:ascii="Times New Roman" w:hAnsi="Times New Roman" w:cs="Times New Roman"/>
        </w:rPr>
      </w:pPr>
      <w:r>
        <w:rPr>
          <w:rFonts w:ascii="Times New Roman" w:hAnsi="Times New Roman" w:cs="Times New Roman"/>
          <w:sz w:val="24"/>
          <w:szCs w:val="24"/>
        </w:rPr>
        <w:t>утеплення фасаду;</w:t>
      </w:r>
    </w:p>
    <w:p w:rsidR="00D227E2" w:rsidRDefault="00934FC4">
      <w:pPr>
        <w:numPr>
          <w:ilvl w:val="0"/>
          <w:numId w:val="36"/>
        </w:numPr>
        <w:spacing w:after="0"/>
        <w:contextualSpacing/>
        <w:jc w:val="both"/>
        <w:rPr>
          <w:rFonts w:ascii="Times New Roman" w:hAnsi="Times New Roman" w:cs="Times New Roman"/>
        </w:rPr>
      </w:pPr>
      <w:r>
        <w:rPr>
          <w:rFonts w:ascii="Times New Roman" w:hAnsi="Times New Roman" w:cs="Times New Roman"/>
          <w:sz w:val="24"/>
          <w:szCs w:val="24"/>
        </w:rPr>
        <w:t>утеплення перекриття даху;</w:t>
      </w:r>
    </w:p>
    <w:p w:rsidR="00D227E2" w:rsidRDefault="00934FC4">
      <w:pPr>
        <w:numPr>
          <w:ilvl w:val="0"/>
          <w:numId w:val="36"/>
        </w:numPr>
        <w:spacing w:after="0"/>
        <w:contextualSpacing/>
        <w:jc w:val="both"/>
        <w:rPr>
          <w:rFonts w:ascii="Times New Roman" w:hAnsi="Times New Roman" w:cs="Times New Roman"/>
        </w:rPr>
      </w:pPr>
      <w:r>
        <w:rPr>
          <w:rFonts w:ascii="Times New Roman" w:hAnsi="Times New Roman" w:cs="Times New Roman"/>
          <w:sz w:val="24"/>
          <w:szCs w:val="24"/>
        </w:rPr>
        <w:t>заміна вікон;</w:t>
      </w:r>
    </w:p>
    <w:p w:rsidR="00D227E2" w:rsidRDefault="00934FC4">
      <w:pPr>
        <w:numPr>
          <w:ilvl w:val="0"/>
          <w:numId w:val="36"/>
        </w:numPr>
        <w:spacing w:after="0"/>
        <w:contextualSpacing/>
        <w:jc w:val="both"/>
        <w:rPr>
          <w:rFonts w:ascii="Times New Roman" w:hAnsi="Times New Roman" w:cs="Times New Roman"/>
        </w:rPr>
      </w:pPr>
      <w:r>
        <w:rPr>
          <w:rFonts w:ascii="Times New Roman" w:hAnsi="Times New Roman" w:cs="Times New Roman"/>
          <w:sz w:val="24"/>
          <w:szCs w:val="24"/>
        </w:rPr>
        <w:t>заміна котла;</w:t>
      </w:r>
    </w:p>
    <w:p w:rsidR="00D227E2" w:rsidRDefault="00934FC4">
      <w:pPr>
        <w:numPr>
          <w:ilvl w:val="0"/>
          <w:numId w:val="36"/>
        </w:numPr>
        <w:spacing w:after="0"/>
        <w:contextualSpacing/>
        <w:jc w:val="both"/>
        <w:rPr>
          <w:rFonts w:ascii="Times New Roman" w:hAnsi="Times New Roman" w:cs="Times New Roman"/>
        </w:rPr>
      </w:pPr>
      <w:r>
        <w:rPr>
          <w:rFonts w:ascii="Times New Roman" w:hAnsi="Times New Roman" w:cs="Times New Roman"/>
          <w:sz w:val="24"/>
          <w:szCs w:val="24"/>
        </w:rPr>
        <w:t>встановлення автоматики на котел.</w:t>
      </w:r>
    </w:p>
    <w:p w:rsidR="00D227E2" w:rsidRDefault="00934FC4">
      <w:pPr>
        <w:spacing w:after="0"/>
        <w:jc w:val="both"/>
        <w:rPr>
          <w:rFonts w:ascii="Times New Roman" w:hAnsi="Times New Roman" w:cs="Times New Roman"/>
        </w:rPr>
      </w:pPr>
      <w:r>
        <w:rPr>
          <w:rFonts w:ascii="Times New Roman" w:hAnsi="Times New Roman" w:cs="Times New Roman"/>
          <w:sz w:val="24"/>
          <w:szCs w:val="24"/>
        </w:rPr>
        <w:t>19 % опитуваних відповіли, що не проводили і не збираються проводити заходи з утеплення будівлі.</w:t>
      </w:r>
    </w:p>
    <w:p w:rsidR="00D227E2" w:rsidRDefault="00D227E2">
      <w:pPr>
        <w:widowControl w:val="0"/>
        <w:spacing w:after="0" w:line="240" w:lineRule="auto"/>
        <w:jc w:val="right"/>
        <w:rPr>
          <w:rFonts w:ascii="Times New Roman" w:hAnsi="Times New Roman" w:cs="Times New Roman"/>
          <w:b/>
          <w:bCs/>
        </w:rPr>
      </w:pPr>
    </w:p>
    <w:p w:rsidR="009D512D" w:rsidRPr="009D512D" w:rsidRDefault="009D512D" w:rsidP="009D512D">
      <w:pPr>
        <w:spacing w:after="0" w:line="240" w:lineRule="auto"/>
        <w:rPr>
          <w:rFonts w:ascii="Times New Roman" w:hAnsi="Times New Roman" w:cs="Times New Roman"/>
        </w:rPr>
      </w:pPr>
      <w:r w:rsidRPr="009D512D">
        <w:rPr>
          <w:rFonts w:ascii="Times New Roman" w:eastAsia="Times New Roman" w:hAnsi="Times New Roman" w:cs="Times New Roman"/>
          <w:sz w:val="24"/>
          <w:szCs w:val="24"/>
          <w:lang w:eastAsia="ru-RU"/>
        </w:rPr>
        <w:t>Смаль 777 955</w:t>
      </w:r>
    </w:p>
    <w:p w:rsidR="009D512D" w:rsidRDefault="009D512D" w:rsidP="009D512D">
      <w:pPr>
        <w:widowControl w:val="0"/>
        <w:spacing w:after="0" w:line="240" w:lineRule="auto"/>
        <w:rPr>
          <w:rFonts w:ascii="Times New Roman" w:eastAsia="Times New Roman" w:hAnsi="Times New Roman" w:cs="Times New Roman"/>
          <w:b/>
          <w:bCs/>
          <w:color w:val="000000"/>
          <w:sz w:val="24"/>
          <w:szCs w:val="24"/>
          <w:lang w:eastAsia="ru-RU"/>
        </w:rPr>
      </w:pPr>
    </w:p>
    <w:p w:rsidR="00D227E2" w:rsidRDefault="00934FC4">
      <w:pPr>
        <w:widowControl w:val="0"/>
        <w:spacing w:after="0" w:line="240" w:lineRule="auto"/>
        <w:jc w:val="right"/>
        <w:rPr>
          <w:rFonts w:ascii="Times New Roman" w:hAnsi="Times New Roman" w:cs="Times New Roman"/>
        </w:rPr>
      </w:pPr>
      <w:r>
        <w:rPr>
          <w:rFonts w:ascii="Times New Roman" w:eastAsia="Times New Roman" w:hAnsi="Times New Roman" w:cs="Times New Roman"/>
          <w:b/>
          <w:bCs/>
          <w:color w:val="000000"/>
          <w:sz w:val="24"/>
          <w:szCs w:val="24"/>
          <w:lang w:eastAsia="ru-RU"/>
        </w:rPr>
        <w:t>ДОДАТОК 2</w:t>
      </w:r>
      <w:r>
        <w:rPr>
          <w:rFonts w:ascii="Times New Roman" w:eastAsia="Times New Roman" w:hAnsi="Times New Roman" w:cs="Times New Roman"/>
          <w:b/>
          <w:bCs/>
          <w:color w:val="000000"/>
          <w:spacing w:val="2"/>
          <w:sz w:val="24"/>
          <w:szCs w:val="24"/>
          <w:lang w:eastAsia="ru-RU"/>
        </w:rPr>
        <w:t xml:space="preserve"> </w:t>
      </w:r>
    </w:p>
    <w:p w:rsidR="00D227E2" w:rsidRDefault="00934FC4">
      <w:pPr>
        <w:spacing w:after="0"/>
        <w:jc w:val="center"/>
        <w:rPr>
          <w:rFonts w:ascii="Times New Roman" w:hAnsi="Times New Roman" w:cs="Times New Roman"/>
        </w:rPr>
      </w:pPr>
      <w:r>
        <w:rPr>
          <w:rFonts w:ascii="Times New Roman" w:eastAsia="Times New Roman" w:hAnsi="Times New Roman" w:cs="Times New Roman"/>
          <w:b/>
          <w:bCs/>
          <w:color w:val="000000"/>
          <w:sz w:val="24"/>
          <w:szCs w:val="24"/>
          <w:lang w:eastAsia="ru-RU"/>
        </w:rPr>
        <w:t>Опитування про зміну клімату (Луцька МТГ)</w:t>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color w:val="000000"/>
          <w:sz w:val="24"/>
          <w:szCs w:val="24"/>
          <w:lang w:eastAsia="ru-RU"/>
        </w:rPr>
        <w:t>Опитування є дуже важливою складовою під час визначення вразливостей до змін клімату та для розробки заходів з адаптації, оскільки лише розуміння та готовність населення їх впроваджувати визначає успішність їх реалізації.</w:t>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color w:val="000000"/>
          <w:sz w:val="24"/>
          <w:szCs w:val="24"/>
          <w:shd w:val="clear" w:color="auto" w:fill="FFFFFF"/>
          <w:lang w:eastAsia="ru-RU"/>
        </w:rPr>
        <w:t>Анкета, що була запропонована для заповнення мешканцям, складається з 4 тематичних розділів: дані респондента, загальні питання про клімат (зміна погодних умов протягом зимового та літнього періоду), оцінка пристосованості інфраструктури громади до змін клімату, адаптація до кліматичних загроз.</w:t>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color w:val="000000"/>
          <w:sz w:val="24"/>
          <w:szCs w:val="24"/>
          <w:lang w:eastAsia="ru-RU"/>
        </w:rPr>
        <w:t>Опитування мешканців Луцької МТГ проводилося у вересні-жовтні 2023 року, всього прийняло участь 222 респонденти, опитування яких відбувалося в онлайн формі.</w:t>
      </w:r>
    </w:p>
    <w:p w:rsidR="00D227E2" w:rsidRDefault="00934FC4">
      <w:pPr>
        <w:spacing w:after="0"/>
        <w:jc w:val="center"/>
        <w:rPr>
          <w:rFonts w:ascii="Times New Roman" w:hAnsi="Times New Roman" w:cs="Times New Roman"/>
        </w:rPr>
      </w:pPr>
      <w:r>
        <w:rPr>
          <w:rFonts w:ascii="Times New Roman" w:eastAsia="Times New Roman" w:hAnsi="Times New Roman" w:cs="Times New Roman"/>
          <w:b/>
          <w:color w:val="000000"/>
          <w:sz w:val="24"/>
          <w:szCs w:val="24"/>
          <w:u w:val="single"/>
          <w:lang w:eastAsia="ru-RU"/>
        </w:rPr>
        <w:t>Розділ 1. Дані респондента</w:t>
      </w:r>
    </w:p>
    <w:p w:rsidR="00D227E2" w:rsidRDefault="00934FC4">
      <w:pPr>
        <w:spacing w:after="0"/>
        <w:jc w:val="center"/>
        <w:rPr>
          <w:rFonts w:ascii="Times New Roman" w:hAnsi="Times New Roman" w:cs="Times New Roman"/>
        </w:rPr>
      </w:pPr>
      <w:r>
        <w:rPr>
          <w:noProof/>
          <w:lang w:eastAsia="uk-UA"/>
        </w:rPr>
        <w:drawing>
          <wp:inline distT="0" distB="0" distL="0" distR="0">
            <wp:extent cx="4737100" cy="2501900"/>
            <wp:effectExtent l="0" t="0" r="0" b="0"/>
            <wp:docPr id="9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Рисунок 17"/>
                    <pic:cNvPicPr>
                      <a:picLocks noChangeAspect="1" noChangeArrowheads="1"/>
                    </pic:cNvPicPr>
                  </pic:nvPicPr>
                  <pic:blipFill>
                    <a:blip r:embed="rId150"/>
                    <a:stretch>
                      <a:fillRect/>
                    </a:stretch>
                  </pic:blipFill>
                  <pic:spPr bwMode="auto">
                    <a:xfrm>
                      <a:off x="0" y="0"/>
                      <a:ext cx="4737100" cy="2501900"/>
                    </a:xfrm>
                    <a:prstGeom prst="rect">
                      <a:avLst/>
                    </a:prstGeom>
                  </pic:spPr>
                </pic:pic>
              </a:graphicData>
            </a:graphic>
          </wp:inline>
        </w:drawing>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color w:val="000000"/>
          <w:sz w:val="24"/>
          <w:szCs w:val="24"/>
          <w:lang w:eastAsia="ru-RU"/>
        </w:rPr>
        <w:t>Більшість опитуваних, а саме 88,7 % респондентів проживають в Луцьку, всі інші мешканці старостинських округів територіальної громади (11,3 %).</w:t>
      </w:r>
    </w:p>
    <w:p w:rsidR="00D227E2" w:rsidRDefault="00D227E2">
      <w:pPr>
        <w:spacing w:after="0"/>
        <w:ind w:firstLine="567"/>
        <w:jc w:val="both"/>
        <w:rPr>
          <w:rFonts w:ascii="Times New Roman" w:eastAsia="Times New Roman" w:hAnsi="Times New Roman" w:cs="Times New Roman"/>
          <w:color w:val="000000"/>
          <w:sz w:val="24"/>
          <w:szCs w:val="24"/>
          <w:lang w:eastAsia="ru-RU"/>
        </w:rPr>
      </w:pPr>
    </w:p>
    <w:p w:rsidR="00D227E2" w:rsidRDefault="00934FC4">
      <w:pPr>
        <w:spacing w:after="0"/>
        <w:jc w:val="center"/>
        <w:rPr>
          <w:rFonts w:ascii="Times New Roman" w:hAnsi="Times New Roman" w:cs="Times New Roman"/>
        </w:rPr>
      </w:pPr>
      <w:r>
        <w:rPr>
          <w:noProof/>
          <w:lang w:eastAsia="uk-UA"/>
        </w:rPr>
        <w:drawing>
          <wp:inline distT="0" distB="0" distL="0" distR="0">
            <wp:extent cx="4505325" cy="2365375"/>
            <wp:effectExtent l="0" t="0" r="0" b="0"/>
            <wp:docPr id="9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Рисунок 20"/>
                    <pic:cNvPicPr>
                      <a:picLocks noChangeAspect="1" noChangeArrowheads="1"/>
                    </pic:cNvPicPr>
                  </pic:nvPicPr>
                  <pic:blipFill>
                    <a:blip r:embed="rId151"/>
                    <a:stretch>
                      <a:fillRect/>
                    </a:stretch>
                  </pic:blipFill>
                  <pic:spPr bwMode="auto">
                    <a:xfrm>
                      <a:off x="0" y="0"/>
                      <a:ext cx="4505325" cy="2365375"/>
                    </a:xfrm>
                    <a:prstGeom prst="rect">
                      <a:avLst/>
                    </a:prstGeom>
                  </pic:spPr>
                </pic:pic>
              </a:graphicData>
            </a:graphic>
          </wp:inline>
        </w:drawing>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color w:val="000000"/>
          <w:sz w:val="24"/>
          <w:szCs w:val="24"/>
          <w:lang w:eastAsia="ru-RU"/>
        </w:rPr>
        <w:t>Найбільше респондентів, що прийняли участь у опитуванні – це мешканці віком 31-40 років – 32,4 %; 41-50 років – 25,7 %; 51-65 років – 25,7 %; менше 30 років – 12,6 %; більше ніж 65 років – 3,6 %.</w:t>
      </w:r>
    </w:p>
    <w:p w:rsidR="00D227E2" w:rsidRDefault="00D227E2">
      <w:pPr>
        <w:spacing w:after="0"/>
        <w:ind w:firstLine="567"/>
        <w:jc w:val="both"/>
        <w:rPr>
          <w:rFonts w:ascii="Times New Roman" w:eastAsia="Times New Roman" w:hAnsi="Times New Roman" w:cs="Times New Roman"/>
          <w:color w:val="000000"/>
          <w:sz w:val="24"/>
          <w:szCs w:val="24"/>
          <w:lang w:eastAsia="ru-RU"/>
        </w:rPr>
      </w:pPr>
    </w:p>
    <w:p w:rsidR="00D227E2" w:rsidRDefault="00D227E2">
      <w:pPr>
        <w:spacing w:after="0"/>
        <w:ind w:firstLine="567"/>
        <w:jc w:val="both"/>
        <w:rPr>
          <w:rFonts w:ascii="Times New Roman" w:eastAsia="Times New Roman" w:hAnsi="Times New Roman" w:cs="Times New Roman"/>
          <w:color w:val="000000"/>
          <w:sz w:val="24"/>
          <w:szCs w:val="24"/>
          <w:lang w:eastAsia="ru-RU"/>
        </w:rPr>
      </w:pPr>
    </w:p>
    <w:p w:rsidR="00D227E2" w:rsidRDefault="00D227E2">
      <w:pPr>
        <w:spacing w:after="0"/>
        <w:ind w:firstLine="567"/>
        <w:jc w:val="both"/>
        <w:rPr>
          <w:rFonts w:ascii="Times New Roman" w:eastAsia="Times New Roman" w:hAnsi="Times New Roman" w:cs="Times New Roman"/>
          <w:color w:val="000000"/>
          <w:sz w:val="24"/>
          <w:szCs w:val="24"/>
          <w:lang w:eastAsia="ru-RU"/>
        </w:rPr>
      </w:pPr>
    </w:p>
    <w:p w:rsidR="00D227E2" w:rsidRDefault="00934FC4">
      <w:pPr>
        <w:spacing w:after="0"/>
        <w:jc w:val="center"/>
        <w:rPr>
          <w:rFonts w:ascii="Times New Roman" w:hAnsi="Times New Roman" w:cs="Times New Roman"/>
        </w:rPr>
      </w:pPr>
      <w:r>
        <w:rPr>
          <w:rFonts w:ascii="Times New Roman" w:eastAsia="Times New Roman" w:hAnsi="Times New Roman" w:cs="Times New Roman"/>
          <w:b/>
          <w:bCs/>
          <w:color w:val="000000"/>
          <w:sz w:val="24"/>
          <w:szCs w:val="24"/>
          <w:u w:val="single"/>
          <w:lang w:eastAsia="ru-RU"/>
        </w:rPr>
        <w:t>Розділ 2. Загальні кліматичні питання (зміна погодних умов під час зими/літа)</w:t>
      </w:r>
    </w:p>
    <w:p w:rsidR="00D227E2" w:rsidRDefault="00934FC4">
      <w:pPr>
        <w:spacing w:after="0"/>
        <w:jc w:val="center"/>
        <w:rPr>
          <w:rFonts w:ascii="Times New Roman" w:hAnsi="Times New Roman" w:cs="Times New Roman"/>
        </w:rPr>
      </w:pPr>
      <w:r>
        <w:rPr>
          <w:noProof/>
          <w:lang w:eastAsia="uk-UA"/>
        </w:rPr>
        <w:drawing>
          <wp:inline distT="0" distB="0" distL="0" distR="0">
            <wp:extent cx="5168900" cy="2489200"/>
            <wp:effectExtent l="0" t="0" r="0" b="0"/>
            <wp:docPr id="9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19"/>
                    <pic:cNvPicPr>
                      <a:picLocks noChangeAspect="1" noChangeArrowheads="1"/>
                    </pic:cNvPicPr>
                  </pic:nvPicPr>
                  <pic:blipFill>
                    <a:blip r:embed="rId152"/>
                    <a:stretch>
                      <a:fillRect/>
                    </a:stretch>
                  </pic:blipFill>
                  <pic:spPr bwMode="auto">
                    <a:xfrm>
                      <a:off x="0" y="0"/>
                      <a:ext cx="5168900" cy="2489200"/>
                    </a:xfrm>
                    <a:prstGeom prst="rect">
                      <a:avLst/>
                    </a:prstGeom>
                  </pic:spPr>
                </pic:pic>
              </a:graphicData>
            </a:graphic>
          </wp:inline>
        </w:drawing>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color w:val="000000"/>
          <w:sz w:val="24"/>
          <w:szCs w:val="24"/>
          <w:lang w:eastAsia="ru-RU"/>
        </w:rPr>
        <w:t>Опитування показало, що прояви зміни клімату у Луцькій громаді помітили 98,2 % мешканців громади, причому 7,7 % відмічають значну зміну клімату. І лише 1,8 % вважають, що клімат протягом останніх 10-15 років не змінився.</w:t>
      </w:r>
    </w:p>
    <w:p w:rsidR="00D227E2" w:rsidRDefault="00934FC4">
      <w:pPr>
        <w:spacing w:after="0"/>
        <w:jc w:val="center"/>
        <w:rPr>
          <w:rFonts w:ascii="Times New Roman" w:hAnsi="Times New Roman" w:cs="Times New Roman"/>
        </w:rPr>
      </w:pPr>
      <w:r>
        <w:rPr>
          <w:noProof/>
          <w:lang w:eastAsia="uk-UA"/>
        </w:rPr>
        <w:drawing>
          <wp:inline distT="0" distB="0" distL="0" distR="0">
            <wp:extent cx="5126990" cy="3030220"/>
            <wp:effectExtent l="0" t="0" r="0" b="0"/>
            <wp:docPr id="9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Рисунок 21"/>
                    <pic:cNvPicPr>
                      <a:picLocks noChangeAspect="1" noChangeArrowheads="1"/>
                    </pic:cNvPicPr>
                  </pic:nvPicPr>
                  <pic:blipFill>
                    <a:blip r:embed="rId153"/>
                    <a:stretch>
                      <a:fillRect/>
                    </a:stretch>
                  </pic:blipFill>
                  <pic:spPr bwMode="auto">
                    <a:xfrm>
                      <a:off x="0" y="0"/>
                      <a:ext cx="5126990" cy="3030220"/>
                    </a:xfrm>
                    <a:prstGeom prst="rect">
                      <a:avLst/>
                    </a:prstGeom>
                  </pic:spPr>
                </pic:pic>
              </a:graphicData>
            </a:graphic>
          </wp:inline>
        </w:drawing>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b/>
          <w:bCs/>
          <w:color w:val="000000"/>
          <w:sz w:val="24"/>
          <w:szCs w:val="24"/>
          <w:u w:val="single"/>
          <w:lang w:eastAsia="ru-RU"/>
        </w:rPr>
        <w:t>Зміни клімату у зимовий період</w:t>
      </w:r>
    </w:p>
    <w:p w:rsidR="00D227E2" w:rsidRDefault="00934FC4">
      <w:pPr>
        <w:spacing w:after="0"/>
        <w:jc w:val="center"/>
        <w:rPr>
          <w:rFonts w:ascii="Times New Roman" w:hAnsi="Times New Roman" w:cs="Times New Roman"/>
        </w:rPr>
      </w:pPr>
      <w:r>
        <w:rPr>
          <w:noProof/>
          <w:lang w:eastAsia="uk-UA"/>
        </w:rPr>
        <w:drawing>
          <wp:inline distT="0" distB="0" distL="0" distR="0">
            <wp:extent cx="4855210" cy="2286000"/>
            <wp:effectExtent l="0" t="0" r="0" b="0"/>
            <wp:docPr id="9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Рисунок 22"/>
                    <pic:cNvPicPr>
                      <a:picLocks noChangeAspect="1" noChangeArrowheads="1"/>
                    </pic:cNvPicPr>
                  </pic:nvPicPr>
                  <pic:blipFill>
                    <a:blip r:embed="rId154"/>
                    <a:stretch>
                      <a:fillRect/>
                    </a:stretch>
                  </pic:blipFill>
                  <pic:spPr bwMode="auto">
                    <a:xfrm>
                      <a:off x="0" y="0"/>
                      <a:ext cx="4855210" cy="2286000"/>
                    </a:xfrm>
                    <a:prstGeom prst="rect">
                      <a:avLst/>
                    </a:prstGeom>
                  </pic:spPr>
                </pic:pic>
              </a:graphicData>
            </a:graphic>
          </wp:inline>
        </w:drawing>
      </w:r>
    </w:p>
    <w:p w:rsidR="00D227E2" w:rsidRDefault="00934FC4">
      <w:pPr>
        <w:spacing w:after="0"/>
        <w:jc w:val="center"/>
        <w:rPr>
          <w:rFonts w:ascii="Times New Roman" w:hAnsi="Times New Roman" w:cs="Times New Roman"/>
        </w:rPr>
      </w:pPr>
      <w:r>
        <w:rPr>
          <w:noProof/>
          <w:lang w:eastAsia="uk-UA"/>
        </w:rPr>
        <w:lastRenderedPageBreak/>
        <w:drawing>
          <wp:inline distT="0" distB="0" distL="0" distR="0">
            <wp:extent cx="4521200" cy="2171700"/>
            <wp:effectExtent l="0" t="0" r="0" b="0"/>
            <wp:docPr id="9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Рисунок 23"/>
                    <pic:cNvPicPr>
                      <a:picLocks noChangeAspect="1" noChangeArrowheads="1"/>
                    </pic:cNvPicPr>
                  </pic:nvPicPr>
                  <pic:blipFill>
                    <a:blip r:embed="rId155"/>
                    <a:stretch>
                      <a:fillRect/>
                    </a:stretch>
                  </pic:blipFill>
                  <pic:spPr bwMode="auto">
                    <a:xfrm>
                      <a:off x="0" y="0"/>
                      <a:ext cx="4521200" cy="2171700"/>
                    </a:xfrm>
                    <a:prstGeom prst="rect">
                      <a:avLst/>
                    </a:prstGeom>
                  </pic:spPr>
                </pic:pic>
              </a:graphicData>
            </a:graphic>
          </wp:inline>
        </w:drawing>
      </w:r>
    </w:p>
    <w:p w:rsidR="00D227E2" w:rsidRDefault="00934FC4">
      <w:pPr>
        <w:spacing w:after="0"/>
        <w:jc w:val="center"/>
        <w:rPr>
          <w:rFonts w:ascii="Times New Roman" w:hAnsi="Times New Roman" w:cs="Times New Roman"/>
        </w:rPr>
      </w:pPr>
      <w:r>
        <w:rPr>
          <w:noProof/>
          <w:lang w:eastAsia="uk-UA"/>
        </w:rPr>
        <w:drawing>
          <wp:inline distT="0" distB="0" distL="0" distR="0">
            <wp:extent cx="4657725" cy="2030095"/>
            <wp:effectExtent l="0" t="0" r="0" b="0"/>
            <wp:docPr id="9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Рисунок 24"/>
                    <pic:cNvPicPr>
                      <a:picLocks noChangeAspect="1" noChangeArrowheads="1"/>
                    </pic:cNvPicPr>
                  </pic:nvPicPr>
                  <pic:blipFill>
                    <a:blip r:embed="rId156"/>
                    <a:stretch>
                      <a:fillRect/>
                    </a:stretch>
                  </pic:blipFill>
                  <pic:spPr bwMode="auto">
                    <a:xfrm>
                      <a:off x="0" y="0"/>
                      <a:ext cx="4657725" cy="2030095"/>
                    </a:xfrm>
                    <a:prstGeom prst="rect">
                      <a:avLst/>
                    </a:prstGeom>
                  </pic:spPr>
                </pic:pic>
              </a:graphicData>
            </a:graphic>
          </wp:inline>
        </w:drawing>
      </w:r>
    </w:p>
    <w:p w:rsidR="00D227E2" w:rsidRDefault="00934FC4">
      <w:pPr>
        <w:spacing w:after="0"/>
        <w:jc w:val="center"/>
        <w:rPr>
          <w:rFonts w:ascii="Times New Roman" w:hAnsi="Times New Roman" w:cs="Times New Roman"/>
        </w:rPr>
      </w:pPr>
      <w:r>
        <w:rPr>
          <w:noProof/>
          <w:lang w:eastAsia="uk-UA"/>
        </w:rPr>
        <w:drawing>
          <wp:inline distT="0" distB="0" distL="0" distR="0">
            <wp:extent cx="4584700" cy="2121535"/>
            <wp:effectExtent l="0" t="0" r="0" b="0"/>
            <wp:docPr id="9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Рисунок 25"/>
                    <pic:cNvPicPr>
                      <a:picLocks noChangeAspect="1" noChangeArrowheads="1"/>
                    </pic:cNvPicPr>
                  </pic:nvPicPr>
                  <pic:blipFill>
                    <a:blip r:embed="rId157"/>
                    <a:stretch>
                      <a:fillRect/>
                    </a:stretch>
                  </pic:blipFill>
                  <pic:spPr bwMode="auto">
                    <a:xfrm>
                      <a:off x="0" y="0"/>
                      <a:ext cx="4584700" cy="2121535"/>
                    </a:xfrm>
                    <a:prstGeom prst="rect">
                      <a:avLst/>
                    </a:prstGeom>
                  </pic:spPr>
                </pic:pic>
              </a:graphicData>
            </a:graphic>
          </wp:inline>
        </w:drawing>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color w:val="000000"/>
          <w:sz w:val="24"/>
          <w:szCs w:val="24"/>
          <w:lang w:eastAsia="ru-RU"/>
        </w:rPr>
        <w:t xml:space="preserve">Переважна більшість (84,2 %) мешканців громади вважають, що зима починається пізніше, а закінчуватися раніше (45,9 %). Температура стала теплішою (97,3 % проти 2,7 %). Кількість снігу стало випадати менше (98,6 % проти 1,4 %). </w:t>
      </w:r>
    </w:p>
    <w:p w:rsidR="00D227E2" w:rsidRDefault="00934FC4">
      <w:pPr>
        <w:spacing w:after="0"/>
        <w:ind w:firstLine="567"/>
        <w:jc w:val="center"/>
        <w:rPr>
          <w:rFonts w:ascii="Times New Roman" w:hAnsi="Times New Roman" w:cs="Times New Roman"/>
        </w:rPr>
      </w:pPr>
      <w:r>
        <w:rPr>
          <w:noProof/>
          <w:lang w:eastAsia="uk-UA"/>
        </w:rPr>
        <w:lastRenderedPageBreak/>
        <w:drawing>
          <wp:inline distT="0" distB="0" distL="0" distR="0">
            <wp:extent cx="4804410" cy="2350135"/>
            <wp:effectExtent l="0" t="0" r="0" b="0"/>
            <wp:docPr id="9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Рисунок 28"/>
                    <pic:cNvPicPr>
                      <a:picLocks noChangeAspect="1" noChangeArrowheads="1"/>
                    </pic:cNvPicPr>
                  </pic:nvPicPr>
                  <pic:blipFill>
                    <a:blip r:embed="rId158"/>
                    <a:stretch>
                      <a:fillRect/>
                    </a:stretch>
                  </pic:blipFill>
                  <pic:spPr bwMode="auto">
                    <a:xfrm>
                      <a:off x="0" y="0"/>
                      <a:ext cx="4804410" cy="2350135"/>
                    </a:xfrm>
                    <a:prstGeom prst="rect">
                      <a:avLst/>
                    </a:prstGeom>
                  </pic:spPr>
                </pic:pic>
              </a:graphicData>
            </a:graphic>
          </wp:inline>
        </w:drawing>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color w:val="000000"/>
          <w:sz w:val="24"/>
          <w:szCs w:val="24"/>
          <w:lang w:eastAsia="ru-RU"/>
        </w:rPr>
        <w:t>Бачимо, що в питанні «Частіше буває ожеледиця?» тільки 19,4 % відмітили, що почастішали прояви ожеледиці, з чого можна зробити висновок, що цей прояв зміни клімату в зимовий період є незначним.</w:t>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b/>
          <w:bCs/>
          <w:color w:val="000000"/>
          <w:sz w:val="24"/>
          <w:szCs w:val="24"/>
          <w:u w:val="single"/>
          <w:lang w:eastAsia="ru-RU"/>
        </w:rPr>
        <w:t>Зміни клімату у літній період</w:t>
      </w:r>
    </w:p>
    <w:p w:rsidR="00D227E2" w:rsidRDefault="00934FC4">
      <w:pPr>
        <w:spacing w:after="0"/>
        <w:jc w:val="center"/>
        <w:rPr>
          <w:rFonts w:ascii="Times New Roman" w:hAnsi="Times New Roman" w:cs="Times New Roman"/>
        </w:rPr>
      </w:pPr>
      <w:r>
        <w:rPr>
          <w:noProof/>
          <w:lang w:eastAsia="uk-UA"/>
        </w:rPr>
        <w:drawing>
          <wp:inline distT="0" distB="0" distL="0" distR="0">
            <wp:extent cx="4572635" cy="2097405"/>
            <wp:effectExtent l="0" t="0" r="0" b="0"/>
            <wp:docPr id="10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Рисунок 30"/>
                    <pic:cNvPicPr>
                      <a:picLocks noChangeAspect="1" noChangeArrowheads="1"/>
                    </pic:cNvPicPr>
                  </pic:nvPicPr>
                  <pic:blipFill>
                    <a:blip r:embed="rId159"/>
                    <a:stretch>
                      <a:fillRect/>
                    </a:stretch>
                  </pic:blipFill>
                  <pic:spPr bwMode="auto">
                    <a:xfrm>
                      <a:off x="0" y="0"/>
                      <a:ext cx="4572635" cy="2097405"/>
                    </a:xfrm>
                    <a:prstGeom prst="rect">
                      <a:avLst/>
                    </a:prstGeom>
                  </pic:spPr>
                </pic:pic>
              </a:graphicData>
            </a:graphic>
          </wp:inline>
        </w:drawing>
      </w:r>
    </w:p>
    <w:p w:rsidR="00D227E2" w:rsidRDefault="00934FC4">
      <w:pPr>
        <w:spacing w:after="0"/>
        <w:jc w:val="center"/>
        <w:rPr>
          <w:rFonts w:ascii="Times New Roman" w:hAnsi="Times New Roman" w:cs="Times New Roman"/>
        </w:rPr>
      </w:pPr>
      <w:r>
        <w:rPr>
          <w:noProof/>
          <w:lang w:eastAsia="uk-UA"/>
        </w:rPr>
        <w:drawing>
          <wp:inline distT="0" distB="0" distL="0" distR="0">
            <wp:extent cx="4627245" cy="2152015"/>
            <wp:effectExtent l="0" t="0" r="0" b="0"/>
            <wp:docPr id="10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Рисунок 31"/>
                    <pic:cNvPicPr>
                      <a:picLocks noChangeAspect="1" noChangeArrowheads="1"/>
                    </pic:cNvPicPr>
                  </pic:nvPicPr>
                  <pic:blipFill>
                    <a:blip r:embed="rId160"/>
                    <a:stretch>
                      <a:fillRect/>
                    </a:stretch>
                  </pic:blipFill>
                  <pic:spPr bwMode="auto">
                    <a:xfrm>
                      <a:off x="0" y="0"/>
                      <a:ext cx="4627245" cy="2152015"/>
                    </a:xfrm>
                    <a:prstGeom prst="rect">
                      <a:avLst/>
                    </a:prstGeom>
                  </pic:spPr>
                </pic:pic>
              </a:graphicData>
            </a:graphic>
          </wp:inline>
        </w:drawing>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color w:val="000000"/>
          <w:sz w:val="24"/>
          <w:szCs w:val="24"/>
          <w:lang w:eastAsia="ru-RU"/>
        </w:rPr>
        <w:t>Переважна більшість (57,7 %) мешканців громади вважають, що літо починається пізніше, 25,2 % вважають, що літо починається раніше та 17,1 % вважають, що зміни не відбулися. Разом з тим, 78,4 % опитуваних вважають, що літо закінчується пізніше, 14 % не помітили змін та 7,7 % вважають, що літо закінчується раніше.</w:t>
      </w:r>
    </w:p>
    <w:p w:rsidR="00D227E2" w:rsidRDefault="00934FC4">
      <w:pPr>
        <w:spacing w:after="0"/>
        <w:jc w:val="center"/>
        <w:rPr>
          <w:rFonts w:ascii="Times New Roman" w:hAnsi="Times New Roman" w:cs="Times New Roman"/>
        </w:rPr>
      </w:pPr>
      <w:r>
        <w:rPr>
          <w:noProof/>
          <w:lang w:eastAsia="uk-UA"/>
        </w:rPr>
        <w:lastRenderedPageBreak/>
        <w:drawing>
          <wp:inline distT="0" distB="0" distL="0" distR="0">
            <wp:extent cx="4742815" cy="2231390"/>
            <wp:effectExtent l="0" t="0" r="0" b="0"/>
            <wp:docPr id="10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Рисунок 32"/>
                    <pic:cNvPicPr>
                      <a:picLocks noChangeAspect="1" noChangeArrowheads="1"/>
                    </pic:cNvPicPr>
                  </pic:nvPicPr>
                  <pic:blipFill>
                    <a:blip r:embed="rId161"/>
                    <a:stretch>
                      <a:fillRect/>
                    </a:stretch>
                  </pic:blipFill>
                  <pic:spPr bwMode="auto">
                    <a:xfrm>
                      <a:off x="0" y="0"/>
                      <a:ext cx="4742815" cy="2231390"/>
                    </a:xfrm>
                    <a:prstGeom prst="rect">
                      <a:avLst/>
                    </a:prstGeom>
                  </pic:spPr>
                </pic:pic>
              </a:graphicData>
            </a:graphic>
          </wp:inline>
        </w:drawing>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color w:val="000000"/>
          <w:sz w:val="24"/>
          <w:szCs w:val="24"/>
          <w:lang w:eastAsia="ru-RU"/>
        </w:rPr>
        <w:t>Щодо температури влітку, 73,4 % опитуваних вважають, що влітку стало спекотніше, на думку 14 % влітку стало прохолодніше, 12,6 % не помітили ніяких змін.</w:t>
      </w:r>
    </w:p>
    <w:p w:rsidR="00D227E2" w:rsidRDefault="00934FC4">
      <w:pPr>
        <w:spacing w:after="0"/>
        <w:jc w:val="center"/>
        <w:rPr>
          <w:rFonts w:ascii="Times New Roman" w:hAnsi="Times New Roman" w:cs="Times New Roman"/>
        </w:rPr>
      </w:pPr>
      <w:r>
        <w:rPr>
          <w:noProof/>
          <w:lang w:eastAsia="uk-UA"/>
        </w:rPr>
        <w:drawing>
          <wp:inline distT="0" distB="0" distL="0" distR="0">
            <wp:extent cx="4627245" cy="2121535"/>
            <wp:effectExtent l="0" t="0" r="0" b="0"/>
            <wp:docPr id="10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Рисунок 33"/>
                    <pic:cNvPicPr>
                      <a:picLocks noChangeAspect="1" noChangeArrowheads="1"/>
                    </pic:cNvPicPr>
                  </pic:nvPicPr>
                  <pic:blipFill>
                    <a:blip r:embed="rId162"/>
                    <a:stretch>
                      <a:fillRect/>
                    </a:stretch>
                  </pic:blipFill>
                  <pic:spPr bwMode="auto">
                    <a:xfrm>
                      <a:off x="0" y="0"/>
                      <a:ext cx="4627245" cy="2121535"/>
                    </a:xfrm>
                    <a:prstGeom prst="rect">
                      <a:avLst/>
                    </a:prstGeom>
                  </pic:spPr>
                </pic:pic>
              </a:graphicData>
            </a:graphic>
          </wp:inline>
        </w:drawing>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color w:val="000000"/>
          <w:sz w:val="24"/>
          <w:szCs w:val="24"/>
          <w:lang w:eastAsia="ru-RU"/>
        </w:rPr>
        <w:t xml:space="preserve"> Щодо літньої спеки, 63,5 % вважають, що тривалість стала довшою, 20,7 % вважають, що тривалість літньої спеки стала коротшою і 15,8 % зміни не помітили.</w:t>
      </w:r>
    </w:p>
    <w:p w:rsidR="00D227E2" w:rsidRDefault="00D227E2">
      <w:pPr>
        <w:spacing w:after="0"/>
        <w:ind w:firstLine="567"/>
        <w:jc w:val="both"/>
        <w:rPr>
          <w:rFonts w:ascii="Times New Roman" w:eastAsia="Times New Roman" w:hAnsi="Times New Roman" w:cs="Times New Roman"/>
          <w:color w:val="000000"/>
          <w:sz w:val="24"/>
          <w:szCs w:val="24"/>
          <w:lang w:eastAsia="ru-RU"/>
        </w:rPr>
      </w:pPr>
    </w:p>
    <w:p w:rsidR="00D227E2" w:rsidRDefault="00934FC4">
      <w:pPr>
        <w:spacing w:after="0"/>
        <w:jc w:val="center"/>
        <w:rPr>
          <w:rFonts w:ascii="Times New Roman" w:hAnsi="Times New Roman" w:cs="Times New Roman"/>
        </w:rPr>
      </w:pPr>
      <w:r>
        <w:rPr>
          <w:noProof/>
          <w:lang w:eastAsia="uk-UA"/>
        </w:rPr>
        <w:drawing>
          <wp:inline distT="0" distB="0" distL="0" distR="0">
            <wp:extent cx="4535805" cy="1969135"/>
            <wp:effectExtent l="0" t="0" r="0" b="0"/>
            <wp:docPr id="10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Рисунок 34"/>
                    <pic:cNvPicPr>
                      <a:picLocks noChangeAspect="1" noChangeArrowheads="1"/>
                    </pic:cNvPicPr>
                  </pic:nvPicPr>
                  <pic:blipFill>
                    <a:blip r:embed="rId163"/>
                    <a:stretch>
                      <a:fillRect/>
                    </a:stretch>
                  </pic:blipFill>
                  <pic:spPr bwMode="auto">
                    <a:xfrm>
                      <a:off x="0" y="0"/>
                      <a:ext cx="4535805" cy="1969135"/>
                    </a:xfrm>
                    <a:prstGeom prst="rect">
                      <a:avLst/>
                    </a:prstGeom>
                  </pic:spPr>
                </pic:pic>
              </a:graphicData>
            </a:graphic>
          </wp:inline>
        </w:drawing>
      </w:r>
    </w:p>
    <w:p w:rsidR="00D227E2" w:rsidRDefault="00D227E2">
      <w:pPr>
        <w:spacing w:after="0"/>
        <w:ind w:firstLine="567"/>
        <w:jc w:val="both"/>
        <w:rPr>
          <w:rFonts w:ascii="Times New Roman" w:eastAsia="Times New Roman" w:hAnsi="Times New Roman" w:cs="Times New Roman"/>
          <w:color w:val="000000"/>
          <w:sz w:val="24"/>
          <w:szCs w:val="24"/>
          <w:lang w:eastAsia="ru-RU"/>
        </w:rPr>
      </w:pP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color w:val="000000"/>
          <w:sz w:val="24"/>
          <w:szCs w:val="24"/>
          <w:lang w:eastAsia="ru-RU"/>
        </w:rPr>
        <w:t>Питання посухи, 64,9 % респондентів вважають, що періоди посухи стали довшими, на думку 25,7% періоди посухи стали коротшими і 5 % зміни не помітили.</w:t>
      </w:r>
    </w:p>
    <w:p w:rsidR="00D227E2" w:rsidRDefault="00D227E2">
      <w:pPr>
        <w:spacing w:after="0"/>
        <w:ind w:firstLine="567"/>
        <w:jc w:val="both"/>
        <w:rPr>
          <w:rFonts w:ascii="Times New Roman" w:eastAsia="Times New Roman" w:hAnsi="Times New Roman" w:cs="Times New Roman"/>
          <w:color w:val="000000"/>
          <w:sz w:val="24"/>
          <w:szCs w:val="24"/>
          <w:lang w:eastAsia="ru-RU"/>
        </w:rPr>
      </w:pPr>
    </w:p>
    <w:p w:rsidR="00D227E2" w:rsidRDefault="00934FC4">
      <w:pPr>
        <w:spacing w:after="0"/>
        <w:jc w:val="center"/>
        <w:rPr>
          <w:rFonts w:ascii="Times New Roman" w:hAnsi="Times New Roman" w:cs="Times New Roman"/>
        </w:rPr>
      </w:pPr>
      <w:r>
        <w:rPr>
          <w:noProof/>
          <w:lang w:eastAsia="uk-UA"/>
        </w:rPr>
        <w:lastRenderedPageBreak/>
        <w:drawing>
          <wp:inline distT="0" distB="0" distL="0" distR="0">
            <wp:extent cx="4584700" cy="2078990"/>
            <wp:effectExtent l="0" t="0" r="0" b="0"/>
            <wp:docPr id="10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Рисунок 35"/>
                    <pic:cNvPicPr>
                      <a:picLocks noChangeAspect="1" noChangeArrowheads="1"/>
                    </pic:cNvPicPr>
                  </pic:nvPicPr>
                  <pic:blipFill>
                    <a:blip r:embed="rId164"/>
                    <a:stretch>
                      <a:fillRect/>
                    </a:stretch>
                  </pic:blipFill>
                  <pic:spPr bwMode="auto">
                    <a:xfrm>
                      <a:off x="0" y="0"/>
                      <a:ext cx="4584700" cy="2078990"/>
                    </a:xfrm>
                    <a:prstGeom prst="rect">
                      <a:avLst/>
                    </a:prstGeom>
                  </pic:spPr>
                </pic:pic>
              </a:graphicData>
            </a:graphic>
          </wp:inline>
        </w:drawing>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color w:val="000000"/>
          <w:sz w:val="24"/>
          <w:szCs w:val="24"/>
          <w:lang w:eastAsia="ru-RU"/>
        </w:rPr>
        <w:t>Щодо дощів в Луцькій громаді, 61,7 % вважають, що влітку стало менше дощів, 12,2 % вважають, що влітку стало більше дощів та 26,1 % зміни не помітили.</w:t>
      </w:r>
    </w:p>
    <w:p w:rsidR="00D227E2" w:rsidRDefault="00D227E2">
      <w:pPr>
        <w:spacing w:after="0"/>
        <w:ind w:firstLine="567"/>
        <w:jc w:val="both"/>
        <w:rPr>
          <w:rFonts w:ascii="Times New Roman" w:eastAsia="Times New Roman" w:hAnsi="Times New Roman" w:cs="Times New Roman"/>
          <w:color w:val="000000"/>
          <w:sz w:val="24"/>
          <w:szCs w:val="24"/>
          <w:lang w:eastAsia="ru-RU"/>
        </w:rPr>
      </w:pPr>
    </w:p>
    <w:p w:rsidR="00D227E2" w:rsidRDefault="00934FC4">
      <w:pPr>
        <w:spacing w:after="0"/>
        <w:jc w:val="center"/>
        <w:rPr>
          <w:rFonts w:ascii="Times New Roman" w:hAnsi="Times New Roman" w:cs="Times New Roman"/>
        </w:rPr>
      </w:pPr>
      <w:r>
        <w:rPr>
          <w:noProof/>
          <w:lang w:eastAsia="uk-UA"/>
        </w:rPr>
        <w:drawing>
          <wp:inline distT="0" distB="0" distL="0" distR="0">
            <wp:extent cx="4712335" cy="1993265"/>
            <wp:effectExtent l="0" t="0" r="0" b="0"/>
            <wp:docPr id="10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Рисунок 36"/>
                    <pic:cNvPicPr>
                      <a:picLocks noChangeAspect="1" noChangeArrowheads="1"/>
                    </pic:cNvPicPr>
                  </pic:nvPicPr>
                  <pic:blipFill>
                    <a:blip r:embed="rId165"/>
                    <a:stretch>
                      <a:fillRect/>
                    </a:stretch>
                  </pic:blipFill>
                  <pic:spPr bwMode="auto">
                    <a:xfrm>
                      <a:off x="0" y="0"/>
                      <a:ext cx="4712335" cy="1993265"/>
                    </a:xfrm>
                    <a:prstGeom prst="rect">
                      <a:avLst/>
                    </a:prstGeom>
                  </pic:spPr>
                </pic:pic>
              </a:graphicData>
            </a:graphic>
          </wp:inline>
        </w:drawing>
      </w:r>
    </w:p>
    <w:p w:rsidR="00D227E2" w:rsidRDefault="00D227E2">
      <w:pPr>
        <w:spacing w:after="0"/>
        <w:jc w:val="center"/>
        <w:rPr>
          <w:rFonts w:ascii="Times New Roman" w:eastAsia="Times New Roman" w:hAnsi="Times New Roman" w:cs="Times New Roman"/>
          <w:color w:val="000000"/>
          <w:sz w:val="24"/>
          <w:szCs w:val="24"/>
          <w:lang w:eastAsia="ru-RU"/>
        </w:rPr>
      </w:pP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color w:val="000000"/>
          <w:sz w:val="24"/>
          <w:szCs w:val="24"/>
          <w:lang w:eastAsia="ru-RU"/>
        </w:rPr>
        <w:t xml:space="preserve">Щодо питання граду, 50,9 % опитуваних відповіли, що зміни в літній період не помітили, 32 % зазначили, що частота і сила граду збільшилась та 17,1 % вважають, що частота і сила градів зменшилась.    </w:t>
      </w:r>
    </w:p>
    <w:p w:rsidR="00D227E2" w:rsidRDefault="00934FC4">
      <w:pPr>
        <w:spacing w:after="0"/>
        <w:jc w:val="center"/>
        <w:rPr>
          <w:rFonts w:ascii="Times New Roman" w:hAnsi="Times New Roman" w:cs="Times New Roman"/>
        </w:rPr>
      </w:pPr>
      <w:r>
        <w:rPr>
          <w:noProof/>
          <w:lang w:eastAsia="uk-UA"/>
        </w:rPr>
        <w:drawing>
          <wp:inline distT="0" distB="0" distL="0" distR="0">
            <wp:extent cx="5297805" cy="2103120"/>
            <wp:effectExtent l="0" t="0" r="0" b="0"/>
            <wp:docPr id="10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Рисунок 37"/>
                    <pic:cNvPicPr>
                      <a:picLocks noChangeAspect="1" noChangeArrowheads="1"/>
                    </pic:cNvPicPr>
                  </pic:nvPicPr>
                  <pic:blipFill>
                    <a:blip r:embed="rId166"/>
                    <a:stretch>
                      <a:fillRect/>
                    </a:stretch>
                  </pic:blipFill>
                  <pic:spPr bwMode="auto">
                    <a:xfrm>
                      <a:off x="0" y="0"/>
                      <a:ext cx="5297805" cy="2103120"/>
                    </a:xfrm>
                    <a:prstGeom prst="rect">
                      <a:avLst/>
                    </a:prstGeom>
                  </pic:spPr>
                </pic:pic>
              </a:graphicData>
            </a:graphic>
          </wp:inline>
        </w:drawing>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color w:val="000000"/>
          <w:sz w:val="24"/>
          <w:szCs w:val="24"/>
          <w:lang w:eastAsia="ru-RU"/>
        </w:rPr>
        <w:t>Грози (блискавка, грім), в цьому питанні 61,3 % опитуваних відповіли, що частота та сила грози (з блискавками та громами) стали більшими і 38,7 % навпаки меншими.</w:t>
      </w:r>
    </w:p>
    <w:p w:rsidR="00D227E2" w:rsidRDefault="00D227E2">
      <w:pPr>
        <w:spacing w:after="0"/>
        <w:jc w:val="center"/>
        <w:rPr>
          <w:rFonts w:ascii="Times New Roman" w:eastAsia="Times New Roman" w:hAnsi="Times New Roman" w:cs="Times New Roman"/>
          <w:color w:val="000000"/>
          <w:sz w:val="24"/>
          <w:szCs w:val="24"/>
          <w:lang w:eastAsia="ru-RU"/>
        </w:rPr>
      </w:pPr>
    </w:p>
    <w:p w:rsidR="00D227E2" w:rsidRDefault="00934FC4">
      <w:pPr>
        <w:spacing w:after="0"/>
        <w:jc w:val="center"/>
        <w:rPr>
          <w:rFonts w:ascii="Times New Roman" w:hAnsi="Times New Roman" w:cs="Times New Roman"/>
        </w:rPr>
      </w:pPr>
      <w:r>
        <w:rPr>
          <w:noProof/>
          <w:lang w:eastAsia="uk-UA"/>
        </w:rPr>
        <w:lastRenderedPageBreak/>
        <w:drawing>
          <wp:inline distT="0" distB="0" distL="0" distR="0">
            <wp:extent cx="4925695" cy="2078990"/>
            <wp:effectExtent l="0" t="0" r="0" b="0"/>
            <wp:docPr id="10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Рисунок 38"/>
                    <pic:cNvPicPr>
                      <a:picLocks noChangeAspect="1" noChangeArrowheads="1"/>
                    </pic:cNvPicPr>
                  </pic:nvPicPr>
                  <pic:blipFill>
                    <a:blip r:embed="rId167"/>
                    <a:stretch>
                      <a:fillRect/>
                    </a:stretch>
                  </pic:blipFill>
                  <pic:spPr bwMode="auto">
                    <a:xfrm>
                      <a:off x="0" y="0"/>
                      <a:ext cx="4925695" cy="2078990"/>
                    </a:xfrm>
                    <a:prstGeom prst="rect">
                      <a:avLst/>
                    </a:prstGeom>
                  </pic:spPr>
                </pic:pic>
              </a:graphicData>
            </a:graphic>
          </wp:inline>
        </w:drawing>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color w:val="000000"/>
          <w:sz w:val="24"/>
          <w:szCs w:val="24"/>
          <w:lang w:eastAsia="ru-RU"/>
        </w:rPr>
        <w:t xml:space="preserve">Відносно частоти буревіїв та сильних вітрів то голоси респондентів розділилися, опитувані 45,9 % вважають, що змін не відбулось, 41,9 % вважають, що стало більше випадків буревіїв і 12,2 % зміни не помітили. </w:t>
      </w:r>
    </w:p>
    <w:p w:rsidR="00D227E2" w:rsidRDefault="00934FC4">
      <w:pPr>
        <w:spacing w:after="0"/>
        <w:jc w:val="center"/>
        <w:rPr>
          <w:rFonts w:ascii="Times New Roman" w:hAnsi="Times New Roman" w:cs="Times New Roman"/>
        </w:rPr>
      </w:pPr>
      <w:r>
        <w:rPr>
          <w:noProof/>
          <w:lang w:eastAsia="uk-UA"/>
        </w:rPr>
        <w:drawing>
          <wp:inline distT="0" distB="0" distL="0" distR="0">
            <wp:extent cx="5066030" cy="2084705"/>
            <wp:effectExtent l="0" t="0" r="0" b="0"/>
            <wp:docPr id="10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Рисунок 39"/>
                    <pic:cNvPicPr>
                      <a:picLocks noChangeAspect="1" noChangeArrowheads="1"/>
                    </pic:cNvPicPr>
                  </pic:nvPicPr>
                  <pic:blipFill>
                    <a:blip r:embed="rId168"/>
                    <a:stretch>
                      <a:fillRect/>
                    </a:stretch>
                  </pic:blipFill>
                  <pic:spPr bwMode="auto">
                    <a:xfrm>
                      <a:off x="0" y="0"/>
                      <a:ext cx="5066030" cy="2084705"/>
                    </a:xfrm>
                    <a:prstGeom prst="rect">
                      <a:avLst/>
                    </a:prstGeom>
                  </pic:spPr>
                </pic:pic>
              </a:graphicData>
            </a:graphic>
          </wp:inline>
        </w:drawing>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color w:val="000000"/>
          <w:sz w:val="24"/>
          <w:szCs w:val="24"/>
          <w:lang w:eastAsia="ru-RU"/>
        </w:rPr>
        <w:t xml:space="preserve">Також, сила буревіїв на думку 47,7 % не змінилась, 44,6 % вважають прояви буревіїв стали сильнішими і 7,7 % вважають, що прояви буревіїв стали слабшими. </w:t>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color w:val="000000"/>
          <w:sz w:val="24"/>
          <w:szCs w:val="24"/>
          <w:lang w:eastAsia="ru-RU"/>
        </w:rPr>
        <w:t>Виходячи з аналізу відповідей, можна зробити висновок, що у частоті і силі буревіїв та у силі вітрів значних змін не відбулось.</w:t>
      </w:r>
    </w:p>
    <w:p w:rsidR="00D227E2" w:rsidRDefault="00934FC4">
      <w:pPr>
        <w:spacing w:after="0"/>
        <w:jc w:val="center"/>
        <w:rPr>
          <w:rFonts w:ascii="Times New Roman" w:hAnsi="Times New Roman" w:cs="Times New Roman"/>
        </w:rPr>
      </w:pPr>
      <w:r>
        <w:rPr>
          <w:noProof/>
          <w:lang w:eastAsia="uk-UA"/>
        </w:rPr>
        <w:drawing>
          <wp:inline distT="0" distB="0" distL="0" distR="0">
            <wp:extent cx="5096510" cy="2133600"/>
            <wp:effectExtent l="0" t="0" r="0" b="0"/>
            <wp:docPr id="11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Рисунок 40"/>
                    <pic:cNvPicPr>
                      <a:picLocks noChangeAspect="1" noChangeArrowheads="1"/>
                    </pic:cNvPicPr>
                  </pic:nvPicPr>
                  <pic:blipFill>
                    <a:blip r:embed="rId169"/>
                    <a:stretch>
                      <a:fillRect/>
                    </a:stretch>
                  </pic:blipFill>
                  <pic:spPr bwMode="auto">
                    <a:xfrm>
                      <a:off x="0" y="0"/>
                      <a:ext cx="5096510" cy="2133600"/>
                    </a:xfrm>
                    <a:prstGeom prst="rect">
                      <a:avLst/>
                    </a:prstGeom>
                  </pic:spPr>
                </pic:pic>
              </a:graphicData>
            </a:graphic>
          </wp:inline>
        </w:drawing>
      </w:r>
    </w:p>
    <w:p w:rsidR="00D227E2" w:rsidRDefault="00D227E2">
      <w:pPr>
        <w:spacing w:after="0"/>
        <w:ind w:firstLine="567"/>
        <w:jc w:val="both"/>
        <w:rPr>
          <w:rFonts w:ascii="Times New Roman" w:eastAsia="Times New Roman" w:hAnsi="Times New Roman" w:cs="Times New Roman"/>
          <w:color w:val="000000"/>
          <w:sz w:val="24"/>
          <w:szCs w:val="24"/>
          <w:lang w:eastAsia="ru-RU"/>
        </w:rPr>
      </w:pP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color w:val="000000"/>
          <w:sz w:val="24"/>
          <w:szCs w:val="24"/>
          <w:lang w:eastAsia="ru-RU"/>
        </w:rPr>
        <w:t>Підтоплення в результаті паводків на думку 49,5 % залишились без змін, 34,2 % вважають, що стали сильнішими і 16,2 % зміни не помітили.</w:t>
      </w:r>
    </w:p>
    <w:p w:rsidR="00D227E2" w:rsidRDefault="00D227E2">
      <w:pPr>
        <w:spacing w:after="0"/>
        <w:ind w:firstLine="567"/>
        <w:jc w:val="both"/>
        <w:rPr>
          <w:rFonts w:ascii="Times New Roman" w:eastAsia="Times New Roman" w:hAnsi="Times New Roman" w:cs="Times New Roman"/>
          <w:color w:val="000000"/>
          <w:sz w:val="24"/>
          <w:szCs w:val="24"/>
          <w:lang w:eastAsia="ru-RU"/>
        </w:rPr>
      </w:pPr>
    </w:p>
    <w:p w:rsidR="00D227E2" w:rsidRDefault="00D227E2">
      <w:pPr>
        <w:spacing w:after="0"/>
        <w:ind w:firstLine="567"/>
        <w:jc w:val="both"/>
        <w:rPr>
          <w:rFonts w:ascii="Times New Roman" w:eastAsia="Times New Roman" w:hAnsi="Times New Roman" w:cs="Times New Roman"/>
          <w:color w:val="000000"/>
          <w:sz w:val="24"/>
          <w:szCs w:val="24"/>
          <w:lang w:eastAsia="ru-RU"/>
        </w:rPr>
      </w:pPr>
    </w:p>
    <w:p w:rsidR="00D227E2" w:rsidRDefault="00934FC4">
      <w:pPr>
        <w:spacing w:after="0"/>
        <w:jc w:val="center"/>
        <w:rPr>
          <w:rFonts w:ascii="Times New Roman" w:hAnsi="Times New Roman" w:cs="Times New Roman"/>
        </w:rPr>
      </w:pPr>
      <w:r>
        <w:rPr>
          <w:noProof/>
          <w:lang w:eastAsia="uk-UA"/>
        </w:rPr>
        <w:lastRenderedPageBreak/>
        <w:drawing>
          <wp:inline distT="0" distB="0" distL="0" distR="0">
            <wp:extent cx="5114925" cy="2212975"/>
            <wp:effectExtent l="0" t="0" r="0" b="0"/>
            <wp:docPr id="11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Рисунок 41"/>
                    <pic:cNvPicPr>
                      <a:picLocks noChangeAspect="1" noChangeArrowheads="1"/>
                    </pic:cNvPicPr>
                  </pic:nvPicPr>
                  <pic:blipFill>
                    <a:blip r:embed="rId170"/>
                    <a:stretch>
                      <a:fillRect/>
                    </a:stretch>
                  </pic:blipFill>
                  <pic:spPr bwMode="auto">
                    <a:xfrm>
                      <a:off x="0" y="0"/>
                      <a:ext cx="5114925" cy="2212975"/>
                    </a:xfrm>
                    <a:prstGeom prst="rect">
                      <a:avLst/>
                    </a:prstGeom>
                  </pic:spPr>
                </pic:pic>
              </a:graphicData>
            </a:graphic>
          </wp:inline>
        </w:drawing>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color w:val="000000"/>
          <w:sz w:val="24"/>
          <w:szCs w:val="24"/>
          <w:lang w:eastAsia="ru-RU"/>
        </w:rPr>
        <w:t>Підтоплення в результаті злив на думку 59 % стали сильнішими, 32 % вважають, що зміни не відбулись, а для 9 % опитаних підтоплення стали слабшими.</w:t>
      </w:r>
    </w:p>
    <w:p w:rsidR="00D227E2" w:rsidRDefault="00D227E2">
      <w:pPr>
        <w:spacing w:after="0"/>
        <w:ind w:firstLine="567"/>
        <w:jc w:val="both"/>
        <w:rPr>
          <w:rFonts w:ascii="Times New Roman" w:eastAsia="Times New Roman" w:hAnsi="Times New Roman" w:cs="Times New Roman"/>
          <w:color w:val="000000"/>
          <w:sz w:val="24"/>
          <w:szCs w:val="24"/>
          <w:lang w:eastAsia="ru-RU"/>
        </w:rPr>
      </w:pPr>
    </w:p>
    <w:p w:rsidR="00D227E2" w:rsidRDefault="00934FC4">
      <w:pPr>
        <w:spacing w:after="0"/>
        <w:jc w:val="center"/>
        <w:rPr>
          <w:rFonts w:ascii="Times New Roman" w:hAnsi="Times New Roman" w:cs="Times New Roman"/>
        </w:rPr>
      </w:pPr>
      <w:r>
        <w:rPr>
          <w:rFonts w:ascii="Times New Roman" w:eastAsia="Times New Roman" w:hAnsi="Times New Roman" w:cs="Times New Roman"/>
          <w:b/>
          <w:bCs/>
          <w:color w:val="000000"/>
          <w:sz w:val="24"/>
          <w:szCs w:val="24"/>
          <w:u w:val="single"/>
          <w:lang w:eastAsia="ru-RU"/>
        </w:rPr>
        <w:t>Розділ 3. Оцінка пристосованості інфраструктури громади до змін клімату</w:t>
      </w:r>
    </w:p>
    <w:p w:rsidR="00D227E2" w:rsidRDefault="00934FC4">
      <w:pPr>
        <w:spacing w:after="0"/>
        <w:jc w:val="center"/>
        <w:rPr>
          <w:rFonts w:ascii="Times New Roman" w:hAnsi="Times New Roman" w:cs="Times New Roman"/>
        </w:rPr>
      </w:pPr>
      <w:r>
        <w:rPr>
          <w:noProof/>
          <w:lang w:eastAsia="uk-UA"/>
        </w:rPr>
        <w:drawing>
          <wp:inline distT="0" distB="0" distL="0" distR="0">
            <wp:extent cx="5829300" cy="3028950"/>
            <wp:effectExtent l="0" t="0" r="0" b="0"/>
            <wp:docPr id="11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Рисунок 42"/>
                    <pic:cNvPicPr>
                      <a:picLocks noChangeAspect="1" noChangeArrowheads="1"/>
                    </pic:cNvPicPr>
                  </pic:nvPicPr>
                  <pic:blipFill>
                    <a:blip r:embed="rId171"/>
                    <a:stretch>
                      <a:fillRect/>
                    </a:stretch>
                  </pic:blipFill>
                  <pic:spPr bwMode="auto">
                    <a:xfrm>
                      <a:off x="0" y="0"/>
                      <a:ext cx="5829300" cy="3028950"/>
                    </a:xfrm>
                    <a:prstGeom prst="rect">
                      <a:avLst/>
                    </a:prstGeom>
                  </pic:spPr>
                </pic:pic>
              </a:graphicData>
            </a:graphic>
          </wp:inline>
        </w:drawing>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color w:val="000000"/>
          <w:sz w:val="24"/>
          <w:szCs w:val="24"/>
          <w:lang w:eastAsia="ru-RU"/>
        </w:rPr>
        <w:t>Наступний блок опитувальника містить питання для виявлення проблем, які відчувають мешканці громади.</w:t>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b/>
          <w:bCs/>
          <w:color w:val="000000"/>
          <w:sz w:val="24"/>
          <w:szCs w:val="24"/>
          <w:u w:val="single"/>
          <w:lang w:eastAsia="ru-RU"/>
        </w:rPr>
        <w:t>Спека в літній період:</w:t>
      </w:r>
    </w:p>
    <w:p w:rsidR="00D227E2" w:rsidRDefault="00934FC4">
      <w:pPr>
        <w:spacing w:after="0"/>
        <w:ind w:left="567"/>
        <w:jc w:val="both"/>
        <w:rPr>
          <w:rFonts w:ascii="Times New Roman" w:hAnsi="Times New Roman" w:cs="Times New Roman"/>
        </w:rPr>
      </w:pPr>
      <w:r>
        <w:rPr>
          <w:rFonts w:ascii="Times New Roman" w:hAnsi="Times New Roman" w:cs="Times New Roman"/>
          <w:color w:val="000000"/>
          <w:sz w:val="24"/>
          <w:szCs w:val="24"/>
        </w:rPr>
        <w:t xml:space="preserve">пристосовуваність житлових будинків для підтримання комфортної температури у літню спеку (29,7 %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z w:val="24"/>
          <w:szCs w:val="24"/>
        </w:rPr>
        <w:t xml:space="preserve"> так; 70,3 %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z w:val="24"/>
          <w:szCs w:val="24"/>
        </w:rPr>
        <w:t xml:space="preserve"> ні);</w:t>
      </w:r>
    </w:p>
    <w:p w:rsidR="00D227E2" w:rsidRDefault="00934FC4">
      <w:pPr>
        <w:spacing w:after="0"/>
        <w:jc w:val="center"/>
        <w:rPr>
          <w:rFonts w:ascii="Times New Roman" w:hAnsi="Times New Roman" w:cs="Times New Roman"/>
        </w:rPr>
      </w:pPr>
      <w:r>
        <w:rPr>
          <w:noProof/>
          <w:lang w:eastAsia="uk-UA"/>
        </w:rPr>
        <w:drawing>
          <wp:inline distT="0" distB="0" distL="0" distR="0">
            <wp:extent cx="4084955" cy="1896110"/>
            <wp:effectExtent l="0" t="0" r="0" b="0"/>
            <wp:docPr id="11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Рисунок 43"/>
                    <pic:cNvPicPr>
                      <a:picLocks noChangeAspect="1" noChangeArrowheads="1"/>
                    </pic:cNvPicPr>
                  </pic:nvPicPr>
                  <pic:blipFill>
                    <a:blip r:embed="rId172"/>
                    <a:stretch>
                      <a:fillRect/>
                    </a:stretch>
                  </pic:blipFill>
                  <pic:spPr bwMode="auto">
                    <a:xfrm>
                      <a:off x="0" y="0"/>
                      <a:ext cx="4084955" cy="1896110"/>
                    </a:xfrm>
                    <a:prstGeom prst="rect">
                      <a:avLst/>
                    </a:prstGeom>
                  </pic:spPr>
                </pic:pic>
              </a:graphicData>
            </a:graphic>
          </wp:inline>
        </w:drawing>
      </w:r>
    </w:p>
    <w:p w:rsidR="00D227E2" w:rsidRDefault="00934FC4">
      <w:pPr>
        <w:spacing w:after="0"/>
        <w:ind w:left="567"/>
        <w:jc w:val="both"/>
        <w:rPr>
          <w:rFonts w:ascii="Times New Roman" w:hAnsi="Times New Roman" w:cs="Times New Roman"/>
        </w:rPr>
      </w:pPr>
      <w:r>
        <w:rPr>
          <w:rFonts w:ascii="Times New Roman" w:hAnsi="Times New Roman" w:cs="Times New Roman"/>
          <w:color w:val="000000"/>
          <w:sz w:val="24"/>
          <w:szCs w:val="24"/>
        </w:rPr>
        <w:lastRenderedPageBreak/>
        <w:t xml:space="preserve">пристосовуваність громадських будівель для підтримання комфортної температури у літню спеку (49,5 %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z w:val="24"/>
          <w:szCs w:val="24"/>
        </w:rPr>
        <w:t xml:space="preserve"> так; 50,5 %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z w:val="24"/>
          <w:szCs w:val="24"/>
        </w:rPr>
        <w:t xml:space="preserve"> ні);</w:t>
      </w:r>
    </w:p>
    <w:p w:rsidR="00D227E2" w:rsidRDefault="00934FC4">
      <w:pPr>
        <w:spacing w:after="0"/>
        <w:jc w:val="center"/>
        <w:rPr>
          <w:rFonts w:ascii="Times New Roman" w:hAnsi="Times New Roman" w:cs="Times New Roman"/>
        </w:rPr>
      </w:pPr>
      <w:r>
        <w:rPr>
          <w:noProof/>
          <w:lang w:eastAsia="uk-UA"/>
        </w:rPr>
        <w:drawing>
          <wp:inline distT="0" distB="0" distL="0" distR="0">
            <wp:extent cx="4017645" cy="1840865"/>
            <wp:effectExtent l="0" t="0" r="0" b="0"/>
            <wp:docPr id="11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Рисунок 44"/>
                    <pic:cNvPicPr>
                      <a:picLocks noChangeAspect="1" noChangeArrowheads="1"/>
                    </pic:cNvPicPr>
                  </pic:nvPicPr>
                  <pic:blipFill>
                    <a:blip r:embed="rId173"/>
                    <a:stretch>
                      <a:fillRect/>
                    </a:stretch>
                  </pic:blipFill>
                  <pic:spPr bwMode="auto">
                    <a:xfrm>
                      <a:off x="0" y="0"/>
                      <a:ext cx="4017645" cy="1840865"/>
                    </a:xfrm>
                    <a:prstGeom prst="rect">
                      <a:avLst/>
                    </a:prstGeom>
                  </pic:spPr>
                </pic:pic>
              </a:graphicData>
            </a:graphic>
          </wp:inline>
        </w:drawing>
      </w:r>
    </w:p>
    <w:p w:rsidR="00D227E2" w:rsidRDefault="00934FC4">
      <w:pPr>
        <w:spacing w:after="0"/>
        <w:ind w:left="567"/>
        <w:jc w:val="both"/>
        <w:rPr>
          <w:rFonts w:ascii="Times New Roman" w:hAnsi="Times New Roman" w:cs="Times New Roman"/>
        </w:rPr>
      </w:pPr>
      <w:r>
        <w:rPr>
          <w:rFonts w:ascii="Times New Roman" w:hAnsi="Times New Roman" w:cs="Times New Roman"/>
          <w:color w:val="000000"/>
          <w:sz w:val="24"/>
          <w:szCs w:val="24"/>
        </w:rPr>
        <w:t xml:space="preserve">достатність місць укриття від прямих сонячних променів у вуличних просторах (47,3 %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z w:val="24"/>
          <w:szCs w:val="24"/>
        </w:rPr>
        <w:t xml:space="preserve"> так; 52,7 %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z w:val="24"/>
          <w:szCs w:val="24"/>
        </w:rPr>
        <w:t xml:space="preserve"> ні);</w:t>
      </w:r>
    </w:p>
    <w:p w:rsidR="00D227E2" w:rsidRDefault="00934FC4">
      <w:pPr>
        <w:spacing w:after="0"/>
        <w:jc w:val="center"/>
        <w:rPr>
          <w:rFonts w:ascii="Times New Roman" w:hAnsi="Times New Roman" w:cs="Times New Roman"/>
        </w:rPr>
      </w:pPr>
      <w:r>
        <w:rPr>
          <w:noProof/>
          <w:lang w:eastAsia="uk-UA"/>
        </w:rPr>
        <w:drawing>
          <wp:inline distT="0" distB="0" distL="0" distR="0">
            <wp:extent cx="4084955" cy="1981200"/>
            <wp:effectExtent l="0" t="0" r="0" b="0"/>
            <wp:docPr id="11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Рисунок 45"/>
                    <pic:cNvPicPr>
                      <a:picLocks noChangeAspect="1" noChangeArrowheads="1"/>
                    </pic:cNvPicPr>
                  </pic:nvPicPr>
                  <pic:blipFill>
                    <a:blip r:embed="rId174"/>
                    <a:stretch>
                      <a:fillRect/>
                    </a:stretch>
                  </pic:blipFill>
                  <pic:spPr bwMode="auto">
                    <a:xfrm>
                      <a:off x="0" y="0"/>
                      <a:ext cx="4084955" cy="1981200"/>
                    </a:xfrm>
                    <a:prstGeom prst="rect">
                      <a:avLst/>
                    </a:prstGeom>
                  </pic:spPr>
                </pic:pic>
              </a:graphicData>
            </a:graphic>
          </wp:inline>
        </w:drawing>
      </w:r>
    </w:p>
    <w:p w:rsidR="00D227E2" w:rsidRDefault="00934FC4">
      <w:pPr>
        <w:spacing w:after="0"/>
        <w:ind w:left="567"/>
        <w:jc w:val="both"/>
        <w:rPr>
          <w:rFonts w:ascii="Times New Roman" w:hAnsi="Times New Roman" w:cs="Times New Roman"/>
        </w:rPr>
      </w:pPr>
      <w:r>
        <w:rPr>
          <w:rFonts w:ascii="Times New Roman" w:hAnsi="Times New Roman" w:cs="Times New Roman"/>
          <w:color w:val="000000"/>
          <w:sz w:val="24"/>
          <w:szCs w:val="24"/>
        </w:rPr>
        <w:t xml:space="preserve">достатність в населених пунктах громади зелених насаджень, що створюють тінь та знижують температуру (54,5 %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z w:val="24"/>
          <w:szCs w:val="24"/>
        </w:rPr>
        <w:t xml:space="preserve"> так; 45,5 %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z w:val="24"/>
          <w:szCs w:val="24"/>
        </w:rPr>
        <w:t xml:space="preserve"> ні).</w:t>
      </w:r>
    </w:p>
    <w:p w:rsidR="00D227E2" w:rsidRDefault="00934FC4">
      <w:pPr>
        <w:spacing w:after="0"/>
        <w:jc w:val="center"/>
        <w:rPr>
          <w:rFonts w:ascii="Times New Roman" w:hAnsi="Times New Roman" w:cs="Times New Roman"/>
        </w:rPr>
      </w:pPr>
      <w:r>
        <w:rPr>
          <w:noProof/>
          <w:lang w:eastAsia="uk-UA"/>
        </w:rPr>
        <w:drawing>
          <wp:inline distT="0" distB="0" distL="0" distR="0">
            <wp:extent cx="3914140" cy="1962785"/>
            <wp:effectExtent l="0" t="0" r="0" b="0"/>
            <wp:docPr id="116"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Рисунок 53"/>
                    <pic:cNvPicPr>
                      <a:picLocks noChangeAspect="1" noChangeArrowheads="1"/>
                    </pic:cNvPicPr>
                  </pic:nvPicPr>
                  <pic:blipFill>
                    <a:blip r:embed="rId175"/>
                    <a:stretch>
                      <a:fillRect/>
                    </a:stretch>
                  </pic:blipFill>
                  <pic:spPr bwMode="auto">
                    <a:xfrm>
                      <a:off x="0" y="0"/>
                      <a:ext cx="3914140" cy="1962785"/>
                    </a:xfrm>
                    <a:prstGeom prst="rect">
                      <a:avLst/>
                    </a:prstGeom>
                  </pic:spPr>
                </pic:pic>
              </a:graphicData>
            </a:graphic>
          </wp:inline>
        </w:drawing>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b/>
          <w:bCs/>
          <w:color w:val="000000"/>
          <w:spacing w:val="2"/>
          <w:sz w:val="24"/>
          <w:szCs w:val="24"/>
          <w:u w:val="single"/>
          <w:shd w:val="clear" w:color="auto" w:fill="FFFFFF"/>
          <w:lang w:eastAsia="ru-RU"/>
        </w:rPr>
        <w:t>Опади (дощ, град) та підтоплення від зливи:</w:t>
      </w:r>
    </w:p>
    <w:p w:rsidR="00D227E2" w:rsidRDefault="00934FC4">
      <w:pPr>
        <w:spacing w:after="0"/>
        <w:ind w:left="567"/>
        <w:jc w:val="both"/>
        <w:rPr>
          <w:rFonts w:ascii="Times New Roman" w:hAnsi="Times New Roman" w:cs="Times New Roman"/>
        </w:rPr>
      </w:pPr>
      <w:r>
        <w:rPr>
          <w:rFonts w:ascii="Times New Roman" w:hAnsi="Times New Roman" w:cs="Times New Roman"/>
          <w:color w:val="000000"/>
          <w:sz w:val="24"/>
          <w:szCs w:val="24"/>
        </w:rPr>
        <w:t xml:space="preserve">забезпечення ливневою каналізацією, відведення води у випадку злив (20,3 %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z w:val="24"/>
          <w:szCs w:val="24"/>
        </w:rPr>
        <w:t xml:space="preserve"> так; 79,7 %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z w:val="24"/>
          <w:szCs w:val="24"/>
        </w:rPr>
        <w:t xml:space="preserve"> ні); </w:t>
      </w:r>
    </w:p>
    <w:p w:rsidR="00D227E2" w:rsidRDefault="00934FC4">
      <w:pPr>
        <w:spacing w:after="0"/>
        <w:jc w:val="center"/>
        <w:rPr>
          <w:rFonts w:ascii="Times New Roman" w:hAnsi="Times New Roman" w:cs="Times New Roman"/>
        </w:rPr>
      </w:pPr>
      <w:r>
        <w:rPr>
          <w:noProof/>
          <w:lang w:eastAsia="uk-UA"/>
        </w:rPr>
        <w:lastRenderedPageBreak/>
        <w:drawing>
          <wp:inline distT="0" distB="0" distL="0" distR="0">
            <wp:extent cx="4078605" cy="2036445"/>
            <wp:effectExtent l="0" t="0" r="0" b="0"/>
            <wp:docPr id="117"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Рисунок 46"/>
                    <pic:cNvPicPr>
                      <a:picLocks noChangeAspect="1" noChangeArrowheads="1"/>
                    </pic:cNvPicPr>
                  </pic:nvPicPr>
                  <pic:blipFill>
                    <a:blip r:embed="rId176"/>
                    <a:stretch>
                      <a:fillRect/>
                    </a:stretch>
                  </pic:blipFill>
                  <pic:spPr bwMode="auto">
                    <a:xfrm>
                      <a:off x="0" y="0"/>
                      <a:ext cx="4078605" cy="2036445"/>
                    </a:xfrm>
                    <a:prstGeom prst="rect">
                      <a:avLst/>
                    </a:prstGeom>
                  </pic:spPr>
                </pic:pic>
              </a:graphicData>
            </a:graphic>
          </wp:inline>
        </w:drawing>
      </w:r>
    </w:p>
    <w:p w:rsidR="00D227E2" w:rsidRDefault="00934FC4">
      <w:pPr>
        <w:spacing w:after="0"/>
        <w:ind w:left="567"/>
        <w:jc w:val="both"/>
        <w:rPr>
          <w:rFonts w:ascii="Times New Roman" w:hAnsi="Times New Roman" w:cs="Times New Roman"/>
        </w:rPr>
      </w:pPr>
      <w:r>
        <w:rPr>
          <w:rFonts w:ascii="Times New Roman" w:hAnsi="Times New Roman" w:cs="Times New Roman"/>
          <w:color w:val="000000"/>
          <w:sz w:val="24"/>
          <w:szCs w:val="24"/>
        </w:rPr>
        <w:t xml:space="preserve">пристосованість покриття вулиць та навколишніх територій до відведення води у випадку злив (38,7 %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z w:val="24"/>
          <w:szCs w:val="24"/>
        </w:rPr>
        <w:t xml:space="preserve"> так; 61,3 %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z w:val="24"/>
          <w:szCs w:val="24"/>
        </w:rPr>
        <w:t xml:space="preserve"> ні); </w:t>
      </w:r>
    </w:p>
    <w:p w:rsidR="00D227E2" w:rsidRDefault="00934FC4">
      <w:pPr>
        <w:spacing w:after="0"/>
        <w:jc w:val="center"/>
        <w:rPr>
          <w:rFonts w:ascii="Times New Roman" w:hAnsi="Times New Roman" w:cs="Times New Roman"/>
        </w:rPr>
      </w:pPr>
      <w:r>
        <w:rPr>
          <w:noProof/>
          <w:lang w:eastAsia="uk-UA"/>
        </w:rPr>
        <w:drawing>
          <wp:inline distT="0" distB="0" distL="0" distR="0">
            <wp:extent cx="4084955" cy="1914525"/>
            <wp:effectExtent l="0" t="0" r="0" b="0"/>
            <wp:docPr id="118"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Рисунок 47"/>
                    <pic:cNvPicPr>
                      <a:picLocks noChangeAspect="1" noChangeArrowheads="1"/>
                    </pic:cNvPicPr>
                  </pic:nvPicPr>
                  <pic:blipFill>
                    <a:blip r:embed="rId177"/>
                    <a:stretch>
                      <a:fillRect/>
                    </a:stretch>
                  </pic:blipFill>
                  <pic:spPr bwMode="auto">
                    <a:xfrm>
                      <a:off x="0" y="0"/>
                      <a:ext cx="4084955" cy="1914525"/>
                    </a:xfrm>
                    <a:prstGeom prst="rect">
                      <a:avLst/>
                    </a:prstGeom>
                  </pic:spPr>
                </pic:pic>
              </a:graphicData>
            </a:graphic>
          </wp:inline>
        </w:drawing>
      </w:r>
    </w:p>
    <w:p w:rsidR="00D227E2" w:rsidRDefault="00934FC4">
      <w:pPr>
        <w:spacing w:after="0"/>
        <w:ind w:left="567"/>
        <w:jc w:val="both"/>
        <w:rPr>
          <w:rFonts w:ascii="Times New Roman" w:hAnsi="Times New Roman" w:cs="Times New Roman"/>
        </w:rPr>
      </w:pPr>
      <w:r>
        <w:rPr>
          <w:rFonts w:ascii="Times New Roman" w:hAnsi="Times New Roman" w:cs="Times New Roman"/>
          <w:color w:val="000000"/>
          <w:sz w:val="24"/>
          <w:szCs w:val="24"/>
        </w:rPr>
        <w:t xml:space="preserve">наявність шляхів відведення води з територій регулярного підтоплення (31,1 %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z w:val="24"/>
          <w:szCs w:val="24"/>
        </w:rPr>
        <w:t xml:space="preserve"> так; 68,9 %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z w:val="24"/>
          <w:szCs w:val="24"/>
        </w:rPr>
        <w:t xml:space="preserve"> ні);</w:t>
      </w:r>
    </w:p>
    <w:p w:rsidR="00D227E2" w:rsidRDefault="00934FC4">
      <w:pPr>
        <w:spacing w:after="0"/>
        <w:jc w:val="center"/>
        <w:rPr>
          <w:rFonts w:ascii="Times New Roman" w:hAnsi="Times New Roman" w:cs="Times New Roman"/>
        </w:rPr>
      </w:pPr>
      <w:r>
        <w:rPr>
          <w:noProof/>
          <w:lang w:eastAsia="uk-UA"/>
        </w:rPr>
        <w:drawing>
          <wp:inline distT="0" distB="0" distL="0" distR="0">
            <wp:extent cx="3877310" cy="1908175"/>
            <wp:effectExtent l="0" t="0" r="0" b="0"/>
            <wp:docPr id="119"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Рисунок 48"/>
                    <pic:cNvPicPr>
                      <a:picLocks noChangeAspect="1" noChangeArrowheads="1"/>
                    </pic:cNvPicPr>
                  </pic:nvPicPr>
                  <pic:blipFill>
                    <a:blip r:embed="rId178"/>
                    <a:stretch>
                      <a:fillRect/>
                    </a:stretch>
                  </pic:blipFill>
                  <pic:spPr bwMode="auto">
                    <a:xfrm>
                      <a:off x="0" y="0"/>
                      <a:ext cx="3877310" cy="1908175"/>
                    </a:xfrm>
                    <a:prstGeom prst="rect">
                      <a:avLst/>
                    </a:prstGeom>
                  </pic:spPr>
                </pic:pic>
              </a:graphicData>
            </a:graphic>
          </wp:inline>
        </w:drawing>
      </w:r>
    </w:p>
    <w:p w:rsidR="00D227E2" w:rsidRDefault="00934FC4">
      <w:pPr>
        <w:spacing w:after="0"/>
        <w:ind w:left="567"/>
        <w:jc w:val="both"/>
        <w:rPr>
          <w:rFonts w:ascii="Times New Roman" w:hAnsi="Times New Roman" w:cs="Times New Roman"/>
        </w:rPr>
      </w:pPr>
      <w:r>
        <w:rPr>
          <w:rFonts w:ascii="Times New Roman" w:hAnsi="Times New Roman" w:cs="Times New Roman"/>
          <w:color w:val="000000"/>
          <w:sz w:val="24"/>
          <w:szCs w:val="24"/>
        </w:rPr>
        <w:t xml:space="preserve">чи потерпали опитувані (їхні знайомі) від наслідків граду (36 %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z w:val="24"/>
          <w:szCs w:val="24"/>
        </w:rPr>
        <w:t xml:space="preserve"> так; 64 %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z w:val="24"/>
          <w:szCs w:val="24"/>
        </w:rPr>
        <w:t xml:space="preserve"> ні);</w:t>
      </w:r>
    </w:p>
    <w:p w:rsidR="00D227E2" w:rsidRDefault="00D227E2">
      <w:pPr>
        <w:spacing w:after="0"/>
        <w:ind w:firstLine="567"/>
        <w:jc w:val="both"/>
        <w:rPr>
          <w:rFonts w:ascii="Times New Roman" w:hAnsi="Times New Roman" w:cs="Times New Roman"/>
          <w:color w:val="000000"/>
          <w:sz w:val="24"/>
          <w:szCs w:val="24"/>
        </w:rPr>
      </w:pPr>
    </w:p>
    <w:p w:rsidR="00D227E2" w:rsidRDefault="00934FC4">
      <w:pPr>
        <w:spacing w:after="0"/>
        <w:jc w:val="center"/>
        <w:rPr>
          <w:rFonts w:ascii="Times New Roman" w:hAnsi="Times New Roman" w:cs="Times New Roman"/>
        </w:rPr>
      </w:pPr>
      <w:r>
        <w:rPr>
          <w:noProof/>
          <w:lang w:eastAsia="uk-UA"/>
        </w:rPr>
        <w:drawing>
          <wp:inline distT="0" distB="0" distL="0" distR="0">
            <wp:extent cx="3914140" cy="1840865"/>
            <wp:effectExtent l="0" t="0" r="0" b="0"/>
            <wp:docPr id="120"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Рисунок 49"/>
                    <pic:cNvPicPr>
                      <a:picLocks noChangeAspect="1" noChangeArrowheads="1"/>
                    </pic:cNvPicPr>
                  </pic:nvPicPr>
                  <pic:blipFill>
                    <a:blip r:embed="rId179"/>
                    <a:stretch>
                      <a:fillRect/>
                    </a:stretch>
                  </pic:blipFill>
                  <pic:spPr bwMode="auto">
                    <a:xfrm>
                      <a:off x="0" y="0"/>
                      <a:ext cx="3914140" cy="1840865"/>
                    </a:xfrm>
                    <a:prstGeom prst="rect">
                      <a:avLst/>
                    </a:prstGeom>
                  </pic:spPr>
                </pic:pic>
              </a:graphicData>
            </a:graphic>
          </wp:inline>
        </w:drawing>
      </w:r>
    </w:p>
    <w:p w:rsidR="00D227E2" w:rsidRDefault="00D227E2">
      <w:pPr>
        <w:spacing w:after="0"/>
        <w:ind w:firstLine="567"/>
        <w:jc w:val="both"/>
        <w:rPr>
          <w:rFonts w:ascii="Times New Roman" w:eastAsia="Times New Roman" w:hAnsi="Times New Roman" w:cs="Times New Roman"/>
          <w:color w:val="000000"/>
          <w:sz w:val="24"/>
          <w:szCs w:val="24"/>
          <w:lang w:eastAsia="ru-RU"/>
        </w:rPr>
      </w:pPr>
    </w:p>
    <w:p w:rsidR="00D227E2" w:rsidRDefault="00934FC4">
      <w:pPr>
        <w:spacing w:after="0"/>
        <w:ind w:left="567"/>
        <w:jc w:val="both"/>
        <w:rPr>
          <w:rFonts w:ascii="Times New Roman" w:hAnsi="Times New Roman" w:cs="Times New Roman"/>
        </w:rPr>
      </w:pPr>
      <w:r>
        <w:rPr>
          <w:rFonts w:ascii="Times New Roman" w:hAnsi="Times New Roman" w:cs="Times New Roman"/>
          <w:color w:val="000000"/>
          <w:sz w:val="24"/>
          <w:szCs w:val="24"/>
        </w:rPr>
        <w:lastRenderedPageBreak/>
        <w:t xml:space="preserve">чи потерпали опитувані (їхні знайомі) від підтоплень внаслідок зливи (51,8 %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z w:val="24"/>
          <w:szCs w:val="24"/>
        </w:rPr>
        <w:t xml:space="preserve"> так; 48,2 %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z w:val="24"/>
          <w:szCs w:val="24"/>
        </w:rPr>
        <w:t xml:space="preserve"> ні);</w:t>
      </w:r>
    </w:p>
    <w:p w:rsidR="00D227E2" w:rsidRDefault="00934FC4">
      <w:pPr>
        <w:spacing w:after="0"/>
        <w:jc w:val="center"/>
        <w:rPr>
          <w:rFonts w:ascii="Times New Roman" w:hAnsi="Times New Roman" w:cs="Times New Roman"/>
        </w:rPr>
      </w:pPr>
      <w:r>
        <w:rPr>
          <w:noProof/>
          <w:lang w:eastAsia="uk-UA"/>
        </w:rPr>
        <w:drawing>
          <wp:inline distT="0" distB="0" distL="0" distR="0">
            <wp:extent cx="3944620" cy="1884045"/>
            <wp:effectExtent l="0" t="0" r="0" b="0"/>
            <wp:docPr id="121"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Рисунок 50"/>
                    <pic:cNvPicPr>
                      <a:picLocks noChangeAspect="1" noChangeArrowheads="1"/>
                    </pic:cNvPicPr>
                  </pic:nvPicPr>
                  <pic:blipFill>
                    <a:blip r:embed="rId180"/>
                    <a:stretch>
                      <a:fillRect/>
                    </a:stretch>
                  </pic:blipFill>
                  <pic:spPr bwMode="auto">
                    <a:xfrm>
                      <a:off x="0" y="0"/>
                      <a:ext cx="3944620" cy="1884045"/>
                    </a:xfrm>
                    <a:prstGeom prst="rect">
                      <a:avLst/>
                    </a:prstGeom>
                  </pic:spPr>
                </pic:pic>
              </a:graphicData>
            </a:graphic>
          </wp:inline>
        </w:drawing>
      </w:r>
    </w:p>
    <w:p w:rsidR="00D227E2" w:rsidRDefault="00D227E2">
      <w:pPr>
        <w:spacing w:after="0"/>
        <w:ind w:firstLine="567"/>
        <w:jc w:val="both"/>
        <w:rPr>
          <w:rFonts w:ascii="Times New Roman" w:eastAsia="Times New Roman" w:hAnsi="Times New Roman" w:cs="Times New Roman"/>
          <w:color w:val="000000"/>
          <w:sz w:val="24"/>
          <w:szCs w:val="24"/>
          <w:lang w:eastAsia="ru-RU"/>
        </w:rPr>
      </w:pP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b/>
          <w:bCs/>
          <w:color w:val="000000"/>
          <w:sz w:val="24"/>
          <w:szCs w:val="24"/>
          <w:u w:val="single"/>
          <w:lang w:eastAsia="ru-RU"/>
        </w:rPr>
        <w:t>Підтоплення від паводків:</w:t>
      </w:r>
    </w:p>
    <w:p w:rsidR="00D227E2" w:rsidRDefault="00934FC4">
      <w:pPr>
        <w:spacing w:after="0"/>
        <w:ind w:left="567"/>
        <w:jc w:val="both"/>
        <w:rPr>
          <w:rFonts w:ascii="Times New Roman" w:hAnsi="Times New Roman" w:cs="Times New Roman"/>
        </w:rPr>
      </w:pPr>
      <w:r>
        <w:rPr>
          <w:rFonts w:ascii="Times New Roman" w:hAnsi="Times New Roman" w:cs="Times New Roman"/>
          <w:color w:val="000000"/>
          <w:sz w:val="24"/>
          <w:szCs w:val="24"/>
        </w:rPr>
        <w:t xml:space="preserve">чи спостерігали опитувані підтоплення у громаді внаслідок паводків за період останніх 5 років (48,6 % </w:t>
      </w:r>
      <w:r>
        <w:rPr>
          <w:rFonts w:ascii="Times New Roman" w:hAnsi="Times New Roman" w:cs="Times New Roman"/>
          <w:color w:val="000000"/>
          <w:sz w:val="24"/>
          <w:szCs w:val="24"/>
          <w:shd w:val="clear" w:color="auto" w:fill="FFFFFF"/>
          <w:lang w:eastAsia="zh-CN" w:bidi="hi-IN"/>
        </w:rPr>
        <w:t xml:space="preserve">– </w:t>
      </w:r>
      <w:r>
        <w:rPr>
          <w:rFonts w:ascii="Times New Roman" w:hAnsi="Times New Roman" w:cs="Times New Roman"/>
          <w:color w:val="000000"/>
          <w:sz w:val="24"/>
          <w:szCs w:val="24"/>
        </w:rPr>
        <w:t xml:space="preserve">так; 51,4 %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z w:val="24"/>
          <w:szCs w:val="24"/>
        </w:rPr>
        <w:t xml:space="preserve"> ні);</w:t>
      </w:r>
    </w:p>
    <w:p w:rsidR="00D227E2" w:rsidRDefault="00934FC4">
      <w:pPr>
        <w:spacing w:after="0"/>
        <w:jc w:val="center"/>
        <w:rPr>
          <w:rFonts w:ascii="Times New Roman" w:hAnsi="Times New Roman" w:cs="Times New Roman"/>
        </w:rPr>
      </w:pPr>
      <w:r>
        <w:rPr>
          <w:noProof/>
          <w:lang w:eastAsia="uk-UA"/>
        </w:rPr>
        <w:drawing>
          <wp:inline distT="0" distB="0" distL="0" distR="0">
            <wp:extent cx="4060190" cy="2048510"/>
            <wp:effectExtent l="0" t="0" r="0" b="0"/>
            <wp:docPr id="122"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Рисунок 51"/>
                    <pic:cNvPicPr>
                      <a:picLocks noChangeAspect="1" noChangeArrowheads="1"/>
                    </pic:cNvPicPr>
                  </pic:nvPicPr>
                  <pic:blipFill>
                    <a:blip r:embed="rId181"/>
                    <a:stretch>
                      <a:fillRect/>
                    </a:stretch>
                  </pic:blipFill>
                  <pic:spPr bwMode="auto">
                    <a:xfrm>
                      <a:off x="0" y="0"/>
                      <a:ext cx="4060190" cy="2048510"/>
                    </a:xfrm>
                    <a:prstGeom prst="rect">
                      <a:avLst/>
                    </a:prstGeom>
                  </pic:spPr>
                </pic:pic>
              </a:graphicData>
            </a:graphic>
          </wp:inline>
        </w:drawing>
      </w:r>
    </w:p>
    <w:p w:rsidR="00D227E2" w:rsidRDefault="00934FC4">
      <w:pPr>
        <w:spacing w:after="0"/>
        <w:ind w:left="567"/>
        <w:jc w:val="both"/>
        <w:rPr>
          <w:rFonts w:ascii="Times New Roman" w:hAnsi="Times New Roman" w:cs="Times New Roman"/>
        </w:rPr>
      </w:pPr>
      <w:r>
        <w:rPr>
          <w:rFonts w:ascii="Times New Roman" w:hAnsi="Times New Roman" w:cs="Times New Roman"/>
          <w:color w:val="000000"/>
          <w:sz w:val="24"/>
          <w:szCs w:val="24"/>
        </w:rPr>
        <w:t xml:space="preserve">чи потерпали опитувані (їхні знайомі)  від підтоплень внаслідок паводку (27,5 %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z w:val="24"/>
          <w:szCs w:val="24"/>
        </w:rPr>
        <w:t xml:space="preserve"> так; 72,5 %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z w:val="24"/>
          <w:szCs w:val="24"/>
        </w:rPr>
        <w:t xml:space="preserve"> ні);</w:t>
      </w:r>
    </w:p>
    <w:p w:rsidR="00D227E2" w:rsidRDefault="00934FC4">
      <w:pPr>
        <w:spacing w:after="0"/>
        <w:jc w:val="center"/>
        <w:rPr>
          <w:rFonts w:ascii="Times New Roman" w:hAnsi="Times New Roman" w:cs="Times New Roman"/>
        </w:rPr>
      </w:pPr>
      <w:r>
        <w:rPr>
          <w:noProof/>
          <w:lang w:eastAsia="uk-UA"/>
        </w:rPr>
        <w:drawing>
          <wp:inline distT="0" distB="0" distL="0" distR="0">
            <wp:extent cx="4127500" cy="1969135"/>
            <wp:effectExtent l="0" t="0" r="0" b="0"/>
            <wp:docPr id="123"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Рисунок 52"/>
                    <pic:cNvPicPr>
                      <a:picLocks noChangeAspect="1" noChangeArrowheads="1"/>
                    </pic:cNvPicPr>
                  </pic:nvPicPr>
                  <pic:blipFill>
                    <a:blip r:embed="rId182"/>
                    <a:stretch>
                      <a:fillRect/>
                    </a:stretch>
                  </pic:blipFill>
                  <pic:spPr bwMode="auto">
                    <a:xfrm>
                      <a:off x="0" y="0"/>
                      <a:ext cx="4127500" cy="1969135"/>
                    </a:xfrm>
                    <a:prstGeom prst="rect">
                      <a:avLst/>
                    </a:prstGeom>
                  </pic:spPr>
                </pic:pic>
              </a:graphicData>
            </a:graphic>
          </wp:inline>
        </w:drawing>
      </w:r>
    </w:p>
    <w:p w:rsidR="00D227E2" w:rsidRDefault="00D227E2">
      <w:pPr>
        <w:spacing w:after="0"/>
        <w:ind w:firstLine="567"/>
        <w:jc w:val="both"/>
        <w:rPr>
          <w:rFonts w:ascii="Times New Roman" w:eastAsia="Times New Roman" w:hAnsi="Times New Roman" w:cs="Times New Roman"/>
          <w:color w:val="000000"/>
          <w:sz w:val="24"/>
          <w:szCs w:val="24"/>
          <w:lang w:eastAsia="ru-RU"/>
        </w:rPr>
      </w:pP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b/>
          <w:bCs/>
          <w:color w:val="000000"/>
          <w:sz w:val="24"/>
          <w:szCs w:val="24"/>
          <w:u w:val="single"/>
          <w:lang w:eastAsia="ru-RU"/>
        </w:rPr>
        <w:t>Буревії та сильний вітер:</w:t>
      </w:r>
    </w:p>
    <w:p w:rsidR="00D227E2" w:rsidRDefault="00934FC4">
      <w:pPr>
        <w:spacing w:after="0"/>
        <w:ind w:left="567"/>
        <w:jc w:val="both"/>
        <w:rPr>
          <w:rFonts w:ascii="Times New Roman" w:hAnsi="Times New Roman" w:cs="Times New Roman"/>
        </w:rPr>
      </w:pPr>
      <w:r>
        <w:rPr>
          <w:rFonts w:ascii="Times New Roman" w:hAnsi="Times New Roman" w:cs="Times New Roman"/>
          <w:color w:val="000000"/>
          <w:sz w:val="24"/>
          <w:szCs w:val="24"/>
        </w:rPr>
        <w:t xml:space="preserve">чи вчасно в громаді (окрузі) проводиться прибирання аварійних дерев (87,4 %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z w:val="24"/>
          <w:szCs w:val="24"/>
        </w:rPr>
        <w:t xml:space="preserve"> так; 12,6%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z w:val="24"/>
          <w:szCs w:val="24"/>
        </w:rPr>
        <w:t xml:space="preserve"> ні); </w:t>
      </w:r>
    </w:p>
    <w:p w:rsidR="00D227E2" w:rsidRDefault="00934FC4">
      <w:pPr>
        <w:spacing w:after="0"/>
        <w:jc w:val="center"/>
        <w:rPr>
          <w:rFonts w:ascii="Times New Roman" w:hAnsi="Times New Roman" w:cs="Times New Roman"/>
        </w:rPr>
      </w:pPr>
      <w:r>
        <w:rPr>
          <w:noProof/>
          <w:lang w:eastAsia="uk-UA"/>
        </w:rPr>
        <w:lastRenderedPageBreak/>
        <w:drawing>
          <wp:inline distT="0" distB="0" distL="0" distR="0">
            <wp:extent cx="3993515" cy="1877695"/>
            <wp:effectExtent l="0" t="0" r="0" b="0"/>
            <wp:docPr id="12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Рисунок 54"/>
                    <pic:cNvPicPr>
                      <a:picLocks noChangeAspect="1" noChangeArrowheads="1"/>
                    </pic:cNvPicPr>
                  </pic:nvPicPr>
                  <pic:blipFill>
                    <a:blip r:embed="rId183"/>
                    <a:stretch>
                      <a:fillRect/>
                    </a:stretch>
                  </pic:blipFill>
                  <pic:spPr bwMode="auto">
                    <a:xfrm>
                      <a:off x="0" y="0"/>
                      <a:ext cx="3993515" cy="1877695"/>
                    </a:xfrm>
                    <a:prstGeom prst="rect">
                      <a:avLst/>
                    </a:prstGeom>
                  </pic:spPr>
                </pic:pic>
              </a:graphicData>
            </a:graphic>
          </wp:inline>
        </w:drawing>
      </w:r>
    </w:p>
    <w:p w:rsidR="00D227E2" w:rsidRDefault="00D227E2">
      <w:pPr>
        <w:spacing w:after="0"/>
        <w:ind w:firstLine="567"/>
        <w:jc w:val="both"/>
        <w:rPr>
          <w:rFonts w:ascii="Times New Roman" w:eastAsia="Times New Roman" w:hAnsi="Times New Roman" w:cs="Times New Roman"/>
          <w:color w:val="000000"/>
          <w:sz w:val="24"/>
          <w:szCs w:val="24"/>
          <w:lang w:eastAsia="ru-RU"/>
        </w:rPr>
      </w:pPr>
    </w:p>
    <w:p w:rsidR="00D227E2" w:rsidRDefault="00934FC4">
      <w:pPr>
        <w:spacing w:after="0"/>
        <w:ind w:left="567"/>
        <w:jc w:val="both"/>
        <w:rPr>
          <w:rFonts w:ascii="Times New Roman" w:hAnsi="Times New Roman" w:cs="Times New Roman"/>
        </w:rPr>
      </w:pPr>
      <w:r>
        <w:rPr>
          <w:rFonts w:ascii="Times New Roman" w:hAnsi="Times New Roman" w:cs="Times New Roman"/>
          <w:color w:val="000000"/>
          <w:sz w:val="24"/>
          <w:szCs w:val="24"/>
        </w:rPr>
        <w:t xml:space="preserve">чи швидко реагують аварійні служби у випадку повалених дерев та інших наслідків буревіїв (92,8 %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z w:val="24"/>
          <w:szCs w:val="24"/>
        </w:rPr>
        <w:t xml:space="preserve"> так; 7,2 %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z w:val="24"/>
          <w:szCs w:val="24"/>
        </w:rPr>
        <w:t xml:space="preserve"> ні);</w:t>
      </w:r>
    </w:p>
    <w:p w:rsidR="00D227E2" w:rsidRDefault="00D227E2">
      <w:pPr>
        <w:spacing w:after="0"/>
        <w:ind w:firstLine="567"/>
        <w:jc w:val="both"/>
        <w:rPr>
          <w:rFonts w:ascii="Times New Roman" w:eastAsia="Times New Roman" w:hAnsi="Times New Roman" w:cs="Times New Roman"/>
          <w:color w:val="000000"/>
          <w:sz w:val="24"/>
          <w:szCs w:val="24"/>
          <w:lang w:eastAsia="ru-RU"/>
        </w:rPr>
      </w:pPr>
    </w:p>
    <w:p w:rsidR="00D227E2" w:rsidRDefault="00934FC4">
      <w:pPr>
        <w:spacing w:after="0"/>
        <w:jc w:val="center"/>
        <w:rPr>
          <w:rFonts w:ascii="Times New Roman" w:hAnsi="Times New Roman" w:cs="Times New Roman"/>
        </w:rPr>
      </w:pPr>
      <w:r>
        <w:rPr>
          <w:noProof/>
          <w:lang w:eastAsia="uk-UA"/>
        </w:rPr>
        <w:drawing>
          <wp:inline distT="0" distB="0" distL="0" distR="0">
            <wp:extent cx="3810635" cy="1828800"/>
            <wp:effectExtent l="0" t="0" r="0" b="0"/>
            <wp:docPr id="12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Рисунок 55"/>
                    <pic:cNvPicPr>
                      <a:picLocks noChangeAspect="1" noChangeArrowheads="1"/>
                    </pic:cNvPicPr>
                  </pic:nvPicPr>
                  <pic:blipFill>
                    <a:blip r:embed="rId184"/>
                    <a:stretch>
                      <a:fillRect/>
                    </a:stretch>
                  </pic:blipFill>
                  <pic:spPr bwMode="auto">
                    <a:xfrm>
                      <a:off x="0" y="0"/>
                      <a:ext cx="3810635" cy="1828800"/>
                    </a:xfrm>
                    <a:prstGeom prst="rect">
                      <a:avLst/>
                    </a:prstGeom>
                  </pic:spPr>
                </pic:pic>
              </a:graphicData>
            </a:graphic>
          </wp:inline>
        </w:drawing>
      </w:r>
    </w:p>
    <w:p w:rsidR="00D227E2" w:rsidRDefault="00934FC4">
      <w:pPr>
        <w:spacing w:after="0"/>
        <w:ind w:left="567"/>
        <w:jc w:val="both"/>
        <w:rPr>
          <w:rFonts w:ascii="Times New Roman" w:hAnsi="Times New Roman" w:cs="Times New Roman"/>
        </w:rPr>
      </w:pPr>
      <w:r>
        <w:rPr>
          <w:rFonts w:ascii="Times New Roman" w:hAnsi="Times New Roman" w:cs="Times New Roman"/>
          <w:color w:val="000000"/>
          <w:sz w:val="24"/>
          <w:szCs w:val="24"/>
        </w:rPr>
        <w:t xml:space="preserve">чи потерпали опитувані (їхні знайомі) від наслідків буревіїв та сильного вітру (30,6 %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z w:val="24"/>
          <w:szCs w:val="24"/>
        </w:rPr>
        <w:t xml:space="preserve"> так; 69,4 %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z w:val="24"/>
          <w:szCs w:val="24"/>
        </w:rPr>
        <w:t xml:space="preserve"> ні);</w:t>
      </w:r>
    </w:p>
    <w:p w:rsidR="00D227E2" w:rsidRDefault="00D227E2">
      <w:pPr>
        <w:spacing w:after="0"/>
        <w:ind w:firstLine="567"/>
        <w:jc w:val="both"/>
        <w:rPr>
          <w:rFonts w:ascii="Times New Roman" w:eastAsia="Times New Roman" w:hAnsi="Times New Roman" w:cs="Times New Roman"/>
          <w:color w:val="000000"/>
          <w:sz w:val="24"/>
          <w:szCs w:val="24"/>
          <w:lang w:eastAsia="ru-RU"/>
        </w:rPr>
      </w:pPr>
    </w:p>
    <w:p w:rsidR="00D227E2" w:rsidRDefault="00934FC4">
      <w:pPr>
        <w:spacing w:after="0"/>
        <w:jc w:val="center"/>
        <w:rPr>
          <w:rFonts w:ascii="Times New Roman" w:hAnsi="Times New Roman" w:cs="Times New Roman"/>
        </w:rPr>
      </w:pPr>
      <w:r>
        <w:rPr>
          <w:noProof/>
          <w:lang w:eastAsia="uk-UA"/>
        </w:rPr>
        <w:drawing>
          <wp:inline distT="0" distB="0" distL="0" distR="0">
            <wp:extent cx="4078605" cy="1993265"/>
            <wp:effectExtent l="0" t="0" r="0" b="0"/>
            <wp:docPr id="126"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Рисунок 57"/>
                    <pic:cNvPicPr>
                      <a:picLocks noChangeAspect="1" noChangeArrowheads="1"/>
                    </pic:cNvPicPr>
                  </pic:nvPicPr>
                  <pic:blipFill>
                    <a:blip r:embed="rId185"/>
                    <a:stretch>
                      <a:fillRect/>
                    </a:stretch>
                  </pic:blipFill>
                  <pic:spPr bwMode="auto">
                    <a:xfrm>
                      <a:off x="0" y="0"/>
                      <a:ext cx="4078605" cy="1993265"/>
                    </a:xfrm>
                    <a:prstGeom prst="rect">
                      <a:avLst/>
                    </a:prstGeom>
                  </pic:spPr>
                </pic:pic>
              </a:graphicData>
            </a:graphic>
          </wp:inline>
        </w:drawing>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b/>
          <w:bCs/>
          <w:color w:val="000000"/>
          <w:sz w:val="24"/>
          <w:szCs w:val="24"/>
          <w:u w:val="single"/>
          <w:lang w:eastAsia="ru-RU"/>
        </w:rPr>
        <w:t>Лісові пожежі:</w:t>
      </w:r>
    </w:p>
    <w:p w:rsidR="00D227E2" w:rsidRDefault="00934FC4">
      <w:pPr>
        <w:spacing w:after="0"/>
        <w:ind w:left="567"/>
        <w:jc w:val="both"/>
        <w:rPr>
          <w:rFonts w:ascii="Times New Roman" w:hAnsi="Times New Roman" w:cs="Times New Roman"/>
        </w:rPr>
      </w:pPr>
      <w:r>
        <w:rPr>
          <w:rFonts w:ascii="Times New Roman" w:hAnsi="Times New Roman" w:cs="Times New Roman"/>
          <w:color w:val="000000"/>
          <w:sz w:val="24"/>
          <w:szCs w:val="24"/>
        </w:rPr>
        <w:t xml:space="preserve">чи знають опитувані про випадки лісових пожеж у громаді за останні 5 років (17,6 %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z w:val="24"/>
          <w:szCs w:val="24"/>
        </w:rPr>
        <w:t xml:space="preserve"> так; 82,4 %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z w:val="24"/>
          <w:szCs w:val="24"/>
        </w:rPr>
        <w:t xml:space="preserve"> ні);</w:t>
      </w:r>
    </w:p>
    <w:p w:rsidR="00D227E2" w:rsidRDefault="00934FC4">
      <w:pPr>
        <w:spacing w:after="0"/>
        <w:jc w:val="center"/>
        <w:rPr>
          <w:rFonts w:ascii="Times New Roman" w:hAnsi="Times New Roman" w:cs="Times New Roman"/>
        </w:rPr>
      </w:pPr>
      <w:r>
        <w:rPr>
          <w:noProof/>
          <w:lang w:eastAsia="uk-UA"/>
        </w:rPr>
        <w:lastRenderedPageBreak/>
        <w:drawing>
          <wp:inline distT="0" distB="0" distL="0" distR="0">
            <wp:extent cx="3950335" cy="1792605"/>
            <wp:effectExtent l="0" t="0" r="0" b="0"/>
            <wp:docPr id="127" name="Зображення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Зображення13"/>
                    <pic:cNvPicPr>
                      <a:picLocks noChangeAspect="1" noChangeArrowheads="1"/>
                    </pic:cNvPicPr>
                  </pic:nvPicPr>
                  <pic:blipFill>
                    <a:blip r:embed="rId186"/>
                    <a:stretch>
                      <a:fillRect/>
                    </a:stretch>
                  </pic:blipFill>
                  <pic:spPr bwMode="auto">
                    <a:xfrm>
                      <a:off x="0" y="0"/>
                      <a:ext cx="3950335" cy="1792605"/>
                    </a:xfrm>
                    <a:prstGeom prst="rect">
                      <a:avLst/>
                    </a:prstGeom>
                  </pic:spPr>
                </pic:pic>
              </a:graphicData>
            </a:graphic>
          </wp:inline>
        </w:drawing>
      </w:r>
    </w:p>
    <w:p w:rsidR="00D227E2" w:rsidRDefault="00D227E2">
      <w:pPr>
        <w:spacing w:after="0"/>
        <w:ind w:firstLine="567"/>
        <w:jc w:val="both"/>
        <w:rPr>
          <w:rFonts w:ascii="Times New Roman" w:eastAsia="Times New Roman" w:hAnsi="Times New Roman" w:cs="Times New Roman"/>
          <w:color w:val="000000"/>
          <w:sz w:val="24"/>
          <w:szCs w:val="24"/>
          <w:lang w:eastAsia="ru-RU"/>
        </w:rPr>
      </w:pPr>
    </w:p>
    <w:p w:rsidR="00D227E2" w:rsidRDefault="00934FC4">
      <w:pPr>
        <w:spacing w:after="0"/>
        <w:ind w:left="567"/>
        <w:jc w:val="both"/>
        <w:rPr>
          <w:rFonts w:ascii="Times New Roman" w:hAnsi="Times New Roman" w:cs="Times New Roman"/>
        </w:rPr>
      </w:pPr>
      <w:r>
        <w:rPr>
          <w:rFonts w:ascii="Times New Roman" w:hAnsi="Times New Roman" w:cs="Times New Roman"/>
          <w:color w:val="000000"/>
          <w:sz w:val="24"/>
          <w:szCs w:val="24"/>
        </w:rPr>
        <w:t xml:space="preserve">чи потерпали опитувані (їхні знайомі) від лісових пожеж за останні 5 років (3,2 %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z w:val="24"/>
          <w:szCs w:val="24"/>
        </w:rPr>
        <w:t xml:space="preserve"> так; 96,8 %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z w:val="24"/>
          <w:szCs w:val="24"/>
        </w:rPr>
        <w:t xml:space="preserve"> ні);</w:t>
      </w:r>
    </w:p>
    <w:p w:rsidR="00D227E2" w:rsidRDefault="00934FC4">
      <w:pPr>
        <w:spacing w:after="0"/>
        <w:jc w:val="center"/>
        <w:rPr>
          <w:rFonts w:ascii="Times New Roman" w:hAnsi="Times New Roman" w:cs="Times New Roman"/>
        </w:rPr>
      </w:pPr>
      <w:r>
        <w:rPr>
          <w:noProof/>
          <w:lang w:eastAsia="uk-UA"/>
        </w:rPr>
        <w:drawing>
          <wp:inline distT="0" distB="0" distL="0" distR="0">
            <wp:extent cx="3902075" cy="1957070"/>
            <wp:effectExtent l="0" t="0" r="0" b="0"/>
            <wp:docPr id="128" name="Зображення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Зображення14"/>
                    <pic:cNvPicPr>
                      <a:picLocks noChangeAspect="1" noChangeArrowheads="1"/>
                    </pic:cNvPicPr>
                  </pic:nvPicPr>
                  <pic:blipFill>
                    <a:blip r:embed="rId187"/>
                    <a:stretch>
                      <a:fillRect/>
                    </a:stretch>
                  </pic:blipFill>
                  <pic:spPr bwMode="auto">
                    <a:xfrm>
                      <a:off x="0" y="0"/>
                      <a:ext cx="3902075" cy="1957070"/>
                    </a:xfrm>
                    <a:prstGeom prst="rect">
                      <a:avLst/>
                    </a:prstGeom>
                  </pic:spPr>
                </pic:pic>
              </a:graphicData>
            </a:graphic>
          </wp:inline>
        </w:drawing>
      </w:r>
    </w:p>
    <w:p w:rsidR="00D227E2" w:rsidRDefault="00D227E2">
      <w:pPr>
        <w:spacing w:after="0"/>
        <w:ind w:firstLine="567"/>
        <w:jc w:val="both"/>
        <w:rPr>
          <w:rFonts w:ascii="Times New Roman" w:eastAsia="Times New Roman" w:hAnsi="Times New Roman" w:cs="Times New Roman"/>
          <w:color w:val="000000"/>
          <w:sz w:val="24"/>
          <w:szCs w:val="24"/>
          <w:lang w:eastAsia="ru-RU"/>
        </w:rPr>
      </w:pP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b/>
          <w:bCs/>
          <w:color w:val="000000"/>
          <w:sz w:val="24"/>
          <w:szCs w:val="24"/>
          <w:u w:val="single"/>
          <w:lang w:eastAsia="ru-RU"/>
        </w:rPr>
        <w:t>Пожежі на землі (загоряння сухої трави, тощо):</w:t>
      </w:r>
    </w:p>
    <w:p w:rsidR="00D227E2" w:rsidRDefault="00934FC4">
      <w:pPr>
        <w:spacing w:after="0"/>
        <w:ind w:left="567"/>
        <w:jc w:val="both"/>
        <w:rPr>
          <w:rFonts w:ascii="Times New Roman" w:hAnsi="Times New Roman" w:cs="Times New Roman"/>
        </w:rPr>
      </w:pPr>
      <w:r>
        <w:rPr>
          <w:rFonts w:ascii="Times New Roman" w:hAnsi="Times New Roman" w:cs="Times New Roman"/>
          <w:color w:val="000000"/>
          <w:sz w:val="24"/>
          <w:szCs w:val="24"/>
        </w:rPr>
        <w:t xml:space="preserve">чи були опитувані свідками пожеж на землі у громаді за останні 5 років (24,3 %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z w:val="24"/>
          <w:szCs w:val="24"/>
        </w:rPr>
        <w:t xml:space="preserve"> так; 75,7 %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z w:val="24"/>
          <w:szCs w:val="24"/>
        </w:rPr>
        <w:t xml:space="preserve"> ні);</w:t>
      </w:r>
    </w:p>
    <w:p w:rsidR="00D227E2" w:rsidRDefault="00934FC4">
      <w:pPr>
        <w:spacing w:after="0"/>
        <w:jc w:val="center"/>
        <w:rPr>
          <w:rFonts w:ascii="Times New Roman" w:hAnsi="Times New Roman" w:cs="Times New Roman"/>
        </w:rPr>
      </w:pPr>
      <w:r>
        <w:rPr>
          <w:noProof/>
          <w:lang w:eastAsia="uk-UA"/>
        </w:rPr>
        <w:drawing>
          <wp:inline distT="0" distB="0" distL="0" distR="0">
            <wp:extent cx="4011295" cy="1779905"/>
            <wp:effectExtent l="0" t="0" r="0" b="0"/>
            <wp:docPr id="129" name="Зображення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Зображення16"/>
                    <pic:cNvPicPr>
                      <a:picLocks noChangeAspect="1" noChangeArrowheads="1"/>
                    </pic:cNvPicPr>
                  </pic:nvPicPr>
                  <pic:blipFill>
                    <a:blip r:embed="rId188"/>
                    <a:stretch>
                      <a:fillRect/>
                    </a:stretch>
                  </pic:blipFill>
                  <pic:spPr bwMode="auto">
                    <a:xfrm>
                      <a:off x="0" y="0"/>
                      <a:ext cx="4011295" cy="1779905"/>
                    </a:xfrm>
                    <a:prstGeom prst="rect">
                      <a:avLst/>
                    </a:prstGeom>
                  </pic:spPr>
                </pic:pic>
              </a:graphicData>
            </a:graphic>
          </wp:inline>
        </w:drawing>
      </w:r>
    </w:p>
    <w:p w:rsidR="00D227E2" w:rsidRDefault="00D227E2">
      <w:pPr>
        <w:spacing w:after="0"/>
        <w:ind w:firstLine="567"/>
        <w:jc w:val="both"/>
        <w:rPr>
          <w:rFonts w:ascii="Times New Roman" w:eastAsia="Times New Roman" w:hAnsi="Times New Roman" w:cs="Times New Roman"/>
          <w:color w:val="000000"/>
          <w:sz w:val="24"/>
          <w:szCs w:val="24"/>
          <w:lang w:eastAsia="ru-RU"/>
        </w:rPr>
      </w:pPr>
    </w:p>
    <w:p w:rsidR="00D227E2" w:rsidRDefault="00934FC4">
      <w:pPr>
        <w:spacing w:after="0"/>
        <w:ind w:left="567"/>
        <w:jc w:val="both"/>
        <w:rPr>
          <w:rFonts w:ascii="Times New Roman" w:hAnsi="Times New Roman" w:cs="Times New Roman"/>
        </w:rPr>
      </w:pPr>
      <w:r>
        <w:rPr>
          <w:rFonts w:ascii="Times New Roman" w:hAnsi="Times New Roman" w:cs="Times New Roman"/>
          <w:color w:val="000000"/>
          <w:sz w:val="24"/>
          <w:szCs w:val="24"/>
        </w:rPr>
        <w:t xml:space="preserve">чи потерпали опитувані (їхні знайомі) від пожеж на землі за останні 5 років (24,3 %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z w:val="24"/>
          <w:szCs w:val="24"/>
        </w:rPr>
        <w:t xml:space="preserve"> так; 75,7 % </w:t>
      </w:r>
      <w:r>
        <w:rPr>
          <w:rFonts w:ascii="Times New Roman" w:hAnsi="Times New Roman" w:cs="Times New Roman"/>
          <w:color w:val="000000"/>
          <w:sz w:val="24"/>
          <w:szCs w:val="24"/>
          <w:shd w:val="clear" w:color="auto" w:fill="FFFFFF"/>
          <w:lang w:eastAsia="zh-CN" w:bidi="hi-IN"/>
        </w:rPr>
        <w:t xml:space="preserve">– </w:t>
      </w:r>
      <w:r>
        <w:rPr>
          <w:rFonts w:ascii="Times New Roman" w:hAnsi="Times New Roman" w:cs="Times New Roman"/>
          <w:color w:val="000000"/>
          <w:sz w:val="24"/>
          <w:szCs w:val="24"/>
        </w:rPr>
        <w:t>ні);</w:t>
      </w:r>
    </w:p>
    <w:p w:rsidR="00D227E2" w:rsidRDefault="00934FC4">
      <w:pPr>
        <w:spacing w:after="0"/>
        <w:jc w:val="center"/>
        <w:rPr>
          <w:rFonts w:ascii="Times New Roman" w:hAnsi="Times New Roman" w:cs="Times New Roman"/>
        </w:rPr>
      </w:pPr>
      <w:r>
        <w:rPr>
          <w:noProof/>
          <w:lang w:eastAsia="uk-UA"/>
        </w:rPr>
        <w:lastRenderedPageBreak/>
        <w:drawing>
          <wp:inline distT="0" distB="0" distL="0" distR="0">
            <wp:extent cx="4054475" cy="1969135"/>
            <wp:effectExtent l="0" t="0" r="0" b="0"/>
            <wp:docPr id="130" name="Зображення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Зображення11"/>
                    <pic:cNvPicPr>
                      <a:picLocks noChangeAspect="1" noChangeArrowheads="1"/>
                    </pic:cNvPicPr>
                  </pic:nvPicPr>
                  <pic:blipFill>
                    <a:blip r:embed="rId189"/>
                    <a:stretch>
                      <a:fillRect/>
                    </a:stretch>
                  </pic:blipFill>
                  <pic:spPr bwMode="auto">
                    <a:xfrm>
                      <a:off x="0" y="0"/>
                      <a:ext cx="4054475" cy="1969135"/>
                    </a:xfrm>
                    <a:prstGeom prst="rect">
                      <a:avLst/>
                    </a:prstGeom>
                  </pic:spPr>
                </pic:pic>
              </a:graphicData>
            </a:graphic>
          </wp:inline>
        </w:drawing>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b/>
          <w:bCs/>
          <w:color w:val="000000"/>
          <w:sz w:val="24"/>
          <w:szCs w:val="24"/>
          <w:u w:val="single"/>
          <w:lang w:eastAsia="ru-RU"/>
        </w:rPr>
        <w:t>Захворювання, пов’язані з якістю води:</w:t>
      </w:r>
    </w:p>
    <w:p w:rsidR="00D227E2" w:rsidRDefault="00934FC4">
      <w:pPr>
        <w:spacing w:after="0"/>
        <w:ind w:left="567"/>
        <w:jc w:val="both"/>
        <w:rPr>
          <w:rFonts w:ascii="Times New Roman" w:hAnsi="Times New Roman" w:cs="Times New Roman"/>
        </w:rPr>
      </w:pPr>
      <w:r>
        <w:rPr>
          <w:rFonts w:ascii="Times New Roman" w:hAnsi="Times New Roman" w:cs="Times New Roman"/>
          <w:color w:val="000000"/>
          <w:spacing w:val="3"/>
          <w:sz w:val="24"/>
          <w:szCs w:val="24"/>
          <w:shd w:val="clear" w:color="auto" w:fill="FFFFFF"/>
        </w:rPr>
        <w:t xml:space="preserve">чи потерпали опитувані (їхні знайомі) від захворювань, пов’язаних з якістю води, за останні 5 років (11,3 %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pacing w:val="3"/>
          <w:sz w:val="24"/>
          <w:szCs w:val="24"/>
          <w:shd w:val="clear" w:color="auto" w:fill="FFFFFF"/>
        </w:rPr>
        <w:t xml:space="preserve"> так; 88,7 %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pacing w:val="3"/>
          <w:sz w:val="24"/>
          <w:szCs w:val="24"/>
          <w:shd w:val="clear" w:color="auto" w:fill="FFFFFF"/>
        </w:rPr>
        <w:t xml:space="preserve"> ні);</w:t>
      </w:r>
    </w:p>
    <w:p w:rsidR="00D227E2" w:rsidRDefault="00D227E2">
      <w:pPr>
        <w:spacing w:after="0"/>
        <w:ind w:firstLine="567"/>
        <w:jc w:val="both"/>
        <w:rPr>
          <w:rFonts w:ascii="Times New Roman" w:hAnsi="Times New Roman" w:cs="Times New Roman"/>
          <w:color w:val="000000"/>
          <w:sz w:val="24"/>
          <w:szCs w:val="24"/>
        </w:rPr>
      </w:pPr>
    </w:p>
    <w:p w:rsidR="00D227E2" w:rsidRDefault="00934FC4">
      <w:pPr>
        <w:spacing w:after="0"/>
        <w:jc w:val="center"/>
        <w:rPr>
          <w:rFonts w:ascii="Times New Roman" w:hAnsi="Times New Roman" w:cs="Times New Roman"/>
        </w:rPr>
      </w:pPr>
      <w:r>
        <w:rPr>
          <w:noProof/>
          <w:lang w:eastAsia="uk-UA"/>
        </w:rPr>
        <w:drawing>
          <wp:inline distT="0" distB="0" distL="0" distR="0">
            <wp:extent cx="3858895" cy="1865630"/>
            <wp:effectExtent l="0" t="0" r="0" b="0"/>
            <wp:docPr id="131"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Рисунок 66"/>
                    <pic:cNvPicPr>
                      <a:picLocks noChangeAspect="1" noChangeArrowheads="1"/>
                    </pic:cNvPicPr>
                  </pic:nvPicPr>
                  <pic:blipFill>
                    <a:blip r:embed="rId190"/>
                    <a:stretch>
                      <a:fillRect/>
                    </a:stretch>
                  </pic:blipFill>
                  <pic:spPr bwMode="auto">
                    <a:xfrm>
                      <a:off x="0" y="0"/>
                      <a:ext cx="3858895" cy="1865630"/>
                    </a:xfrm>
                    <a:prstGeom prst="rect">
                      <a:avLst/>
                    </a:prstGeom>
                  </pic:spPr>
                </pic:pic>
              </a:graphicData>
            </a:graphic>
          </wp:inline>
        </w:drawing>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b/>
          <w:bCs/>
          <w:color w:val="000000"/>
          <w:sz w:val="24"/>
          <w:szCs w:val="24"/>
          <w:u w:val="single"/>
          <w:lang w:eastAsia="ru-RU"/>
        </w:rPr>
        <w:t>Зараження комахами:</w:t>
      </w:r>
    </w:p>
    <w:p w:rsidR="00D227E2" w:rsidRDefault="00934FC4">
      <w:pPr>
        <w:spacing w:after="0"/>
        <w:ind w:left="567"/>
        <w:jc w:val="both"/>
        <w:rPr>
          <w:rFonts w:ascii="Times New Roman" w:hAnsi="Times New Roman" w:cs="Times New Roman"/>
        </w:rPr>
      </w:pPr>
      <w:r>
        <w:rPr>
          <w:rFonts w:ascii="Times New Roman" w:hAnsi="Times New Roman" w:cs="Times New Roman"/>
          <w:color w:val="000000"/>
          <w:spacing w:val="3"/>
          <w:sz w:val="24"/>
          <w:szCs w:val="24"/>
          <w:shd w:val="clear" w:color="auto" w:fill="FFFFFF"/>
        </w:rPr>
        <w:t xml:space="preserve">чи потерпали опитувані (їхні знайомі) від захворювань, пов’язаних з інфікуванням від укусів комах (кліщів, малярійних комарів), за останні 5 років (36,9 %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pacing w:val="3"/>
          <w:sz w:val="24"/>
          <w:szCs w:val="24"/>
          <w:shd w:val="clear" w:color="auto" w:fill="FFFFFF"/>
        </w:rPr>
        <w:t xml:space="preserve"> так; 63,1 %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pacing w:val="3"/>
          <w:sz w:val="24"/>
          <w:szCs w:val="24"/>
          <w:shd w:val="clear" w:color="auto" w:fill="FFFFFF"/>
        </w:rPr>
        <w:t xml:space="preserve"> ні);</w:t>
      </w:r>
    </w:p>
    <w:p w:rsidR="00D227E2" w:rsidRDefault="00934FC4">
      <w:pPr>
        <w:spacing w:after="0"/>
        <w:jc w:val="center"/>
        <w:rPr>
          <w:rFonts w:ascii="Times New Roman" w:hAnsi="Times New Roman" w:cs="Times New Roman"/>
        </w:rPr>
      </w:pPr>
      <w:r>
        <w:rPr>
          <w:noProof/>
          <w:lang w:eastAsia="uk-UA"/>
        </w:rPr>
        <w:drawing>
          <wp:inline distT="0" distB="0" distL="0" distR="0">
            <wp:extent cx="3987165" cy="1957070"/>
            <wp:effectExtent l="0" t="0" r="0" b="0"/>
            <wp:docPr id="132"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Рисунок 67"/>
                    <pic:cNvPicPr>
                      <a:picLocks noChangeAspect="1" noChangeArrowheads="1"/>
                    </pic:cNvPicPr>
                  </pic:nvPicPr>
                  <pic:blipFill>
                    <a:blip r:embed="rId191"/>
                    <a:stretch>
                      <a:fillRect/>
                    </a:stretch>
                  </pic:blipFill>
                  <pic:spPr bwMode="auto">
                    <a:xfrm>
                      <a:off x="0" y="0"/>
                      <a:ext cx="3987165" cy="1957070"/>
                    </a:xfrm>
                    <a:prstGeom prst="rect">
                      <a:avLst/>
                    </a:prstGeom>
                  </pic:spPr>
                </pic:pic>
              </a:graphicData>
            </a:graphic>
          </wp:inline>
        </w:drawing>
      </w:r>
    </w:p>
    <w:p w:rsidR="00D227E2" w:rsidRDefault="00934FC4">
      <w:pPr>
        <w:spacing w:after="0"/>
        <w:ind w:firstLine="567"/>
        <w:jc w:val="both"/>
        <w:rPr>
          <w:rFonts w:ascii="Times New Roman" w:hAnsi="Times New Roman" w:cs="Times New Roman"/>
        </w:rPr>
      </w:pPr>
      <w:r>
        <w:rPr>
          <w:rFonts w:ascii="Times New Roman" w:eastAsia="Times New Roman" w:hAnsi="Times New Roman" w:cs="Times New Roman"/>
          <w:b/>
          <w:bCs/>
          <w:color w:val="000000"/>
          <w:sz w:val="24"/>
          <w:szCs w:val="24"/>
          <w:u w:val="single"/>
          <w:lang w:eastAsia="ru-RU"/>
        </w:rPr>
        <w:t>Попередження стихійних лих у громаді:</w:t>
      </w:r>
    </w:p>
    <w:p w:rsidR="00D227E2" w:rsidRDefault="00934FC4">
      <w:pPr>
        <w:spacing w:after="0"/>
        <w:ind w:left="567"/>
        <w:jc w:val="both"/>
        <w:rPr>
          <w:rFonts w:ascii="Times New Roman" w:hAnsi="Times New Roman" w:cs="Times New Roman"/>
        </w:rPr>
      </w:pPr>
      <w:r>
        <w:rPr>
          <w:rFonts w:ascii="Times New Roman" w:hAnsi="Times New Roman" w:cs="Times New Roman"/>
          <w:color w:val="000000"/>
          <w:spacing w:val="3"/>
          <w:sz w:val="24"/>
          <w:szCs w:val="24"/>
          <w:shd w:val="clear" w:color="auto" w:fill="FFFFFF"/>
        </w:rPr>
        <w:t xml:space="preserve">чи існує у громаді (окрузі) система попередження про високу ймовірність стихійних лих (56,8 %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pacing w:val="3"/>
          <w:sz w:val="24"/>
          <w:szCs w:val="24"/>
          <w:shd w:val="clear" w:color="auto" w:fill="FFFFFF"/>
        </w:rPr>
        <w:t xml:space="preserve"> так; 43,2 % </w:t>
      </w:r>
      <w:r>
        <w:rPr>
          <w:rFonts w:ascii="Times New Roman" w:hAnsi="Times New Roman" w:cs="Times New Roman"/>
          <w:color w:val="000000"/>
          <w:sz w:val="24"/>
          <w:szCs w:val="24"/>
          <w:shd w:val="clear" w:color="auto" w:fill="FFFFFF"/>
          <w:lang w:eastAsia="zh-CN" w:bidi="hi-IN"/>
        </w:rPr>
        <w:t>–</w:t>
      </w:r>
      <w:r>
        <w:rPr>
          <w:rFonts w:ascii="Times New Roman" w:hAnsi="Times New Roman" w:cs="Times New Roman"/>
          <w:color w:val="000000"/>
          <w:spacing w:val="3"/>
          <w:sz w:val="24"/>
          <w:szCs w:val="24"/>
          <w:shd w:val="clear" w:color="auto" w:fill="FFFFFF"/>
        </w:rPr>
        <w:t xml:space="preserve"> ні);</w:t>
      </w:r>
    </w:p>
    <w:p w:rsidR="00D227E2" w:rsidRDefault="00934FC4">
      <w:pPr>
        <w:spacing w:after="0"/>
        <w:jc w:val="center"/>
        <w:rPr>
          <w:rFonts w:ascii="Times New Roman" w:hAnsi="Times New Roman" w:cs="Times New Roman"/>
        </w:rPr>
      </w:pPr>
      <w:r>
        <w:rPr>
          <w:noProof/>
          <w:lang w:eastAsia="uk-UA"/>
        </w:rPr>
        <w:lastRenderedPageBreak/>
        <w:drawing>
          <wp:inline distT="0" distB="0" distL="0" distR="0">
            <wp:extent cx="4115435" cy="1932305"/>
            <wp:effectExtent l="0" t="0" r="0" b="0"/>
            <wp:docPr id="133"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Рисунок 68"/>
                    <pic:cNvPicPr>
                      <a:picLocks noChangeAspect="1" noChangeArrowheads="1"/>
                    </pic:cNvPicPr>
                  </pic:nvPicPr>
                  <pic:blipFill>
                    <a:blip r:embed="rId192"/>
                    <a:stretch>
                      <a:fillRect/>
                    </a:stretch>
                  </pic:blipFill>
                  <pic:spPr bwMode="auto">
                    <a:xfrm>
                      <a:off x="0" y="0"/>
                      <a:ext cx="4115435" cy="1932305"/>
                    </a:xfrm>
                    <a:prstGeom prst="rect">
                      <a:avLst/>
                    </a:prstGeom>
                  </pic:spPr>
                </pic:pic>
              </a:graphicData>
            </a:graphic>
          </wp:inline>
        </w:drawing>
      </w:r>
    </w:p>
    <w:p w:rsidR="00D227E2" w:rsidRDefault="00934FC4">
      <w:pPr>
        <w:spacing w:after="0"/>
        <w:ind w:left="567"/>
        <w:jc w:val="both"/>
        <w:rPr>
          <w:rFonts w:ascii="Times New Roman" w:hAnsi="Times New Roman" w:cs="Times New Roman"/>
        </w:rPr>
      </w:pPr>
      <w:r>
        <w:rPr>
          <w:rFonts w:ascii="Times New Roman" w:hAnsi="Times New Roman" w:cs="Times New Roman"/>
          <w:color w:val="000000"/>
          <w:spacing w:val="3"/>
          <w:sz w:val="24"/>
          <w:szCs w:val="24"/>
          <w:shd w:val="clear" w:color="auto" w:fill="FFFFFF"/>
        </w:rPr>
        <w:t>яким чином респонденти отримують повідомлення про ймовірність настання стихійних лих:</w:t>
      </w:r>
    </w:p>
    <w:p w:rsidR="00D227E2" w:rsidRDefault="00934FC4">
      <w:pPr>
        <w:spacing w:after="0"/>
        <w:jc w:val="center"/>
        <w:rPr>
          <w:rFonts w:ascii="Times New Roman" w:hAnsi="Times New Roman" w:cs="Times New Roman"/>
        </w:rPr>
      </w:pPr>
      <w:r>
        <w:rPr>
          <w:noProof/>
          <w:lang w:eastAsia="uk-UA"/>
        </w:rPr>
        <w:drawing>
          <wp:inline distT="0" distB="0" distL="0" distR="0">
            <wp:extent cx="5206365" cy="2182495"/>
            <wp:effectExtent l="0" t="0" r="0" b="0"/>
            <wp:docPr id="134"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Рисунок 69"/>
                    <pic:cNvPicPr>
                      <a:picLocks noChangeAspect="1" noChangeArrowheads="1"/>
                    </pic:cNvPicPr>
                  </pic:nvPicPr>
                  <pic:blipFill>
                    <a:blip r:embed="rId193"/>
                    <a:stretch>
                      <a:fillRect/>
                    </a:stretch>
                  </pic:blipFill>
                  <pic:spPr bwMode="auto">
                    <a:xfrm>
                      <a:off x="0" y="0"/>
                      <a:ext cx="5206365" cy="2182495"/>
                    </a:xfrm>
                    <a:prstGeom prst="rect">
                      <a:avLst/>
                    </a:prstGeom>
                  </pic:spPr>
                </pic:pic>
              </a:graphicData>
            </a:graphic>
          </wp:inline>
        </w:drawing>
      </w:r>
    </w:p>
    <w:p w:rsidR="00D227E2" w:rsidRDefault="00934FC4">
      <w:pPr>
        <w:shd w:val="clear" w:color="auto" w:fill="FFFFFF"/>
        <w:spacing w:after="0"/>
        <w:jc w:val="center"/>
        <w:rPr>
          <w:rFonts w:ascii="Times New Roman" w:hAnsi="Times New Roman" w:cs="Times New Roman"/>
        </w:rPr>
      </w:pPr>
      <w:r>
        <w:rPr>
          <w:rFonts w:ascii="Times New Roman" w:eastAsia="Times New Roman" w:hAnsi="Times New Roman" w:cs="Times New Roman"/>
          <w:b/>
          <w:bCs/>
          <w:color w:val="000000"/>
          <w:sz w:val="24"/>
          <w:szCs w:val="24"/>
          <w:u w:val="single"/>
          <w:lang w:eastAsia="ru-RU"/>
        </w:rPr>
        <w:t>Розділ 4. Адаптація до кліматичних загроз</w:t>
      </w:r>
    </w:p>
    <w:p w:rsidR="00D227E2" w:rsidRDefault="00934FC4">
      <w:pPr>
        <w:shd w:val="clear" w:color="auto" w:fill="FFFFFF"/>
        <w:spacing w:after="0"/>
        <w:ind w:firstLine="567"/>
        <w:jc w:val="both"/>
        <w:rPr>
          <w:rFonts w:ascii="Times New Roman" w:hAnsi="Times New Roman" w:cs="Times New Roman"/>
        </w:rPr>
      </w:pPr>
      <w:r>
        <w:rPr>
          <w:rFonts w:ascii="Times New Roman" w:eastAsia="Times New Roman" w:hAnsi="Times New Roman" w:cs="Times New Roman"/>
          <w:color w:val="000000"/>
          <w:sz w:val="24"/>
          <w:szCs w:val="24"/>
          <w:lang w:eastAsia="ru-RU"/>
        </w:rPr>
        <w:t xml:space="preserve">Впровадження адаптаційних заходів має на меті створення мешканцям громади умов для комфортного проживання та зменшення впливу негативних наслідків зміни клімату. </w:t>
      </w:r>
    </w:p>
    <w:p w:rsidR="00D227E2" w:rsidRDefault="00934FC4">
      <w:pPr>
        <w:shd w:val="clear" w:color="auto" w:fill="FFFFFF"/>
        <w:spacing w:after="0"/>
        <w:ind w:firstLine="567"/>
        <w:jc w:val="both"/>
        <w:rPr>
          <w:rFonts w:ascii="Times New Roman" w:hAnsi="Times New Roman" w:cs="Times New Roman"/>
        </w:rPr>
      </w:pPr>
      <w:r>
        <w:rPr>
          <w:rFonts w:ascii="Times New Roman" w:eastAsia="Times New Roman" w:hAnsi="Times New Roman" w:cs="Times New Roman"/>
          <w:color w:val="000000"/>
          <w:sz w:val="24"/>
          <w:szCs w:val="24"/>
          <w:lang w:eastAsia="ru-RU"/>
        </w:rPr>
        <w:t>Мешканці громади мають власні думки та ідеї щодо поліпшення та облаштування свого місця помешкання. Опис таких ідей дозволяє втілити їх у життя.</w:t>
      </w:r>
    </w:p>
    <w:p w:rsidR="00D227E2" w:rsidRDefault="00934FC4">
      <w:pPr>
        <w:shd w:val="clear" w:color="auto" w:fill="FFFFFF"/>
        <w:spacing w:after="0"/>
        <w:ind w:firstLine="567"/>
        <w:jc w:val="both"/>
        <w:rPr>
          <w:rFonts w:ascii="Times New Roman" w:hAnsi="Times New Roman" w:cs="Times New Roman"/>
        </w:rPr>
      </w:pPr>
      <w:r>
        <w:rPr>
          <w:rFonts w:ascii="Times New Roman" w:eastAsia="Times New Roman" w:hAnsi="Times New Roman" w:cs="Times New Roman"/>
          <w:color w:val="000000"/>
          <w:sz w:val="24"/>
          <w:szCs w:val="24"/>
          <w:lang w:eastAsia="ru-RU"/>
        </w:rPr>
        <w:t>Важливо виявити готовність населення до адаптаційних дій. Якщо розуміння населенням необхідності впровадження таких заходів низьке – необхідно спрямувати зусилля на розробку і впровадження просвітницьких заходів. Якщо опитувані мешканці висловлюють чіткі очікування та надають конкретні рекомендації – необхідно звернути на них особливу увагу під час розробки заходів.</w:t>
      </w:r>
    </w:p>
    <w:p w:rsidR="00D227E2" w:rsidRDefault="00934FC4">
      <w:pPr>
        <w:shd w:val="clear" w:color="auto" w:fill="FFFFFF"/>
        <w:spacing w:after="0"/>
        <w:ind w:firstLine="567"/>
        <w:jc w:val="both"/>
        <w:rPr>
          <w:rFonts w:ascii="Times New Roman" w:hAnsi="Times New Roman" w:cs="Times New Roman"/>
        </w:rPr>
      </w:pPr>
      <w:r>
        <w:rPr>
          <w:rFonts w:ascii="Times New Roman" w:eastAsia="Times New Roman" w:hAnsi="Times New Roman" w:cs="Times New Roman"/>
          <w:color w:val="000000"/>
          <w:sz w:val="24"/>
          <w:szCs w:val="24"/>
          <w:u w:val="single"/>
          <w:lang w:eastAsia="ru-RU"/>
        </w:rPr>
        <w:t>Примітка:</w:t>
      </w:r>
      <w:r>
        <w:rPr>
          <w:rFonts w:ascii="Times New Roman" w:eastAsia="Times New Roman" w:hAnsi="Times New Roman" w:cs="Times New Roman"/>
          <w:color w:val="000000"/>
          <w:sz w:val="24"/>
          <w:szCs w:val="24"/>
          <w:lang w:eastAsia="ru-RU"/>
        </w:rPr>
        <w:t xml:space="preserve"> Нижче наведена інформація (відповіді респондентів) подані оригінальним текстом без редагування.</w:t>
      </w:r>
    </w:p>
    <w:p w:rsidR="00D227E2" w:rsidRDefault="00934FC4">
      <w:pPr>
        <w:numPr>
          <w:ilvl w:val="1"/>
          <w:numId w:val="29"/>
        </w:numPr>
        <w:shd w:val="clear" w:color="auto" w:fill="FFFFFF"/>
        <w:jc w:val="both"/>
        <w:rPr>
          <w:rFonts w:ascii="Times New Roman" w:hAnsi="Times New Roman" w:cs="Times New Roman"/>
        </w:rPr>
      </w:pPr>
      <w:r>
        <w:rPr>
          <w:rFonts w:ascii="Times New Roman" w:hAnsi="Times New Roman" w:cs="Times New Roman"/>
          <w:color w:val="000000"/>
          <w:spacing w:val="3"/>
          <w:shd w:val="clear" w:color="auto" w:fill="FFFFFF"/>
          <w:lang w:eastAsia="ru-RU"/>
        </w:rPr>
        <w:t>Які заходи з адаптації до літньої спеки Ви використовуєте (148 відповідей із 222 респондентів):</w:t>
      </w:r>
    </w:p>
    <w:tbl>
      <w:tblPr>
        <w:tblW w:w="9747" w:type="dxa"/>
        <w:tblInd w:w="-113" w:type="dxa"/>
        <w:tblLayout w:type="fixed"/>
        <w:tblLook w:val="0000" w:firstRow="0" w:lastRow="0" w:firstColumn="0" w:lastColumn="0" w:noHBand="0" w:noVBand="0"/>
      </w:tblPr>
      <w:tblGrid>
        <w:gridCol w:w="9747"/>
      </w:tblGrid>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rPr>
              <w:t>Більше знаходжусь у тіні</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rPr>
              <w:t>Не знаходжусь на відкритому сонці, пʼю багато води, створюю протяги в приміщенні</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rPr>
              <w:t>Сиджу вдома, на вулиці в затінку, обливаюсь холодною водою</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rPr>
              <w:t>Змінюю графік так, щоб не виходити з дому вдень, провітрюю приміщення тільки вночі</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rPr>
              <w:t>Користуюся жалюзями, закриваю вікна</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rPr>
              <w:t>Використовую кондиціонер, вентилятор тощо</w:t>
            </w:r>
          </w:p>
        </w:tc>
      </w:tr>
    </w:tbl>
    <w:p w:rsidR="00D227E2" w:rsidRDefault="00934FC4">
      <w:pPr>
        <w:numPr>
          <w:ilvl w:val="1"/>
          <w:numId w:val="29"/>
        </w:numPr>
        <w:shd w:val="clear" w:color="auto" w:fill="FFFFFF"/>
        <w:jc w:val="both"/>
        <w:rPr>
          <w:rFonts w:ascii="Times New Roman" w:hAnsi="Times New Roman" w:cs="Times New Roman"/>
        </w:rPr>
      </w:pPr>
      <w:r>
        <w:rPr>
          <w:rFonts w:ascii="Times New Roman" w:hAnsi="Times New Roman" w:cs="Times New Roman"/>
          <w:color w:val="000000"/>
          <w:spacing w:val="3"/>
          <w:shd w:val="clear" w:color="auto" w:fill="FFFFFF"/>
          <w:lang w:eastAsia="ru-RU"/>
        </w:rPr>
        <w:t>Які заходи з адаптації до літньої спеки Ви могли б порекомендувати для впровадження на рівні громади (131 відповідь із 222 респондентів):</w:t>
      </w:r>
    </w:p>
    <w:tbl>
      <w:tblPr>
        <w:tblW w:w="9747" w:type="dxa"/>
        <w:tblInd w:w="-113" w:type="dxa"/>
        <w:tblLayout w:type="fixed"/>
        <w:tblLook w:val="0000" w:firstRow="0" w:lastRow="0" w:firstColumn="0" w:lastColumn="0" w:noHBand="0" w:noVBand="0"/>
      </w:tblPr>
      <w:tblGrid>
        <w:gridCol w:w="9747"/>
      </w:tblGrid>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lastRenderedPageBreak/>
              <w:t>Наполягаю на зміні правил щодо косіння газонів. Засіювати польовими квітами і не косити «під нуль». Це зменшить температуру і кількість пилу на вулицях</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Пропоную збільшити зони для відпочинку в парках, біля водойм, в скверах, встановити більше бюветів з питною водою по всьому місту, а не лише в парку 1 шт.</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Утеплення будинків</w:t>
            </w:r>
          </w:p>
        </w:tc>
      </w:tr>
      <w:tr w:rsidR="00D227E2">
        <w:tc>
          <w:tcPr>
            <w:tcW w:w="9747" w:type="dxa"/>
            <w:tcBorders>
              <w:top w:val="single" w:sz="4" w:space="0" w:color="000000"/>
              <w:left w:val="single" w:sz="4" w:space="0" w:color="000000"/>
              <w:bottom w:val="single" w:sz="4" w:space="0" w:color="000000"/>
              <w:right w:val="single" w:sz="4" w:space="0" w:color="000000"/>
            </w:tcBorders>
            <w:shd w:val="clear" w:color="auto" w:fill="FFFFFF"/>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Більше зелених насаджень та дерев. Зупинок із накриттям (або поряд з деревами), щоб можна було заховатись в затінку, під час очікування транспорту. Більше маленьких фонтанів або встановлених розпилювачів води. Громадський транспорт з кондиціонуванням повітря</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Насадження міцних швидкоростучих дерев. Встановлення кондиціонерів у громадському транспорті</w:t>
            </w:r>
          </w:p>
        </w:tc>
      </w:tr>
      <w:tr w:rsidR="00D227E2">
        <w:tc>
          <w:tcPr>
            <w:tcW w:w="9747" w:type="dxa"/>
            <w:tcBorders>
              <w:top w:val="single" w:sz="4" w:space="0" w:color="000000"/>
              <w:left w:val="single" w:sz="4" w:space="0" w:color="000000"/>
              <w:bottom w:val="single" w:sz="4" w:space="0" w:color="000000"/>
              <w:right w:val="single" w:sz="4" w:space="0" w:color="000000"/>
            </w:tcBorders>
            <w:shd w:val="clear" w:color="auto" w:fill="FFFFFF"/>
          </w:tcPr>
          <w:p w:rsidR="00D227E2" w:rsidRDefault="00934FC4">
            <w:pPr>
              <w:widowControl w:val="0"/>
              <w:shd w:val="clear" w:color="auto" w:fill="FFFFFF"/>
              <w:spacing w:after="0"/>
              <w:jc w:val="both"/>
              <w:rPr>
                <w:rFonts w:ascii="Times New Roman" w:hAnsi="Times New Roman" w:cs="Times New Roman"/>
              </w:rPr>
            </w:pPr>
            <w:r>
              <w:rPr>
                <w:rFonts w:ascii="Times New Roman" w:eastAsia="Times New Roman" w:hAnsi="Times New Roman" w:cs="Times New Roman"/>
                <w:color w:val="000000"/>
                <w:spacing w:val="3"/>
                <w:lang w:eastAsia="ru-RU"/>
              </w:rPr>
              <w:t>Кардинально збільшити насадження дерев. Саджати не тільки декоративні, а і швидкоростучі. Наприклад, верби. Максимально зменшити об’єм зрізання дерев. Обов’язково саджати нові дерева на місці зрізаних аварійних. Проводити кронування тільки якщо існує загроза для людей чи комунікацій</w:t>
            </w:r>
          </w:p>
        </w:tc>
      </w:tr>
    </w:tbl>
    <w:p w:rsidR="00D227E2" w:rsidRDefault="00934FC4">
      <w:pPr>
        <w:numPr>
          <w:ilvl w:val="1"/>
          <w:numId w:val="29"/>
        </w:numPr>
        <w:shd w:val="clear" w:color="auto" w:fill="FFFFFF"/>
        <w:jc w:val="both"/>
        <w:rPr>
          <w:rFonts w:ascii="Times New Roman" w:hAnsi="Times New Roman" w:cs="Times New Roman"/>
        </w:rPr>
      </w:pPr>
      <w:r>
        <w:rPr>
          <w:rFonts w:ascii="Times New Roman" w:hAnsi="Times New Roman" w:cs="Times New Roman"/>
          <w:color w:val="000000"/>
          <w:spacing w:val="3"/>
          <w:shd w:val="clear" w:color="auto" w:fill="FFFFFF"/>
          <w:lang w:eastAsia="ru-RU"/>
        </w:rPr>
        <w:t>Які заходи з адаптації до буревіїв та сильного вітру Ви використовуєте (106 відповідей із 222 респондентів):</w:t>
      </w:r>
    </w:p>
    <w:tbl>
      <w:tblPr>
        <w:tblW w:w="9747" w:type="dxa"/>
        <w:tblInd w:w="-113" w:type="dxa"/>
        <w:tblLayout w:type="fixed"/>
        <w:tblLook w:val="0000" w:firstRow="0" w:lastRow="0" w:firstColumn="0" w:lastColumn="0" w:noHBand="0" w:noVBand="0"/>
      </w:tblPr>
      <w:tblGrid>
        <w:gridCol w:w="9747"/>
      </w:tblGrid>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На приватній прибудинковій території приймаємо все з двору, зачиняємо вікна й двері. Час від часу обрізаємо віття дерев, не допускаємо, щоб дах був в аварійному стані. В квартирі зачиняємо вікна та не виходимо на вулицю під час негоди. Якщо негода застала на вулиці - намагаюсь зайти в найближче приміщення</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Зачиняємо всі вікна в квартирі</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Перебуваємо вдома</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Нічого не робимо</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Не вирубуємо дерева</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Висаджуємо дерева</w:t>
            </w:r>
          </w:p>
        </w:tc>
      </w:tr>
    </w:tbl>
    <w:p w:rsidR="00D227E2" w:rsidRDefault="00934FC4">
      <w:pPr>
        <w:numPr>
          <w:ilvl w:val="1"/>
          <w:numId w:val="29"/>
        </w:numPr>
        <w:shd w:val="clear" w:color="auto" w:fill="FFFFFF"/>
        <w:jc w:val="both"/>
        <w:rPr>
          <w:rFonts w:ascii="Times New Roman" w:hAnsi="Times New Roman" w:cs="Times New Roman"/>
        </w:rPr>
      </w:pPr>
      <w:r>
        <w:rPr>
          <w:rFonts w:ascii="Times New Roman" w:hAnsi="Times New Roman" w:cs="Times New Roman"/>
          <w:color w:val="000000"/>
          <w:spacing w:val="3"/>
          <w:shd w:val="clear" w:color="auto" w:fill="FFFFFF"/>
          <w:lang w:eastAsia="ru-RU"/>
        </w:rPr>
        <w:t>Які заходи з адаптації до буревіїв та сильного вітру Ви могли б порекомендувати для впровадження на рівні громади (100 відповідей із 222 респондентів):</w:t>
      </w:r>
    </w:p>
    <w:tbl>
      <w:tblPr>
        <w:tblW w:w="9747" w:type="dxa"/>
        <w:tblInd w:w="-113" w:type="dxa"/>
        <w:tblLayout w:type="fixed"/>
        <w:tblLook w:val="0000" w:firstRow="0" w:lastRow="0" w:firstColumn="0" w:lastColumn="0" w:noHBand="0" w:noVBand="0"/>
      </w:tblPr>
      <w:tblGrid>
        <w:gridCol w:w="9747"/>
      </w:tblGrid>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Попереджувати про небезпеку</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Вчасно видаляти аварійні дерева</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Зрізати лише аварійні та старі дерева</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Своєчасно виявляти засохлі дерева, знести решти рекламних щитів</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Важко відповісти</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Не знаю</w:t>
            </w:r>
          </w:p>
        </w:tc>
      </w:tr>
    </w:tbl>
    <w:p w:rsidR="00D227E2" w:rsidRDefault="00934FC4">
      <w:pPr>
        <w:numPr>
          <w:ilvl w:val="1"/>
          <w:numId w:val="29"/>
        </w:numPr>
        <w:shd w:val="clear" w:color="auto" w:fill="FFFFFF"/>
        <w:jc w:val="both"/>
        <w:rPr>
          <w:rFonts w:ascii="Times New Roman" w:hAnsi="Times New Roman" w:cs="Times New Roman"/>
        </w:rPr>
      </w:pPr>
      <w:r>
        <w:rPr>
          <w:rFonts w:ascii="Times New Roman" w:hAnsi="Times New Roman" w:cs="Times New Roman"/>
          <w:color w:val="000000"/>
          <w:spacing w:val="3"/>
          <w:shd w:val="clear" w:color="auto" w:fill="FFFFFF"/>
          <w:lang w:eastAsia="ru-RU"/>
        </w:rPr>
        <w:t>Які заходи з адаптації до злив та підтоплень Ви використовуєте (102 відповіді із 222 респондентів):</w:t>
      </w:r>
    </w:p>
    <w:tbl>
      <w:tblPr>
        <w:tblW w:w="9747" w:type="dxa"/>
        <w:tblInd w:w="-113" w:type="dxa"/>
        <w:tblLayout w:type="fixed"/>
        <w:tblLook w:val="0000" w:firstRow="0" w:lastRow="0" w:firstColumn="0" w:lastColumn="0" w:noHBand="0" w:noVBand="0"/>
      </w:tblPr>
      <w:tblGrid>
        <w:gridCol w:w="9747"/>
      </w:tblGrid>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Не використовую</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Зробили водостік біля будинку</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Не стикались з таким</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Не паркую автомобіль в місцях, де завжди підтоплює</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Зробили ремонт на даху. Перевіряємо його цілісність. Робимо ремонт підвалу і осушуємо його</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Чоботи</w:t>
            </w:r>
          </w:p>
        </w:tc>
      </w:tr>
    </w:tbl>
    <w:p w:rsidR="00D227E2" w:rsidRDefault="00934FC4">
      <w:pPr>
        <w:numPr>
          <w:ilvl w:val="1"/>
          <w:numId w:val="29"/>
        </w:numPr>
        <w:shd w:val="clear" w:color="auto" w:fill="FFFFFF"/>
        <w:jc w:val="both"/>
        <w:rPr>
          <w:rFonts w:ascii="Times New Roman" w:hAnsi="Times New Roman" w:cs="Times New Roman"/>
        </w:rPr>
      </w:pPr>
      <w:r>
        <w:rPr>
          <w:rFonts w:ascii="Times New Roman" w:hAnsi="Times New Roman" w:cs="Times New Roman"/>
          <w:color w:val="000000"/>
          <w:spacing w:val="3"/>
          <w:shd w:val="clear" w:color="auto" w:fill="FFFFFF"/>
          <w:lang w:eastAsia="ru-RU"/>
        </w:rPr>
        <w:t>Які заходи з адаптації до злив та підтоплень Ви могли б порекомендувати для впровадження на рівні громади (114 відповідей із 222 респондентів):</w:t>
      </w:r>
    </w:p>
    <w:tbl>
      <w:tblPr>
        <w:tblW w:w="9747" w:type="dxa"/>
        <w:tblInd w:w="-113" w:type="dxa"/>
        <w:tblLayout w:type="fixed"/>
        <w:tblLook w:val="0000" w:firstRow="0" w:lastRow="0" w:firstColumn="0" w:lastColumn="0" w:noHBand="0" w:noVBand="0"/>
      </w:tblPr>
      <w:tblGrid>
        <w:gridCol w:w="9747"/>
      </w:tblGrid>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Водопроникнене покриття тротуарів, встановлення насосів для відкачування води, де завжди підтоплює, створення ємностей для збору води, наприклад де дорога під мостом проходить</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Своєчасне чищення ливневої каналізації</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lastRenderedPageBreak/>
              <w:t>Створення нормального водовідводу, приведення каналізаційної системи в порядок</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eastAsia="Times New Roman" w:hAnsi="Times New Roman" w:cs="Times New Roman"/>
                <w:color w:val="000000"/>
                <w:spacing w:val="3"/>
                <w:shd w:val="clear" w:color="auto" w:fill="FFFFFF"/>
                <w:lang w:eastAsia="ru-RU"/>
              </w:rPr>
              <w:t>Збільшення водовідводу в таких точках, як перехрестя Соборності - Молоді; Відродження - Рівненська; під мостом на Рівненській</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eastAsia="Times New Roman" w:hAnsi="Times New Roman" w:cs="Times New Roman"/>
                <w:color w:val="000000"/>
                <w:spacing w:val="3"/>
                <w:shd w:val="clear" w:color="auto" w:fill="FFFFFF"/>
                <w:lang w:eastAsia="ru-RU"/>
              </w:rPr>
              <w:t>Встановлення дренажних систем</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Важко сказати</w:t>
            </w:r>
          </w:p>
        </w:tc>
      </w:tr>
    </w:tbl>
    <w:p w:rsidR="00D227E2" w:rsidRDefault="00934FC4">
      <w:pPr>
        <w:numPr>
          <w:ilvl w:val="1"/>
          <w:numId w:val="29"/>
        </w:numPr>
        <w:shd w:val="clear" w:color="auto" w:fill="FFFFFF"/>
        <w:jc w:val="both"/>
        <w:rPr>
          <w:rFonts w:ascii="Times New Roman" w:hAnsi="Times New Roman" w:cs="Times New Roman"/>
        </w:rPr>
      </w:pPr>
      <w:r>
        <w:rPr>
          <w:rFonts w:ascii="Times New Roman" w:hAnsi="Times New Roman" w:cs="Times New Roman"/>
          <w:color w:val="000000"/>
          <w:spacing w:val="3"/>
          <w:shd w:val="clear" w:color="auto" w:fill="FFFFFF"/>
          <w:lang w:eastAsia="ru-RU"/>
        </w:rPr>
        <w:t>Які заходи з адаптації до підтоплень внаслідок паводків Ви могли б порекомендувати для впровадження на рівні громади (92 відповіді із 222 респондентів):</w:t>
      </w:r>
    </w:p>
    <w:tbl>
      <w:tblPr>
        <w:tblW w:w="9747" w:type="dxa"/>
        <w:tblInd w:w="-113" w:type="dxa"/>
        <w:tblLayout w:type="fixed"/>
        <w:tblLook w:val="0000" w:firstRow="0" w:lastRow="0" w:firstColumn="0" w:lastColumn="0" w:noHBand="0" w:noVBand="0"/>
      </w:tblPr>
      <w:tblGrid>
        <w:gridCol w:w="9747"/>
      </w:tblGrid>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Чистка русел річок, водойм</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Залишити зони болота болотами, заборонити новобудови на низьких територіях, спланувати дамби для захисту низьких територій</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Два рази почистити ливневу каналізацію перед сезоном дощів</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Дамби, насипи, насосні станції</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Важко сказати</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У нас немає паводків</w:t>
            </w:r>
          </w:p>
        </w:tc>
      </w:tr>
    </w:tbl>
    <w:p w:rsidR="00D227E2" w:rsidRDefault="00934FC4">
      <w:pPr>
        <w:numPr>
          <w:ilvl w:val="1"/>
          <w:numId w:val="29"/>
        </w:numPr>
        <w:shd w:val="clear" w:color="auto" w:fill="FFFFFF"/>
        <w:jc w:val="both"/>
        <w:rPr>
          <w:rFonts w:ascii="Times New Roman" w:hAnsi="Times New Roman" w:cs="Times New Roman"/>
        </w:rPr>
      </w:pPr>
      <w:r>
        <w:rPr>
          <w:rFonts w:ascii="Times New Roman" w:hAnsi="Times New Roman" w:cs="Times New Roman"/>
          <w:color w:val="000000"/>
          <w:spacing w:val="3"/>
          <w:shd w:val="clear" w:color="auto" w:fill="FFFFFF"/>
          <w:lang w:eastAsia="ru-RU"/>
        </w:rPr>
        <w:t>Які заходи щодо попередження пожеж на землі Ви використовуєте (97 відповідей із 222 респондентів):</w:t>
      </w:r>
    </w:p>
    <w:tbl>
      <w:tblPr>
        <w:tblW w:w="9747" w:type="dxa"/>
        <w:tblInd w:w="-113" w:type="dxa"/>
        <w:tblLayout w:type="fixed"/>
        <w:tblLook w:val="0000" w:firstRow="0" w:lastRow="0" w:firstColumn="0" w:lastColumn="0" w:noHBand="0" w:noVBand="0"/>
      </w:tblPr>
      <w:tblGrid>
        <w:gridCol w:w="9747"/>
      </w:tblGrid>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Тушимо багаття, контролюю електроприлади</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Не палимо траву/бадилля та викликаємо поліцію, коли палять сусіди</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Тушимо вогнища водою або ногою (у випадку недопалків поза урною)</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Заборона всього, що може призвести до пожежі. Прибираємо місця кемпінгу</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Нічого</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Дотримуємось техніки безпеки. Під час підвищеного рівня небезпеки виникнення пожежі - максимальна увага, не розпалюємо вогнища</w:t>
            </w:r>
          </w:p>
        </w:tc>
      </w:tr>
    </w:tbl>
    <w:p w:rsidR="00D227E2" w:rsidRDefault="00934FC4">
      <w:pPr>
        <w:numPr>
          <w:ilvl w:val="1"/>
          <w:numId w:val="29"/>
        </w:numPr>
        <w:shd w:val="clear" w:color="auto" w:fill="FFFFFF"/>
        <w:jc w:val="both"/>
        <w:rPr>
          <w:rFonts w:ascii="Times New Roman" w:hAnsi="Times New Roman" w:cs="Times New Roman"/>
        </w:rPr>
      </w:pPr>
      <w:r>
        <w:rPr>
          <w:rFonts w:ascii="Times New Roman" w:hAnsi="Times New Roman" w:cs="Times New Roman"/>
          <w:color w:val="000000"/>
          <w:spacing w:val="3"/>
          <w:shd w:val="clear" w:color="auto" w:fill="FFFFFF"/>
          <w:lang w:eastAsia="ru-RU"/>
        </w:rPr>
        <w:t>Які заходи щодо попередження пожеж на землі Ви могли б порекомендувати для впровадження на рівні громади (98 відповідей із 222 респондентів):</w:t>
      </w:r>
    </w:p>
    <w:tbl>
      <w:tblPr>
        <w:tblW w:w="9747" w:type="dxa"/>
        <w:tblInd w:w="-113" w:type="dxa"/>
        <w:tblLayout w:type="fixed"/>
        <w:tblLook w:val="0000" w:firstRow="0" w:lastRow="0" w:firstColumn="0" w:lastColumn="0" w:noHBand="0" w:noVBand="0"/>
      </w:tblPr>
      <w:tblGrid>
        <w:gridCol w:w="9747"/>
      </w:tblGrid>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Проведення роз'яснювальних робіт серед населення, впорядкування відпочинкових зон (мангали)</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Більше інформації про те, що не треба палити траву, популяризація компостування</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Зобов’язати всіх громадян завжди носити з собою вогнегасник</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Наглядові відеокамери</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Збільшити штрафи за паління трави</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Штрафи за спалювання листя</w:t>
            </w:r>
          </w:p>
        </w:tc>
      </w:tr>
    </w:tbl>
    <w:p w:rsidR="00D227E2" w:rsidRDefault="00934FC4">
      <w:pPr>
        <w:numPr>
          <w:ilvl w:val="0"/>
          <w:numId w:val="29"/>
        </w:numPr>
        <w:shd w:val="clear" w:color="auto" w:fill="FFFFFF"/>
        <w:jc w:val="both"/>
        <w:rPr>
          <w:rFonts w:ascii="Times New Roman" w:hAnsi="Times New Roman" w:cs="Times New Roman"/>
        </w:rPr>
      </w:pPr>
      <w:r>
        <w:rPr>
          <w:rFonts w:ascii="Times New Roman" w:hAnsi="Times New Roman" w:cs="Times New Roman"/>
          <w:color w:val="000000"/>
          <w:spacing w:val="3"/>
          <w:shd w:val="clear" w:color="auto" w:fill="FFFFFF"/>
          <w:lang w:eastAsia="ru-RU"/>
        </w:rPr>
        <w:t xml:space="preserve">Які заходи щодо попередження лісових пожеж Ви використовуєте (91 відповідь із 222 респондентів): </w:t>
      </w:r>
    </w:p>
    <w:tbl>
      <w:tblPr>
        <w:tblW w:w="9747" w:type="dxa"/>
        <w:tblInd w:w="-113" w:type="dxa"/>
        <w:tblLayout w:type="fixed"/>
        <w:tblLook w:val="0000" w:firstRow="0" w:lastRow="0" w:firstColumn="0" w:lastColumn="0" w:noHBand="0" w:noVBand="0"/>
      </w:tblPr>
      <w:tblGrid>
        <w:gridCol w:w="9747"/>
      </w:tblGrid>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Не використовую вогонь в лісі або спеціально готую вогнище і заливаю його потім водою</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Завжди ношу з собою вогнегасник</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Розповідаю дітям і друзям про правила поводження і небезпеку</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Важко сказати</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Тушу багаття, контролюю електроприлади</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Тушу вогнище після себе, палю вогнище лише в чітко встановлених місцях. Прибираю сміття та не викидаю недопалки</w:t>
            </w:r>
          </w:p>
        </w:tc>
      </w:tr>
    </w:tbl>
    <w:p w:rsidR="00D227E2" w:rsidRDefault="00934FC4">
      <w:pPr>
        <w:numPr>
          <w:ilvl w:val="0"/>
          <w:numId w:val="29"/>
        </w:numPr>
        <w:shd w:val="clear" w:color="auto" w:fill="FFFFFF"/>
        <w:jc w:val="both"/>
        <w:rPr>
          <w:rFonts w:ascii="Times New Roman" w:hAnsi="Times New Roman" w:cs="Times New Roman"/>
        </w:rPr>
      </w:pPr>
      <w:r>
        <w:rPr>
          <w:rFonts w:ascii="Times New Roman" w:hAnsi="Times New Roman" w:cs="Times New Roman"/>
          <w:color w:val="000000"/>
          <w:spacing w:val="3"/>
          <w:shd w:val="clear" w:color="auto" w:fill="FFFFFF"/>
          <w:lang w:eastAsia="ru-RU"/>
        </w:rPr>
        <w:t>Які заходи щодо попередження лісових пожеж Ви могли б порекомендувати для впровадження на рівні громади (96 відповідей із 222 респондентів):</w:t>
      </w:r>
    </w:p>
    <w:tbl>
      <w:tblPr>
        <w:tblW w:w="9747" w:type="dxa"/>
        <w:tblInd w:w="-113" w:type="dxa"/>
        <w:tblLayout w:type="fixed"/>
        <w:tblLook w:val="0000" w:firstRow="0" w:lastRow="0" w:firstColumn="0" w:lastColumn="0" w:noHBand="0" w:noVBand="0"/>
      </w:tblPr>
      <w:tblGrid>
        <w:gridCol w:w="9747"/>
      </w:tblGrid>
      <w:tr w:rsidR="00D227E2">
        <w:tc>
          <w:tcPr>
            <w:tcW w:w="9747" w:type="dxa"/>
            <w:tcBorders>
              <w:top w:val="single" w:sz="4" w:space="0" w:color="000000"/>
              <w:left w:val="single" w:sz="4" w:space="0" w:color="000000"/>
              <w:bottom w:val="single" w:sz="4" w:space="0" w:color="000000"/>
              <w:right w:val="single" w:sz="4" w:space="0" w:color="000000"/>
            </w:tcBorders>
            <w:shd w:val="clear" w:color="auto" w:fill="FFFFFF"/>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Жорсткіші правила користування лісовими насадженнями. Та моніторингову систему температури на території лісів та лісосмуг</w:t>
            </w:r>
          </w:p>
        </w:tc>
      </w:tr>
      <w:tr w:rsidR="00D227E2">
        <w:tc>
          <w:tcPr>
            <w:tcW w:w="9747" w:type="dxa"/>
            <w:tcBorders>
              <w:top w:val="single" w:sz="4" w:space="0" w:color="000000"/>
              <w:left w:val="single" w:sz="4" w:space="0" w:color="000000"/>
              <w:bottom w:val="single" w:sz="4" w:space="0" w:color="000000"/>
              <w:right w:val="single" w:sz="4" w:space="0" w:color="000000"/>
            </w:tcBorders>
            <w:shd w:val="clear" w:color="auto" w:fill="FFFFFF"/>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Розʼяснювальні роботи</w:t>
            </w:r>
          </w:p>
        </w:tc>
      </w:tr>
      <w:tr w:rsidR="00D227E2">
        <w:tc>
          <w:tcPr>
            <w:tcW w:w="9747" w:type="dxa"/>
            <w:tcBorders>
              <w:top w:val="single" w:sz="4" w:space="0" w:color="000000"/>
              <w:left w:val="single" w:sz="4" w:space="0" w:color="000000"/>
              <w:bottom w:val="single" w:sz="4" w:space="0" w:color="000000"/>
              <w:right w:val="single" w:sz="4" w:space="0" w:color="000000"/>
            </w:tcBorders>
            <w:shd w:val="clear" w:color="auto" w:fill="FFFFFF"/>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lastRenderedPageBreak/>
              <w:t>Контроль та притягнення до відповідальності усіх порушників</w:t>
            </w:r>
          </w:p>
        </w:tc>
      </w:tr>
      <w:tr w:rsidR="00D227E2">
        <w:tc>
          <w:tcPr>
            <w:tcW w:w="9747" w:type="dxa"/>
            <w:tcBorders>
              <w:top w:val="single" w:sz="4" w:space="0" w:color="000000"/>
              <w:left w:val="single" w:sz="4" w:space="0" w:color="000000"/>
              <w:bottom w:val="single" w:sz="4" w:space="0" w:color="000000"/>
              <w:right w:val="single" w:sz="4" w:space="0" w:color="000000"/>
            </w:tcBorders>
            <w:shd w:val="clear" w:color="auto" w:fill="FFFFFF"/>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shd w:val="clear" w:color="auto" w:fill="FFFFFF"/>
              </w:rPr>
              <w:t>Не засмічувати, не палити, не залишати розпаленим вогнище, не відвідувати ліс у заборонений пожежонебезпечний період</w:t>
            </w:r>
          </w:p>
        </w:tc>
      </w:tr>
      <w:tr w:rsidR="00D227E2">
        <w:tc>
          <w:tcPr>
            <w:tcW w:w="9747" w:type="dxa"/>
            <w:tcBorders>
              <w:top w:val="single" w:sz="4" w:space="0" w:color="000000"/>
              <w:left w:val="single" w:sz="4" w:space="0" w:color="000000"/>
              <w:bottom w:val="single" w:sz="4" w:space="0" w:color="000000"/>
              <w:right w:val="single" w:sz="4" w:space="0" w:color="000000"/>
            </w:tcBorders>
            <w:shd w:val="clear" w:color="auto" w:fill="FFFFFF"/>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Дотримання пожежної безпеки</w:t>
            </w:r>
          </w:p>
        </w:tc>
      </w:tr>
      <w:tr w:rsidR="00D227E2">
        <w:tc>
          <w:tcPr>
            <w:tcW w:w="9747" w:type="dxa"/>
            <w:tcBorders>
              <w:top w:val="single" w:sz="4" w:space="0" w:color="000000"/>
              <w:left w:val="single" w:sz="4" w:space="0" w:color="000000"/>
              <w:bottom w:val="single" w:sz="4" w:space="0" w:color="000000"/>
              <w:right w:val="single" w:sz="4" w:space="0" w:color="000000"/>
            </w:tcBorders>
            <w:shd w:val="clear" w:color="auto" w:fill="FFFFFF"/>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Кращий контроль служб у лісах</w:t>
            </w:r>
          </w:p>
        </w:tc>
      </w:tr>
    </w:tbl>
    <w:p w:rsidR="00D227E2" w:rsidRDefault="00934FC4">
      <w:pPr>
        <w:numPr>
          <w:ilvl w:val="0"/>
          <w:numId w:val="29"/>
        </w:numPr>
        <w:shd w:val="clear" w:color="auto" w:fill="FFFFFF"/>
        <w:jc w:val="both"/>
        <w:rPr>
          <w:rFonts w:ascii="Times New Roman" w:hAnsi="Times New Roman" w:cs="Times New Roman"/>
        </w:rPr>
      </w:pPr>
      <w:r>
        <w:rPr>
          <w:rFonts w:ascii="Times New Roman" w:hAnsi="Times New Roman" w:cs="Times New Roman"/>
          <w:color w:val="000000"/>
          <w:spacing w:val="3"/>
          <w:shd w:val="clear" w:color="auto" w:fill="FFFFFF"/>
          <w:lang w:eastAsia="ru-RU"/>
        </w:rPr>
        <w:t>Які заходи щодо попередження до захворювань, пов’язаних з водою, Ви використовуєте (110 відповідей із 222 респондентів):</w:t>
      </w:r>
    </w:p>
    <w:tbl>
      <w:tblPr>
        <w:tblW w:w="9747" w:type="dxa"/>
        <w:tblInd w:w="-113" w:type="dxa"/>
        <w:tblLayout w:type="fixed"/>
        <w:tblLook w:val="0000" w:firstRow="0" w:lastRow="0" w:firstColumn="0" w:lastColumn="0" w:noHBand="0" w:noVBand="0"/>
      </w:tblPr>
      <w:tblGrid>
        <w:gridCol w:w="9747"/>
      </w:tblGrid>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Кип'ячу воду і фільтрую</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П’ю фільтровану воду</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Купую очищену воду або очищаю фільтром</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Не п'ю грязну воду</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Не вживаю без очищення воду з водойм</w:t>
            </w:r>
          </w:p>
        </w:tc>
      </w:tr>
      <w:tr w:rsidR="00D227E2">
        <w:tc>
          <w:tcPr>
            <w:tcW w:w="9747" w:type="dxa"/>
            <w:tcBorders>
              <w:top w:val="single" w:sz="4" w:space="0" w:color="000000"/>
              <w:left w:val="single" w:sz="4" w:space="0" w:color="000000"/>
              <w:bottom w:val="single" w:sz="4" w:space="0" w:color="000000"/>
              <w:right w:val="single" w:sz="4" w:space="0" w:color="000000"/>
            </w:tcBorders>
            <w:shd w:val="clear" w:color="auto" w:fill="FFFFFF"/>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shd w:val="clear" w:color="auto" w:fill="FFFFFF"/>
              </w:rPr>
              <w:t>Користуюся централізованим водопостачанням. Вживаю бутильовану воду. Відпочиваю в дозволених санепідемстанцією місцях</w:t>
            </w:r>
          </w:p>
        </w:tc>
      </w:tr>
    </w:tbl>
    <w:p w:rsidR="00D227E2" w:rsidRDefault="00934FC4">
      <w:pPr>
        <w:numPr>
          <w:ilvl w:val="0"/>
          <w:numId w:val="29"/>
        </w:numPr>
        <w:shd w:val="clear" w:color="auto" w:fill="FFFFFF"/>
        <w:jc w:val="both"/>
        <w:rPr>
          <w:rFonts w:ascii="Times New Roman" w:hAnsi="Times New Roman" w:cs="Times New Roman"/>
        </w:rPr>
      </w:pPr>
      <w:r>
        <w:rPr>
          <w:rFonts w:ascii="Times New Roman" w:hAnsi="Times New Roman" w:cs="Times New Roman"/>
          <w:color w:val="000000"/>
          <w:spacing w:val="3"/>
          <w:shd w:val="clear" w:color="auto" w:fill="FFFFFF"/>
          <w:lang w:eastAsia="ru-RU"/>
        </w:rPr>
        <w:t>Які заходи щодо зменшення ймовірності захворювань, пов’язаних з водою, Ви могли б порекомендувати для впровадження на рівні громади (109 відповідей із 222 респондентів):</w:t>
      </w:r>
    </w:p>
    <w:tbl>
      <w:tblPr>
        <w:tblW w:w="9747" w:type="dxa"/>
        <w:tblInd w:w="-113" w:type="dxa"/>
        <w:tblLayout w:type="fixed"/>
        <w:tblLook w:val="0000" w:firstRow="0" w:lastRow="0" w:firstColumn="0" w:lastColumn="0" w:noHBand="0" w:noVBand="0"/>
      </w:tblPr>
      <w:tblGrid>
        <w:gridCol w:w="9747"/>
      </w:tblGrid>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Інформування щодо використання сирої, не кипʼяченої води</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Інформаційна кампанія про причини та наслідки інфікування водою. Розповідати які бувають хвороби, чим небезпечні та як уберегтися. А також розповідати про правильне очищення води (якщо таке неможливо зробити на рівні загального водопостачання)</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Важко відповісти</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 xml:space="preserve">Постійний забір </w:t>
            </w:r>
            <w:r>
              <w:rPr>
                <w:rFonts w:ascii="Times New Roman" w:hAnsi="Times New Roman" w:cs="Times New Roman"/>
                <w:spacing w:val="3"/>
                <w:sz w:val="24"/>
                <w:szCs w:val="24"/>
              </w:rPr>
              <w:t xml:space="preserve">та перевірка </w:t>
            </w:r>
            <w:r>
              <w:rPr>
                <w:rStyle w:val="a8"/>
                <w:rFonts w:ascii="Times New Roman" w:hAnsi="Times New Roman" w:cs="Times New Roman"/>
                <w:bCs/>
                <w:i w:val="0"/>
                <w:iCs w:val="0"/>
                <w:sz w:val="24"/>
                <w:szCs w:val="24"/>
                <w:shd w:val="clear" w:color="auto" w:fill="FFFFFF"/>
              </w:rPr>
              <w:t>ґ</w:t>
            </w:r>
            <w:r>
              <w:rPr>
                <w:rFonts w:ascii="Times New Roman" w:hAnsi="Times New Roman" w:cs="Times New Roman"/>
                <w:spacing w:val="3"/>
                <w:sz w:val="24"/>
                <w:szCs w:val="24"/>
              </w:rPr>
              <w:t>рунтових</w:t>
            </w:r>
            <w:r>
              <w:rPr>
                <w:rFonts w:ascii="Times New Roman" w:hAnsi="Times New Roman" w:cs="Times New Roman"/>
                <w:spacing w:val="3"/>
              </w:rPr>
              <w:t xml:space="preserve"> </w:t>
            </w:r>
            <w:r>
              <w:rPr>
                <w:rFonts w:ascii="Times New Roman" w:hAnsi="Times New Roman" w:cs="Times New Roman"/>
                <w:color w:val="000000"/>
                <w:spacing w:val="3"/>
              </w:rPr>
              <w:t>вод, водойм, особливо в період підвищення температури</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Встановлювати фільтри</w:t>
            </w:r>
          </w:p>
        </w:tc>
      </w:tr>
      <w:tr w:rsidR="00D227E2">
        <w:tc>
          <w:tcPr>
            <w:tcW w:w="9747" w:type="dxa"/>
            <w:tcBorders>
              <w:top w:val="single" w:sz="4" w:space="0" w:color="000000"/>
              <w:left w:val="single" w:sz="4" w:space="0" w:color="000000"/>
              <w:bottom w:val="single" w:sz="4" w:space="0" w:color="000000"/>
              <w:right w:val="single" w:sz="4" w:space="0" w:color="000000"/>
            </w:tcBorders>
          </w:tcPr>
          <w:p w:rsidR="00D227E2" w:rsidRDefault="00934FC4">
            <w:pPr>
              <w:widowControl w:val="0"/>
              <w:shd w:val="clear" w:color="auto" w:fill="FFFFFF"/>
              <w:spacing w:after="0"/>
              <w:jc w:val="both"/>
              <w:rPr>
                <w:rFonts w:ascii="Times New Roman" w:hAnsi="Times New Roman" w:cs="Times New Roman"/>
              </w:rPr>
            </w:pPr>
            <w:r>
              <w:rPr>
                <w:rFonts w:ascii="Times New Roman" w:hAnsi="Times New Roman" w:cs="Times New Roman"/>
                <w:color w:val="000000"/>
                <w:spacing w:val="3"/>
              </w:rPr>
              <w:t>Зробити перевірки місцевих озер регулярними, а не діяти по факту. Контролювати актуальність табличок і чітко виконувати норми чинного законодавства. Неухильно виконувати вказівки табличок «Купатись заборонено»</w:t>
            </w:r>
          </w:p>
        </w:tc>
      </w:tr>
    </w:tbl>
    <w:p w:rsidR="00D227E2" w:rsidRDefault="00934FC4">
      <w:pPr>
        <w:shd w:val="clear" w:color="auto" w:fill="FFFFFF"/>
        <w:spacing w:after="0"/>
        <w:ind w:firstLine="567"/>
        <w:jc w:val="both"/>
        <w:rPr>
          <w:rFonts w:ascii="Times New Roman" w:hAnsi="Times New Roman" w:cs="Times New Roman"/>
        </w:rPr>
      </w:pPr>
      <w:r>
        <w:rPr>
          <w:rFonts w:ascii="Times New Roman" w:eastAsia="Times New Roman" w:hAnsi="Times New Roman" w:cs="Times New Roman"/>
          <w:color w:val="000000"/>
          <w:sz w:val="24"/>
          <w:szCs w:val="24"/>
          <w:lang w:eastAsia="ru-RU"/>
        </w:rPr>
        <w:t>За результатами опитування, можливо зробити висновки, що мешканці Луцької МТГ помічають та відчувають вплив наслідків зміни клімату на здоров’я, побут, інфраструктуру громади.</w:t>
      </w:r>
    </w:p>
    <w:p w:rsidR="00D227E2" w:rsidRDefault="00934FC4">
      <w:pPr>
        <w:shd w:val="clear" w:color="auto" w:fill="FFFFFF"/>
        <w:spacing w:after="0"/>
        <w:ind w:firstLine="567"/>
        <w:jc w:val="both"/>
        <w:rPr>
          <w:rFonts w:ascii="Times New Roman" w:hAnsi="Times New Roman" w:cs="Times New Roman"/>
        </w:rPr>
      </w:pPr>
      <w:r>
        <w:rPr>
          <w:rFonts w:ascii="Times New Roman" w:eastAsia="Times New Roman" w:hAnsi="Times New Roman" w:cs="Times New Roman"/>
          <w:color w:val="000000"/>
          <w:sz w:val="24"/>
          <w:szCs w:val="24"/>
          <w:lang w:eastAsia="ru-RU"/>
        </w:rPr>
        <w:t>Очікування респондентів від місцевої влади зрозумілі та чіткі і мають бути враховані під час розробки адаптаційних заходів.</w:t>
      </w:r>
    </w:p>
    <w:p w:rsidR="00D227E2" w:rsidRDefault="00934FC4">
      <w:pPr>
        <w:shd w:val="clear" w:color="auto" w:fill="FFFFFF"/>
        <w:spacing w:after="0"/>
        <w:ind w:firstLine="567"/>
        <w:jc w:val="both"/>
        <w:rPr>
          <w:rFonts w:ascii="Times New Roman" w:hAnsi="Times New Roman" w:cs="Times New Roman"/>
        </w:rPr>
      </w:pPr>
      <w:r>
        <w:rPr>
          <w:rFonts w:ascii="Times New Roman" w:eastAsia="Times New Roman" w:hAnsi="Times New Roman" w:cs="Times New Roman"/>
          <w:color w:val="000000"/>
          <w:sz w:val="24"/>
          <w:szCs w:val="24"/>
          <w:lang w:eastAsia="ru-RU"/>
        </w:rPr>
        <w:t xml:space="preserve">Опитування проведено департаментом економічної політики Луцької міської ради онлайн в </w:t>
      </w:r>
      <w:r>
        <w:rPr>
          <w:rFonts w:ascii="Times New Roman" w:eastAsia="Times New Roman" w:hAnsi="Times New Roman" w:cs="Times New Roman"/>
          <w:color w:val="000000"/>
          <w:sz w:val="24"/>
          <w:szCs w:val="24"/>
          <w:shd w:val="clear" w:color="auto" w:fill="FFFFFF"/>
          <w:lang w:eastAsia="ru-RU"/>
        </w:rPr>
        <w:t>Google Forms.</w:t>
      </w:r>
    </w:p>
    <w:p w:rsidR="00D227E2" w:rsidRDefault="00D227E2">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9D512D" w:rsidRDefault="009D512D">
      <w:pPr>
        <w:spacing w:after="0" w:line="240" w:lineRule="auto"/>
      </w:pPr>
    </w:p>
    <w:p w:rsidR="009D512D" w:rsidRDefault="009D512D">
      <w:pPr>
        <w:spacing w:after="0" w:line="240" w:lineRule="auto"/>
      </w:pPr>
    </w:p>
    <w:p w:rsidR="009D512D" w:rsidRDefault="009D512D">
      <w:pPr>
        <w:spacing w:after="0" w:line="240" w:lineRule="auto"/>
      </w:pPr>
    </w:p>
    <w:p w:rsidR="009D512D" w:rsidRDefault="009D512D">
      <w:pPr>
        <w:spacing w:after="0" w:line="240" w:lineRule="auto"/>
      </w:pPr>
    </w:p>
    <w:p w:rsidR="009D512D" w:rsidRPr="009D512D" w:rsidRDefault="009D512D" w:rsidP="009D512D">
      <w:pPr>
        <w:spacing w:after="0" w:line="240" w:lineRule="auto"/>
        <w:rPr>
          <w:rFonts w:ascii="Times New Roman" w:hAnsi="Times New Roman" w:cs="Times New Roman"/>
        </w:rPr>
      </w:pPr>
      <w:r w:rsidRPr="009D512D">
        <w:rPr>
          <w:rFonts w:ascii="Times New Roman" w:eastAsia="Times New Roman" w:hAnsi="Times New Roman" w:cs="Times New Roman"/>
          <w:sz w:val="24"/>
          <w:szCs w:val="24"/>
          <w:lang w:eastAsia="ru-RU"/>
        </w:rPr>
        <w:t>Смаль 777 955</w:t>
      </w:r>
    </w:p>
    <w:p w:rsidR="00D227E2" w:rsidRDefault="00934FC4">
      <w:pPr>
        <w:spacing w:after="0" w:line="240" w:lineRule="auto"/>
        <w:rPr>
          <w:rFonts w:ascii="Times New Roman" w:hAnsi="Times New Roman" w:cs="Times New Roman"/>
          <w:sz w:val="24"/>
          <w:szCs w:val="24"/>
        </w:rPr>
      </w:pPr>
      <w:r>
        <w:br w:type="page"/>
      </w:r>
    </w:p>
    <w:p w:rsidR="00D227E2" w:rsidRDefault="00934FC4">
      <w:pPr>
        <w:spacing w:after="0"/>
        <w:jc w:val="right"/>
        <w:rPr>
          <w:rFonts w:ascii="Times New Roman" w:hAnsi="Times New Roman" w:cs="Times New Roman"/>
        </w:rPr>
      </w:pPr>
      <w:r>
        <w:rPr>
          <w:rFonts w:ascii="Times New Roman" w:hAnsi="Times New Roman" w:cs="Times New Roman"/>
          <w:b/>
          <w:bCs/>
          <w:sz w:val="24"/>
          <w:szCs w:val="24"/>
        </w:rPr>
        <w:lastRenderedPageBreak/>
        <w:t>ДОДАТОК 3</w:t>
      </w:r>
    </w:p>
    <w:p w:rsidR="00D227E2" w:rsidRDefault="00934FC4">
      <w:pPr>
        <w:spacing w:after="0"/>
        <w:jc w:val="center"/>
        <w:rPr>
          <w:rFonts w:ascii="Times New Roman" w:hAnsi="Times New Roman" w:cs="Times New Roman"/>
        </w:rPr>
      </w:pPr>
      <w:r>
        <w:rPr>
          <w:rFonts w:ascii="Times New Roman" w:hAnsi="Times New Roman" w:cs="Times New Roman"/>
          <w:sz w:val="24"/>
          <w:szCs w:val="24"/>
        </w:rPr>
        <w:t>Метеорологічні показники по території Луцької МТГ</w:t>
      </w:r>
    </w:p>
    <w:p w:rsidR="00D227E2" w:rsidRDefault="00934FC4">
      <w:pPr>
        <w:spacing w:after="0"/>
        <w:jc w:val="center"/>
        <w:rPr>
          <w:rFonts w:ascii="Times New Roman" w:hAnsi="Times New Roman" w:cs="Times New Roman"/>
        </w:rPr>
      </w:pPr>
      <w:r>
        <w:rPr>
          <w:rFonts w:ascii="Times New Roman" w:hAnsi="Times New Roman" w:cs="Times New Roman"/>
          <w:sz w:val="24"/>
          <w:szCs w:val="24"/>
        </w:rPr>
        <w:t>(за даними  найближчої метеостанції Луцьк)</w:t>
      </w:r>
      <w:r>
        <w:rPr>
          <w:noProof/>
          <w:lang w:eastAsia="uk-UA"/>
        </w:rPr>
        <w:drawing>
          <wp:inline distT="0" distB="0" distL="0" distR="0">
            <wp:extent cx="6115050" cy="7572375"/>
            <wp:effectExtent l="0" t="0" r="0" b="0"/>
            <wp:docPr id="135"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Рисунок 127"/>
                    <pic:cNvPicPr>
                      <a:picLocks noChangeAspect="1" noChangeArrowheads="1"/>
                    </pic:cNvPicPr>
                  </pic:nvPicPr>
                  <pic:blipFill>
                    <a:blip r:embed="rId194"/>
                    <a:stretch>
                      <a:fillRect/>
                    </a:stretch>
                  </pic:blipFill>
                  <pic:spPr bwMode="auto">
                    <a:xfrm>
                      <a:off x="0" y="0"/>
                      <a:ext cx="6115050" cy="7572375"/>
                    </a:xfrm>
                    <a:prstGeom prst="rect">
                      <a:avLst/>
                    </a:prstGeom>
                  </pic:spPr>
                </pic:pic>
              </a:graphicData>
            </a:graphic>
          </wp:inline>
        </w:drawing>
      </w:r>
    </w:p>
    <w:p w:rsidR="00D227E2" w:rsidRDefault="00D227E2">
      <w:pPr>
        <w:spacing w:after="120"/>
        <w:ind w:firstLine="709"/>
        <w:jc w:val="both"/>
        <w:rPr>
          <w:rFonts w:ascii="Times New Roman" w:hAnsi="Times New Roman" w:cs="Times New Roman"/>
          <w:sz w:val="24"/>
          <w:szCs w:val="24"/>
        </w:rPr>
      </w:pPr>
    </w:p>
    <w:p w:rsidR="00D227E2" w:rsidRDefault="00D227E2">
      <w:pPr>
        <w:spacing w:after="120"/>
        <w:ind w:firstLine="709"/>
        <w:jc w:val="both"/>
        <w:rPr>
          <w:rFonts w:ascii="Times New Roman" w:hAnsi="Times New Roman" w:cs="Times New Roman"/>
          <w:sz w:val="24"/>
          <w:szCs w:val="24"/>
        </w:rPr>
      </w:pPr>
    </w:p>
    <w:p w:rsidR="00D227E2" w:rsidRDefault="00D227E2">
      <w:pPr>
        <w:spacing w:after="120"/>
        <w:ind w:firstLine="709"/>
        <w:jc w:val="both"/>
        <w:rPr>
          <w:rFonts w:ascii="Times New Roman" w:hAnsi="Times New Roman" w:cs="Times New Roman"/>
          <w:sz w:val="24"/>
          <w:szCs w:val="24"/>
        </w:rPr>
      </w:pPr>
    </w:p>
    <w:p w:rsidR="00D227E2" w:rsidRDefault="00D227E2">
      <w:pPr>
        <w:spacing w:after="120"/>
        <w:ind w:firstLine="709"/>
        <w:jc w:val="both"/>
        <w:rPr>
          <w:rFonts w:ascii="Times New Roman" w:hAnsi="Times New Roman" w:cs="Times New Roman"/>
          <w:sz w:val="24"/>
          <w:szCs w:val="24"/>
        </w:rPr>
      </w:pPr>
    </w:p>
    <w:p w:rsidR="00D227E2" w:rsidRDefault="00934FC4">
      <w:pPr>
        <w:spacing w:after="120"/>
        <w:ind w:firstLine="709"/>
        <w:jc w:val="both"/>
        <w:rPr>
          <w:rFonts w:ascii="Times New Roman" w:hAnsi="Times New Roman" w:cs="Times New Roman"/>
        </w:rPr>
      </w:pPr>
      <w:r>
        <w:rPr>
          <w:noProof/>
          <w:lang w:eastAsia="uk-UA"/>
        </w:rPr>
        <w:lastRenderedPageBreak/>
        <w:drawing>
          <wp:inline distT="0" distB="0" distL="0" distR="0">
            <wp:extent cx="5784215" cy="8649970"/>
            <wp:effectExtent l="0" t="0" r="0" b="0"/>
            <wp:docPr id="136"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Рисунок 128"/>
                    <pic:cNvPicPr>
                      <a:picLocks noChangeAspect="1" noChangeArrowheads="1"/>
                    </pic:cNvPicPr>
                  </pic:nvPicPr>
                  <pic:blipFill>
                    <a:blip r:embed="rId195"/>
                    <a:stretch>
                      <a:fillRect/>
                    </a:stretch>
                  </pic:blipFill>
                  <pic:spPr bwMode="auto">
                    <a:xfrm>
                      <a:off x="0" y="0"/>
                      <a:ext cx="5784215" cy="8649970"/>
                    </a:xfrm>
                    <a:prstGeom prst="rect">
                      <a:avLst/>
                    </a:prstGeom>
                  </pic:spPr>
                </pic:pic>
              </a:graphicData>
            </a:graphic>
          </wp:inline>
        </w:drawing>
      </w:r>
    </w:p>
    <w:p w:rsidR="00D227E2" w:rsidRDefault="00934FC4">
      <w:pPr>
        <w:tabs>
          <w:tab w:val="left" w:pos="2955"/>
        </w:tabs>
        <w:rPr>
          <w:rFonts w:ascii="Times New Roman" w:hAnsi="Times New Roman" w:cs="Times New Roman"/>
        </w:rPr>
      </w:pPr>
      <w:r>
        <w:rPr>
          <w:rFonts w:ascii="Times New Roman" w:hAnsi="Times New Roman" w:cs="Times New Roman"/>
          <w:sz w:val="24"/>
          <w:szCs w:val="24"/>
        </w:rPr>
        <w:tab/>
      </w:r>
    </w:p>
    <w:p w:rsidR="00D227E2" w:rsidRDefault="00934FC4">
      <w:pPr>
        <w:tabs>
          <w:tab w:val="left" w:pos="2955"/>
        </w:tabs>
        <w:rPr>
          <w:rFonts w:ascii="Times New Roman" w:hAnsi="Times New Roman" w:cs="Times New Roman"/>
        </w:rPr>
      </w:pPr>
      <w:r>
        <w:rPr>
          <w:noProof/>
          <w:lang w:eastAsia="uk-UA"/>
        </w:rPr>
        <w:lastRenderedPageBreak/>
        <w:drawing>
          <wp:inline distT="0" distB="0" distL="0" distR="0">
            <wp:extent cx="6120130" cy="8649970"/>
            <wp:effectExtent l="0" t="0" r="0" b="0"/>
            <wp:docPr id="137"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Рисунок 129"/>
                    <pic:cNvPicPr>
                      <a:picLocks noChangeAspect="1" noChangeArrowheads="1"/>
                    </pic:cNvPicPr>
                  </pic:nvPicPr>
                  <pic:blipFill>
                    <a:blip r:embed="rId196"/>
                    <a:stretch>
                      <a:fillRect/>
                    </a:stretch>
                  </pic:blipFill>
                  <pic:spPr bwMode="auto">
                    <a:xfrm>
                      <a:off x="0" y="0"/>
                      <a:ext cx="6120130" cy="8649970"/>
                    </a:xfrm>
                    <a:prstGeom prst="rect">
                      <a:avLst/>
                    </a:prstGeom>
                  </pic:spPr>
                </pic:pic>
              </a:graphicData>
            </a:graphic>
          </wp:inline>
        </w:drawing>
      </w:r>
    </w:p>
    <w:p w:rsidR="00D227E2" w:rsidRDefault="00D227E2">
      <w:pPr>
        <w:tabs>
          <w:tab w:val="left" w:pos="2955"/>
        </w:tabs>
        <w:rPr>
          <w:rFonts w:ascii="Times New Roman" w:hAnsi="Times New Roman" w:cs="Times New Roman"/>
          <w:sz w:val="24"/>
          <w:szCs w:val="24"/>
        </w:rPr>
      </w:pPr>
    </w:p>
    <w:p w:rsidR="00D227E2" w:rsidRDefault="00934FC4">
      <w:pPr>
        <w:tabs>
          <w:tab w:val="left" w:pos="2955"/>
        </w:tabs>
        <w:rPr>
          <w:rFonts w:ascii="Times New Roman" w:hAnsi="Times New Roman" w:cs="Times New Roman"/>
        </w:rPr>
      </w:pPr>
      <w:r>
        <w:rPr>
          <w:noProof/>
          <w:lang w:eastAsia="uk-UA"/>
        </w:rPr>
        <w:lastRenderedPageBreak/>
        <w:drawing>
          <wp:inline distT="0" distB="0" distL="0" distR="0">
            <wp:extent cx="6120130" cy="8649970"/>
            <wp:effectExtent l="0" t="0" r="0" b="0"/>
            <wp:docPr id="138"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Рисунок 130"/>
                    <pic:cNvPicPr>
                      <a:picLocks noChangeAspect="1" noChangeArrowheads="1"/>
                    </pic:cNvPicPr>
                  </pic:nvPicPr>
                  <pic:blipFill>
                    <a:blip r:embed="rId197"/>
                    <a:stretch>
                      <a:fillRect/>
                    </a:stretch>
                  </pic:blipFill>
                  <pic:spPr bwMode="auto">
                    <a:xfrm>
                      <a:off x="0" y="0"/>
                      <a:ext cx="6120130" cy="8649970"/>
                    </a:xfrm>
                    <a:prstGeom prst="rect">
                      <a:avLst/>
                    </a:prstGeom>
                  </pic:spPr>
                </pic:pic>
              </a:graphicData>
            </a:graphic>
          </wp:inline>
        </w:drawing>
      </w:r>
    </w:p>
    <w:p w:rsidR="00D227E2" w:rsidRDefault="00D227E2">
      <w:pPr>
        <w:tabs>
          <w:tab w:val="left" w:pos="2955"/>
        </w:tabs>
        <w:rPr>
          <w:rFonts w:ascii="Times New Roman" w:hAnsi="Times New Roman" w:cs="Times New Roman"/>
          <w:sz w:val="24"/>
          <w:szCs w:val="24"/>
        </w:rPr>
      </w:pPr>
    </w:p>
    <w:p w:rsidR="00D227E2" w:rsidRDefault="00D227E2">
      <w:pPr>
        <w:tabs>
          <w:tab w:val="left" w:pos="2955"/>
        </w:tabs>
        <w:rPr>
          <w:rFonts w:ascii="Times New Roman" w:hAnsi="Times New Roman" w:cs="Times New Roman"/>
          <w:sz w:val="24"/>
          <w:szCs w:val="24"/>
        </w:rPr>
      </w:pPr>
    </w:p>
    <w:p w:rsidR="00D227E2" w:rsidRDefault="00934FC4">
      <w:pPr>
        <w:tabs>
          <w:tab w:val="left" w:pos="2955"/>
        </w:tabs>
        <w:rPr>
          <w:rFonts w:ascii="Times New Roman" w:hAnsi="Times New Roman" w:cs="Times New Roman"/>
        </w:rPr>
      </w:pPr>
      <w:r>
        <w:rPr>
          <w:noProof/>
          <w:lang w:eastAsia="uk-UA"/>
        </w:rPr>
        <w:drawing>
          <wp:inline distT="0" distB="0" distL="0" distR="0">
            <wp:extent cx="6120130" cy="8649970"/>
            <wp:effectExtent l="0" t="0" r="0" b="0"/>
            <wp:docPr id="139"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Рисунок 131"/>
                    <pic:cNvPicPr>
                      <a:picLocks noChangeAspect="1" noChangeArrowheads="1"/>
                    </pic:cNvPicPr>
                  </pic:nvPicPr>
                  <pic:blipFill>
                    <a:blip r:embed="rId198"/>
                    <a:stretch>
                      <a:fillRect/>
                    </a:stretch>
                  </pic:blipFill>
                  <pic:spPr bwMode="auto">
                    <a:xfrm>
                      <a:off x="0" y="0"/>
                      <a:ext cx="6120130" cy="8649970"/>
                    </a:xfrm>
                    <a:prstGeom prst="rect">
                      <a:avLst/>
                    </a:prstGeom>
                  </pic:spPr>
                </pic:pic>
              </a:graphicData>
            </a:graphic>
          </wp:inline>
        </w:drawing>
      </w:r>
    </w:p>
    <w:p w:rsidR="00D227E2" w:rsidRDefault="00934FC4">
      <w:pPr>
        <w:tabs>
          <w:tab w:val="left" w:pos="2955"/>
        </w:tabs>
        <w:rPr>
          <w:rFonts w:ascii="Times New Roman" w:hAnsi="Times New Roman" w:cs="Times New Roman"/>
        </w:rPr>
      </w:pPr>
      <w:r>
        <w:rPr>
          <w:noProof/>
          <w:lang w:eastAsia="uk-UA"/>
        </w:rPr>
        <w:lastRenderedPageBreak/>
        <w:drawing>
          <wp:inline distT="0" distB="0" distL="0" distR="0">
            <wp:extent cx="6120130" cy="8649970"/>
            <wp:effectExtent l="0" t="0" r="0" b="0"/>
            <wp:docPr id="140"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Рисунок 132"/>
                    <pic:cNvPicPr>
                      <a:picLocks noChangeAspect="1" noChangeArrowheads="1"/>
                    </pic:cNvPicPr>
                  </pic:nvPicPr>
                  <pic:blipFill>
                    <a:blip r:embed="rId199"/>
                    <a:stretch>
                      <a:fillRect/>
                    </a:stretch>
                  </pic:blipFill>
                  <pic:spPr bwMode="auto">
                    <a:xfrm>
                      <a:off x="0" y="0"/>
                      <a:ext cx="6120130" cy="8649970"/>
                    </a:xfrm>
                    <a:prstGeom prst="rect">
                      <a:avLst/>
                    </a:prstGeom>
                  </pic:spPr>
                </pic:pic>
              </a:graphicData>
            </a:graphic>
          </wp:inline>
        </w:drawing>
      </w:r>
    </w:p>
    <w:p w:rsidR="00D227E2" w:rsidRDefault="00D227E2">
      <w:pPr>
        <w:tabs>
          <w:tab w:val="left" w:pos="2955"/>
        </w:tabs>
        <w:rPr>
          <w:rFonts w:ascii="Times New Roman" w:hAnsi="Times New Roman" w:cs="Times New Roman"/>
          <w:sz w:val="24"/>
          <w:szCs w:val="24"/>
        </w:rPr>
      </w:pPr>
    </w:p>
    <w:p w:rsidR="00D227E2" w:rsidRDefault="00934FC4">
      <w:pPr>
        <w:tabs>
          <w:tab w:val="left" w:pos="2955"/>
        </w:tabs>
        <w:rPr>
          <w:rFonts w:ascii="Times New Roman" w:hAnsi="Times New Roman" w:cs="Times New Roman"/>
        </w:rPr>
      </w:pPr>
      <w:r>
        <w:rPr>
          <w:noProof/>
          <w:lang w:eastAsia="uk-UA"/>
        </w:rPr>
        <w:lastRenderedPageBreak/>
        <w:drawing>
          <wp:inline distT="0" distB="0" distL="0" distR="0">
            <wp:extent cx="6120130" cy="8326755"/>
            <wp:effectExtent l="0" t="0" r="0" b="0"/>
            <wp:docPr id="141"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Рисунок 133"/>
                    <pic:cNvPicPr>
                      <a:picLocks noChangeAspect="1" noChangeArrowheads="1"/>
                    </pic:cNvPicPr>
                  </pic:nvPicPr>
                  <pic:blipFill>
                    <a:blip r:embed="rId200"/>
                    <a:stretch>
                      <a:fillRect/>
                    </a:stretch>
                  </pic:blipFill>
                  <pic:spPr bwMode="auto">
                    <a:xfrm>
                      <a:off x="0" y="0"/>
                      <a:ext cx="6120130" cy="8326755"/>
                    </a:xfrm>
                    <a:prstGeom prst="rect">
                      <a:avLst/>
                    </a:prstGeom>
                  </pic:spPr>
                </pic:pic>
              </a:graphicData>
            </a:graphic>
          </wp:inline>
        </w:drawing>
      </w:r>
    </w:p>
    <w:p w:rsidR="00D227E2" w:rsidRDefault="00D227E2">
      <w:pPr>
        <w:spacing w:after="0"/>
        <w:jc w:val="both"/>
        <w:rPr>
          <w:rFonts w:ascii="Times New Roman" w:hAnsi="Times New Roman" w:cs="Times New Roman"/>
          <w:sz w:val="24"/>
          <w:szCs w:val="24"/>
        </w:rPr>
      </w:pPr>
    </w:p>
    <w:p w:rsidR="00D227E2" w:rsidRDefault="00D227E2">
      <w:pPr>
        <w:spacing w:after="0"/>
        <w:jc w:val="both"/>
        <w:rPr>
          <w:rFonts w:ascii="Times New Roman" w:hAnsi="Times New Roman" w:cs="Times New Roman"/>
          <w:sz w:val="24"/>
          <w:szCs w:val="24"/>
        </w:rPr>
      </w:pPr>
    </w:p>
    <w:p w:rsidR="009D512D" w:rsidRPr="009D512D" w:rsidRDefault="009D512D" w:rsidP="009D512D">
      <w:pPr>
        <w:spacing w:after="0" w:line="240" w:lineRule="auto"/>
        <w:rPr>
          <w:rFonts w:ascii="Times New Roman" w:hAnsi="Times New Roman" w:cs="Times New Roman"/>
        </w:rPr>
      </w:pPr>
      <w:r w:rsidRPr="009D512D">
        <w:rPr>
          <w:rFonts w:ascii="Times New Roman" w:eastAsia="Times New Roman" w:hAnsi="Times New Roman" w:cs="Times New Roman"/>
          <w:sz w:val="24"/>
          <w:szCs w:val="24"/>
          <w:lang w:eastAsia="ru-RU"/>
        </w:rPr>
        <w:t>Смаль 777 955</w:t>
      </w:r>
    </w:p>
    <w:p w:rsidR="00D227E2" w:rsidRDefault="00934FC4">
      <w:pPr>
        <w:spacing w:after="0" w:line="240" w:lineRule="auto"/>
        <w:rPr>
          <w:rFonts w:ascii="Times New Roman" w:hAnsi="Times New Roman" w:cs="Times New Roman"/>
          <w:sz w:val="24"/>
          <w:szCs w:val="24"/>
        </w:rPr>
        <w:sectPr w:rsidR="00D227E2">
          <w:headerReference w:type="even" r:id="rId201"/>
          <w:headerReference w:type="default" r:id="rId202"/>
          <w:footerReference w:type="even" r:id="rId203"/>
          <w:footerReference w:type="default" r:id="rId204"/>
          <w:headerReference w:type="first" r:id="rId205"/>
          <w:footerReference w:type="first" r:id="rId206"/>
          <w:pgSz w:w="11906" w:h="16838"/>
          <w:pgMar w:top="1134" w:right="567" w:bottom="1134" w:left="1701" w:header="0" w:footer="0" w:gutter="0"/>
          <w:cols w:space="720"/>
          <w:formProt w:val="0"/>
          <w:docGrid w:linePitch="600" w:charSpace="114688"/>
        </w:sectPr>
      </w:pPr>
      <w:r>
        <w:br w:type="page"/>
      </w:r>
    </w:p>
    <w:p w:rsidR="00D227E2" w:rsidRDefault="009D512D">
      <w:pPr>
        <w:spacing w:after="0"/>
        <w:jc w:val="right"/>
        <w:rPr>
          <w:rFonts w:ascii="Times New Roman" w:hAnsi="Times New Roman" w:cs="Times New Roman"/>
        </w:rPr>
      </w:pPr>
      <w:r>
        <w:rPr>
          <w:rFonts w:ascii="Times New Roman" w:hAnsi="Times New Roman" w:cs="Times New Roman"/>
          <w:b/>
          <w:bCs/>
          <w:sz w:val="24"/>
          <w:szCs w:val="24"/>
        </w:rPr>
        <w:lastRenderedPageBreak/>
        <w:t>ДОДАТОК 4</w:t>
      </w:r>
      <w:r w:rsidR="00934FC4">
        <w:rPr>
          <w:rFonts w:ascii="Times New Roman" w:hAnsi="Times New Roman" w:cs="Times New Roman"/>
          <w:sz w:val="24"/>
          <w:szCs w:val="24"/>
        </w:rPr>
        <w:t xml:space="preserve">  </w:t>
      </w:r>
    </w:p>
    <w:p w:rsidR="00D227E2" w:rsidRDefault="00934FC4">
      <w:pPr>
        <w:spacing w:after="0"/>
        <w:jc w:val="center"/>
        <w:rPr>
          <w:rFonts w:ascii="Times New Roman" w:hAnsi="Times New Roman" w:cs="Times New Roman"/>
          <w:sz w:val="24"/>
          <w:szCs w:val="24"/>
        </w:rPr>
      </w:pPr>
      <w:r>
        <w:rPr>
          <w:rFonts w:ascii="Times New Roman" w:hAnsi="Times New Roman" w:cs="Times New Roman"/>
          <w:sz w:val="24"/>
          <w:szCs w:val="24"/>
        </w:rPr>
        <w:t>Перелік заходів щодо пом’якшення наслідків зміни клімату</w:t>
      </w:r>
    </w:p>
    <w:tbl>
      <w:tblPr>
        <w:tblW w:w="15675" w:type="dxa"/>
        <w:tblInd w:w="55" w:type="dxa"/>
        <w:tblLayout w:type="fixed"/>
        <w:tblCellMar>
          <w:top w:w="55" w:type="dxa"/>
          <w:left w:w="55" w:type="dxa"/>
          <w:bottom w:w="55" w:type="dxa"/>
          <w:right w:w="55" w:type="dxa"/>
        </w:tblCellMar>
        <w:tblLook w:val="0000" w:firstRow="0" w:lastRow="0" w:firstColumn="0" w:lastColumn="0" w:noHBand="0" w:noVBand="0"/>
      </w:tblPr>
      <w:tblGrid>
        <w:gridCol w:w="398"/>
        <w:gridCol w:w="1361"/>
        <w:gridCol w:w="1199"/>
        <w:gridCol w:w="1701"/>
        <w:gridCol w:w="959"/>
        <w:gridCol w:w="1020"/>
        <w:gridCol w:w="1021"/>
        <w:gridCol w:w="900"/>
        <w:gridCol w:w="1080"/>
        <w:gridCol w:w="1240"/>
        <w:gridCol w:w="1020"/>
        <w:gridCol w:w="859"/>
        <w:gridCol w:w="1020"/>
        <w:gridCol w:w="851"/>
        <w:gridCol w:w="1046"/>
      </w:tblGrid>
      <w:tr w:rsidR="00D227E2">
        <w:trPr>
          <w:trHeight w:val="300"/>
        </w:trPr>
        <w:tc>
          <w:tcPr>
            <w:tcW w:w="39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tabs>
                <w:tab w:val="left" w:pos="1275"/>
              </w:tabs>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eastAsia="zh-CN"/>
              </w:rPr>
              <w:t>№</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eastAsia="zh-CN"/>
              </w:rPr>
              <w:t>Назва заходу</w:t>
            </w:r>
          </w:p>
        </w:tc>
        <w:tc>
          <w:tcPr>
            <w:tcW w:w="119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eastAsia="zh-CN"/>
              </w:rPr>
              <w:t>Сфера впливу</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eastAsia="zh-CN"/>
              </w:rPr>
              <w:t>Опис заходу</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eastAsia="zh-CN"/>
              </w:rPr>
              <w:t>Фінансове джерело</w:t>
            </w:r>
          </w:p>
        </w:tc>
        <w:tc>
          <w:tcPr>
            <w:tcW w:w="10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eastAsia="zh-CN"/>
              </w:rPr>
              <w:t>Відповідальний орган</w:t>
            </w:r>
          </w:p>
        </w:tc>
        <w:tc>
          <w:tcPr>
            <w:tcW w:w="1921" w:type="dxa"/>
            <w:gridSpan w:val="2"/>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eastAsia="zh-CN"/>
              </w:rPr>
              <w:t>Вартість заходу</w:t>
            </w:r>
          </w:p>
        </w:tc>
        <w:tc>
          <w:tcPr>
            <w:tcW w:w="3340" w:type="dxa"/>
            <w:gridSpan w:val="3"/>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eastAsia="zh-CN"/>
              </w:rPr>
              <w:t>Заплановані показники</w:t>
            </w:r>
          </w:p>
        </w:tc>
        <w:tc>
          <w:tcPr>
            <w:tcW w:w="1879" w:type="dxa"/>
            <w:gridSpan w:val="2"/>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eastAsia="zh-CN"/>
              </w:rPr>
              <w:t>Терміни виконання</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eastAsia="zh-CN"/>
              </w:rPr>
              <w:t>Статус реалізації</w:t>
            </w:r>
          </w:p>
        </w:tc>
        <w:tc>
          <w:tcPr>
            <w:tcW w:w="10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eastAsia="zh-CN"/>
              </w:rPr>
              <w:t>Наявність інших ефектів (подолання енергетичної бідності/ адаптації до змін клімату /енергетична безпека)</w:t>
            </w:r>
          </w:p>
        </w:tc>
      </w:tr>
      <w:tr w:rsidR="00D227E2">
        <w:trPr>
          <w:trHeight w:val="1343"/>
        </w:trPr>
        <w:tc>
          <w:tcPr>
            <w:tcW w:w="399" w:type="dxa"/>
            <w:vMerge/>
            <w:tcBorders>
              <w:top w:val="single" w:sz="4" w:space="0" w:color="000000"/>
              <w:left w:val="single" w:sz="4" w:space="0" w:color="000000"/>
              <w:bottom w:val="single" w:sz="4" w:space="0" w:color="000000"/>
              <w:right w:val="single" w:sz="4" w:space="0" w:color="000000"/>
            </w:tcBorders>
            <w:shd w:val="clear" w:color="auto" w:fill="auto"/>
          </w:tcPr>
          <w:p w:rsidR="00D227E2" w:rsidRDefault="00D227E2">
            <w:pPr>
              <w:snapToGrid w:val="0"/>
              <w:spacing w:after="0" w:line="240" w:lineRule="auto"/>
              <w:jc w:val="center"/>
              <w:rPr>
                <w:rFonts w:ascii="Times New Roman" w:eastAsia="Times New Roman" w:hAnsi="Times New Roman" w:cs="Times New Roman"/>
                <w:sz w:val="18"/>
                <w:szCs w:val="18"/>
                <w:lang w:eastAsia="zh-CN"/>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tcPr>
          <w:p w:rsidR="00D227E2" w:rsidRDefault="00D227E2">
            <w:pPr>
              <w:snapToGrid w:val="0"/>
              <w:spacing w:after="0" w:line="240" w:lineRule="auto"/>
              <w:jc w:val="center"/>
              <w:rPr>
                <w:rFonts w:ascii="Times New Roman" w:eastAsia="Times New Roman" w:hAnsi="Times New Roman" w:cs="Times New Roman"/>
                <w:sz w:val="18"/>
                <w:szCs w:val="18"/>
                <w:lang w:eastAsia="zh-CN"/>
              </w:rPr>
            </w:pPr>
          </w:p>
        </w:tc>
        <w:tc>
          <w:tcPr>
            <w:tcW w:w="1199" w:type="dxa"/>
            <w:vMerge/>
            <w:tcBorders>
              <w:top w:val="single" w:sz="4" w:space="0" w:color="000000"/>
              <w:left w:val="single" w:sz="4" w:space="0" w:color="000000"/>
              <w:bottom w:val="single" w:sz="4" w:space="0" w:color="000000"/>
              <w:right w:val="single" w:sz="4" w:space="0" w:color="000000"/>
            </w:tcBorders>
            <w:shd w:val="clear" w:color="auto" w:fill="auto"/>
          </w:tcPr>
          <w:p w:rsidR="00D227E2" w:rsidRDefault="00D227E2">
            <w:pPr>
              <w:snapToGrid w:val="0"/>
              <w:spacing w:after="0" w:line="240" w:lineRule="auto"/>
              <w:jc w:val="center"/>
              <w:rPr>
                <w:rFonts w:ascii="Times New Roman" w:eastAsia="Times New Roman" w:hAnsi="Times New Roman" w:cs="Times New Roman"/>
                <w:sz w:val="18"/>
                <w:szCs w:val="18"/>
                <w:lang w:eastAsia="zh-C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D227E2" w:rsidRDefault="00D227E2">
            <w:pPr>
              <w:snapToGrid w:val="0"/>
              <w:spacing w:after="0" w:line="240" w:lineRule="auto"/>
              <w:jc w:val="center"/>
              <w:rPr>
                <w:rFonts w:ascii="Times New Roman" w:eastAsia="Times New Roman" w:hAnsi="Times New Roman" w:cs="Times New Roman"/>
                <w:sz w:val="18"/>
                <w:szCs w:val="18"/>
                <w:lang w:eastAsia="zh-CN"/>
              </w:rPr>
            </w:pPr>
          </w:p>
        </w:tc>
        <w:tc>
          <w:tcPr>
            <w:tcW w:w="959" w:type="dxa"/>
            <w:vMerge/>
            <w:tcBorders>
              <w:top w:val="single" w:sz="4" w:space="0" w:color="000000"/>
              <w:left w:val="single" w:sz="4" w:space="0" w:color="000000"/>
              <w:bottom w:val="single" w:sz="4" w:space="0" w:color="000000"/>
              <w:right w:val="single" w:sz="4" w:space="0" w:color="000000"/>
            </w:tcBorders>
            <w:shd w:val="clear" w:color="auto" w:fill="auto"/>
          </w:tcPr>
          <w:p w:rsidR="00D227E2" w:rsidRDefault="00D227E2">
            <w:pPr>
              <w:snapToGrid w:val="0"/>
              <w:spacing w:after="0" w:line="240" w:lineRule="auto"/>
              <w:jc w:val="center"/>
              <w:rPr>
                <w:rFonts w:ascii="Times New Roman" w:eastAsia="Times New Roman" w:hAnsi="Times New Roman" w:cs="Times New Roman"/>
                <w:sz w:val="18"/>
                <w:szCs w:val="18"/>
                <w:lang w:eastAsia="zh-CN"/>
              </w:rPr>
            </w:pPr>
          </w:p>
        </w:tc>
        <w:tc>
          <w:tcPr>
            <w:tcW w:w="1020" w:type="dxa"/>
            <w:vMerge/>
            <w:tcBorders>
              <w:top w:val="single" w:sz="4" w:space="0" w:color="000000"/>
              <w:left w:val="single" w:sz="4" w:space="0" w:color="000000"/>
              <w:bottom w:val="single" w:sz="4" w:space="0" w:color="000000"/>
              <w:right w:val="single" w:sz="4" w:space="0" w:color="000000"/>
            </w:tcBorders>
            <w:shd w:val="clear" w:color="auto" w:fill="auto"/>
          </w:tcPr>
          <w:p w:rsidR="00D227E2" w:rsidRDefault="00D227E2">
            <w:pPr>
              <w:tabs>
                <w:tab w:val="left" w:pos="10720"/>
                <w:tab w:val="left" w:pos="11000"/>
              </w:tabs>
              <w:snapToGrid w:val="0"/>
              <w:spacing w:after="0" w:line="240" w:lineRule="auto"/>
              <w:jc w:val="center"/>
              <w:rPr>
                <w:rFonts w:ascii="Times New Roman" w:eastAsia="Times New Roman" w:hAnsi="Times New Roman" w:cs="Times New Roman"/>
                <w:sz w:val="18"/>
                <w:szCs w:val="18"/>
                <w:lang w:eastAsia="zh-CN"/>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eastAsia="zh-CN"/>
              </w:rPr>
              <w:t>Виконані інвестиції на даний момент, тис. грн.</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tabs>
                <w:tab w:val="left" w:pos="450"/>
              </w:tabs>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eastAsia="zh-CN"/>
              </w:rPr>
              <w:t>Загальна вартість, тис. грн.</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eastAsia="zh-CN"/>
              </w:rPr>
              <w:t>Заплановане скорочення енергоспоживання, МВт.год на рік</w:t>
            </w:r>
          </w:p>
        </w:tc>
        <w:tc>
          <w:tcPr>
            <w:tcW w:w="124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eastAsia="zh-CN"/>
              </w:rPr>
              <w:t>Виробництво відновлювальної енергії, МВт.год на рік</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eastAsia="zh-CN"/>
              </w:rPr>
              <w:t>Зменшення викидів СО</w:t>
            </w:r>
            <w:r>
              <w:rPr>
                <w:rFonts w:ascii="Times New Roman" w:eastAsia="Times New Roman" w:hAnsi="Times New Roman" w:cs="Times New Roman"/>
                <w:sz w:val="18"/>
                <w:szCs w:val="18"/>
                <w:vertAlign w:val="subscript"/>
                <w:lang w:eastAsia="zh-CN"/>
              </w:rPr>
              <w:t>2</w:t>
            </w:r>
            <w:r>
              <w:rPr>
                <w:rFonts w:ascii="Times New Roman" w:eastAsia="Times New Roman" w:hAnsi="Times New Roman" w:cs="Times New Roman"/>
                <w:sz w:val="18"/>
                <w:szCs w:val="18"/>
                <w:lang w:eastAsia="zh-CN"/>
              </w:rPr>
              <w:t>, т/рік</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eastAsia="zh-CN"/>
              </w:rPr>
              <w:t>Початок, рік</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eastAsia="zh-CN"/>
              </w:rPr>
              <w:t>Закінчення, рік</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rsidR="00D227E2" w:rsidRDefault="00D227E2">
            <w:pPr>
              <w:snapToGrid w:val="0"/>
              <w:spacing w:after="0" w:line="240" w:lineRule="auto"/>
              <w:jc w:val="center"/>
              <w:rPr>
                <w:rFonts w:ascii="Times New Roman" w:eastAsia="Times New Roman" w:hAnsi="Times New Roman" w:cs="Times New Roman"/>
                <w:sz w:val="18"/>
                <w:szCs w:val="18"/>
                <w:lang w:eastAsia="zh-CN"/>
              </w:rPr>
            </w:pPr>
          </w:p>
        </w:tc>
        <w:tc>
          <w:tcPr>
            <w:tcW w:w="10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D227E2">
            <w:pPr>
              <w:snapToGrid w:val="0"/>
              <w:spacing w:after="0" w:line="240" w:lineRule="auto"/>
              <w:jc w:val="center"/>
              <w:rPr>
                <w:rFonts w:ascii="Times New Roman" w:eastAsia="Times New Roman" w:hAnsi="Times New Roman" w:cs="Times New Roman"/>
                <w:sz w:val="18"/>
                <w:szCs w:val="18"/>
                <w:lang w:eastAsia="zh-CN"/>
              </w:rPr>
            </w:pPr>
          </w:p>
        </w:tc>
      </w:tr>
      <w:tr w:rsidR="00D227E2">
        <w:trPr>
          <w:trHeight w:val="300"/>
        </w:trPr>
        <w:tc>
          <w:tcPr>
            <w:tcW w:w="15675" w:type="dxa"/>
            <w:gridSpan w:val="15"/>
            <w:tcBorders>
              <w:top w:val="single" w:sz="4" w:space="0" w:color="000000"/>
              <w:left w:val="single" w:sz="4" w:space="0" w:color="000000"/>
              <w:bottom w:val="single" w:sz="4" w:space="0" w:color="000000"/>
              <w:right w:val="single" w:sz="4" w:space="0" w:color="000000"/>
            </w:tcBorders>
            <w:shd w:val="clear" w:color="auto" w:fill="auto"/>
            <w:vAlign w:val="bottom"/>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eastAsia="zh-CN"/>
              </w:rPr>
              <w:t>Муніципальні будівлі, обладнання/об'єкти</w:t>
            </w:r>
          </w:p>
        </w:tc>
      </w:tr>
      <w:tr w:rsidR="00D227E2">
        <w:trPr>
          <w:trHeight w:val="300"/>
        </w:trPr>
        <w:tc>
          <w:tcPr>
            <w:tcW w:w="15675" w:type="dxa"/>
            <w:gridSpan w:val="15"/>
            <w:tcBorders>
              <w:top w:val="single" w:sz="4" w:space="0" w:color="000000"/>
              <w:left w:val="single" w:sz="4" w:space="0" w:color="000000"/>
              <w:bottom w:val="single" w:sz="4" w:space="0" w:color="000000"/>
              <w:right w:val="single" w:sz="4" w:space="0" w:color="000000"/>
            </w:tcBorders>
            <w:shd w:val="clear" w:color="auto" w:fill="auto"/>
            <w:vAlign w:val="bottom"/>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eastAsia="zh-CN"/>
              </w:rPr>
              <w:t>Муніципальні будівлі</w:t>
            </w:r>
          </w:p>
        </w:tc>
      </w:tr>
      <w:tr w:rsidR="00D227E2">
        <w:trPr>
          <w:trHeight w:val="915"/>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Заміна вікон та дверей</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Утеплення зовнішніх огороджуючих конструкцій</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Заміна вікон та дверей у муніципальних будівлях на сучасні енергозберігаючі металопластикові</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Виконавчі органи міської ради</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6092,6</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6092,6</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1594,0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475,0</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2007</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Подолання енергетичної бідності/адаптація до змін клімату</w:t>
            </w:r>
          </w:p>
        </w:tc>
      </w:tr>
      <w:tr w:rsidR="00D227E2">
        <w:trPr>
          <w:trHeight w:val="915"/>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Заміна вікон і дверей на сучасні енергозберігаючі метолопластикові (1 671 м2 ) та утеплення фасаду  (1 632 м2 )</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Утеплення зовнішніх огороджуючих конструкцій</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Заміна вікон і дверей на сучасні енергозберігаючі метолопластикові (1 671 м2 ) та утеплення фасаду  (1 632 м2 )</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Виконавчі органи міської ради</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2260,5</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2260,5</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218,5</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65,1</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2007</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2007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Подолання енергетичної бідності/адаптація до змін клімату</w:t>
            </w:r>
          </w:p>
        </w:tc>
      </w:tr>
      <w:tr w:rsidR="00D227E2">
        <w:trPr>
          <w:trHeight w:val="915"/>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Автономне теплопостачання закладів культури та житлових будинків</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Комплексний захід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Встановлення автономного теплопостачання закладів культури та житлових будинків</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Виконавчі органи міської ради</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237,1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237,1</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57,2</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17,0</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2009</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Подолання енергетичної бідності/адаптація до змін клімату</w:t>
            </w:r>
          </w:p>
        </w:tc>
      </w:tr>
      <w:tr w:rsidR="00D227E2">
        <w:trPr>
          <w:trHeight w:val="915"/>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lastRenderedPageBreak/>
              <w:t>4</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Комплекс заходів з оптимізації режимів роботи систем теплопостачання, модернізації енергетичного обладнання на об`єктах бюджетної сфери</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Енергоефективність інженерних систем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Комплекс заходів з оптимізації режимів роботи систем теплопостачання, модернізації енергетичного обладнання на об`єктах бюджетної сфери, у тому числі: ремонт системм опалення, водопостачання та каналізації</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Виконавчі органи міської ради</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569,0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569,0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112,8</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33,6</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2009</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Подолання енергетичної бідності/адаптація до змін клімату</w:t>
            </w:r>
          </w:p>
        </w:tc>
      </w:tr>
      <w:tr w:rsidR="00D227E2">
        <w:trPr>
          <w:trHeight w:val="915"/>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Капітальний ремонт будівель Луцької міської поліклініки для дорослих №1</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Комплексний захід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Капітальний ремонт будівель Луцької міської поліклініки для дорослих №1. Утеплення фасадів, заміна вікон і дверей в будівлях по пр. Волі, 66а в м. Луцьку</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Виконавчі органи міської ради</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3354,8</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3354,8</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2263,1</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674,4</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2009</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Подолання енергетичної бідності/адаптація до змін клімату</w:t>
            </w:r>
          </w:p>
        </w:tc>
      </w:tr>
      <w:tr w:rsidR="00D227E2">
        <w:trPr>
          <w:trHeight w:val="915"/>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6</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Капітальний ремонт системи опалення</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Енергоефективність інженерних систем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Капітальний ремонт системи опалення зі встановленням ІТП та лічильників тепла</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Виконавчі органи міської ради</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1405,5</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1406,5</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1275,0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380,0</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Подолання енергетичної бідності/адаптація до змін клімату</w:t>
            </w:r>
          </w:p>
        </w:tc>
      </w:tr>
      <w:tr w:rsidR="00D227E2">
        <w:trPr>
          <w:trHeight w:val="915"/>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7</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Модернізація будівель бюджетних закладів шляхом упровадження ряду енергозберігаючих заходів</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Комплексний захід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Енергоефективність в громадських будівлях м.Луцька: утеплення фасадів; утеплення дахів; заміна огороджуючих конструкцій (вікна, двері); встановлення ітп; теплоізоляція трубопроводів; і т.д.</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 кошти НЕФКО</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Виконавчі органи міської ради</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235180,0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235180,0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27337,5</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8146,6</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2012</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Подолання енергетичної бідності/адаптація до змін клімату</w:t>
            </w:r>
          </w:p>
        </w:tc>
      </w:tr>
      <w:tr w:rsidR="00D227E2">
        <w:trPr>
          <w:trHeight w:val="915"/>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lastRenderedPageBreak/>
              <w:t>8</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Модернізація будівель муніципальних закладів шляхом упровадження низки енергозберігаючих заходів (проєкт Енергія для східних мерів)</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Комплексний захід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Модернізація приміщення шляхом упровадження низки енергозберігаючих заходів (Енергія для східних мерів)</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 грантові кошти</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Виконавчі органи міської ради</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311,2</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311,2</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87,2</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26,0</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2012</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Подолання енергетичної бідності/адаптація до змін клімату</w:t>
            </w:r>
          </w:p>
        </w:tc>
      </w:tr>
      <w:tr w:rsidR="00D227E2">
        <w:trPr>
          <w:trHeight w:val="915"/>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9</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Заміна електроплит в закладах освіти</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Енергоефективні електроприлади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Заміна електроплит: 2 плити, потужність 17,4 кВтна 2 плити на 17,0 кВт</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 власні кошти</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Виконавчі органи міської ради</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12,0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12,0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114,0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73,0</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2013</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Подолання енергетичної бідності/адаптація до змін клімату</w:t>
            </w:r>
          </w:p>
        </w:tc>
      </w:tr>
      <w:tr w:rsidR="00D227E2">
        <w:trPr>
          <w:trHeight w:val="915"/>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Заміна електричних ламп на енергозберігаючі в закладах освіти</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Енергоефективність системи освітлення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Заміна електричних ламп на енергозберігаючі в закладах освіти</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 власні кошти</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Виконавчі органи міської ради</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229,0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229,0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155,0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46,2</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2013</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Подолання енергетичної бідності/адаптація до змін клімату</w:t>
            </w:r>
          </w:p>
        </w:tc>
      </w:tr>
      <w:tr w:rsidR="00D227E2">
        <w:trPr>
          <w:trHeight w:val="915"/>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11</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Капітальний ремонт систем тепло-, водопостачання та каналізації з ефектом енергоефективності</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Енергоефективність інженерних систем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Капітальний ремонт систем тепло-, водопостачання та каналізації у понад 19 бюджетних закладах з утепленням трубопроводів та заміною кранів</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 власні кошти установ</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Виконавчі органи міської ради</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4972,0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4972,0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488,0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145,4</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2015</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Подолання енергетичної бідності/адаптація до змін клімату</w:t>
            </w:r>
          </w:p>
        </w:tc>
      </w:tr>
      <w:tr w:rsidR="00D227E2">
        <w:trPr>
          <w:trHeight w:val="915"/>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12</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Реконструкція зовнішніх огороджуваних конструкцій у бюджетних закладах міста</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Утеплення зовнішніх огороджуючих конструкцій</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Реконструкція зовнішніх огороджуваних конструкцій  у бюджетних закладах міста</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 власні кошти</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Виконавчі органи міської ради</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10836,0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8049,0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4827,0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1438,4</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2015</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Подолання енергетичної бідності/адаптація до змін клімату</w:t>
            </w:r>
          </w:p>
        </w:tc>
      </w:tr>
      <w:tr w:rsidR="00D227E2">
        <w:trPr>
          <w:trHeight w:val="915"/>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lastRenderedPageBreak/>
              <w:t>13</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Капітальний ремонт фасадів з утепленням у бюджетних закладах міста</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Утеплення зовнішніх огороджуючих конструкцій</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Капітальний ремонт фасадів з утепленням у бюджетних закладах міста</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 власні кошти</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Виконавчі органи міської ради</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8524,0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8524,0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5234,5</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1559,9</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2015</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Подолання енергетичної бідності/адаптація до змін клімату</w:t>
            </w:r>
          </w:p>
        </w:tc>
      </w:tr>
      <w:tr w:rsidR="00D227E2">
        <w:trPr>
          <w:trHeight w:val="915"/>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14</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Енергосервіс у закладах освіти</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Комплексний захід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Реалізація енергоефективних заходів за механізмом ЕСКО: встановлення ітп, модернізація систем опалення, встановлення альтернативних джерел постачання гарячої води (опалення), капітальний ремонт фасаду (утеплення) і т.д.</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 власні кошти</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Виконавчі органи міської ради</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211636,7</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211636,7</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80598,6</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982,2</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24311,1</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2019</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 стадії виконання</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 xml:space="preserve"> Адаптація до змін клімату /енергетична безпека</w:t>
            </w:r>
          </w:p>
        </w:tc>
      </w:tr>
      <w:tr w:rsidR="00D227E2">
        <w:trPr>
          <w:trHeight w:val="300"/>
        </w:trPr>
        <w:tc>
          <w:tcPr>
            <w:tcW w:w="15675" w:type="dxa"/>
            <w:gridSpan w:val="15"/>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eastAsia="zh-CN"/>
              </w:rPr>
              <w:t>Інші муніципальні обладнання та споруди</w:t>
            </w:r>
          </w:p>
        </w:tc>
      </w:tr>
      <w:tr w:rsidR="00D227E2">
        <w:trPr>
          <w:trHeight w:val="1054"/>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Заміна труб системи водопостачання на поліетиленові</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Енергоефективність інженерних систем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Заміна ділянок вуличних та внутрішньодворових мереж</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власні кошти підприємства</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КП «Луцькводоканал»</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165780,1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165780,1</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177,0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113,3</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2007</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Подолання енергетичної бідності/адаптація до змін клімату</w:t>
            </w:r>
          </w:p>
        </w:tc>
      </w:tr>
      <w:tr w:rsidR="00D227E2">
        <w:trPr>
          <w:trHeight w:val="1054"/>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16</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Заміна насосного обладнання</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Енергоефективність інженерних систем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Проведено заміну насосних агрегатів різних типів на насосних станціях, гарантійний термін експлуатації яких давно минув</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власні кошти підприємства</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КП «Луцькводоканал»</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5011,2</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8274,4</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757,0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484,5</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2007</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Подолання енергетичної бідності/адаптація до змін клімату</w:t>
            </w:r>
          </w:p>
        </w:tc>
      </w:tr>
      <w:tr w:rsidR="00D227E2">
        <w:trPr>
          <w:trHeight w:val="1054"/>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17</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Реконструкція каналізаційно-насосної станції із заміною насосів</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Енергоефективність інженерних систем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 xml:space="preserve">Проведено заміну 2-х насосних агрегатів на КНС-3. Замінено насосний агрегат К 90/85 на насосний </w:t>
            </w:r>
            <w:r>
              <w:rPr>
                <w:rFonts w:ascii="Times New Roman" w:eastAsia="Times New Roman" w:hAnsi="Times New Roman" w:cs="Times New Roman"/>
                <w:sz w:val="18"/>
                <w:szCs w:val="18"/>
                <w:lang w:val="ru-RU" w:eastAsia="zh-CN"/>
              </w:rPr>
              <w:lastRenderedPageBreak/>
              <w:t>агрегат Wilo</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lastRenderedPageBreak/>
              <w:t>власні кошти підприємства</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КП «Луцькводоканал»</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92,5</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92,5</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130,0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83,2</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2007</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2007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 xml:space="preserve">Подолання енергетичної бідності/адаптація до </w:t>
            </w:r>
            <w:r>
              <w:rPr>
                <w:rFonts w:ascii="Times New Roman" w:eastAsia="Times New Roman" w:hAnsi="Times New Roman" w:cs="Times New Roman"/>
                <w:sz w:val="18"/>
                <w:szCs w:val="18"/>
                <w:lang w:val="ru-RU" w:eastAsia="zh-CN"/>
              </w:rPr>
              <w:lastRenderedPageBreak/>
              <w:t>змін клімату</w:t>
            </w:r>
          </w:p>
        </w:tc>
      </w:tr>
      <w:tr w:rsidR="00D227E2">
        <w:trPr>
          <w:trHeight w:val="1054"/>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lastRenderedPageBreak/>
              <w:t>18</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Встановлення лічильників холодної води</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Інші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Встановлення лічильників холодної води (223 шт)</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 власні кошти</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Департамент житлово-комунального господарства, ОСББ</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673,5</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673,5</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480,0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307,2</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2008</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2008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Енергетична безпека</w:t>
            </w:r>
          </w:p>
        </w:tc>
      </w:tr>
      <w:tr w:rsidR="00D227E2">
        <w:trPr>
          <w:trHeight w:val="1054"/>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19</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Використання коштів І-го траншу від НЕФКО по проекту "Модернізація і реконструкція систем подачі води та водовідводу у м. Луцьку" (придбання насосів, запірної арматури і т.і.)</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Комплексний захід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Проведено технічне переоснащення насосної станції №2 Дубнівського водозабору із встановленням насосу відцентрованого консольного Q = 1160 м3/ч, Н = 41 м, N = 160 кВт (маса = 2,103 т), запірної арматури та елементів об'язки насосного обладнання, будівельно-монтажні роботи тощо</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кошти НЕФКО</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КП «Луцькводоканал»</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4176,0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4176,0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670,0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428,8</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2016</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Подолання енергетичної бідності/адаптація до змін клімату</w:t>
            </w:r>
          </w:p>
        </w:tc>
      </w:tr>
      <w:tr w:rsidR="00D227E2">
        <w:trPr>
          <w:trHeight w:val="1054"/>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Встановлення вузлів обліку холодної води</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Енергоефективність інженерних систем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Встановлено 70 загальнобудинкових приладів обліку (водомірних вузлів) в багатоквартирних будинках 5 та більше поверхів</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власні кошти підприємства</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КП «Луцькводоканал»</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176,0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176,0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280,0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179,2</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2016</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Подолання енергетичної бідності/адаптація до змін клімату</w:t>
            </w:r>
          </w:p>
        </w:tc>
      </w:tr>
      <w:tr w:rsidR="00D227E2">
        <w:trPr>
          <w:trHeight w:val="1054"/>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21</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 xml:space="preserve">Використання коштів траншу від НЕФКО по проекту "Модернізація і </w:t>
            </w:r>
            <w:r>
              <w:rPr>
                <w:rFonts w:ascii="Times New Roman" w:eastAsia="Times New Roman" w:hAnsi="Times New Roman" w:cs="Times New Roman"/>
                <w:sz w:val="18"/>
                <w:szCs w:val="18"/>
                <w:lang w:val="ru-RU" w:eastAsia="zh-CN"/>
              </w:rPr>
              <w:lastRenderedPageBreak/>
              <w:t>реконструкція систем подачі води та водовідводу у м. Луцьку" (Технічне переоснащення насосної станції №2, технічне переоснащення артезіанських свердловин, технічне переоснащення насосного обладнання КНС №2, 5)</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lastRenderedPageBreak/>
              <w:t>Комплексний захід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 xml:space="preserve">Проведено: 1) технічне переоснащення насосного обладнання на КНС </w:t>
            </w:r>
            <w:r>
              <w:rPr>
                <w:rFonts w:ascii="Times New Roman" w:eastAsia="Times New Roman" w:hAnsi="Times New Roman" w:cs="Times New Roman"/>
                <w:sz w:val="18"/>
                <w:szCs w:val="18"/>
                <w:lang w:val="ru-RU" w:eastAsia="zh-CN"/>
              </w:rPr>
              <w:lastRenderedPageBreak/>
              <w:t>№ 5 по</w:t>
            </w:r>
            <w:r>
              <w:rPr>
                <w:rFonts w:ascii="Times New Roman" w:eastAsia="Times New Roman" w:hAnsi="Times New Roman" w:cs="Times New Roman"/>
                <w:sz w:val="18"/>
                <w:szCs w:val="18"/>
                <w:lang w:val="ru-RU" w:eastAsia="zh-CN"/>
              </w:rPr>
              <w:br/>
              <w:t xml:space="preserve"> вул. Карпенка-Карого, 1а із встановленням насосу занурювального моноблокового  3312/736 670, 140 кВт, Q=1000 м3/год, Н=33м (в комплекті з Z- стендом та кабелем 30 м ),  (маса=0,360), фірма "Flygt";  2) Технічне переоснащення насосного </w:t>
            </w:r>
            <w:r>
              <w:rPr>
                <w:rFonts w:ascii="Times New Roman" w:eastAsia="Times New Roman" w:hAnsi="Times New Roman" w:cs="Times New Roman"/>
                <w:sz w:val="18"/>
                <w:szCs w:val="18"/>
                <w:lang w:val="ru-RU" w:eastAsia="zh-CN"/>
              </w:rPr>
              <w:br/>
              <w:t>обладнання на КНС № 2 по</w:t>
            </w:r>
            <w:r>
              <w:rPr>
                <w:rFonts w:ascii="Times New Roman" w:eastAsia="Times New Roman" w:hAnsi="Times New Roman" w:cs="Times New Roman"/>
                <w:sz w:val="18"/>
                <w:szCs w:val="18"/>
                <w:lang w:val="ru-RU" w:eastAsia="zh-CN"/>
              </w:rPr>
              <w:br/>
              <w:t xml:space="preserve"> вул. Набережній, 8а із встановленням насосу занурювального моноблокового  NZ 3312/882 620, 240 кВт, Q=1100 м3/год, Н=45м</w:t>
            </w:r>
            <w:r>
              <w:rPr>
                <w:rFonts w:ascii="Times New Roman" w:eastAsia="Times New Roman" w:hAnsi="Times New Roman" w:cs="Times New Roman"/>
                <w:sz w:val="18"/>
                <w:szCs w:val="18"/>
                <w:lang w:val="ru-RU" w:eastAsia="zh-CN"/>
              </w:rPr>
              <w:br/>
              <w:t>(в комплекті з Z- стендом) 0,380 т, (маса=0,380), монтажні роботи тощо</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lastRenderedPageBreak/>
              <w:t>кошти НЕФКО</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КП «Луцькводоканал»</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4995,0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4995,0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320,0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204,8</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2017</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 xml:space="preserve">Подолання енергетичної бідності/адаптація до </w:t>
            </w:r>
            <w:r>
              <w:rPr>
                <w:rFonts w:ascii="Times New Roman" w:eastAsia="Times New Roman" w:hAnsi="Times New Roman" w:cs="Times New Roman"/>
                <w:sz w:val="18"/>
                <w:szCs w:val="18"/>
                <w:lang w:val="ru-RU" w:eastAsia="zh-CN"/>
              </w:rPr>
              <w:lastRenderedPageBreak/>
              <w:t>змін клімату</w:t>
            </w:r>
          </w:p>
        </w:tc>
      </w:tr>
      <w:tr w:rsidR="00D227E2">
        <w:trPr>
          <w:trHeight w:val="1054"/>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lastRenderedPageBreak/>
              <w:t>22</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Модернізація насосного обладнання Омелянівської площадки водопідготовки</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Енергоефективність інженерних систем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Встановлено насос двостороннього входу SPLT 150-400 75 KW 1500 RPM із елементами обв'язки насоса</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власні кошти підприємства</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КП «Луцькводоканал»</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752,4</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752,4</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535,0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342,4</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2018</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Подолання енергетичної бідності/адаптація до змін клімату</w:t>
            </w:r>
          </w:p>
        </w:tc>
      </w:tr>
      <w:tr w:rsidR="00D227E2">
        <w:trPr>
          <w:trHeight w:val="1054"/>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23</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Модернізація насосного обладнання на об’єктах водоканалу</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Енергоефективність інженерних систем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 xml:space="preserve">Встановлення сучасного насосного обладнання на заміну застарілого, з вичерпаним </w:t>
            </w:r>
            <w:r>
              <w:rPr>
                <w:rFonts w:ascii="Times New Roman" w:eastAsia="Times New Roman" w:hAnsi="Times New Roman" w:cs="Times New Roman"/>
                <w:sz w:val="18"/>
                <w:szCs w:val="18"/>
                <w:lang w:val="ru-RU" w:eastAsia="zh-CN"/>
              </w:rPr>
              <w:lastRenderedPageBreak/>
              <w:t>терміном використання на об'єктах водоканалу</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lastRenderedPageBreak/>
              <w:t>власні кошти підприємства</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КП «Луцькводоканал»</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26493,5</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26493,5</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3350,0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2144,0</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2017</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 стадії виконання</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 xml:space="preserve">Подолання енергетичної бідності/адаптація до змін </w:t>
            </w:r>
            <w:r>
              <w:rPr>
                <w:rFonts w:ascii="Times New Roman" w:eastAsia="Times New Roman" w:hAnsi="Times New Roman" w:cs="Times New Roman"/>
                <w:sz w:val="18"/>
                <w:szCs w:val="18"/>
                <w:lang w:val="ru-RU" w:eastAsia="zh-CN"/>
              </w:rPr>
              <w:lastRenderedPageBreak/>
              <w:t>клімату</w:t>
            </w:r>
          </w:p>
        </w:tc>
      </w:tr>
      <w:tr w:rsidR="00D227E2">
        <w:trPr>
          <w:trHeight w:val="1054"/>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lastRenderedPageBreak/>
              <w:t>24</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Заміна трансформаторного обладнання  на КНС № 1</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Енергоефективні електроприлади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Встановлено трансформатори ТМГ-63/10 У1 10/0,4 У/УН-0 на артезіанських свердловинах в кількості 11 шт., трансформатори ТМГ-400/10 У1 10/0,4 У/Ун-0 на КНС-1, 5А в кількості 4 один., трансформатори ТМГ-630/10 У1 10/0,4 У/Ун-0 на КНС -5 в кількості 2 один.</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власні кошти підприємства</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КП «Луцькводоканал»</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1561,0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1561,0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230,0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147,2</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2021</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Енергетична безпека</w:t>
            </w:r>
          </w:p>
        </w:tc>
      </w:tr>
      <w:tr w:rsidR="00D227E2">
        <w:trPr>
          <w:trHeight w:val="1054"/>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Впровадження системи автоматизації управління та диспетчеризації технологічним процесом 1-го, 2-го та 3-го підйомів води</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Енергоефективність інженерних систем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 xml:space="preserve">Встановлення вузлів оперативного обліку води та електроенергії, встановлення та налагодження системи контролю із спеціалізованим програмним забезпеченням для віддалених об’єктів із безпровідним GPRS-зв’язком, для інформаційної підтримки об’єктів системи розподілення постачання води, і сенсорною системою, що збирає інформацію про насосні об’єкти </w:t>
            </w:r>
            <w:r>
              <w:rPr>
                <w:rFonts w:ascii="Times New Roman" w:eastAsia="Times New Roman" w:hAnsi="Times New Roman" w:cs="Times New Roman"/>
                <w:sz w:val="18"/>
                <w:szCs w:val="18"/>
                <w:lang w:val="ru-RU" w:eastAsia="zh-CN"/>
              </w:rPr>
              <w:lastRenderedPageBreak/>
              <w:t>на місцях та відсилає її до пункту центрального управління через GPRS-зв’язок</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lastRenderedPageBreak/>
              <w:t>власні кошти підприємства</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КП «Луцькводоканал»</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5430,0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330,0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211,2</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2024</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 стадії виконання</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Енергетична безпека</w:t>
            </w:r>
          </w:p>
        </w:tc>
      </w:tr>
      <w:tr w:rsidR="00D227E2">
        <w:trPr>
          <w:trHeight w:val="1054"/>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lastRenderedPageBreak/>
              <w:t>26</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Реконструкція трансформаторної підстанції ТП № 345 (КНС № 2) в м. Луцьку</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Енергоефективність інженерних систем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Модернізація технологічного обладнання підстанції, які відпрацювали нормативний термін (ТП введена в експлуатацію у 1982 році)</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власні кошти підприємства</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КП «Луцькводоканал»</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D227E2">
            <w:pPr>
              <w:spacing w:after="0" w:line="240" w:lineRule="auto"/>
              <w:jc w:val="center"/>
              <w:rPr>
                <w:rFonts w:ascii="Times New Roman" w:eastAsia="Times New Roman" w:hAnsi="Times New Roman" w:cs="Times New Roman"/>
                <w:sz w:val="18"/>
                <w:szCs w:val="18"/>
                <w:lang w:val="ru-RU" w:eastAsia="zh-CN"/>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11125,6</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45,0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28,8</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2023</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 стадії виконання</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Енергетична безпека</w:t>
            </w:r>
          </w:p>
        </w:tc>
      </w:tr>
      <w:tr w:rsidR="00D227E2">
        <w:trPr>
          <w:trHeight w:val="1054"/>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27</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Реконструкція РУ-10 кВ і РУ-0,4 кВ на КНС-4</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Енергоефективність інженерних систем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Заміна РУ-10 кВ і РУ-0,4 кВ протяжністю 2,5 км</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власні кошти підприємства</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КП «Луцькводоканал»</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D227E2">
            <w:pPr>
              <w:spacing w:after="0" w:line="240" w:lineRule="auto"/>
              <w:jc w:val="center"/>
              <w:rPr>
                <w:rFonts w:ascii="Times New Roman" w:eastAsia="Times New Roman" w:hAnsi="Times New Roman" w:cs="Times New Roman"/>
                <w:sz w:val="18"/>
                <w:szCs w:val="18"/>
                <w:lang w:val="ru-RU" w:eastAsia="zh-CN"/>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6360,0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30,0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19,2</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2025</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не починалося</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Енергетична безпека</w:t>
            </w:r>
          </w:p>
        </w:tc>
      </w:tr>
      <w:tr w:rsidR="00D227E2">
        <w:trPr>
          <w:trHeight w:val="1054"/>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28</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Будівництво КНС для перекачування промивних вод Дубнівського водозабору</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Енергоефективність інженерних систем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Будівництво КНС для перекачування промивних вод Дубнівського водозабору</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місцевий бюджет, власні кошти підприємства</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КП «Луцькводоканал»</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10918,4</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28960,2</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25,0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16,0</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2021</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проводиться ІІI етап будівництва</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Енергетична безпека</w:t>
            </w:r>
          </w:p>
        </w:tc>
      </w:tr>
      <w:tr w:rsidR="00D227E2">
        <w:trPr>
          <w:trHeight w:val="1054"/>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29</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Реконструкція системи водопостачання в с. Брище та смт Рокині Луцької ОТГ з встановленням модульної системи водопідготовки</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Енергоефективність інженерних систем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Встановлено модульні системи водопідготовки продуктивністю 200 м3 на добу Organic M-200 (мобільну в контейнерному виконанні) в с. Брище та продуктивністю 200 м3 на добу Organic M-320 - в смт Рокині</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власні кошти підприємства</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КП «Луцькводоканал»</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1579,1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17000,3</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85,0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54,4</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2023</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Енергетична безпека</w:t>
            </w:r>
          </w:p>
        </w:tc>
      </w:tr>
      <w:tr w:rsidR="00D227E2">
        <w:trPr>
          <w:trHeight w:val="1054"/>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lastRenderedPageBreak/>
              <w:t>30</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Впровадження системи знезараження та очищення повітря на КНС № 1, 3</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Енергоефективність інженерних систем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Встановлено 2  комплекти системи очищення повітря методом озонування AirPlus1</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власні кошти підприємства</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КП «Луцькводоканал»</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1682,0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1682,0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15,0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9,6</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2021</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Енергетична безпека</w:t>
            </w:r>
          </w:p>
        </w:tc>
      </w:tr>
      <w:tr w:rsidR="00D227E2">
        <w:trPr>
          <w:trHeight w:val="1054"/>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31</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Капітальний ремонт первинних та вторинних радіальних відстійників</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Енергоефективність інженерних систем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Проведено капітальний ремонт  первинного радіального відстійника № 4, 5 та вторинного радіального відстійника № 3 на очисних- спорудах каналізації м. Луцька</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власні кошти підприємства</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КП «Луцькводоканал»</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3682,4</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3682,4</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17,0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10,9</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2021</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Енергетична безпека</w:t>
            </w:r>
          </w:p>
        </w:tc>
      </w:tr>
      <w:tr w:rsidR="00D227E2">
        <w:trPr>
          <w:trHeight w:val="1054"/>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32</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Встановлення обладнання для механічного обезводнення осаду на базі шнекового дегідратора на ОСК м. Луцька</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Енергоефективність інженерних систем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Встановлення обладнання для механічного обезводнення осаду на базі шнекового дегідратора на очисних спорудах каналізації м. Луцька</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власні кошти підприємства</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КП «Луцькводоканал»</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15538,8</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15538,8</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22,0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14,1</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2022</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Енергетична безпека</w:t>
            </w:r>
          </w:p>
        </w:tc>
      </w:tr>
      <w:tr w:rsidR="00D227E2">
        <w:trPr>
          <w:trHeight w:val="1054"/>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33</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Реконструкція очисних споруд каналізації міста Луцька</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Енергоефективність інженерних систем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Комплексна модернізація технології видалення відходів із стічних вод,  модернізація системи мулового господарства із впровадженням технології переробки мулу, реконструкція бетонних об’єктів, споруд та трубопроводів ОСК тощо</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кошти Європейського інвестиційного банку</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КП «Луцькводоканал»</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442930,8</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442930,8</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3800,0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2432,0</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2023</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 стадії виконання</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Енергетична безпека</w:t>
            </w:r>
          </w:p>
        </w:tc>
      </w:tr>
      <w:tr w:rsidR="00D227E2">
        <w:trPr>
          <w:trHeight w:val="1054"/>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lastRenderedPageBreak/>
              <w:t>34</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Реконструкція грабельного відділення КНС № 1,2,5</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Енергоефективність інженерних систем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 Встановлення 2-х решіток каналізаційних пруткового типу РП 1018, ІР 55, в комплекті з шафами управління                                                   2. Встановлення каналізаційної механізованої решітки РП 1009 в комплекті із шафою керування ШУ РК-СП 100(S) (2 один. ) на КНС-2 та каналізаційної механізованої решітки РП 1021 в комплекті із шафою керування ШУ РК-СП 100(S) (2 один.) на КНС-5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власні кошти підприємства</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КП «Луцькводоканал»</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3563,3</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7700,9</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60,0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38,4</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2022</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Енергетична безпека</w:t>
            </w:r>
          </w:p>
        </w:tc>
      </w:tr>
      <w:tr w:rsidR="00D227E2">
        <w:trPr>
          <w:trHeight w:val="227"/>
        </w:trPr>
        <w:tc>
          <w:tcPr>
            <w:tcW w:w="6639" w:type="dxa"/>
            <w:gridSpan w:val="6"/>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eastAsia="zh-CN"/>
              </w:rPr>
              <w:t>Загалом по муніципальним будівлям, обладнанню/об'єктам</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1175226,3</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1236219,7</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135663,2</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1039,40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44660,79</w:t>
            </w:r>
          </w:p>
        </w:tc>
        <w:tc>
          <w:tcPr>
            <w:tcW w:w="377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D227E2">
            <w:pPr>
              <w:snapToGrid w:val="0"/>
              <w:spacing w:after="0" w:line="240" w:lineRule="auto"/>
              <w:jc w:val="center"/>
              <w:rPr>
                <w:rFonts w:ascii="Times New Roman" w:eastAsia="Times New Roman" w:hAnsi="Times New Roman" w:cs="Times New Roman"/>
                <w:sz w:val="18"/>
                <w:szCs w:val="18"/>
                <w:lang w:eastAsia="zh-CN"/>
              </w:rPr>
            </w:pPr>
          </w:p>
        </w:tc>
      </w:tr>
      <w:tr w:rsidR="00D227E2">
        <w:trPr>
          <w:trHeight w:val="300"/>
        </w:trPr>
        <w:tc>
          <w:tcPr>
            <w:tcW w:w="15675" w:type="dxa"/>
            <w:gridSpan w:val="15"/>
            <w:tcBorders>
              <w:top w:val="single" w:sz="4" w:space="0" w:color="000000"/>
              <w:left w:val="single" w:sz="4" w:space="0" w:color="000000"/>
              <w:bottom w:val="single" w:sz="4" w:space="0" w:color="000000"/>
              <w:right w:val="single" w:sz="4" w:space="0" w:color="000000"/>
            </w:tcBorders>
            <w:shd w:val="clear" w:color="auto" w:fill="auto"/>
            <w:vAlign w:val="bottom"/>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eastAsia="zh-CN"/>
              </w:rPr>
              <w:t>Муніципальне Зовнішнє освітлення</w:t>
            </w:r>
          </w:p>
        </w:tc>
      </w:tr>
      <w:tr w:rsidR="00D227E2">
        <w:trPr>
          <w:trHeight w:val="1154"/>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Модернізація системи освітлення із заміною світильників на Опало та Корвет; модернізацією мереж та встановленням багатозонних лічильників</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Система зовнішнього освітлення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Модернізація системи освітлення із заміною світильників на Опало та Корвет; модернізацією мереж та встановленням багатозонних лічильників</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 власні кошти</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КП «Луцьке електротехнічне підприємство — Луцьксвітло»</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1321,0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1321,0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172,5</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110,4</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2007</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2007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 /енергетична безпека</w:t>
            </w:r>
          </w:p>
        </w:tc>
      </w:tr>
      <w:tr w:rsidR="00D227E2">
        <w:trPr>
          <w:trHeight w:val="1154"/>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Освітлення переходів світлодіодним освітленням (64 шт.)</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Система зовнішнього освітлення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Освітлення переходів світлодіодним освітленням (64 шт.)</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 власні кошти</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 xml:space="preserve">КП «Луцьке електротехнічне підприємство — </w:t>
            </w:r>
            <w:r>
              <w:rPr>
                <w:rFonts w:ascii="Times New Roman" w:eastAsia="Times New Roman" w:hAnsi="Times New Roman" w:cs="Times New Roman"/>
                <w:sz w:val="18"/>
                <w:szCs w:val="18"/>
                <w:lang w:val="ru-RU" w:eastAsia="zh-CN"/>
              </w:rPr>
              <w:lastRenderedPageBreak/>
              <w:t>Луцьксвітло»</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lastRenderedPageBreak/>
              <w:t>1341,0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1341,0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286,0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183,0</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2016</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 /енергетична безпека</w:t>
            </w:r>
          </w:p>
        </w:tc>
      </w:tr>
      <w:tr w:rsidR="00D227E2">
        <w:trPr>
          <w:trHeight w:val="1154"/>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lastRenderedPageBreak/>
              <w:t>3</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Реконструкція мереж зовнішнього освітлення (світлодіодне зовнішнє освітлення 314 шт.)</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Система зовнішнього освітлення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Реконструкція мереж зовнішнього освітлення (світлодіодне зовнішнє освітлення 314 шт.)</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 власні кошти</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КП «Луцьке електротехнічне підприємство — Луцьксвітло»</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2931,0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2931,0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338,7</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216,8</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2016</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 /енергетична безпека</w:t>
            </w:r>
          </w:p>
        </w:tc>
      </w:tr>
      <w:tr w:rsidR="00D227E2">
        <w:trPr>
          <w:trHeight w:val="1154"/>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4</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Модернізація системи зовнішнього освітлення (заміна світильників)</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Система зовнішнього освітлення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Модернізація системи зовнішнього освітлення (заміна світильників)</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 власні кошти</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КП «Луцьке електротехнічне підприємство — Луцьксвітло»</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27799,6</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27799,6</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809,0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517,8</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2017</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 /енергетична безпека</w:t>
            </w:r>
          </w:p>
        </w:tc>
      </w:tr>
      <w:tr w:rsidR="00D227E2">
        <w:trPr>
          <w:trHeight w:val="273"/>
        </w:trPr>
        <w:tc>
          <w:tcPr>
            <w:tcW w:w="6639" w:type="dxa"/>
            <w:gridSpan w:val="6"/>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eastAsia="zh-CN"/>
              </w:rPr>
              <w:t>Загалом Зовнішнє освітлення</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33392,6</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33392,6</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1606,2</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1028,0</w:t>
            </w:r>
          </w:p>
        </w:tc>
        <w:tc>
          <w:tcPr>
            <w:tcW w:w="377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D227E2">
            <w:pPr>
              <w:snapToGrid w:val="0"/>
              <w:spacing w:after="0" w:line="240" w:lineRule="auto"/>
              <w:jc w:val="center"/>
              <w:rPr>
                <w:rFonts w:ascii="Times New Roman" w:eastAsia="Times New Roman" w:hAnsi="Times New Roman" w:cs="Times New Roman"/>
                <w:sz w:val="18"/>
                <w:szCs w:val="18"/>
                <w:lang w:eastAsia="zh-CN"/>
              </w:rPr>
            </w:pPr>
          </w:p>
        </w:tc>
      </w:tr>
      <w:tr w:rsidR="00D227E2">
        <w:trPr>
          <w:trHeight w:val="300"/>
        </w:trPr>
        <w:tc>
          <w:tcPr>
            <w:tcW w:w="15675" w:type="dxa"/>
            <w:gridSpan w:val="15"/>
            <w:tcBorders>
              <w:top w:val="single" w:sz="4" w:space="0" w:color="000000"/>
              <w:left w:val="single" w:sz="4" w:space="0" w:color="000000"/>
              <w:bottom w:val="single" w:sz="4" w:space="0" w:color="000000"/>
              <w:right w:val="single" w:sz="4" w:space="0" w:color="000000"/>
            </w:tcBorders>
            <w:shd w:val="clear" w:color="auto" w:fill="auto"/>
            <w:vAlign w:val="bottom"/>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Третинні будівлі</w:t>
            </w:r>
          </w:p>
        </w:tc>
      </w:tr>
      <w:tr w:rsidR="00D227E2">
        <w:trPr>
          <w:trHeight w:val="1194"/>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Популяризація енергоефективності і використання ВДЕ серед представників бізнесу, комерції, висших навчальних закладів тощо</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Популяризація енергоефективності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Популяризація енергоефективності і використання ВДЕ серед представників бізнесу, комерції, висших навчальних закладів тощо: проведення інформаційних заходів, підготовка та публікація інформаційних матеріалів</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 інші кошти</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Департамент економічної політики, департамент житлово-комунального господарства</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218,0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368,0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48100,0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1200,0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15101,8</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2007</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 стадії виконання</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D227E2">
            <w:pPr>
              <w:spacing w:after="0" w:line="240" w:lineRule="auto"/>
              <w:jc w:val="center"/>
              <w:rPr>
                <w:rFonts w:ascii="Times New Roman" w:eastAsia="Times New Roman" w:hAnsi="Times New Roman" w:cs="Times New Roman"/>
                <w:sz w:val="18"/>
                <w:szCs w:val="18"/>
                <w:lang w:val="ru-RU" w:eastAsia="zh-CN"/>
              </w:rPr>
            </w:pPr>
          </w:p>
        </w:tc>
      </w:tr>
      <w:tr w:rsidR="00D227E2">
        <w:trPr>
          <w:trHeight w:val="242"/>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D227E2">
            <w:pPr>
              <w:spacing w:after="0" w:line="240" w:lineRule="auto"/>
              <w:rPr>
                <w:rFonts w:ascii="Times New Roman" w:eastAsia="Times New Roman" w:hAnsi="Times New Roman" w:cs="Times New Roman"/>
                <w:sz w:val="18"/>
                <w:szCs w:val="18"/>
                <w:lang w:val="ru-RU" w:eastAsia="zh-CN"/>
              </w:rPr>
            </w:pPr>
          </w:p>
        </w:tc>
        <w:tc>
          <w:tcPr>
            <w:tcW w:w="6240" w:type="dxa"/>
            <w:gridSpan w:val="5"/>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Загалом Третинні будівлі</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218,0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368,0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48100,0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1200,0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15101,8</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D227E2">
            <w:pPr>
              <w:spacing w:after="0" w:line="240" w:lineRule="auto"/>
              <w:jc w:val="center"/>
              <w:rPr>
                <w:rFonts w:ascii="Times New Roman" w:eastAsia="Times New Roman" w:hAnsi="Times New Roman" w:cs="Times New Roman"/>
                <w:sz w:val="18"/>
                <w:szCs w:val="18"/>
                <w:lang w:val="ru-RU" w:eastAsia="zh-CN"/>
              </w:rPr>
            </w:pP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D227E2">
            <w:pPr>
              <w:spacing w:after="0" w:line="240" w:lineRule="auto"/>
              <w:jc w:val="center"/>
              <w:rPr>
                <w:rFonts w:ascii="Times New Roman" w:eastAsia="Times New Roman" w:hAnsi="Times New Roman" w:cs="Times New Roman"/>
                <w:sz w:val="18"/>
                <w:szCs w:val="18"/>
                <w:lang w:val="ru-RU" w:eastAsia="zh-C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D227E2">
            <w:pPr>
              <w:spacing w:after="0" w:line="240" w:lineRule="auto"/>
              <w:jc w:val="center"/>
              <w:rPr>
                <w:rFonts w:ascii="Times New Roman" w:eastAsia="Times New Roman" w:hAnsi="Times New Roman" w:cs="Times New Roman"/>
                <w:sz w:val="18"/>
                <w:szCs w:val="18"/>
                <w:lang w:val="ru-RU" w:eastAsia="zh-CN"/>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D227E2">
            <w:pPr>
              <w:spacing w:after="0" w:line="240" w:lineRule="auto"/>
              <w:jc w:val="center"/>
              <w:rPr>
                <w:rFonts w:ascii="Times New Roman" w:eastAsia="Times New Roman" w:hAnsi="Times New Roman" w:cs="Times New Roman"/>
                <w:sz w:val="18"/>
                <w:szCs w:val="18"/>
                <w:lang w:val="ru-RU" w:eastAsia="zh-CN"/>
              </w:rPr>
            </w:pPr>
          </w:p>
        </w:tc>
      </w:tr>
      <w:tr w:rsidR="00D227E2">
        <w:trPr>
          <w:trHeight w:val="179"/>
        </w:trPr>
        <w:tc>
          <w:tcPr>
            <w:tcW w:w="15675" w:type="dxa"/>
            <w:gridSpan w:val="15"/>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eastAsia="zh-CN"/>
              </w:rPr>
              <w:t>Житлові будівлі</w:t>
            </w:r>
          </w:p>
        </w:tc>
      </w:tr>
      <w:tr w:rsidR="00D227E2">
        <w:trPr>
          <w:trHeight w:val="1213"/>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lastRenderedPageBreak/>
              <w:t>1</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Встановлення лічильників теплової енергії</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Інші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Встановлення лічильників теплової енергії</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 власні кошти мешканців будинку</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Департамент житлово-комунального господарства, ОСББ</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6244,5</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6244,5</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3454,3</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1029,4</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2008</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2008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 /енергетична безпека</w:t>
            </w:r>
          </w:p>
        </w:tc>
      </w:tr>
      <w:tr w:rsidR="00D227E2">
        <w:trPr>
          <w:trHeight w:val="1213"/>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Упровадження засобів обліку та регулювання споживання води та теплової енергії у житловому фонді</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Інші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Упровадження засобів обліку та регулювання споживання води та теплової енергії у житловому фонді, у тому числі (383 побудинкових лічильника гарячої води)</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 власні кошти мешканців будинку</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Виконавчі органи міської ради</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344,0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344,0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2183,2</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650,6</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2009</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Подолання енергетичної бідності/адаптація до змін клімату</w:t>
            </w:r>
          </w:p>
        </w:tc>
      </w:tr>
      <w:tr w:rsidR="00D227E2">
        <w:trPr>
          <w:trHeight w:val="1213"/>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Модернізація ІТП у житлових будинках</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Інші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Модернізація ІТП на житловому будинку (9 шт)</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 власні кошти мешканців будинку</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Департамент житлово-комунального господарства, ОСББ</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4282,4</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4282,4</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3078,1</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917,3</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 /енергетична безпека</w:t>
            </w:r>
          </w:p>
        </w:tc>
      </w:tr>
      <w:tr w:rsidR="00D227E2">
        <w:trPr>
          <w:trHeight w:val="1213"/>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4</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Встановлення ІТП</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Інші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Встановлення індивідуального теплового пункту в 44 ОСББ м. Луцька</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 власні кошти мешканців будинку, кошти Луцьктепло</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Департамент житлово-комунального господарства, ОСББ, ДКП «Луцьктепло»</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31430,0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31430,0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11286,4</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3363,3</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2013</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 /енергетична безпека</w:t>
            </w:r>
          </w:p>
        </w:tc>
      </w:tr>
      <w:tr w:rsidR="00D227E2">
        <w:trPr>
          <w:trHeight w:val="1213"/>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Виконання комплексних заходів з енергоефективності в рамках капітального ремонту у будинках ОСББ</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Комплексний захід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Капітальний ремонт ліфтів 6 од., житлових будинків та їх конструктивних елементів (в т.ч. покрівлі) 66 покр., внутрішньобудинкових мереж  (водо-</w:t>
            </w:r>
            <w:r>
              <w:rPr>
                <w:rFonts w:ascii="Times New Roman" w:eastAsia="Times New Roman" w:hAnsi="Times New Roman" w:cs="Times New Roman"/>
                <w:sz w:val="18"/>
                <w:szCs w:val="18"/>
                <w:lang w:val="ru-RU" w:eastAsia="zh-CN"/>
              </w:rPr>
              <w:lastRenderedPageBreak/>
              <w:t>,тепло-, електропостачання та каналізації) 73 буд., встановлення вузлів обліку тепла та індивідуальних теплових пунктів 6 од. (фінансування 70% кошти бюджету громади та 30% кошти ОСББ)</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lastRenderedPageBreak/>
              <w:t>Бюджет громади, власні кошти мешканців будинку</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Департамент житлово-комунального господарства, ОСББ</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30684,0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30684,0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219,0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65,3</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2012</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 /енергетична безпека</w:t>
            </w:r>
          </w:p>
        </w:tc>
      </w:tr>
      <w:tr w:rsidR="00D227E2">
        <w:trPr>
          <w:trHeight w:val="1213"/>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lastRenderedPageBreak/>
              <w:t>6</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Утеплення житлових будинків</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Утеплення зовнішніх огороджуючих конструкцій</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Термомодернізація (утеплення зовнішніх стін) 5 ОСББ</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 власні кошти мешканців будинку</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Департамент житлово-комунального господарства, ОСББ</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9672,0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9672,0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2992,6</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891,8</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2013</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 /енергетична безпека</w:t>
            </w:r>
          </w:p>
        </w:tc>
      </w:tr>
      <w:tr w:rsidR="00D227E2">
        <w:trPr>
          <w:trHeight w:val="1213"/>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7</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Заміна ліфтів у житлових будинках</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Інші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Заміна технічно застарілих ліфтів на нові (встановлено 4-х нові ліфти)</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 власні кошти мешканців будинку</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Департамент житлово-комунального господарства, ОСББ</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1200,0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1200,0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228,0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67,9</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2013</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 /енергетична безпека</w:t>
            </w:r>
          </w:p>
        </w:tc>
      </w:tr>
      <w:tr w:rsidR="00D227E2">
        <w:trPr>
          <w:trHeight w:val="1213"/>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8</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Реконструкція системи електропостачання у житлових будинках</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Енергоефективність системи освітлення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Реконструкція системи електропостачання у житлових будинках</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 власні кошти мешканців будинку</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Департамент житлово-комунального господарства, ОСББ</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143,8</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143,8</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1125,0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720,0</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2013</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 /енергетична безпека</w:t>
            </w:r>
          </w:p>
        </w:tc>
      </w:tr>
      <w:tr w:rsidR="00D227E2">
        <w:trPr>
          <w:trHeight w:val="1213"/>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9</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Комплексна термомодернізація будинків ОСББ в рамках програми «Теплі кредити»</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Комплексний захід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 xml:space="preserve">Утеплення фасадів (комплексна термомодернізація) -9 буд, встановлення ІТП - 69 буд., заміна вікон та дверей - 32 буд. (відшкодовано відсотків за кредитними договорами </w:t>
            </w:r>
            <w:r>
              <w:rPr>
                <w:rFonts w:ascii="Times New Roman" w:eastAsia="Times New Roman" w:hAnsi="Times New Roman" w:cs="Times New Roman"/>
                <w:sz w:val="18"/>
                <w:szCs w:val="18"/>
                <w:lang w:val="ru-RU" w:eastAsia="zh-CN"/>
              </w:rPr>
              <w:lastRenderedPageBreak/>
              <w:t>11369,60 тис. грн. за рахунок коштів громади)</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lastRenderedPageBreak/>
              <w:t>Бюджет громади, власні кошти мешканців будинку</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Департамент житлово-комунального господарства, ОСББ</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71060,0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71060,0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170960,0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50946,1</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2013</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 /енергетична безпека</w:t>
            </w:r>
          </w:p>
        </w:tc>
      </w:tr>
      <w:tr w:rsidR="00D227E2">
        <w:trPr>
          <w:trHeight w:val="1213"/>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lastRenderedPageBreak/>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Встановлення індивідуального теплового пункту та придбання вікон з енергоефективними пакетами</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Інші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Встановлення індивідуального теплового пункту та придбання вікон з енергоефективними склопакетами (9 ОСББ)</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 власні кошти мешканців будинку</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Департамент житлово-комунального господарства, ОСББ</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3439,1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3439,1</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2052,1</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611,5</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2017</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 /енергетична безпека</w:t>
            </w:r>
          </w:p>
        </w:tc>
      </w:tr>
      <w:tr w:rsidR="00D227E2">
        <w:trPr>
          <w:trHeight w:val="1213"/>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11</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Заміна вікон та дверей</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Утеплення зовнішніх огороджуючих конструкцій</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Заміна вікон та дверей 11 ОСББ</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 власні кошти мешканців будинку</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Департамент житлово-комунального господарства, ОСББ</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3796,2</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3796,2</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319,4</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95,2</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2017</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 /енергетична безпека</w:t>
            </w:r>
          </w:p>
        </w:tc>
      </w:tr>
      <w:tr w:rsidR="00D227E2">
        <w:trPr>
          <w:trHeight w:val="1213"/>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12</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Термомодернізація (пакет Б) та виконання окремих енергоефективних заходів (Пакет А) у житлових багатоквартирних будинках ОСББ за державною програмою "Енергодім"</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Комплексний захід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Термомодернізація (пакет Б) та виконання окремих енергоефективних заходів (Пакет А) у житлових багатоквартирних будинках ОСББ за державною програмою "Енергодім"</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 власні кошти мешканців будинків, державні кошти</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Департамент житлово-комунального господарства, ОСББ, "Фонд енергоефективності"</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998200,0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2994600,0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291140,0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86759,7</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 стадії виконання</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Подолання енергетичної бідності/адаптація до змін клімату</w:t>
            </w:r>
          </w:p>
        </w:tc>
      </w:tr>
      <w:tr w:rsidR="00D227E2">
        <w:trPr>
          <w:trHeight w:val="1213"/>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13</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 xml:space="preserve">Надання співфінансування від бюджету громади у проєктах термомодернізації  будівель ОСББ по </w:t>
            </w:r>
            <w:r>
              <w:rPr>
                <w:rFonts w:ascii="Times New Roman" w:eastAsia="Times New Roman" w:hAnsi="Times New Roman" w:cs="Times New Roman"/>
                <w:sz w:val="18"/>
                <w:szCs w:val="18"/>
                <w:lang w:val="ru-RU" w:eastAsia="zh-CN"/>
              </w:rPr>
              <w:lastRenderedPageBreak/>
              <w:t>програмі "Енергодім"</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lastRenderedPageBreak/>
              <w:t>Інші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Надання співфінансування від бюджету громади у проєктах термомодернізації  будівель ОСББ по програмі "Енергодім"</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місцевий бюджет, власні кошти мешканців будинків</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Департамент житлово-комунального господарства, ОСББ</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87863,1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287863,1</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34631,9</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1021,6</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 стадії виконання</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Подолання енергетичної бідності/адаптація до змін клімату</w:t>
            </w:r>
          </w:p>
        </w:tc>
      </w:tr>
      <w:tr w:rsidR="00D227E2">
        <w:trPr>
          <w:trHeight w:val="165"/>
        </w:trPr>
        <w:tc>
          <w:tcPr>
            <w:tcW w:w="6639" w:type="dxa"/>
            <w:gridSpan w:val="6"/>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eastAsia="zh-CN"/>
              </w:rPr>
              <w:lastRenderedPageBreak/>
              <w:t>Разом Житлові будівлі</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1248359,1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3444759,1</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523670,0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147139,7</w:t>
            </w:r>
          </w:p>
        </w:tc>
        <w:tc>
          <w:tcPr>
            <w:tcW w:w="27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D227E2">
            <w:pPr>
              <w:snapToGrid w:val="0"/>
              <w:spacing w:after="0" w:line="240" w:lineRule="auto"/>
              <w:jc w:val="center"/>
              <w:rPr>
                <w:rFonts w:ascii="Times New Roman" w:eastAsia="Times New Roman" w:hAnsi="Times New Roman" w:cs="Times New Roman"/>
                <w:sz w:val="18"/>
                <w:szCs w:val="18"/>
                <w:lang w:eastAsia="zh-CN"/>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D227E2">
            <w:pPr>
              <w:snapToGrid w:val="0"/>
              <w:spacing w:after="0" w:line="240" w:lineRule="auto"/>
              <w:jc w:val="center"/>
              <w:rPr>
                <w:rFonts w:ascii="Times New Roman" w:eastAsia="Times New Roman" w:hAnsi="Times New Roman" w:cs="Times New Roman"/>
                <w:sz w:val="18"/>
                <w:szCs w:val="18"/>
                <w:lang w:eastAsia="zh-CN"/>
              </w:rPr>
            </w:pPr>
          </w:p>
        </w:tc>
      </w:tr>
      <w:tr w:rsidR="00D227E2">
        <w:trPr>
          <w:trHeight w:val="300"/>
        </w:trPr>
        <w:tc>
          <w:tcPr>
            <w:tcW w:w="15675" w:type="dxa"/>
            <w:gridSpan w:val="15"/>
            <w:tcBorders>
              <w:top w:val="single" w:sz="4" w:space="0" w:color="000000"/>
              <w:left w:val="single" w:sz="4" w:space="0" w:color="000000"/>
              <w:bottom w:val="single" w:sz="4" w:space="0" w:color="000000"/>
              <w:right w:val="single" w:sz="4" w:space="0" w:color="000000"/>
            </w:tcBorders>
            <w:shd w:val="clear" w:color="auto" w:fill="auto"/>
            <w:vAlign w:val="bottom"/>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eastAsia="zh-CN"/>
              </w:rPr>
              <w:t>Транспорт</w:t>
            </w:r>
          </w:p>
        </w:tc>
      </w:tr>
      <w:tr w:rsidR="00D227E2">
        <w:trPr>
          <w:trHeight w:val="1154"/>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Побудовано та введено в експлуатацію автозаправний блок-пункт на території підприємства з метою скорочення витрат палива на холостий пробіг автобусів до АЗС</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Покращення логістики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Побудовано та введено в експлуатацію автозаправний блок-пункт на території підприємства з метою скорочення витрат палива на холостий пробіг автобусів до АЗС</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 власні кошти</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КП «Луцьке підприємство електротранспорту»</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33,6</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33,6</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480,0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128,6</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2009</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2009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 /енергетична безпека</w:t>
            </w:r>
          </w:p>
        </w:tc>
      </w:tr>
      <w:tr w:rsidR="00D227E2">
        <w:trPr>
          <w:trHeight w:val="1154"/>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Удосконалення тролейбусної контактної мережі та заміщення автобусів тролейбусами на маршрутах м. Луцька</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Покращення логістики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Удосконалення тролейбусної контактної мережі та заміщення автобусів тролейбусами на маршрутах м. Луцька</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 власні кошти</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КП «Луцьке підприємство електротранспорту»</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192400,0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192400,0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639,1</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409,0</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2007</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 /енергетична безпека</w:t>
            </w:r>
          </w:p>
        </w:tc>
      </w:tr>
      <w:tr w:rsidR="00D227E2">
        <w:trPr>
          <w:trHeight w:val="1154"/>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Оновлення тролейбусного парку міста Луцька</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Ефективні транспортні засоби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Придбання нових тролейбусів на заміну старих</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 власні кошти</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КП «Луцьке підприємство електротранспорту»</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91088,5</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91088,5</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2282,5</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1460,8</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 /енергетична безпека</w:t>
            </w:r>
          </w:p>
        </w:tc>
      </w:tr>
      <w:tr w:rsidR="00D227E2">
        <w:trPr>
          <w:trHeight w:val="1154"/>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lastRenderedPageBreak/>
              <w:t>4</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Заміна авто та спецтранспорту КП «Луцькводоканал»</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Ефективніші транспортні засоби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Оновлення автомобільного парку підприємства, чий нормативний термін експлуатації яких перевищений</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 власні кошти КП "Луцькводоканал"</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КП «Луцькводоканал»</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63130,8</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93130,8</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800,0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214,4</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2016</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 стадії виконання</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 /енергетична безпека</w:t>
            </w:r>
          </w:p>
        </w:tc>
      </w:tr>
      <w:tr w:rsidR="00D227E2">
        <w:trPr>
          <w:trHeight w:val="1154"/>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Оновлення рухомого складу ЛСКАП «Луцькспецкомунтранс» та перепрофілювання станції перевантаження твердих побутових відходів</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Ефективніші транспортні засоби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Оновлення рухомого складу ЛСКАП «Луцькспецкомунтранс» та перепрофілювання станції перевантаження твердих побутових відходів</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 власні кошти</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КП «Луцьке підприємство електротранспорту»</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9000,0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9000,0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440,0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117,9</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2016</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 /енергетична безпека</w:t>
            </w:r>
          </w:p>
        </w:tc>
      </w:tr>
      <w:tr w:rsidR="00D227E2">
        <w:trPr>
          <w:trHeight w:val="1154"/>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6</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Впровадження зон платного паркування та автоматизованої системи управління транспортом (АСУТ)</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Покращення логістики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Впровадження зон платного паркування та автоматизованої системи управління транспортом (АСУТ)</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Департамент житлово-комунального господарства</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27732,0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27732,0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1919,9</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514,5</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2007</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 /енергетична безпека</w:t>
            </w:r>
          </w:p>
        </w:tc>
      </w:tr>
      <w:tr w:rsidR="00D227E2">
        <w:trPr>
          <w:trHeight w:val="1154"/>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7</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Будівництво заїзних кишень для зупинки громадського пасажирського транспорту на маршрутах загального користування</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Покращення логістики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Будівництво заїзних кишень для зупинки громадського пасажирського транспорту на маршрутах загального користування</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Департамент житлово-комунального господарства</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6600,0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31600,0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3132,9</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839,6</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2007</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 стадії виконання</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 /енергетична безпека</w:t>
            </w:r>
          </w:p>
        </w:tc>
      </w:tr>
      <w:tr w:rsidR="00D227E2">
        <w:trPr>
          <w:trHeight w:val="1154"/>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8</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Створення та розвиток велосипедної інфраструктури в м. Луцьку</w:t>
            </w:r>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Вело та пішохідна інфраструктура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Створення та розвиток велосипедної інфраструктури в м. Луцьку</w:t>
            </w:r>
          </w:p>
        </w:tc>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 інші кошти</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Департамент житлово-комунального господарства</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23000,0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110000,0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6892,3</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1847,1</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2007</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 стадії виконання</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 /енергетична безпека</w:t>
            </w:r>
          </w:p>
        </w:tc>
      </w:tr>
      <w:tr w:rsidR="00D227E2">
        <w:trPr>
          <w:trHeight w:val="211"/>
        </w:trPr>
        <w:tc>
          <w:tcPr>
            <w:tcW w:w="6639" w:type="dxa"/>
            <w:gridSpan w:val="6"/>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eastAsia="zh-CN"/>
              </w:rPr>
              <w:lastRenderedPageBreak/>
              <w:t>Загалом Транспорт</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412984,9</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554984,9</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16586,7</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5532,1</w:t>
            </w:r>
          </w:p>
        </w:tc>
        <w:tc>
          <w:tcPr>
            <w:tcW w:w="27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D227E2">
            <w:pPr>
              <w:snapToGrid w:val="0"/>
              <w:spacing w:after="0" w:line="240" w:lineRule="auto"/>
              <w:jc w:val="center"/>
              <w:rPr>
                <w:rFonts w:ascii="Times New Roman" w:eastAsia="Times New Roman" w:hAnsi="Times New Roman" w:cs="Times New Roman"/>
                <w:sz w:val="18"/>
                <w:szCs w:val="18"/>
                <w:lang w:eastAsia="zh-CN"/>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D227E2">
            <w:pPr>
              <w:snapToGrid w:val="0"/>
              <w:spacing w:after="0" w:line="240" w:lineRule="auto"/>
              <w:jc w:val="center"/>
              <w:rPr>
                <w:rFonts w:ascii="Times New Roman" w:eastAsia="Times New Roman" w:hAnsi="Times New Roman" w:cs="Times New Roman"/>
                <w:sz w:val="18"/>
                <w:szCs w:val="18"/>
                <w:lang w:eastAsia="zh-CN"/>
              </w:rPr>
            </w:pPr>
          </w:p>
        </w:tc>
      </w:tr>
      <w:tr w:rsidR="00D227E2">
        <w:trPr>
          <w:trHeight w:val="300"/>
        </w:trPr>
        <w:tc>
          <w:tcPr>
            <w:tcW w:w="15675" w:type="dxa"/>
            <w:gridSpan w:val="15"/>
            <w:tcBorders>
              <w:top w:val="single" w:sz="4" w:space="0" w:color="000000"/>
              <w:left w:val="single" w:sz="4" w:space="0" w:color="000000"/>
              <w:bottom w:val="single" w:sz="4" w:space="0" w:color="000000"/>
              <w:right w:val="single" w:sz="4" w:space="0" w:color="000000"/>
            </w:tcBorders>
            <w:shd w:val="clear" w:color="auto" w:fill="auto"/>
            <w:vAlign w:val="bottom"/>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eastAsia="zh-CN"/>
              </w:rPr>
              <w:t>Місцеве виробництво тепла/холоду</w:t>
            </w:r>
          </w:p>
        </w:tc>
      </w:tr>
      <w:tr w:rsidR="00D227E2">
        <w:trPr>
          <w:trHeight w:val="875"/>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Встановленням теплоакумулювального обладнання</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Мережа централізованого теплопостачання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Реконструкція системи опалення зі встановленням електричного теплоакумулювального обладнання</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власні кошти</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ДКП Луцьктепло</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1452,3</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1452,3</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250,0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74,50</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2008</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2008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 /енергетична безпека</w:t>
            </w:r>
          </w:p>
        </w:tc>
      </w:tr>
      <w:tr w:rsidR="00D227E2">
        <w:trPr>
          <w:trHeight w:val="875"/>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Встановлення автоматизованої системи комерційного обліку</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Інші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Встановлення автоматизованої системи комерційного обліку</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власні кошти</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ДКП Луцьктепло</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225,0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425,0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31,0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9,23</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2018</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 /енергетична безпека</w:t>
            </w:r>
          </w:p>
        </w:tc>
      </w:tr>
      <w:tr w:rsidR="00D227E2">
        <w:trPr>
          <w:trHeight w:val="875"/>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Встановлення на котельнях підприємства обчислювачів об'єму газу</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Інші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Встановлення на котельнях підприємства обчислювачів об'єму газу. (Встановлено на 29 котельнях обчислювачі об’єму  газу В25 Науково-виробничого підприємства «Вимірювальні технології»)</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власні кошти</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ДКП Луцьктепло</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575,0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575,0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400,0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119,20</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2012</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 /енергетична безпека</w:t>
            </w:r>
          </w:p>
        </w:tc>
      </w:tr>
      <w:tr w:rsidR="00D227E2">
        <w:trPr>
          <w:trHeight w:val="875"/>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4</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Введення в експлуатацію модульної котельні</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Інші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Введення в експлуатацію модульної котельні</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власні кошти</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ДКП Луцьктепло</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630,0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630,0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2500,00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745,00</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2007</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2007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 /енергетична безпека</w:t>
            </w:r>
          </w:p>
        </w:tc>
      </w:tr>
      <w:tr w:rsidR="00D227E2">
        <w:trPr>
          <w:trHeight w:val="875"/>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Заміна котлів застарілих конструкцій</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Інші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 xml:space="preserve">Заміна котлів застарілих конструкцій (вул. Чернишевського, 29), котельні по вул. Б. Хмельницького, 58б, по вул. Коцюбинського, 9а, по вул. Дубнівська, </w:t>
            </w:r>
            <w:r>
              <w:rPr>
                <w:rFonts w:ascii="Times New Roman" w:eastAsia="Times New Roman" w:hAnsi="Times New Roman" w:cs="Times New Roman"/>
                <w:sz w:val="18"/>
                <w:szCs w:val="18"/>
                <w:lang w:val="ru-RU" w:eastAsia="zh-CN"/>
              </w:rPr>
              <w:lastRenderedPageBreak/>
              <w:t>32, по вул. Заводська, 3а, по вул. Маковського, 2к, по вул.. Ковельська, 68б, по вул. Тарасова, 17б, по вул.. Володимирська, 1в, по вул.. Старицького, 6</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lastRenderedPageBreak/>
              <w:t>власні кошти</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ДКП Луцьктепло</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16505,0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16505,0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1968,0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586,46</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2017</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 /енергетична безпека</w:t>
            </w:r>
          </w:p>
        </w:tc>
      </w:tr>
      <w:tr w:rsidR="00D227E2">
        <w:trPr>
          <w:trHeight w:val="875"/>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lastRenderedPageBreak/>
              <w:t>6</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Технічне переоснащення котельні зі встановлення твердопаливних котлів</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Інші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Встановлення твердопаливних котлів</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кредити, гранти, позики</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Луцька міська рада, ДКП Луцьктепло, ENERTEX SARL</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13838,7</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17575,8</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20538,00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4148,68</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2018</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 стадії виконання</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 /енергетична безпека</w:t>
            </w:r>
          </w:p>
        </w:tc>
      </w:tr>
      <w:tr w:rsidR="00D227E2">
        <w:trPr>
          <w:trHeight w:val="875"/>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7</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Виведення з експлуатації котелень підприємства ДКП "Луцьктепло"</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Інші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Виведення з експлуатації котелень підприємства теплопостачальника ДКП "Луцьктепло" з перепідключенням споживачів</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кредити, гранти, позики</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ДКП Луцьктепло, Луцьксантехмонтаж №536</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35072,2</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35072,2</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2126,5</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421,05</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2013</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 /енергетична безпека</w:t>
            </w:r>
          </w:p>
        </w:tc>
      </w:tr>
      <w:tr w:rsidR="00D227E2">
        <w:trPr>
          <w:trHeight w:val="875"/>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8</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Заміна та модернізація насосного обладнання, вентиляторів та димососів</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Мережа централізованого теплопостачання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Заміна та модернізація насосного обладнання, вентиляторів та димососів, встановлення частотних перетворювачів</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кредити, гранти, позики</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ДКП Луцьктепло, ENERTEX SARL, ТОВ "Енертекс"</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29595,8</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29835,8</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2464,7</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1577,41</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2018</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 /енергетична безпека</w:t>
            </w:r>
          </w:p>
        </w:tc>
      </w:tr>
      <w:tr w:rsidR="00D227E2">
        <w:trPr>
          <w:trHeight w:val="875"/>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9</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Заміна пальникових пристроїв на пальники попереднього змішування</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Інші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Заміна пальникових пристроїв на пальники попереднього змішування</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кредити, гранти, позики</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ДКП Луцьктепло, ENERTEX SARL, ТОВ "Енертекс"</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72752,8</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71519,9</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15567,0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4638,97</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2009</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2009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 /енергетична безпека</w:t>
            </w:r>
          </w:p>
        </w:tc>
      </w:tr>
      <w:tr w:rsidR="00D227E2">
        <w:trPr>
          <w:trHeight w:val="875"/>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lastRenderedPageBreak/>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Реконструкція кожухотрубних теплообмінніків</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Мережа централізованого теплопостачання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Реконструкція кожухотрубних теплообмінніків</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власні кошти</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ДКП Луцьктепло</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1242,6</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754,7</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1742,9</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519,38</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2013</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 /енергетична безпека</w:t>
            </w:r>
          </w:p>
        </w:tc>
      </w:tr>
      <w:tr w:rsidR="00D227E2">
        <w:trPr>
          <w:trHeight w:val="875"/>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11</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Заміна трубопроводів теплових мереж на попередньо-ізольовані</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Мережа централізованого теплопостачання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Заміна трубопроводів теплових мереж на попередньо-ізольовані</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власні кошти</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ДКП Луцьктепло</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40730,3</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44695,8</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23358,1</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6960,71</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2013</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 /енергетична безпека</w:t>
            </w:r>
          </w:p>
        </w:tc>
      </w:tr>
      <w:tr w:rsidR="00D227E2">
        <w:trPr>
          <w:trHeight w:val="875"/>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12</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Реконструкція теплових мереж з перепідключенням споживачів</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Мережа централізованого теплопостачання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Приєднання теплових мереж від котельні по вул. Даньшина, 10 до котельні по вул. Боженка, 32 (ГВП в міжопалювальний період) з встановленням допоміжного мережевого (коригуючого) насоса типу WILO</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не потрібно</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ДКП Луцьктепло</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1751,0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521,80</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2021</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 /енергетична безпека</w:t>
            </w:r>
          </w:p>
        </w:tc>
      </w:tr>
      <w:tr w:rsidR="00D227E2">
        <w:trPr>
          <w:trHeight w:val="875"/>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13</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Підключення когенераційної установки</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Інші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Монтаж та підключення когенераційної установки</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кредити, гранти, позики</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ДКП Луцьктепло</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40000,0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40000,0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35000,0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10430</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2023</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 /енергетична безпека</w:t>
            </w:r>
          </w:p>
        </w:tc>
      </w:tr>
      <w:tr w:rsidR="00D227E2">
        <w:trPr>
          <w:trHeight w:val="875"/>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14</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Встановлення обладнання для індивідуального опалення</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Мережа централізованого теплопостачання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Встановлення обладнання для індивідуального опалення</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власні кошти</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ДКП Луцьктепло</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300,0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300,0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150,0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48,15</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2007</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2007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 /енергетична безпека</w:t>
            </w:r>
          </w:p>
        </w:tc>
      </w:tr>
      <w:tr w:rsidR="00D227E2">
        <w:trPr>
          <w:trHeight w:val="320"/>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D227E2">
            <w:pPr>
              <w:spacing w:after="0" w:line="240" w:lineRule="auto"/>
              <w:rPr>
                <w:rFonts w:ascii="Times New Roman" w:eastAsia="Times New Roman" w:hAnsi="Times New Roman" w:cs="Times New Roman"/>
                <w:sz w:val="18"/>
                <w:szCs w:val="18"/>
                <w:lang w:val="ru-RU" w:eastAsia="zh-CN"/>
              </w:rPr>
            </w:pPr>
          </w:p>
        </w:tc>
        <w:tc>
          <w:tcPr>
            <w:tcW w:w="6240" w:type="dxa"/>
            <w:gridSpan w:val="5"/>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eastAsia="zh-CN"/>
              </w:rPr>
              <w:t>Загалом місцеве виробництво тепла/холоду</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252919,7</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259341,5</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84809,2</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23038,0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30800,5</w:t>
            </w:r>
          </w:p>
        </w:tc>
        <w:tc>
          <w:tcPr>
            <w:tcW w:w="377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D227E2">
            <w:pPr>
              <w:spacing w:after="0" w:line="240" w:lineRule="auto"/>
              <w:jc w:val="center"/>
              <w:rPr>
                <w:rFonts w:ascii="Times New Roman" w:eastAsia="Times New Roman" w:hAnsi="Times New Roman" w:cs="Times New Roman"/>
                <w:sz w:val="18"/>
                <w:szCs w:val="18"/>
                <w:lang w:val="ru-RU" w:eastAsia="zh-CN"/>
              </w:rPr>
            </w:pPr>
          </w:p>
        </w:tc>
      </w:tr>
      <w:tr w:rsidR="00D227E2">
        <w:trPr>
          <w:trHeight w:val="317"/>
        </w:trPr>
        <w:tc>
          <w:tcPr>
            <w:tcW w:w="15675" w:type="dxa"/>
            <w:gridSpan w:val="15"/>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Місцеве виробництво електроенергії</w:t>
            </w:r>
          </w:p>
        </w:tc>
      </w:tr>
      <w:tr w:rsidR="00D227E2">
        <w:trPr>
          <w:trHeight w:val="875"/>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 xml:space="preserve">Будівництво комунальних СЕС для комерційного виробництва </w:t>
            </w:r>
            <w:r>
              <w:rPr>
                <w:rFonts w:ascii="Times New Roman" w:eastAsia="Times New Roman" w:hAnsi="Times New Roman" w:cs="Times New Roman"/>
                <w:sz w:val="18"/>
                <w:szCs w:val="18"/>
                <w:lang w:val="ru-RU" w:eastAsia="zh-CN"/>
              </w:rPr>
              <w:lastRenderedPageBreak/>
              <w:t>електроенергії</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lastRenderedPageBreak/>
              <w:t>Використання ВДЕ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Будівництво комунальної СЕС для комерційного виробництва електроенергії</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Місцевий бюджет, інші кошти</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Комунальні підприємства Луцької міської ради</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25500,0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900,0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576,0</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2027</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не починалося</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 xml:space="preserve">Подолання енергетичної бідності/адаптація до </w:t>
            </w:r>
            <w:r>
              <w:rPr>
                <w:rFonts w:ascii="Times New Roman" w:eastAsia="Times New Roman" w:hAnsi="Times New Roman" w:cs="Times New Roman"/>
                <w:sz w:val="18"/>
                <w:szCs w:val="18"/>
                <w:lang w:val="ru-RU" w:eastAsia="zh-CN"/>
              </w:rPr>
              <w:lastRenderedPageBreak/>
              <w:t>змін клімату</w:t>
            </w:r>
          </w:p>
        </w:tc>
      </w:tr>
      <w:tr w:rsidR="00D227E2">
        <w:trPr>
          <w:trHeight w:val="875"/>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lastRenderedPageBreak/>
              <w:t>2</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Побудова комерційних приватних СЕС та ВЕС</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Використання ВДЕ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Побудова комерційних приватних СЕС (сонячних електростанцій) та ВЕС (вітрових електростанцій)</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Приватні кошти</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Приватні інвестори</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170000,0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6000,0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3840,0</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2026</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не починалося</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Подолання енергетичної бідності/адаптація до змін клімату</w:t>
            </w:r>
          </w:p>
        </w:tc>
      </w:tr>
      <w:tr w:rsidR="00D227E2">
        <w:trPr>
          <w:trHeight w:val="338"/>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D227E2">
            <w:pPr>
              <w:spacing w:after="0" w:line="240" w:lineRule="auto"/>
              <w:rPr>
                <w:rFonts w:ascii="Times New Roman" w:eastAsia="Times New Roman" w:hAnsi="Times New Roman" w:cs="Times New Roman"/>
                <w:sz w:val="18"/>
                <w:szCs w:val="18"/>
                <w:lang w:eastAsia="zh-CN"/>
              </w:rPr>
            </w:pPr>
          </w:p>
        </w:tc>
        <w:tc>
          <w:tcPr>
            <w:tcW w:w="6240" w:type="dxa"/>
            <w:gridSpan w:val="5"/>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Загалом Місцеве виробництво електроенергії</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0,0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195500,0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0,0</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6900,0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4416,0</w:t>
            </w:r>
          </w:p>
        </w:tc>
        <w:tc>
          <w:tcPr>
            <w:tcW w:w="377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D227E2">
            <w:pPr>
              <w:spacing w:after="0" w:line="240" w:lineRule="auto"/>
              <w:jc w:val="center"/>
              <w:rPr>
                <w:rFonts w:ascii="Times New Roman" w:eastAsia="Times New Roman" w:hAnsi="Times New Roman" w:cs="Times New Roman"/>
                <w:sz w:val="18"/>
                <w:szCs w:val="18"/>
                <w:lang w:val="ru-RU" w:eastAsia="zh-CN"/>
              </w:rPr>
            </w:pPr>
          </w:p>
        </w:tc>
      </w:tr>
      <w:tr w:rsidR="00D227E2">
        <w:trPr>
          <w:trHeight w:val="178"/>
        </w:trPr>
        <w:tc>
          <w:tcPr>
            <w:tcW w:w="15675" w:type="dxa"/>
            <w:gridSpan w:val="15"/>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Не енергетичні сектори</w:t>
            </w:r>
          </w:p>
        </w:tc>
      </w:tr>
      <w:tr w:rsidR="00D227E2">
        <w:trPr>
          <w:trHeight w:val="269"/>
        </w:trPr>
        <w:tc>
          <w:tcPr>
            <w:tcW w:w="15675" w:type="dxa"/>
            <w:gridSpan w:val="15"/>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Поводження з твердими побутовими відходами</w:t>
            </w:r>
          </w:p>
        </w:tc>
      </w:tr>
      <w:tr w:rsidR="00D227E2">
        <w:trPr>
          <w:trHeight w:val="875"/>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1</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Удосконалення системи поводження з ТПВ</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Поводження з твердими побутовими відходами (ТПВ)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Удосконалення системи поводження з ТПВ та впровадження роздільного збору побутових відходів лінії (співфінансування з міського бюджету — 50%, інші джерела 50% — 1 млн грн)</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 власні кошти</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ЛСКАП «Луцькспецкомунтранс»</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1000,0</w:t>
            </w:r>
          </w:p>
        </w:tc>
        <w:tc>
          <w:tcPr>
            <w:tcW w:w="108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24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222</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2024</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 стадії виконання</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w:t>
            </w:r>
          </w:p>
        </w:tc>
      </w:tr>
      <w:tr w:rsidR="00D227E2">
        <w:trPr>
          <w:trHeight w:val="875"/>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2</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Будівництво сміттєсортувальної лінії</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Поводження з твердими побутовими відходами (ТПВ)</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Будівництво сміттєсортувальної лінії на території м. Луцька та запровадження роздільного збору відходів (співфінансування з міського бюджету — 60%, інші джерела 40% — 680 тис. грн)</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 власні кошти</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ЛСКАП «Луцькспецкомунтранс»</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10000,0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10000,0</w:t>
            </w:r>
          </w:p>
        </w:tc>
        <w:tc>
          <w:tcPr>
            <w:tcW w:w="108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24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219</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2015</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2018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виконано</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w:t>
            </w:r>
          </w:p>
        </w:tc>
      </w:tr>
      <w:tr w:rsidR="00D227E2">
        <w:trPr>
          <w:trHeight w:val="360"/>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D227E2">
            <w:pPr>
              <w:spacing w:after="0" w:line="240" w:lineRule="auto"/>
              <w:rPr>
                <w:rFonts w:ascii="Times New Roman" w:eastAsia="Times New Roman" w:hAnsi="Times New Roman" w:cs="Times New Roman"/>
                <w:sz w:val="18"/>
                <w:szCs w:val="18"/>
                <w:lang w:eastAsia="zh-CN"/>
              </w:rPr>
            </w:pPr>
          </w:p>
        </w:tc>
        <w:tc>
          <w:tcPr>
            <w:tcW w:w="6240" w:type="dxa"/>
            <w:gridSpan w:val="5"/>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Загалом Поводження з твердими побутовими відходами</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10000,0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11000,0</w:t>
            </w:r>
          </w:p>
        </w:tc>
        <w:tc>
          <w:tcPr>
            <w:tcW w:w="108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0,0</w:t>
            </w:r>
          </w:p>
        </w:tc>
        <w:tc>
          <w:tcPr>
            <w:tcW w:w="124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441,0</w:t>
            </w:r>
          </w:p>
        </w:tc>
        <w:tc>
          <w:tcPr>
            <w:tcW w:w="377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D227E2">
            <w:pPr>
              <w:spacing w:after="0" w:line="240" w:lineRule="auto"/>
              <w:jc w:val="center"/>
              <w:rPr>
                <w:rFonts w:ascii="Times New Roman" w:eastAsia="Times New Roman" w:hAnsi="Times New Roman" w:cs="Times New Roman"/>
                <w:sz w:val="18"/>
                <w:szCs w:val="18"/>
                <w:lang w:val="ru-RU" w:eastAsia="zh-CN"/>
              </w:rPr>
            </w:pPr>
          </w:p>
        </w:tc>
      </w:tr>
      <w:tr w:rsidR="00D227E2">
        <w:trPr>
          <w:trHeight w:val="225"/>
        </w:trPr>
        <w:tc>
          <w:tcPr>
            <w:tcW w:w="15675" w:type="dxa"/>
            <w:gridSpan w:val="15"/>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lastRenderedPageBreak/>
              <w:t>Очищення та скидання стічних вод</w:t>
            </w:r>
          </w:p>
        </w:tc>
      </w:tr>
      <w:tr w:rsidR="00D227E2">
        <w:trPr>
          <w:trHeight w:val="875"/>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1</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Встановлення біогазової установки для компенсації власного споживання електричної енергії</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Каналізаційно-очисні споруди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Встановлення біогазової установки для компенсації власного споживання електричної енергії з комплексом для виробництва  з осаду стічних вод добрива органічного “LWC” на очисних спорудах КП «Луцькводоканал»</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кошти Європейського інвестиційного банку, власні кошти підприємства</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КП «Луцькводоканал»</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320000,0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320000,0</w:t>
            </w:r>
          </w:p>
        </w:tc>
        <w:tc>
          <w:tcPr>
            <w:tcW w:w="108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 xml:space="preserve"> -</w:t>
            </w:r>
          </w:p>
        </w:tc>
        <w:tc>
          <w:tcPr>
            <w:tcW w:w="124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 xml:space="preserve"> -</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2331</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2023</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2028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 стадії виконання</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Енергетична безпека</w:t>
            </w:r>
          </w:p>
        </w:tc>
      </w:tr>
      <w:tr w:rsidR="00D227E2">
        <w:trPr>
          <w:trHeight w:val="205"/>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D227E2">
            <w:pPr>
              <w:spacing w:after="0" w:line="240" w:lineRule="auto"/>
              <w:rPr>
                <w:rFonts w:ascii="Times New Roman" w:eastAsia="Times New Roman" w:hAnsi="Times New Roman" w:cs="Times New Roman"/>
                <w:sz w:val="18"/>
                <w:szCs w:val="18"/>
                <w:lang w:eastAsia="zh-CN"/>
              </w:rPr>
            </w:pPr>
          </w:p>
        </w:tc>
        <w:tc>
          <w:tcPr>
            <w:tcW w:w="6240" w:type="dxa"/>
            <w:gridSpan w:val="5"/>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Загалом Очищення та скидання стічних вод</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320000,0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320000,0</w:t>
            </w:r>
          </w:p>
        </w:tc>
        <w:tc>
          <w:tcPr>
            <w:tcW w:w="108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0,0</w:t>
            </w:r>
          </w:p>
        </w:tc>
        <w:tc>
          <w:tcPr>
            <w:tcW w:w="124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2331,0</w:t>
            </w:r>
          </w:p>
        </w:tc>
        <w:tc>
          <w:tcPr>
            <w:tcW w:w="377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D227E2">
            <w:pPr>
              <w:spacing w:after="0" w:line="240" w:lineRule="auto"/>
              <w:jc w:val="center"/>
              <w:rPr>
                <w:rFonts w:ascii="Times New Roman" w:eastAsia="Times New Roman" w:hAnsi="Times New Roman" w:cs="Times New Roman"/>
                <w:sz w:val="18"/>
                <w:szCs w:val="18"/>
                <w:lang w:val="ru-RU" w:eastAsia="zh-CN"/>
              </w:rPr>
            </w:pPr>
          </w:p>
        </w:tc>
      </w:tr>
      <w:tr w:rsidR="00D227E2">
        <w:trPr>
          <w:trHeight w:val="213"/>
        </w:trPr>
        <w:tc>
          <w:tcPr>
            <w:tcW w:w="15675" w:type="dxa"/>
            <w:gridSpan w:val="15"/>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Інші неенергетичні сектори</w:t>
            </w:r>
          </w:p>
        </w:tc>
      </w:tr>
      <w:tr w:rsidR="00D227E2">
        <w:trPr>
          <w:trHeight w:val="875"/>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1</w:t>
            </w:r>
          </w:p>
        </w:tc>
        <w:tc>
          <w:tcPr>
            <w:tcW w:w="136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Створення нових об’єктів зеленої зони в м. Луцьку</w:t>
            </w:r>
          </w:p>
        </w:tc>
        <w:tc>
          <w:tcPr>
            <w:tcW w:w="11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Інші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Створення нових об’єктів зеленої зони в м. Луцьку</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Бюджет громади, кошти підприєства</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КП «Парки та сквери міста»</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12390,0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19000,0</w:t>
            </w:r>
          </w:p>
        </w:tc>
        <w:tc>
          <w:tcPr>
            <w:tcW w:w="108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 xml:space="preserve"> -</w:t>
            </w:r>
          </w:p>
        </w:tc>
        <w:tc>
          <w:tcPr>
            <w:tcW w:w="124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 xml:space="preserve"> -</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5016</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2007</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2030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в стадії виконання</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spacing w:after="0" w:line="240" w:lineRule="auto"/>
              <w:jc w:val="center"/>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Адаптація до змін клімату</w:t>
            </w:r>
          </w:p>
        </w:tc>
      </w:tr>
      <w:tr w:rsidR="00D227E2">
        <w:trPr>
          <w:trHeight w:val="148"/>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D227E2">
            <w:pPr>
              <w:spacing w:after="0" w:line="240" w:lineRule="auto"/>
              <w:rPr>
                <w:rFonts w:ascii="Times New Roman" w:eastAsia="Times New Roman" w:hAnsi="Times New Roman" w:cs="Times New Roman"/>
                <w:sz w:val="18"/>
                <w:szCs w:val="18"/>
                <w:lang w:eastAsia="zh-CN"/>
              </w:rPr>
            </w:pPr>
          </w:p>
        </w:tc>
        <w:tc>
          <w:tcPr>
            <w:tcW w:w="6240" w:type="dxa"/>
            <w:gridSpan w:val="5"/>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Загалом Інші неенергетичні сектори</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12390,0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19000,0</w:t>
            </w:r>
          </w:p>
        </w:tc>
        <w:tc>
          <w:tcPr>
            <w:tcW w:w="108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0,0</w:t>
            </w:r>
          </w:p>
        </w:tc>
        <w:tc>
          <w:tcPr>
            <w:tcW w:w="124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5016,0</w:t>
            </w:r>
          </w:p>
        </w:tc>
        <w:tc>
          <w:tcPr>
            <w:tcW w:w="377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D227E2">
            <w:pPr>
              <w:spacing w:after="0" w:line="240" w:lineRule="auto"/>
              <w:jc w:val="center"/>
              <w:rPr>
                <w:rFonts w:ascii="Times New Roman" w:eastAsia="Times New Roman" w:hAnsi="Times New Roman" w:cs="Times New Roman"/>
                <w:sz w:val="18"/>
                <w:szCs w:val="18"/>
                <w:lang w:val="ru-RU" w:eastAsia="zh-CN"/>
              </w:rPr>
            </w:pPr>
          </w:p>
        </w:tc>
      </w:tr>
      <w:tr w:rsidR="00D227E2">
        <w:trPr>
          <w:trHeight w:val="239"/>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D227E2">
            <w:pPr>
              <w:snapToGrid w:val="0"/>
              <w:spacing w:after="0" w:line="240" w:lineRule="auto"/>
              <w:rPr>
                <w:rFonts w:ascii="Times New Roman" w:eastAsia="Times New Roman" w:hAnsi="Times New Roman" w:cs="Times New Roman"/>
                <w:sz w:val="18"/>
                <w:szCs w:val="18"/>
                <w:lang w:eastAsia="zh-CN"/>
              </w:rPr>
            </w:pPr>
          </w:p>
        </w:tc>
        <w:tc>
          <w:tcPr>
            <w:tcW w:w="6240" w:type="dxa"/>
            <w:gridSpan w:val="5"/>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sz w:val="18"/>
                <w:szCs w:val="18"/>
                <w:lang w:val="ru-RU" w:eastAsia="zh-CN"/>
              </w:rPr>
              <w:t>Загалом Не енергетичні сектори</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342390,0</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350000,0</w:t>
            </w:r>
          </w:p>
        </w:tc>
        <w:tc>
          <w:tcPr>
            <w:tcW w:w="108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0,0</w:t>
            </w:r>
          </w:p>
        </w:tc>
        <w:tc>
          <w:tcPr>
            <w:tcW w:w="124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0,0</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7788,0</w:t>
            </w:r>
          </w:p>
        </w:tc>
        <w:tc>
          <w:tcPr>
            <w:tcW w:w="377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D227E2">
            <w:pPr>
              <w:snapToGrid w:val="0"/>
              <w:spacing w:after="0" w:line="240" w:lineRule="auto"/>
              <w:jc w:val="center"/>
              <w:rPr>
                <w:rFonts w:ascii="Times New Roman" w:eastAsia="Times New Roman" w:hAnsi="Times New Roman" w:cs="Times New Roman"/>
                <w:sz w:val="18"/>
                <w:szCs w:val="18"/>
                <w:lang w:eastAsia="zh-CN"/>
              </w:rPr>
            </w:pPr>
          </w:p>
        </w:tc>
      </w:tr>
      <w:tr w:rsidR="00D227E2">
        <w:trPr>
          <w:trHeight w:val="300"/>
        </w:trPr>
        <w:tc>
          <w:tcPr>
            <w:tcW w:w="399" w:type="dxa"/>
            <w:tcBorders>
              <w:top w:val="single" w:sz="4" w:space="0" w:color="000000"/>
              <w:left w:val="single" w:sz="4" w:space="0" w:color="000000"/>
              <w:bottom w:val="single" w:sz="4" w:space="0" w:color="000000"/>
              <w:right w:val="single" w:sz="4" w:space="0" w:color="000000"/>
            </w:tcBorders>
            <w:shd w:val="clear" w:color="auto" w:fill="auto"/>
          </w:tcPr>
          <w:p w:rsidR="00D227E2" w:rsidRDefault="00D227E2">
            <w:pPr>
              <w:snapToGrid w:val="0"/>
              <w:spacing w:after="0" w:line="240" w:lineRule="auto"/>
              <w:rPr>
                <w:rFonts w:ascii="Times New Roman" w:eastAsia="Times New Roman" w:hAnsi="Times New Roman" w:cs="Times New Roman"/>
                <w:sz w:val="18"/>
                <w:szCs w:val="18"/>
                <w:lang w:eastAsia="zh-CN"/>
              </w:rPr>
            </w:pPr>
          </w:p>
        </w:tc>
        <w:tc>
          <w:tcPr>
            <w:tcW w:w="6240" w:type="dxa"/>
            <w:gridSpan w:val="5"/>
            <w:tcBorders>
              <w:top w:val="single" w:sz="4" w:space="0" w:color="000000"/>
              <w:left w:val="single" w:sz="4" w:space="0" w:color="000000"/>
              <w:bottom w:val="single" w:sz="4" w:space="0" w:color="000000"/>
              <w:right w:val="single" w:sz="4" w:space="0" w:color="000000"/>
            </w:tcBorders>
            <w:shd w:val="clear" w:color="auto" w:fill="auto"/>
          </w:tcPr>
          <w:p w:rsidR="00D227E2" w:rsidRDefault="00934FC4" w:rsidP="009D512D">
            <w:pPr>
              <w:spacing w:after="0" w:line="240" w:lineRule="auto"/>
              <w:rPr>
                <w:rFonts w:ascii="Times New Roman" w:eastAsia="Times New Roman" w:hAnsi="Times New Roman" w:cs="Times New Roman"/>
                <w:sz w:val="18"/>
                <w:szCs w:val="18"/>
                <w:lang w:val="ru-RU" w:eastAsia="zh-CN"/>
              </w:rPr>
            </w:pPr>
            <w:r>
              <w:rPr>
                <w:rFonts w:ascii="Times New Roman" w:eastAsia="Times New Roman" w:hAnsi="Times New Roman" w:cs="Times New Roman"/>
                <w:color w:val="000000"/>
                <w:sz w:val="18"/>
                <w:szCs w:val="18"/>
                <w:lang w:eastAsia="zh-CN"/>
              </w:rPr>
              <w:t xml:space="preserve">Всього по </w:t>
            </w:r>
            <w:r>
              <w:rPr>
                <w:rFonts w:ascii="Times New Roman" w:eastAsia="Times New Roman" w:hAnsi="Times New Roman" w:cs="Times New Roman"/>
                <w:sz w:val="18"/>
                <w:szCs w:val="18"/>
                <w:lang w:eastAsia="zh-CN"/>
              </w:rPr>
              <w:t>Плану заходів з пом’якшення наслідків змін клімату за період 2007</w:t>
            </w:r>
            <w:r w:rsidR="009D512D">
              <w:rPr>
                <w:rFonts w:ascii="Times New Roman" w:eastAsia="Times New Roman" w:hAnsi="Times New Roman" w:cs="Times New Roman"/>
                <w:sz w:val="18"/>
                <w:szCs w:val="18"/>
                <w:lang w:eastAsia="zh-CN"/>
              </w:rPr>
              <w:t>–</w:t>
            </w:r>
            <w:r>
              <w:rPr>
                <w:rFonts w:ascii="Times New Roman" w:eastAsia="Times New Roman" w:hAnsi="Times New Roman" w:cs="Times New Roman"/>
                <w:sz w:val="18"/>
                <w:szCs w:val="18"/>
                <w:lang w:eastAsia="zh-CN"/>
              </w:rPr>
              <w:t>2030 рр.</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3465490,5</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6074565,8</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810435,2</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32177,4</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934FC4">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256466,9</w:t>
            </w:r>
          </w:p>
        </w:tc>
        <w:tc>
          <w:tcPr>
            <w:tcW w:w="377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227E2" w:rsidRDefault="00D227E2">
            <w:pPr>
              <w:snapToGrid w:val="0"/>
              <w:spacing w:after="0" w:line="240" w:lineRule="auto"/>
              <w:jc w:val="center"/>
              <w:rPr>
                <w:rFonts w:ascii="Times New Roman" w:eastAsia="Times New Roman" w:hAnsi="Times New Roman" w:cs="Times New Roman"/>
                <w:sz w:val="18"/>
                <w:szCs w:val="18"/>
                <w:lang w:eastAsia="zh-CN"/>
              </w:rPr>
            </w:pPr>
          </w:p>
        </w:tc>
      </w:tr>
    </w:tbl>
    <w:p w:rsidR="00D227E2" w:rsidRDefault="00D227E2">
      <w:pPr>
        <w:spacing w:after="0"/>
        <w:jc w:val="center"/>
        <w:rPr>
          <w:rFonts w:ascii="Times New Roman" w:hAnsi="Times New Roman" w:cs="Times New Roman"/>
        </w:rPr>
      </w:pPr>
    </w:p>
    <w:p w:rsidR="009D512D" w:rsidRDefault="009D512D">
      <w:pPr>
        <w:spacing w:after="0"/>
        <w:jc w:val="center"/>
        <w:rPr>
          <w:rFonts w:ascii="Times New Roman" w:hAnsi="Times New Roman" w:cs="Times New Roman"/>
        </w:rPr>
      </w:pPr>
    </w:p>
    <w:p w:rsidR="009D512D" w:rsidRDefault="009D512D">
      <w:pPr>
        <w:spacing w:after="0"/>
        <w:jc w:val="center"/>
        <w:rPr>
          <w:rFonts w:ascii="Times New Roman" w:hAnsi="Times New Roman" w:cs="Times New Roman"/>
        </w:rPr>
      </w:pPr>
    </w:p>
    <w:p w:rsidR="009D512D" w:rsidRPr="009D512D" w:rsidRDefault="009D512D" w:rsidP="009D512D">
      <w:pPr>
        <w:spacing w:after="0" w:line="240" w:lineRule="auto"/>
        <w:rPr>
          <w:rFonts w:ascii="Times New Roman" w:hAnsi="Times New Roman" w:cs="Times New Roman"/>
        </w:rPr>
      </w:pPr>
      <w:r w:rsidRPr="009D512D">
        <w:rPr>
          <w:rFonts w:ascii="Times New Roman" w:eastAsia="Times New Roman" w:hAnsi="Times New Roman" w:cs="Times New Roman"/>
          <w:sz w:val="24"/>
          <w:szCs w:val="24"/>
          <w:lang w:eastAsia="ru-RU"/>
        </w:rPr>
        <w:t>Смаль 777 955</w:t>
      </w:r>
    </w:p>
    <w:p w:rsidR="009D512D" w:rsidRDefault="009D512D">
      <w:pPr>
        <w:spacing w:after="0"/>
        <w:jc w:val="center"/>
        <w:rPr>
          <w:rFonts w:ascii="Times New Roman" w:hAnsi="Times New Roman" w:cs="Times New Roman"/>
        </w:rPr>
      </w:pPr>
    </w:p>
    <w:sectPr w:rsidR="009D512D">
      <w:headerReference w:type="even" r:id="rId207"/>
      <w:headerReference w:type="default" r:id="rId208"/>
      <w:footerReference w:type="even" r:id="rId209"/>
      <w:footerReference w:type="default" r:id="rId210"/>
      <w:headerReference w:type="first" r:id="rId211"/>
      <w:footerReference w:type="first" r:id="rId212"/>
      <w:pgSz w:w="16838" w:h="11906" w:orient="landscape"/>
      <w:pgMar w:top="1134" w:right="567" w:bottom="1134" w:left="567" w:header="0" w:footer="0" w:gutter="0"/>
      <w:cols w:space="720"/>
      <w:formProt w:val="0"/>
      <w:docGrid w:linePitch="600" w:charSpace="1146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207" w:rsidRDefault="00301207">
      <w:pPr>
        <w:spacing w:after="0" w:line="240" w:lineRule="auto"/>
      </w:pPr>
      <w:r>
        <w:separator/>
      </w:r>
    </w:p>
  </w:endnote>
  <w:endnote w:type="continuationSeparator" w:id="0">
    <w:p w:rsidR="00301207" w:rsidRDefault="00301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panose1 w:val="02020603050405020304"/>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Roboto">
    <w:charset w:val="CC"/>
    <w:family w:val="roman"/>
    <w:pitch w:val="variable"/>
  </w:font>
  <w:font w:name="OpenSymbol">
    <w:altName w:val="Arial Unicode MS"/>
    <w:panose1 w:val="05010000000000000000"/>
    <w:charset w:val="00"/>
    <w:family w:val="auto"/>
    <w:pitch w:val="variable"/>
    <w:sig w:usb0="800000AF" w:usb1="1001ECEA" w:usb2="00000000" w:usb3="00000000" w:csb0="80000001"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Univers-Light">
    <w:panose1 w:val="00000000000000000000"/>
    <w:charset w:val="00"/>
    <w:family w:val="roman"/>
    <w:notTrueType/>
    <w:pitch w:val="default"/>
  </w:font>
  <w:font w:name="TimesNewRomanPSMT">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9670588"/>
      <w:docPartObj>
        <w:docPartGallery w:val="Page Numbers (Bottom of Page)"/>
        <w:docPartUnique/>
      </w:docPartObj>
    </w:sdtPr>
    <w:sdtEndPr/>
    <w:sdtContent>
      <w:p w:rsidR="00C3716D" w:rsidRDefault="00C3716D">
        <w:pPr>
          <w:pStyle w:val="af0"/>
          <w:jc w:val="center"/>
        </w:pPr>
        <w:r>
          <w:fldChar w:fldCharType="begin"/>
        </w:r>
        <w:r>
          <w:instrText xml:space="preserve"> PAGE </w:instrText>
        </w:r>
        <w:r>
          <w:fldChar w:fldCharType="separate"/>
        </w:r>
        <w:r w:rsidR="008759AC">
          <w:rPr>
            <w:noProof/>
          </w:rPr>
          <w:t>58</w:t>
        </w:r>
        <w:r>
          <w:fldChar w:fldCharType="end"/>
        </w:r>
      </w:p>
      <w:p w:rsidR="00C3716D" w:rsidRDefault="00301207">
        <w:pPr>
          <w:pStyle w:val="af0"/>
        </w:pP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956485"/>
      <w:docPartObj>
        <w:docPartGallery w:val="Page Numbers (Bottom of Page)"/>
        <w:docPartUnique/>
      </w:docPartObj>
    </w:sdtPr>
    <w:sdtEndPr/>
    <w:sdtContent>
      <w:p w:rsidR="00C3716D" w:rsidRDefault="00C3716D">
        <w:pPr>
          <w:pStyle w:val="af0"/>
          <w:jc w:val="center"/>
        </w:pPr>
        <w:r>
          <w:fldChar w:fldCharType="begin"/>
        </w:r>
        <w:r>
          <w:instrText xml:space="preserve"> PAGE </w:instrText>
        </w:r>
        <w:r>
          <w:fldChar w:fldCharType="separate"/>
        </w:r>
        <w:r w:rsidR="00F14662">
          <w:rPr>
            <w:noProof/>
          </w:rPr>
          <w:t>113</w:t>
        </w:r>
        <w:r>
          <w:fldChar w:fldCharType="end"/>
        </w:r>
      </w:p>
      <w:p w:rsidR="00C3716D" w:rsidRDefault="00301207">
        <w:pPr>
          <w:pStyle w:val="a1"/>
          <w:spacing w:line="0" w:lineRule="atLeast"/>
          <w:rPr>
            <w:sz w:val="14"/>
          </w:rPr>
        </w:pP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16D" w:rsidRDefault="00C3716D"/>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3724779"/>
      <w:docPartObj>
        <w:docPartGallery w:val="Page Numbers (Bottom of Page)"/>
        <w:docPartUnique/>
      </w:docPartObj>
    </w:sdtPr>
    <w:sdtEndPr/>
    <w:sdtContent>
      <w:p w:rsidR="00C3716D" w:rsidRDefault="00C3716D">
        <w:pPr>
          <w:pStyle w:val="af0"/>
          <w:jc w:val="center"/>
        </w:pPr>
        <w:r>
          <w:fldChar w:fldCharType="begin"/>
        </w:r>
        <w:r>
          <w:instrText xml:space="preserve"> PAGE </w:instrText>
        </w:r>
        <w:r>
          <w:fldChar w:fldCharType="separate"/>
        </w:r>
        <w:r w:rsidR="00F14662">
          <w:rPr>
            <w:noProof/>
          </w:rPr>
          <w:t>120</w:t>
        </w:r>
        <w:r>
          <w:fldChar w:fldCharType="end"/>
        </w:r>
      </w:p>
      <w:p w:rsidR="00C3716D" w:rsidRDefault="00301207">
        <w:pPr>
          <w:pStyle w:val="a1"/>
          <w:spacing w:line="0" w:lineRule="atLeast"/>
          <w:rPr>
            <w:sz w:val="14"/>
          </w:rPr>
        </w:pP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78093"/>
      <w:docPartObj>
        <w:docPartGallery w:val="Page Numbers (Bottom of Page)"/>
        <w:docPartUnique/>
      </w:docPartObj>
    </w:sdtPr>
    <w:sdtEndPr/>
    <w:sdtContent>
      <w:p w:rsidR="00C3716D" w:rsidRDefault="00C3716D">
        <w:pPr>
          <w:pStyle w:val="af0"/>
          <w:jc w:val="center"/>
        </w:pPr>
        <w:r>
          <w:fldChar w:fldCharType="begin"/>
        </w:r>
        <w:r>
          <w:instrText xml:space="preserve"> PAGE </w:instrText>
        </w:r>
        <w:r>
          <w:fldChar w:fldCharType="separate"/>
        </w:r>
        <w:r w:rsidR="00F14662">
          <w:rPr>
            <w:noProof/>
          </w:rPr>
          <w:t>121</w:t>
        </w:r>
        <w:r>
          <w:fldChar w:fldCharType="end"/>
        </w:r>
      </w:p>
      <w:p w:rsidR="00C3716D" w:rsidRDefault="00301207">
        <w:pPr>
          <w:pStyle w:val="a1"/>
          <w:spacing w:line="0" w:lineRule="atLeast"/>
          <w:rPr>
            <w:sz w:val="14"/>
          </w:rPr>
        </w:pP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16D" w:rsidRDefault="00C3716D"/>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5636940"/>
      <w:docPartObj>
        <w:docPartGallery w:val="Page Numbers (Bottom of Page)"/>
        <w:docPartUnique/>
      </w:docPartObj>
    </w:sdtPr>
    <w:sdtEndPr/>
    <w:sdtContent>
      <w:p w:rsidR="00C3716D" w:rsidRDefault="00C3716D">
        <w:pPr>
          <w:pStyle w:val="af0"/>
          <w:jc w:val="center"/>
        </w:pPr>
        <w:r>
          <w:fldChar w:fldCharType="begin"/>
        </w:r>
        <w:r>
          <w:instrText xml:space="preserve"> PAGE </w:instrText>
        </w:r>
        <w:r>
          <w:fldChar w:fldCharType="separate"/>
        </w:r>
        <w:r w:rsidR="00F14662">
          <w:rPr>
            <w:noProof/>
          </w:rPr>
          <w:t>156</w:t>
        </w:r>
        <w:r>
          <w:fldChar w:fldCharType="end"/>
        </w:r>
      </w:p>
      <w:p w:rsidR="00C3716D" w:rsidRDefault="00301207">
        <w:pPr>
          <w:pStyle w:val="a1"/>
          <w:spacing w:line="0" w:lineRule="atLeast"/>
          <w:rPr>
            <w:sz w:val="14"/>
          </w:rPr>
        </w:pP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9319850"/>
      <w:docPartObj>
        <w:docPartGallery w:val="Page Numbers (Bottom of Page)"/>
        <w:docPartUnique/>
      </w:docPartObj>
    </w:sdtPr>
    <w:sdtEndPr/>
    <w:sdtContent>
      <w:p w:rsidR="00C3716D" w:rsidRDefault="00C3716D">
        <w:pPr>
          <w:pStyle w:val="af0"/>
          <w:jc w:val="center"/>
        </w:pPr>
        <w:r>
          <w:fldChar w:fldCharType="begin"/>
        </w:r>
        <w:r>
          <w:instrText xml:space="preserve"> PAGE </w:instrText>
        </w:r>
        <w:r>
          <w:fldChar w:fldCharType="separate"/>
        </w:r>
        <w:r w:rsidR="00F14662">
          <w:rPr>
            <w:noProof/>
          </w:rPr>
          <w:t>155</w:t>
        </w:r>
        <w:r>
          <w:fldChar w:fldCharType="end"/>
        </w:r>
      </w:p>
      <w:p w:rsidR="00C3716D" w:rsidRDefault="00301207">
        <w:pPr>
          <w:pStyle w:val="a1"/>
          <w:spacing w:line="0" w:lineRule="atLeast"/>
          <w:rPr>
            <w:sz w:val="14"/>
          </w:rPr>
        </w:pP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16D" w:rsidRDefault="00C3716D"/>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300247"/>
      <w:docPartObj>
        <w:docPartGallery w:val="Page Numbers (Bottom of Page)"/>
        <w:docPartUnique/>
      </w:docPartObj>
    </w:sdtPr>
    <w:sdtEndPr/>
    <w:sdtContent>
      <w:p w:rsidR="00C3716D" w:rsidRDefault="00C3716D">
        <w:pPr>
          <w:pStyle w:val="af0"/>
          <w:jc w:val="center"/>
        </w:pPr>
        <w:r>
          <w:fldChar w:fldCharType="begin"/>
        </w:r>
        <w:r>
          <w:instrText xml:space="preserve"> PAGE </w:instrText>
        </w:r>
        <w:r>
          <w:fldChar w:fldCharType="separate"/>
        </w:r>
        <w:r w:rsidR="00F14662">
          <w:rPr>
            <w:noProof/>
          </w:rPr>
          <w:t>176</w:t>
        </w:r>
        <w:r>
          <w:fldChar w:fldCharType="end"/>
        </w:r>
      </w:p>
      <w:p w:rsidR="00C3716D" w:rsidRDefault="00301207">
        <w:pPr>
          <w:pStyle w:val="a1"/>
          <w:spacing w:line="0" w:lineRule="atLeast"/>
          <w:rPr>
            <w:sz w:val="14"/>
          </w:rPr>
        </w:pP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521236"/>
      <w:docPartObj>
        <w:docPartGallery w:val="Page Numbers (Bottom of Page)"/>
        <w:docPartUnique/>
      </w:docPartObj>
    </w:sdtPr>
    <w:sdtEndPr/>
    <w:sdtContent>
      <w:p w:rsidR="00C3716D" w:rsidRDefault="00C3716D">
        <w:pPr>
          <w:pStyle w:val="af0"/>
          <w:jc w:val="center"/>
        </w:pPr>
        <w:r>
          <w:fldChar w:fldCharType="begin"/>
        </w:r>
        <w:r>
          <w:instrText xml:space="preserve"> PAGE </w:instrText>
        </w:r>
        <w:r>
          <w:fldChar w:fldCharType="separate"/>
        </w:r>
        <w:r w:rsidR="00F14662">
          <w:rPr>
            <w:noProof/>
          </w:rPr>
          <w:t>177</w:t>
        </w:r>
        <w:r>
          <w:fldChar w:fldCharType="end"/>
        </w:r>
      </w:p>
      <w:p w:rsidR="00C3716D" w:rsidRDefault="00301207">
        <w:pPr>
          <w:pStyle w:val="a1"/>
          <w:spacing w:line="0" w:lineRule="atLeast"/>
          <w:rPr>
            <w:sz w:val="14"/>
          </w:rP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2702961"/>
      <w:docPartObj>
        <w:docPartGallery w:val="Page Numbers (Bottom of Page)"/>
        <w:docPartUnique/>
      </w:docPartObj>
    </w:sdtPr>
    <w:sdtEndPr/>
    <w:sdtContent>
      <w:p w:rsidR="00C3716D" w:rsidRDefault="00C3716D">
        <w:pPr>
          <w:pStyle w:val="af0"/>
          <w:jc w:val="center"/>
        </w:pPr>
        <w:r>
          <w:fldChar w:fldCharType="begin"/>
        </w:r>
        <w:r>
          <w:instrText xml:space="preserve"> PAGE </w:instrText>
        </w:r>
        <w:r>
          <w:fldChar w:fldCharType="separate"/>
        </w:r>
        <w:r w:rsidR="008759AC">
          <w:rPr>
            <w:noProof/>
          </w:rPr>
          <w:t>55</w:t>
        </w:r>
        <w:r>
          <w:fldChar w:fldCharType="end"/>
        </w:r>
      </w:p>
      <w:p w:rsidR="00C3716D" w:rsidRDefault="00301207">
        <w:pPr>
          <w:pStyle w:val="af0"/>
        </w:pPr>
      </w:p>
    </w:sdtContent>
  </w:sdt>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16D" w:rsidRDefault="00C3716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5615101"/>
      <w:docPartObj>
        <w:docPartGallery w:val="Page Numbers (Bottom of Page)"/>
        <w:docPartUnique/>
      </w:docPartObj>
    </w:sdtPr>
    <w:sdtEndPr/>
    <w:sdtContent>
      <w:p w:rsidR="00C3716D" w:rsidRDefault="00C3716D">
        <w:pPr>
          <w:pStyle w:val="af0"/>
          <w:jc w:val="center"/>
        </w:pPr>
        <w:r>
          <w:fldChar w:fldCharType="begin"/>
        </w:r>
        <w:r>
          <w:instrText xml:space="preserve"> PAGE </w:instrText>
        </w:r>
        <w:r>
          <w:fldChar w:fldCharType="separate"/>
        </w:r>
        <w:r>
          <w:t>0</w:t>
        </w:r>
        <w:r>
          <w:fldChar w:fldCharType="end"/>
        </w:r>
      </w:p>
    </w:sdtContent>
  </w:sdt>
  <w:p w:rsidR="00C3716D" w:rsidRDefault="00C3716D">
    <w:pPr>
      <w:pStyle w:val="a1"/>
      <w:spacing w:line="0" w:lineRule="atLeast"/>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2318904"/>
      <w:docPartObj>
        <w:docPartGallery w:val="Page Numbers (Bottom of Page)"/>
        <w:docPartUnique/>
      </w:docPartObj>
    </w:sdtPr>
    <w:sdtEndPr/>
    <w:sdtContent>
      <w:p w:rsidR="00C3716D" w:rsidRDefault="00C3716D">
        <w:pPr>
          <w:pStyle w:val="af0"/>
          <w:jc w:val="center"/>
        </w:pPr>
        <w:r>
          <w:fldChar w:fldCharType="begin"/>
        </w:r>
        <w:r>
          <w:instrText xml:space="preserve"> PAGE </w:instrText>
        </w:r>
        <w:r>
          <w:fldChar w:fldCharType="separate"/>
        </w:r>
        <w:r w:rsidR="00F14662">
          <w:rPr>
            <w:noProof/>
          </w:rPr>
          <w:t>77</w:t>
        </w:r>
        <w:r>
          <w:fldChar w:fldCharType="end"/>
        </w:r>
      </w:p>
    </w:sdtContent>
  </w:sdt>
  <w:p w:rsidR="00C3716D" w:rsidRDefault="00C3716D">
    <w:pPr>
      <w:pStyle w:val="a1"/>
      <w:spacing w:line="0" w:lineRule="atLeast"/>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16D" w:rsidRDefault="00C3716D"/>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5886197"/>
      <w:docPartObj>
        <w:docPartGallery w:val="Page Numbers (Bottom of Page)"/>
        <w:docPartUnique/>
      </w:docPartObj>
    </w:sdtPr>
    <w:sdtEndPr/>
    <w:sdtContent>
      <w:p w:rsidR="00C3716D" w:rsidRDefault="00C3716D">
        <w:pPr>
          <w:pStyle w:val="af0"/>
          <w:jc w:val="center"/>
        </w:pPr>
        <w:r>
          <w:fldChar w:fldCharType="begin"/>
        </w:r>
        <w:r>
          <w:instrText xml:space="preserve"> PAGE </w:instrText>
        </w:r>
        <w:r>
          <w:fldChar w:fldCharType="separate"/>
        </w:r>
        <w:r w:rsidR="00F14662">
          <w:rPr>
            <w:noProof/>
          </w:rPr>
          <w:t>84</w:t>
        </w:r>
        <w:r>
          <w:fldChar w:fldCharType="end"/>
        </w:r>
      </w:p>
      <w:p w:rsidR="00C3716D" w:rsidRDefault="00301207">
        <w:pPr>
          <w:pStyle w:val="af0"/>
        </w:pP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8623"/>
      <w:docPartObj>
        <w:docPartGallery w:val="Page Numbers (Bottom of Page)"/>
        <w:docPartUnique/>
      </w:docPartObj>
    </w:sdtPr>
    <w:sdtEndPr/>
    <w:sdtContent>
      <w:p w:rsidR="00C3716D" w:rsidRDefault="00C3716D">
        <w:pPr>
          <w:pStyle w:val="af0"/>
          <w:jc w:val="center"/>
        </w:pPr>
        <w:r>
          <w:fldChar w:fldCharType="begin"/>
        </w:r>
        <w:r>
          <w:instrText xml:space="preserve"> PAGE </w:instrText>
        </w:r>
        <w:r>
          <w:fldChar w:fldCharType="separate"/>
        </w:r>
        <w:r w:rsidR="00F14662">
          <w:rPr>
            <w:noProof/>
          </w:rPr>
          <w:t>85</w:t>
        </w:r>
        <w:r>
          <w:fldChar w:fldCharType="end"/>
        </w:r>
      </w:p>
      <w:p w:rsidR="00C3716D" w:rsidRDefault="00301207">
        <w:pPr>
          <w:pStyle w:val="af0"/>
        </w:pP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16D" w:rsidRDefault="00C3716D"/>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0251020"/>
      <w:docPartObj>
        <w:docPartGallery w:val="Page Numbers (Bottom of Page)"/>
        <w:docPartUnique/>
      </w:docPartObj>
    </w:sdtPr>
    <w:sdtEndPr/>
    <w:sdtContent>
      <w:p w:rsidR="00C3716D" w:rsidRDefault="00C3716D">
        <w:pPr>
          <w:pStyle w:val="af0"/>
          <w:jc w:val="center"/>
        </w:pPr>
        <w:r>
          <w:fldChar w:fldCharType="begin"/>
        </w:r>
        <w:r>
          <w:instrText xml:space="preserve"> PAGE </w:instrText>
        </w:r>
        <w:r>
          <w:fldChar w:fldCharType="separate"/>
        </w:r>
        <w:r w:rsidR="00F14662">
          <w:rPr>
            <w:noProof/>
          </w:rPr>
          <w:t>114</w:t>
        </w:r>
        <w:r>
          <w:fldChar w:fldCharType="end"/>
        </w:r>
      </w:p>
      <w:p w:rsidR="00C3716D" w:rsidRDefault="00301207">
        <w:pPr>
          <w:pStyle w:val="a1"/>
          <w:spacing w:line="0" w:lineRule="atLeast"/>
          <w:rPr>
            <w:sz w:val="14"/>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207" w:rsidRDefault="00301207">
      <w:pPr>
        <w:spacing w:after="0" w:line="240" w:lineRule="auto"/>
      </w:pPr>
      <w:r>
        <w:separator/>
      </w:r>
    </w:p>
  </w:footnote>
  <w:footnote w:type="continuationSeparator" w:id="0">
    <w:p w:rsidR="00301207" w:rsidRDefault="003012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16D" w:rsidRDefault="00C3716D">
    <w:pPr>
      <w:pStyle w:val="ae"/>
      <w:jc w:val="right"/>
    </w:pPr>
  </w:p>
  <w:p w:rsidR="00C3716D" w:rsidRDefault="00C3716D">
    <w:pPr>
      <w:pStyle w:val="ae"/>
      <w:jc w:val="righ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16D" w:rsidRDefault="00C3716D"/>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16D" w:rsidRDefault="00C3716D">
    <w:pPr>
      <w:pStyle w:val="a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16D" w:rsidRDefault="00C3716D">
    <w:pPr>
      <w:pStyle w:val="a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16D" w:rsidRDefault="00C3716D"/>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16D" w:rsidRDefault="00C3716D">
    <w:pPr>
      <w:pStyle w:val="ae"/>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16D" w:rsidRDefault="00C3716D">
    <w:pPr>
      <w:pStyle w:val="ae"/>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16D" w:rsidRDefault="00C3716D"/>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16D" w:rsidRDefault="00C3716D">
    <w:pPr>
      <w:pStyle w:val="ae"/>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16D" w:rsidRDefault="00C3716D">
    <w:pPr>
      <w:pStyle w:val="ae"/>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16D" w:rsidRDefault="00C3716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16D" w:rsidRDefault="00C3716D">
    <w:pPr>
      <w:pStyle w:val="ae"/>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16D" w:rsidRDefault="00C3716D">
    <w:pPr>
      <w:pStyle w:val="ae"/>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16D" w:rsidRDefault="00C3716D">
    <w:pPr>
      <w:pStyle w:val="ae"/>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16D" w:rsidRDefault="00C3716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16D" w:rsidRDefault="00C3716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16D" w:rsidRDefault="00C3716D"/>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16D" w:rsidRDefault="00C3716D">
    <w:pPr>
      <w:pStyle w:val="a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16D" w:rsidRDefault="00C3716D">
    <w:pPr>
      <w:pStyle w:val="a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16D" w:rsidRDefault="00C3716D"/>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16D" w:rsidRDefault="00C3716D">
    <w:pPr>
      <w:pStyle w:val="a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16D" w:rsidRDefault="00C3716D">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37DF"/>
    <w:multiLevelType w:val="multilevel"/>
    <w:tmpl w:val="6BA4E71C"/>
    <w:lvl w:ilvl="0">
      <w:start w:val="1"/>
      <w:numFmt w:val="decimal"/>
      <w:lvlText w:val="%1)"/>
      <w:lvlJc w:val="left"/>
      <w:pPr>
        <w:tabs>
          <w:tab w:val="num" w:pos="0"/>
        </w:tabs>
        <w:ind w:left="2061" w:hanging="360"/>
      </w:pPr>
      <w:rPr>
        <w:rFonts w:ascii="Times New Roman" w:hAnsi="Times New Roman" w:cs="Times New Roman"/>
        <w:sz w:val="24"/>
        <w:szCs w:val="24"/>
      </w:r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1">
    <w:nsid w:val="08B35AAB"/>
    <w:multiLevelType w:val="multilevel"/>
    <w:tmpl w:val="27B0E3D2"/>
    <w:lvl w:ilvl="0">
      <w:start w:val="1"/>
      <w:numFmt w:val="decimal"/>
      <w:lvlText w:val="%1)"/>
      <w:lvlJc w:val="left"/>
      <w:pPr>
        <w:tabs>
          <w:tab w:val="num" w:pos="720"/>
        </w:tabs>
        <w:ind w:left="720" w:hanging="360"/>
      </w:pPr>
      <w:rPr>
        <w:rFonts w:ascii="Times New Roman" w:hAnsi="Times New Roman"/>
        <w:sz w:val="24"/>
        <w:szCs w:val="24"/>
      </w:r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rPr>
        <w:rFonts w:ascii="Times New Roman" w:hAnsi="Times New Roman"/>
        <w:sz w:val="24"/>
        <w:szCs w:val="24"/>
      </w:rPr>
    </w:lvl>
    <w:lvl w:ilvl="3">
      <w:start w:val="1"/>
      <w:numFmt w:val="decimal"/>
      <w:lvlText w:val="%4)"/>
      <w:lvlJc w:val="left"/>
      <w:pPr>
        <w:tabs>
          <w:tab w:val="num" w:pos="1800"/>
        </w:tabs>
        <w:ind w:left="1800" w:hanging="360"/>
      </w:pPr>
      <w:rPr>
        <w:rFonts w:ascii="Times New Roman" w:hAnsi="Times New Roman"/>
        <w:sz w:val="24"/>
        <w:szCs w:val="24"/>
      </w:rPr>
    </w:lvl>
    <w:lvl w:ilvl="4">
      <w:start w:val="1"/>
      <w:numFmt w:val="decimal"/>
      <w:lvlText w:val="%5)"/>
      <w:lvlJc w:val="left"/>
      <w:pPr>
        <w:tabs>
          <w:tab w:val="num" w:pos="2160"/>
        </w:tabs>
        <w:ind w:left="2160" w:hanging="360"/>
      </w:pPr>
      <w:rPr>
        <w:rFonts w:ascii="Times New Roman" w:hAnsi="Times New Roman"/>
        <w:sz w:val="24"/>
        <w:szCs w:val="24"/>
      </w:rPr>
    </w:lvl>
    <w:lvl w:ilvl="5">
      <w:start w:val="1"/>
      <w:numFmt w:val="decimal"/>
      <w:lvlText w:val="%6)"/>
      <w:lvlJc w:val="left"/>
      <w:pPr>
        <w:tabs>
          <w:tab w:val="num" w:pos="2520"/>
        </w:tabs>
        <w:ind w:left="2520" w:hanging="360"/>
      </w:pPr>
      <w:rPr>
        <w:rFonts w:ascii="Times New Roman" w:hAnsi="Times New Roman"/>
        <w:sz w:val="24"/>
        <w:szCs w:val="24"/>
      </w:rPr>
    </w:lvl>
    <w:lvl w:ilvl="6">
      <w:start w:val="1"/>
      <w:numFmt w:val="decimal"/>
      <w:lvlText w:val="%7)"/>
      <w:lvlJc w:val="left"/>
      <w:pPr>
        <w:tabs>
          <w:tab w:val="num" w:pos="2880"/>
        </w:tabs>
        <w:ind w:left="2880" w:hanging="360"/>
      </w:pPr>
      <w:rPr>
        <w:rFonts w:ascii="Times New Roman" w:hAnsi="Times New Roman"/>
        <w:sz w:val="24"/>
        <w:szCs w:val="24"/>
      </w:rPr>
    </w:lvl>
    <w:lvl w:ilvl="7">
      <w:start w:val="1"/>
      <w:numFmt w:val="decimal"/>
      <w:lvlText w:val="%8)"/>
      <w:lvlJc w:val="left"/>
      <w:pPr>
        <w:tabs>
          <w:tab w:val="num" w:pos="3240"/>
        </w:tabs>
        <w:ind w:left="3240" w:hanging="360"/>
      </w:pPr>
      <w:rPr>
        <w:rFonts w:ascii="Times New Roman" w:hAnsi="Times New Roman"/>
        <w:sz w:val="24"/>
        <w:szCs w:val="24"/>
      </w:rPr>
    </w:lvl>
    <w:lvl w:ilvl="8">
      <w:start w:val="1"/>
      <w:numFmt w:val="decimal"/>
      <w:lvlText w:val="%9)"/>
      <w:lvlJc w:val="left"/>
      <w:pPr>
        <w:tabs>
          <w:tab w:val="num" w:pos="3600"/>
        </w:tabs>
        <w:ind w:left="3600" w:hanging="360"/>
      </w:pPr>
      <w:rPr>
        <w:rFonts w:ascii="Times New Roman" w:hAnsi="Times New Roman"/>
        <w:sz w:val="24"/>
        <w:szCs w:val="24"/>
      </w:rPr>
    </w:lvl>
  </w:abstractNum>
  <w:abstractNum w:abstractNumId="2">
    <w:nsid w:val="09386C0C"/>
    <w:multiLevelType w:val="multilevel"/>
    <w:tmpl w:val="CFA2F9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93B548D"/>
    <w:multiLevelType w:val="multilevel"/>
    <w:tmpl w:val="C20E3096"/>
    <w:lvl w:ilvl="0">
      <w:start w:val="1"/>
      <w:numFmt w:val="decimal"/>
      <w:lvlText w:val="%1)"/>
      <w:lvlJc w:val="left"/>
      <w:pPr>
        <w:tabs>
          <w:tab w:val="num" w:pos="720"/>
        </w:tabs>
        <w:ind w:left="720" w:hanging="360"/>
      </w:pPr>
      <w:rPr>
        <w:rFonts w:ascii="Times New Roman" w:hAnsi="Times New Roman"/>
        <w:sz w:val="24"/>
        <w:szCs w:val="24"/>
      </w:r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rPr>
        <w:rFonts w:ascii="Times New Roman" w:hAnsi="Times New Roman"/>
        <w:sz w:val="24"/>
        <w:szCs w:val="24"/>
      </w:rPr>
    </w:lvl>
    <w:lvl w:ilvl="3">
      <w:start w:val="1"/>
      <w:numFmt w:val="decimal"/>
      <w:lvlText w:val="%4)"/>
      <w:lvlJc w:val="left"/>
      <w:pPr>
        <w:tabs>
          <w:tab w:val="num" w:pos="1800"/>
        </w:tabs>
        <w:ind w:left="1800" w:hanging="360"/>
      </w:pPr>
      <w:rPr>
        <w:rFonts w:ascii="Times New Roman" w:hAnsi="Times New Roman"/>
        <w:sz w:val="24"/>
        <w:szCs w:val="24"/>
      </w:rPr>
    </w:lvl>
    <w:lvl w:ilvl="4">
      <w:start w:val="1"/>
      <w:numFmt w:val="decimal"/>
      <w:lvlText w:val="%5)"/>
      <w:lvlJc w:val="left"/>
      <w:pPr>
        <w:tabs>
          <w:tab w:val="num" w:pos="2160"/>
        </w:tabs>
        <w:ind w:left="2160" w:hanging="360"/>
      </w:pPr>
      <w:rPr>
        <w:rFonts w:ascii="Times New Roman" w:hAnsi="Times New Roman"/>
        <w:sz w:val="24"/>
        <w:szCs w:val="24"/>
      </w:rPr>
    </w:lvl>
    <w:lvl w:ilvl="5">
      <w:start w:val="1"/>
      <w:numFmt w:val="decimal"/>
      <w:lvlText w:val="%6)"/>
      <w:lvlJc w:val="left"/>
      <w:pPr>
        <w:tabs>
          <w:tab w:val="num" w:pos="2520"/>
        </w:tabs>
        <w:ind w:left="2520" w:hanging="360"/>
      </w:pPr>
      <w:rPr>
        <w:rFonts w:ascii="Times New Roman" w:hAnsi="Times New Roman"/>
        <w:sz w:val="24"/>
        <w:szCs w:val="24"/>
      </w:rPr>
    </w:lvl>
    <w:lvl w:ilvl="6">
      <w:start w:val="1"/>
      <w:numFmt w:val="decimal"/>
      <w:lvlText w:val="%7)"/>
      <w:lvlJc w:val="left"/>
      <w:pPr>
        <w:tabs>
          <w:tab w:val="num" w:pos="2880"/>
        </w:tabs>
        <w:ind w:left="2880" w:hanging="360"/>
      </w:pPr>
      <w:rPr>
        <w:rFonts w:ascii="Times New Roman" w:hAnsi="Times New Roman"/>
        <w:sz w:val="24"/>
        <w:szCs w:val="24"/>
      </w:rPr>
    </w:lvl>
    <w:lvl w:ilvl="7">
      <w:start w:val="1"/>
      <w:numFmt w:val="decimal"/>
      <w:lvlText w:val="%8)"/>
      <w:lvlJc w:val="left"/>
      <w:pPr>
        <w:tabs>
          <w:tab w:val="num" w:pos="3240"/>
        </w:tabs>
        <w:ind w:left="3240" w:hanging="360"/>
      </w:pPr>
      <w:rPr>
        <w:rFonts w:ascii="Times New Roman" w:hAnsi="Times New Roman"/>
        <w:sz w:val="24"/>
        <w:szCs w:val="24"/>
      </w:rPr>
    </w:lvl>
    <w:lvl w:ilvl="8">
      <w:start w:val="1"/>
      <w:numFmt w:val="decimal"/>
      <w:lvlText w:val="%9)"/>
      <w:lvlJc w:val="left"/>
      <w:pPr>
        <w:tabs>
          <w:tab w:val="num" w:pos="3600"/>
        </w:tabs>
        <w:ind w:left="3600" w:hanging="360"/>
      </w:pPr>
      <w:rPr>
        <w:rFonts w:ascii="Times New Roman" w:hAnsi="Times New Roman"/>
        <w:sz w:val="24"/>
        <w:szCs w:val="24"/>
      </w:rPr>
    </w:lvl>
  </w:abstractNum>
  <w:abstractNum w:abstractNumId="4">
    <w:nsid w:val="0A783D71"/>
    <w:multiLevelType w:val="multilevel"/>
    <w:tmpl w:val="CAD6E9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nsid w:val="0D6E5FA4"/>
    <w:multiLevelType w:val="multilevel"/>
    <w:tmpl w:val="CB703F34"/>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6">
    <w:nsid w:val="0FD22ADF"/>
    <w:multiLevelType w:val="multilevel"/>
    <w:tmpl w:val="EC4831C0"/>
    <w:lvl w:ilvl="0">
      <w:start w:val="1"/>
      <w:numFmt w:val="decimal"/>
      <w:lvlText w:val="%1)"/>
      <w:lvlJc w:val="left"/>
      <w:pPr>
        <w:tabs>
          <w:tab w:val="num" w:pos="1287"/>
        </w:tabs>
        <w:ind w:left="1287" w:hanging="360"/>
      </w:pPr>
      <w:rPr>
        <w:rFonts w:ascii="Times New Roman" w:hAnsi="Times New Roman"/>
        <w:sz w:val="24"/>
        <w:szCs w:val="24"/>
      </w:rPr>
    </w:lvl>
    <w:lvl w:ilvl="1">
      <w:start w:val="1"/>
      <w:numFmt w:val="decimal"/>
      <w:lvlText w:val="%2."/>
      <w:lvlJc w:val="left"/>
      <w:pPr>
        <w:tabs>
          <w:tab w:val="num" w:pos="1647"/>
        </w:tabs>
        <w:ind w:left="1647" w:hanging="360"/>
      </w:pPr>
      <w:rPr>
        <w:rFonts w:ascii="Times New Roman" w:hAnsi="Times New Roman"/>
        <w:sz w:val="24"/>
        <w:szCs w:val="24"/>
      </w:rPr>
    </w:lvl>
    <w:lvl w:ilvl="2">
      <w:start w:val="1"/>
      <w:numFmt w:val="decimal"/>
      <w:lvlText w:val="%3."/>
      <w:lvlJc w:val="left"/>
      <w:pPr>
        <w:tabs>
          <w:tab w:val="num" w:pos="2007"/>
        </w:tabs>
        <w:ind w:left="2007" w:hanging="360"/>
      </w:pPr>
      <w:rPr>
        <w:rFonts w:ascii="Times New Roman" w:hAnsi="Times New Roman"/>
        <w:sz w:val="24"/>
        <w:szCs w:val="24"/>
      </w:rPr>
    </w:lvl>
    <w:lvl w:ilvl="3">
      <w:start w:val="1"/>
      <w:numFmt w:val="decimal"/>
      <w:lvlText w:val="%4."/>
      <w:lvlJc w:val="left"/>
      <w:pPr>
        <w:tabs>
          <w:tab w:val="num" w:pos="2367"/>
        </w:tabs>
        <w:ind w:left="2367" w:hanging="360"/>
      </w:pPr>
      <w:rPr>
        <w:rFonts w:ascii="Times New Roman" w:hAnsi="Times New Roman"/>
        <w:sz w:val="24"/>
        <w:szCs w:val="24"/>
      </w:rPr>
    </w:lvl>
    <w:lvl w:ilvl="4">
      <w:start w:val="1"/>
      <w:numFmt w:val="decimal"/>
      <w:lvlText w:val="%5."/>
      <w:lvlJc w:val="left"/>
      <w:pPr>
        <w:tabs>
          <w:tab w:val="num" w:pos="2727"/>
        </w:tabs>
        <w:ind w:left="2727" w:hanging="360"/>
      </w:pPr>
      <w:rPr>
        <w:rFonts w:ascii="Times New Roman" w:hAnsi="Times New Roman"/>
        <w:sz w:val="24"/>
        <w:szCs w:val="24"/>
      </w:rPr>
    </w:lvl>
    <w:lvl w:ilvl="5">
      <w:start w:val="1"/>
      <w:numFmt w:val="decimal"/>
      <w:lvlText w:val="%6."/>
      <w:lvlJc w:val="left"/>
      <w:pPr>
        <w:tabs>
          <w:tab w:val="num" w:pos="3087"/>
        </w:tabs>
        <w:ind w:left="3087" w:hanging="360"/>
      </w:pPr>
      <w:rPr>
        <w:rFonts w:ascii="Times New Roman" w:hAnsi="Times New Roman"/>
        <w:sz w:val="24"/>
        <w:szCs w:val="24"/>
      </w:rPr>
    </w:lvl>
    <w:lvl w:ilvl="6">
      <w:start w:val="1"/>
      <w:numFmt w:val="decimal"/>
      <w:lvlText w:val="%7."/>
      <w:lvlJc w:val="left"/>
      <w:pPr>
        <w:tabs>
          <w:tab w:val="num" w:pos="3447"/>
        </w:tabs>
        <w:ind w:left="3447" w:hanging="360"/>
      </w:pPr>
      <w:rPr>
        <w:rFonts w:ascii="Times New Roman" w:hAnsi="Times New Roman"/>
        <w:sz w:val="24"/>
        <w:szCs w:val="24"/>
      </w:rPr>
    </w:lvl>
    <w:lvl w:ilvl="7">
      <w:start w:val="1"/>
      <w:numFmt w:val="decimal"/>
      <w:lvlText w:val="%8."/>
      <w:lvlJc w:val="left"/>
      <w:pPr>
        <w:tabs>
          <w:tab w:val="num" w:pos="3807"/>
        </w:tabs>
        <w:ind w:left="3807" w:hanging="360"/>
      </w:pPr>
      <w:rPr>
        <w:rFonts w:ascii="Times New Roman" w:hAnsi="Times New Roman"/>
        <w:sz w:val="24"/>
        <w:szCs w:val="24"/>
      </w:rPr>
    </w:lvl>
    <w:lvl w:ilvl="8">
      <w:start w:val="1"/>
      <w:numFmt w:val="decimal"/>
      <w:lvlText w:val="%9."/>
      <w:lvlJc w:val="left"/>
      <w:pPr>
        <w:tabs>
          <w:tab w:val="num" w:pos="4167"/>
        </w:tabs>
        <w:ind w:left="4167" w:hanging="360"/>
      </w:pPr>
      <w:rPr>
        <w:rFonts w:ascii="Times New Roman" w:hAnsi="Times New Roman"/>
        <w:sz w:val="24"/>
        <w:szCs w:val="24"/>
      </w:rPr>
    </w:lvl>
  </w:abstractNum>
  <w:abstractNum w:abstractNumId="7">
    <w:nsid w:val="10D622AF"/>
    <w:multiLevelType w:val="multilevel"/>
    <w:tmpl w:val="B764FE6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115817DE"/>
    <w:multiLevelType w:val="multilevel"/>
    <w:tmpl w:val="C6C62F58"/>
    <w:lvl w:ilvl="0">
      <w:start w:val="1"/>
      <w:numFmt w:val="decimal"/>
      <w:lvlText w:val="%1)"/>
      <w:lvlJc w:val="left"/>
      <w:pPr>
        <w:tabs>
          <w:tab w:val="num" w:pos="0"/>
        </w:tabs>
        <w:ind w:left="2061" w:hanging="360"/>
      </w:pPr>
      <w:rPr>
        <w:rFonts w:ascii="Times New Roman" w:hAnsi="Times New Roman" w:cs="Times New Roman"/>
        <w:sz w:val="24"/>
        <w:szCs w:val="24"/>
      </w:r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9">
    <w:nsid w:val="1243410D"/>
    <w:multiLevelType w:val="multilevel"/>
    <w:tmpl w:val="ACAE32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1B595941"/>
    <w:multiLevelType w:val="multilevel"/>
    <w:tmpl w:val="AA26043E"/>
    <w:lvl w:ilvl="0">
      <w:start w:val="1"/>
      <w:numFmt w:val="decimal"/>
      <w:lvlText w:val="%1)"/>
      <w:lvlJc w:val="left"/>
      <w:pPr>
        <w:tabs>
          <w:tab w:val="num" w:pos="720"/>
        </w:tabs>
        <w:ind w:left="720" w:hanging="360"/>
      </w:pPr>
      <w:rPr>
        <w:rFonts w:ascii="Times New Roman" w:hAnsi="Times New Roman"/>
        <w:sz w:val="24"/>
        <w:szCs w:val="24"/>
      </w:r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rPr>
        <w:rFonts w:ascii="Times New Roman" w:hAnsi="Times New Roman"/>
        <w:sz w:val="24"/>
        <w:szCs w:val="24"/>
      </w:rPr>
    </w:lvl>
    <w:lvl w:ilvl="3">
      <w:start w:val="1"/>
      <w:numFmt w:val="decimal"/>
      <w:lvlText w:val="%4)"/>
      <w:lvlJc w:val="left"/>
      <w:pPr>
        <w:tabs>
          <w:tab w:val="num" w:pos="1800"/>
        </w:tabs>
        <w:ind w:left="1800" w:hanging="360"/>
      </w:pPr>
      <w:rPr>
        <w:rFonts w:ascii="Times New Roman" w:hAnsi="Times New Roman"/>
        <w:sz w:val="24"/>
        <w:szCs w:val="24"/>
      </w:rPr>
    </w:lvl>
    <w:lvl w:ilvl="4">
      <w:start w:val="1"/>
      <w:numFmt w:val="decimal"/>
      <w:lvlText w:val="%5)"/>
      <w:lvlJc w:val="left"/>
      <w:pPr>
        <w:tabs>
          <w:tab w:val="num" w:pos="2160"/>
        </w:tabs>
        <w:ind w:left="2160" w:hanging="360"/>
      </w:pPr>
      <w:rPr>
        <w:rFonts w:ascii="Times New Roman" w:hAnsi="Times New Roman"/>
        <w:sz w:val="24"/>
        <w:szCs w:val="24"/>
      </w:rPr>
    </w:lvl>
    <w:lvl w:ilvl="5">
      <w:start w:val="1"/>
      <w:numFmt w:val="decimal"/>
      <w:lvlText w:val="%6)"/>
      <w:lvlJc w:val="left"/>
      <w:pPr>
        <w:tabs>
          <w:tab w:val="num" w:pos="2520"/>
        </w:tabs>
        <w:ind w:left="2520" w:hanging="360"/>
      </w:pPr>
      <w:rPr>
        <w:rFonts w:ascii="Times New Roman" w:hAnsi="Times New Roman"/>
        <w:sz w:val="24"/>
        <w:szCs w:val="24"/>
      </w:rPr>
    </w:lvl>
    <w:lvl w:ilvl="6">
      <w:start w:val="1"/>
      <w:numFmt w:val="decimal"/>
      <w:lvlText w:val="%7)"/>
      <w:lvlJc w:val="left"/>
      <w:pPr>
        <w:tabs>
          <w:tab w:val="num" w:pos="2880"/>
        </w:tabs>
        <w:ind w:left="2880" w:hanging="360"/>
      </w:pPr>
      <w:rPr>
        <w:rFonts w:ascii="Times New Roman" w:hAnsi="Times New Roman"/>
        <w:sz w:val="24"/>
        <w:szCs w:val="24"/>
      </w:rPr>
    </w:lvl>
    <w:lvl w:ilvl="7">
      <w:start w:val="1"/>
      <w:numFmt w:val="decimal"/>
      <w:lvlText w:val="%8)"/>
      <w:lvlJc w:val="left"/>
      <w:pPr>
        <w:tabs>
          <w:tab w:val="num" w:pos="3240"/>
        </w:tabs>
        <w:ind w:left="3240" w:hanging="360"/>
      </w:pPr>
      <w:rPr>
        <w:rFonts w:ascii="Times New Roman" w:hAnsi="Times New Roman"/>
        <w:sz w:val="24"/>
        <w:szCs w:val="24"/>
      </w:rPr>
    </w:lvl>
    <w:lvl w:ilvl="8">
      <w:start w:val="1"/>
      <w:numFmt w:val="decimal"/>
      <w:lvlText w:val="%9)"/>
      <w:lvlJc w:val="left"/>
      <w:pPr>
        <w:tabs>
          <w:tab w:val="num" w:pos="3600"/>
        </w:tabs>
        <w:ind w:left="3600" w:hanging="360"/>
      </w:pPr>
      <w:rPr>
        <w:rFonts w:ascii="Times New Roman" w:hAnsi="Times New Roman"/>
        <w:sz w:val="24"/>
        <w:szCs w:val="24"/>
      </w:rPr>
    </w:lvl>
  </w:abstractNum>
  <w:abstractNum w:abstractNumId="11">
    <w:nsid w:val="1C4121C2"/>
    <w:multiLevelType w:val="multilevel"/>
    <w:tmpl w:val="93025D5C"/>
    <w:lvl w:ilvl="0">
      <w:start w:val="1"/>
      <w:numFmt w:val="decimal"/>
      <w:lvlText w:val="%1."/>
      <w:lvlJc w:val="left"/>
      <w:pPr>
        <w:tabs>
          <w:tab w:val="num" w:pos="0"/>
        </w:tabs>
        <w:ind w:left="720" w:hanging="360"/>
      </w:pPr>
      <w:rPr>
        <w:rFonts w:ascii="Times New Roman" w:hAnsi="Times New Roman" w:cs="Tahoma"/>
        <w:color w:val="000000"/>
        <w:sz w:val="28"/>
        <w:szCs w:val="28"/>
      </w:rPr>
    </w:lvl>
    <w:lvl w:ilvl="1">
      <w:start w:val="1"/>
      <w:numFmt w:val="decimal"/>
      <w:lvlText w:val="%1.%2."/>
      <w:lvlJc w:val="left"/>
      <w:pPr>
        <w:tabs>
          <w:tab w:val="num" w:pos="0"/>
        </w:tabs>
        <w:ind w:left="780" w:hanging="4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2">
    <w:nsid w:val="22137A07"/>
    <w:multiLevelType w:val="multilevel"/>
    <w:tmpl w:val="7D9A1090"/>
    <w:lvl w:ilvl="0">
      <w:start w:val="1"/>
      <w:numFmt w:val="decimal"/>
      <w:lvlText w:val="%1)"/>
      <w:lvlJc w:val="left"/>
      <w:pPr>
        <w:tabs>
          <w:tab w:val="num" w:pos="720"/>
        </w:tabs>
        <w:ind w:left="720" w:hanging="360"/>
      </w:pPr>
      <w:rPr>
        <w:rFonts w:ascii="Times New Roman" w:hAnsi="Times New Roman"/>
        <w:sz w:val="24"/>
        <w:szCs w:val="24"/>
      </w:r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rPr>
        <w:rFonts w:ascii="Times New Roman" w:hAnsi="Times New Roman"/>
        <w:sz w:val="24"/>
        <w:szCs w:val="24"/>
      </w:rPr>
    </w:lvl>
    <w:lvl w:ilvl="3">
      <w:start w:val="1"/>
      <w:numFmt w:val="decimal"/>
      <w:lvlText w:val="%4)"/>
      <w:lvlJc w:val="left"/>
      <w:pPr>
        <w:tabs>
          <w:tab w:val="num" w:pos="1800"/>
        </w:tabs>
        <w:ind w:left="1800" w:hanging="360"/>
      </w:pPr>
      <w:rPr>
        <w:rFonts w:ascii="Times New Roman" w:hAnsi="Times New Roman"/>
        <w:sz w:val="24"/>
        <w:szCs w:val="24"/>
      </w:rPr>
    </w:lvl>
    <w:lvl w:ilvl="4">
      <w:start w:val="1"/>
      <w:numFmt w:val="decimal"/>
      <w:lvlText w:val="%5)"/>
      <w:lvlJc w:val="left"/>
      <w:pPr>
        <w:tabs>
          <w:tab w:val="num" w:pos="2160"/>
        </w:tabs>
        <w:ind w:left="2160" w:hanging="360"/>
      </w:pPr>
      <w:rPr>
        <w:rFonts w:ascii="Times New Roman" w:hAnsi="Times New Roman"/>
        <w:sz w:val="24"/>
        <w:szCs w:val="24"/>
      </w:rPr>
    </w:lvl>
    <w:lvl w:ilvl="5">
      <w:start w:val="1"/>
      <w:numFmt w:val="decimal"/>
      <w:lvlText w:val="%6)"/>
      <w:lvlJc w:val="left"/>
      <w:pPr>
        <w:tabs>
          <w:tab w:val="num" w:pos="2520"/>
        </w:tabs>
        <w:ind w:left="2520" w:hanging="360"/>
      </w:pPr>
      <w:rPr>
        <w:rFonts w:ascii="Times New Roman" w:hAnsi="Times New Roman"/>
        <w:sz w:val="24"/>
        <w:szCs w:val="24"/>
      </w:rPr>
    </w:lvl>
    <w:lvl w:ilvl="6">
      <w:start w:val="1"/>
      <w:numFmt w:val="decimal"/>
      <w:lvlText w:val="%7)"/>
      <w:lvlJc w:val="left"/>
      <w:pPr>
        <w:tabs>
          <w:tab w:val="num" w:pos="2880"/>
        </w:tabs>
        <w:ind w:left="2880" w:hanging="360"/>
      </w:pPr>
      <w:rPr>
        <w:rFonts w:ascii="Times New Roman" w:hAnsi="Times New Roman"/>
        <w:sz w:val="24"/>
        <w:szCs w:val="24"/>
      </w:rPr>
    </w:lvl>
    <w:lvl w:ilvl="7">
      <w:start w:val="1"/>
      <w:numFmt w:val="decimal"/>
      <w:lvlText w:val="%8)"/>
      <w:lvlJc w:val="left"/>
      <w:pPr>
        <w:tabs>
          <w:tab w:val="num" w:pos="3240"/>
        </w:tabs>
        <w:ind w:left="3240" w:hanging="360"/>
      </w:pPr>
      <w:rPr>
        <w:rFonts w:ascii="Times New Roman" w:hAnsi="Times New Roman"/>
        <w:sz w:val="24"/>
        <w:szCs w:val="24"/>
      </w:rPr>
    </w:lvl>
    <w:lvl w:ilvl="8">
      <w:start w:val="1"/>
      <w:numFmt w:val="decimal"/>
      <w:lvlText w:val="%9)"/>
      <w:lvlJc w:val="left"/>
      <w:pPr>
        <w:tabs>
          <w:tab w:val="num" w:pos="3600"/>
        </w:tabs>
        <w:ind w:left="3600" w:hanging="360"/>
      </w:pPr>
      <w:rPr>
        <w:rFonts w:ascii="Times New Roman" w:hAnsi="Times New Roman"/>
        <w:sz w:val="24"/>
        <w:szCs w:val="24"/>
      </w:rPr>
    </w:lvl>
  </w:abstractNum>
  <w:abstractNum w:abstractNumId="13">
    <w:nsid w:val="22567A7F"/>
    <w:multiLevelType w:val="multilevel"/>
    <w:tmpl w:val="6FCECB6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312203A"/>
    <w:multiLevelType w:val="multilevel"/>
    <w:tmpl w:val="1FFEB602"/>
    <w:lvl w:ilvl="0">
      <w:start w:val="1"/>
      <w:numFmt w:val="decimal"/>
      <w:lvlText w:val="%1)"/>
      <w:lvlJc w:val="left"/>
      <w:pPr>
        <w:tabs>
          <w:tab w:val="num" w:pos="0"/>
        </w:tabs>
        <w:ind w:left="2061" w:hanging="360"/>
      </w:pPr>
      <w:rPr>
        <w:rFonts w:ascii="Times New Roman" w:hAnsi="Times New Roman" w:cs="Times New Roman"/>
        <w:sz w:val="24"/>
        <w:szCs w:val="24"/>
      </w:r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15">
    <w:nsid w:val="256D7561"/>
    <w:multiLevelType w:val="multilevel"/>
    <w:tmpl w:val="B4304708"/>
    <w:lvl w:ilvl="0">
      <w:start w:val="1"/>
      <w:numFmt w:val="decimal"/>
      <w:lvlText w:val="%1)"/>
      <w:lvlJc w:val="left"/>
      <w:pPr>
        <w:tabs>
          <w:tab w:val="num" w:pos="720"/>
        </w:tabs>
        <w:ind w:left="720" w:hanging="360"/>
      </w:pPr>
      <w:rPr>
        <w:rFonts w:ascii="Times New Roman" w:hAnsi="Times New Roman"/>
        <w:sz w:val="24"/>
        <w:szCs w:val="24"/>
      </w:rPr>
    </w:lvl>
    <w:lvl w:ilvl="1">
      <w:start w:val="1"/>
      <w:numFmt w:val="decimal"/>
      <w:lvlText w:val="%2."/>
      <w:lvlJc w:val="left"/>
      <w:pPr>
        <w:tabs>
          <w:tab w:val="num" w:pos="1080"/>
        </w:tabs>
        <w:ind w:left="1080" w:hanging="360"/>
      </w:pPr>
      <w:rPr>
        <w:rFonts w:ascii="Times New Roman" w:hAnsi="Times New Roman"/>
        <w:b/>
        <w:bCs/>
        <w:sz w:val="24"/>
        <w:szCs w:val="24"/>
      </w:rPr>
    </w:lvl>
    <w:lvl w:ilvl="2">
      <w:start w:val="1"/>
      <w:numFmt w:val="decimal"/>
      <w:lvlText w:val="%3."/>
      <w:lvlJc w:val="left"/>
      <w:pPr>
        <w:tabs>
          <w:tab w:val="num" w:pos="1440"/>
        </w:tabs>
        <w:ind w:left="1440" w:hanging="360"/>
      </w:pPr>
      <w:rPr>
        <w:rFonts w:ascii="Times New Roman" w:hAnsi="Times New Roman"/>
        <w:sz w:val="24"/>
        <w:szCs w:val="24"/>
      </w:rPr>
    </w:lvl>
    <w:lvl w:ilvl="3">
      <w:start w:val="1"/>
      <w:numFmt w:val="decimal"/>
      <w:lvlText w:val="%4."/>
      <w:lvlJc w:val="left"/>
      <w:pPr>
        <w:tabs>
          <w:tab w:val="num" w:pos="1800"/>
        </w:tabs>
        <w:ind w:left="1800" w:hanging="360"/>
      </w:pPr>
      <w:rPr>
        <w:rFonts w:ascii="Times New Roman" w:hAnsi="Times New Roman"/>
        <w:sz w:val="24"/>
        <w:szCs w:val="24"/>
      </w:rPr>
    </w:lvl>
    <w:lvl w:ilvl="4">
      <w:start w:val="1"/>
      <w:numFmt w:val="decimal"/>
      <w:lvlText w:val="%5."/>
      <w:lvlJc w:val="left"/>
      <w:pPr>
        <w:tabs>
          <w:tab w:val="num" w:pos="2160"/>
        </w:tabs>
        <w:ind w:left="2160" w:hanging="360"/>
      </w:pPr>
      <w:rPr>
        <w:rFonts w:ascii="Times New Roman" w:hAnsi="Times New Roman"/>
        <w:sz w:val="24"/>
        <w:szCs w:val="24"/>
      </w:rPr>
    </w:lvl>
    <w:lvl w:ilvl="5">
      <w:start w:val="1"/>
      <w:numFmt w:val="decimal"/>
      <w:lvlText w:val="%6."/>
      <w:lvlJc w:val="left"/>
      <w:pPr>
        <w:tabs>
          <w:tab w:val="num" w:pos="2520"/>
        </w:tabs>
        <w:ind w:left="2520" w:hanging="360"/>
      </w:pPr>
      <w:rPr>
        <w:rFonts w:ascii="Times New Roman" w:hAnsi="Times New Roman"/>
        <w:sz w:val="24"/>
        <w:szCs w:val="24"/>
      </w:rPr>
    </w:lvl>
    <w:lvl w:ilvl="6">
      <w:start w:val="1"/>
      <w:numFmt w:val="decimal"/>
      <w:lvlText w:val="%7."/>
      <w:lvlJc w:val="left"/>
      <w:pPr>
        <w:tabs>
          <w:tab w:val="num" w:pos="2880"/>
        </w:tabs>
        <w:ind w:left="2880" w:hanging="360"/>
      </w:pPr>
      <w:rPr>
        <w:rFonts w:ascii="Times New Roman" w:hAnsi="Times New Roman"/>
        <w:sz w:val="24"/>
        <w:szCs w:val="24"/>
      </w:rPr>
    </w:lvl>
    <w:lvl w:ilvl="7">
      <w:start w:val="1"/>
      <w:numFmt w:val="decimal"/>
      <w:lvlText w:val="%8."/>
      <w:lvlJc w:val="left"/>
      <w:pPr>
        <w:tabs>
          <w:tab w:val="num" w:pos="3240"/>
        </w:tabs>
        <w:ind w:left="3240" w:hanging="360"/>
      </w:pPr>
      <w:rPr>
        <w:rFonts w:ascii="Times New Roman" w:hAnsi="Times New Roman"/>
        <w:sz w:val="24"/>
        <w:szCs w:val="24"/>
      </w:rPr>
    </w:lvl>
    <w:lvl w:ilvl="8">
      <w:start w:val="1"/>
      <w:numFmt w:val="decimal"/>
      <w:lvlText w:val="%9."/>
      <w:lvlJc w:val="left"/>
      <w:pPr>
        <w:tabs>
          <w:tab w:val="num" w:pos="3600"/>
        </w:tabs>
        <w:ind w:left="3600" w:hanging="360"/>
      </w:pPr>
      <w:rPr>
        <w:rFonts w:ascii="Times New Roman" w:hAnsi="Times New Roman"/>
        <w:sz w:val="24"/>
        <w:szCs w:val="24"/>
      </w:rPr>
    </w:lvl>
  </w:abstractNum>
  <w:abstractNum w:abstractNumId="16">
    <w:nsid w:val="26AD0542"/>
    <w:multiLevelType w:val="multilevel"/>
    <w:tmpl w:val="EB18B0D0"/>
    <w:lvl w:ilvl="0">
      <w:start w:val="1"/>
      <w:numFmt w:val="decimal"/>
      <w:lvlText w:val="%1)"/>
      <w:lvlJc w:val="left"/>
      <w:pPr>
        <w:tabs>
          <w:tab w:val="num" w:pos="720"/>
        </w:tabs>
        <w:ind w:left="720" w:hanging="360"/>
      </w:pPr>
      <w:rPr>
        <w:rFonts w:ascii="Times New Roman" w:hAnsi="Times New Roman"/>
        <w:sz w:val="24"/>
        <w:szCs w:val="24"/>
      </w:r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rPr>
        <w:rFonts w:ascii="Times New Roman" w:hAnsi="Times New Roman"/>
        <w:sz w:val="24"/>
        <w:szCs w:val="24"/>
      </w:rPr>
    </w:lvl>
    <w:lvl w:ilvl="3">
      <w:start w:val="1"/>
      <w:numFmt w:val="decimal"/>
      <w:lvlText w:val="%4."/>
      <w:lvlJc w:val="left"/>
      <w:pPr>
        <w:tabs>
          <w:tab w:val="num" w:pos="1800"/>
        </w:tabs>
        <w:ind w:left="1800" w:hanging="360"/>
      </w:pPr>
      <w:rPr>
        <w:rFonts w:ascii="Times New Roman" w:hAnsi="Times New Roman"/>
        <w:sz w:val="24"/>
        <w:szCs w:val="24"/>
      </w:rPr>
    </w:lvl>
    <w:lvl w:ilvl="4">
      <w:start w:val="1"/>
      <w:numFmt w:val="decimal"/>
      <w:lvlText w:val="%5."/>
      <w:lvlJc w:val="left"/>
      <w:pPr>
        <w:tabs>
          <w:tab w:val="num" w:pos="2160"/>
        </w:tabs>
        <w:ind w:left="2160" w:hanging="360"/>
      </w:pPr>
      <w:rPr>
        <w:rFonts w:ascii="Times New Roman" w:hAnsi="Times New Roman"/>
        <w:sz w:val="24"/>
        <w:szCs w:val="24"/>
      </w:rPr>
    </w:lvl>
    <w:lvl w:ilvl="5">
      <w:start w:val="1"/>
      <w:numFmt w:val="decimal"/>
      <w:lvlText w:val="%6."/>
      <w:lvlJc w:val="left"/>
      <w:pPr>
        <w:tabs>
          <w:tab w:val="num" w:pos="2520"/>
        </w:tabs>
        <w:ind w:left="2520" w:hanging="360"/>
      </w:pPr>
      <w:rPr>
        <w:rFonts w:ascii="Times New Roman" w:hAnsi="Times New Roman"/>
        <w:sz w:val="24"/>
        <w:szCs w:val="24"/>
      </w:rPr>
    </w:lvl>
    <w:lvl w:ilvl="6">
      <w:start w:val="1"/>
      <w:numFmt w:val="decimal"/>
      <w:lvlText w:val="%7."/>
      <w:lvlJc w:val="left"/>
      <w:pPr>
        <w:tabs>
          <w:tab w:val="num" w:pos="2880"/>
        </w:tabs>
        <w:ind w:left="2880" w:hanging="360"/>
      </w:pPr>
      <w:rPr>
        <w:rFonts w:ascii="Times New Roman" w:hAnsi="Times New Roman"/>
        <w:sz w:val="24"/>
        <w:szCs w:val="24"/>
      </w:rPr>
    </w:lvl>
    <w:lvl w:ilvl="7">
      <w:start w:val="1"/>
      <w:numFmt w:val="decimal"/>
      <w:lvlText w:val="%8."/>
      <w:lvlJc w:val="left"/>
      <w:pPr>
        <w:tabs>
          <w:tab w:val="num" w:pos="3240"/>
        </w:tabs>
        <w:ind w:left="3240" w:hanging="360"/>
      </w:pPr>
      <w:rPr>
        <w:rFonts w:ascii="Times New Roman" w:hAnsi="Times New Roman"/>
        <w:sz w:val="24"/>
        <w:szCs w:val="24"/>
      </w:rPr>
    </w:lvl>
    <w:lvl w:ilvl="8">
      <w:start w:val="1"/>
      <w:numFmt w:val="decimal"/>
      <w:lvlText w:val="%9."/>
      <w:lvlJc w:val="left"/>
      <w:pPr>
        <w:tabs>
          <w:tab w:val="num" w:pos="3600"/>
        </w:tabs>
        <w:ind w:left="3600" w:hanging="360"/>
      </w:pPr>
      <w:rPr>
        <w:rFonts w:ascii="Times New Roman" w:hAnsi="Times New Roman"/>
        <w:sz w:val="24"/>
        <w:szCs w:val="24"/>
      </w:rPr>
    </w:lvl>
  </w:abstractNum>
  <w:abstractNum w:abstractNumId="17">
    <w:nsid w:val="28086280"/>
    <w:multiLevelType w:val="multilevel"/>
    <w:tmpl w:val="2F5C66A4"/>
    <w:lvl w:ilvl="0">
      <w:start w:val="1"/>
      <w:numFmt w:val="decimal"/>
      <w:lvlText w:val="%1)"/>
      <w:lvlJc w:val="left"/>
      <w:pPr>
        <w:tabs>
          <w:tab w:val="num" w:pos="720"/>
        </w:tabs>
        <w:ind w:left="720" w:hanging="360"/>
      </w:pPr>
      <w:rPr>
        <w:rFonts w:ascii="Times New Roman" w:hAnsi="Times New Roman"/>
        <w:sz w:val="24"/>
        <w:szCs w:val="24"/>
      </w:r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rPr>
        <w:rFonts w:ascii="Times New Roman" w:hAnsi="Times New Roman"/>
        <w:sz w:val="24"/>
        <w:szCs w:val="24"/>
      </w:rPr>
    </w:lvl>
    <w:lvl w:ilvl="3">
      <w:start w:val="1"/>
      <w:numFmt w:val="decimal"/>
      <w:lvlText w:val="%4."/>
      <w:lvlJc w:val="left"/>
      <w:pPr>
        <w:tabs>
          <w:tab w:val="num" w:pos="1800"/>
        </w:tabs>
        <w:ind w:left="1800" w:hanging="360"/>
      </w:pPr>
      <w:rPr>
        <w:rFonts w:ascii="Times New Roman" w:hAnsi="Times New Roman"/>
        <w:sz w:val="24"/>
        <w:szCs w:val="24"/>
      </w:rPr>
    </w:lvl>
    <w:lvl w:ilvl="4">
      <w:start w:val="1"/>
      <w:numFmt w:val="decimal"/>
      <w:lvlText w:val="%5."/>
      <w:lvlJc w:val="left"/>
      <w:pPr>
        <w:tabs>
          <w:tab w:val="num" w:pos="2160"/>
        </w:tabs>
        <w:ind w:left="2160" w:hanging="360"/>
      </w:pPr>
      <w:rPr>
        <w:rFonts w:ascii="Times New Roman" w:hAnsi="Times New Roman"/>
        <w:sz w:val="24"/>
        <w:szCs w:val="24"/>
      </w:rPr>
    </w:lvl>
    <w:lvl w:ilvl="5">
      <w:start w:val="1"/>
      <w:numFmt w:val="decimal"/>
      <w:lvlText w:val="%6."/>
      <w:lvlJc w:val="left"/>
      <w:pPr>
        <w:tabs>
          <w:tab w:val="num" w:pos="2520"/>
        </w:tabs>
        <w:ind w:left="2520" w:hanging="360"/>
      </w:pPr>
      <w:rPr>
        <w:rFonts w:ascii="Times New Roman" w:hAnsi="Times New Roman"/>
        <w:sz w:val="24"/>
        <w:szCs w:val="24"/>
      </w:rPr>
    </w:lvl>
    <w:lvl w:ilvl="6">
      <w:start w:val="1"/>
      <w:numFmt w:val="decimal"/>
      <w:lvlText w:val="%7."/>
      <w:lvlJc w:val="left"/>
      <w:pPr>
        <w:tabs>
          <w:tab w:val="num" w:pos="2880"/>
        </w:tabs>
        <w:ind w:left="2880" w:hanging="360"/>
      </w:pPr>
      <w:rPr>
        <w:rFonts w:ascii="Times New Roman" w:hAnsi="Times New Roman"/>
        <w:sz w:val="24"/>
        <w:szCs w:val="24"/>
      </w:rPr>
    </w:lvl>
    <w:lvl w:ilvl="7">
      <w:start w:val="1"/>
      <w:numFmt w:val="decimal"/>
      <w:lvlText w:val="%8."/>
      <w:lvlJc w:val="left"/>
      <w:pPr>
        <w:tabs>
          <w:tab w:val="num" w:pos="3240"/>
        </w:tabs>
        <w:ind w:left="3240" w:hanging="360"/>
      </w:pPr>
      <w:rPr>
        <w:rFonts w:ascii="Times New Roman" w:hAnsi="Times New Roman"/>
        <w:sz w:val="24"/>
        <w:szCs w:val="24"/>
      </w:rPr>
    </w:lvl>
    <w:lvl w:ilvl="8">
      <w:start w:val="1"/>
      <w:numFmt w:val="decimal"/>
      <w:lvlText w:val="%9."/>
      <w:lvlJc w:val="left"/>
      <w:pPr>
        <w:tabs>
          <w:tab w:val="num" w:pos="3600"/>
        </w:tabs>
        <w:ind w:left="3600" w:hanging="360"/>
      </w:pPr>
      <w:rPr>
        <w:rFonts w:ascii="Times New Roman" w:hAnsi="Times New Roman"/>
        <w:sz w:val="24"/>
        <w:szCs w:val="24"/>
      </w:rPr>
    </w:lvl>
  </w:abstractNum>
  <w:abstractNum w:abstractNumId="18">
    <w:nsid w:val="30B018CA"/>
    <w:multiLevelType w:val="multilevel"/>
    <w:tmpl w:val="6E6EDC72"/>
    <w:lvl w:ilvl="0">
      <w:start w:val="1"/>
      <w:numFmt w:val="decimal"/>
      <w:lvlText w:val="%1)"/>
      <w:lvlJc w:val="left"/>
      <w:pPr>
        <w:tabs>
          <w:tab w:val="num" w:pos="720"/>
        </w:tabs>
        <w:ind w:left="720" w:hanging="360"/>
      </w:pPr>
      <w:rPr>
        <w:rFonts w:ascii="Times New Roman" w:hAnsi="Times New Roman"/>
        <w:sz w:val="24"/>
        <w:szCs w:val="24"/>
      </w:r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rPr>
        <w:rFonts w:ascii="Times New Roman" w:hAnsi="Times New Roman"/>
        <w:sz w:val="24"/>
        <w:szCs w:val="24"/>
      </w:rPr>
    </w:lvl>
    <w:lvl w:ilvl="3">
      <w:start w:val="1"/>
      <w:numFmt w:val="decimal"/>
      <w:lvlText w:val="%4)"/>
      <w:lvlJc w:val="left"/>
      <w:pPr>
        <w:tabs>
          <w:tab w:val="num" w:pos="1800"/>
        </w:tabs>
        <w:ind w:left="1800" w:hanging="360"/>
      </w:pPr>
      <w:rPr>
        <w:rFonts w:ascii="Times New Roman" w:hAnsi="Times New Roman"/>
        <w:sz w:val="24"/>
        <w:szCs w:val="24"/>
      </w:rPr>
    </w:lvl>
    <w:lvl w:ilvl="4">
      <w:start w:val="1"/>
      <w:numFmt w:val="decimal"/>
      <w:lvlText w:val="%5)"/>
      <w:lvlJc w:val="left"/>
      <w:pPr>
        <w:tabs>
          <w:tab w:val="num" w:pos="2160"/>
        </w:tabs>
        <w:ind w:left="2160" w:hanging="360"/>
      </w:pPr>
      <w:rPr>
        <w:rFonts w:ascii="Times New Roman" w:hAnsi="Times New Roman"/>
        <w:sz w:val="24"/>
        <w:szCs w:val="24"/>
      </w:rPr>
    </w:lvl>
    <w:lvl w:ilvl="5">
      <w:start w:val="1"/>
      <w:numFmt w:val="decimal"/>
      <w:lvlText w:val="%6)"/>
      <w:lvlJc w:val="left"/>
      <w:pPr>
        <w:tabs>
          <w:tab w:val="num" w:pos="2520"/>
        </w:tabs>
        <w:ind w:left="2520" w:hanging="360"/>
      </w:pPr>
      <w:rPr>
        <w:rFonts w:ascii="Times New Roman" w:hAnsi="Times New Roman"/>
        <w:sz w:val="24"/>
        <w:szCs w:val="24"/>
      </w:rPr>
    </w:lvl>
    <w:lvl w:ilvl="6">
      <w:start w:val="1"/>
      <w:numFmt w:val="decimal"/>
      <w:lvlText w:val="%7)"/>
      <w:lvlJc w:val="left"/>
      <w:pPr>
        <w:tabs>
          <w:tab w:val="num" w:pos="2880"/>
        </w:tabs>
        <w:ind w:left="2880" w:hanging="360"/>
      </w:pPr>
      <w:rPr>
        <w:rFonts w:ascii="Times New Roman" w:hAnsi="Times New Roman"/>
        <w:sz w:val="24"/>
        <w:szCs w:val="24"/>
      </w:rPr>
    </w:lvl>
    <w:lvl w:ilvl="7">
      <w:start w:val="1"/>
      <w:numFmt w:val="decimal"/>
      <w:lvlText w:val="%8)"/>
      <w:lvlJc w:val="left"/>
      <w:pPr>
        <w:tabs>
          <w:tab w:val="num" w:pos="3240"/>
        </w:tabs>
        <w:ind w:left="3240" w:hanging="360"/>
      </w:pPr>
      <w:rPr>
        <w:rFonts w:ascii="Times New Roman" w:hAnsi="Times New Roman"/>
        <w:sz w:val="24"/>
        <w:szCs w:val="24"/>
      </w:rPr>
    </w:lvl>
    <w:lvl w:ilvl="8">
      <w:start w:val="1"/>
      <w:numFmt w:val="decimal"/>
      <w:lvlText w:val="%9)"/>
      <w:lvlJc w:val="left"/>
      <w:pPr>
        <w:tabs>
          <w:tab w:val="num" w:pos="3600"/>
        </w:tabs>
        <w:ind w:left="3600" w:hanging="360"/>
      </w:pPr>
      <w:rPr>
        <w:rFonts w:ascii="Times New Roman" w:hAnsi="Times New Roman"/>
        <w:sz w:val="24"/>
        <w:szCs w:val="24"/>
      </w:rPr>
    </w:lvl>
  </w:abstractNum>
  <w:abstractNum w:abstractNumId="19">
    <w:nsid w:val="321B7778"/>
    <w:multiLevelType w:val="multilevel"/>
    <w:tmpl w:val="222AF9BC"/>
    <w:lvl w:ilvl="0">
      <w:start w:val="1"/>
      <w:numFmt w:val="decimal"/>
      <w:lvlText w:val="%1)"/>
      <w:lvlJc w:val="left"/>
      <w:pPr>
        <w:tabs>
          <w:tab w:val="num" w:pos="0"/>
        </w:tabs>
        <w:ind w:left="720" w:hanging="360"/>
      </w:pPr>
      <w:rPr>
        <w:rFonts w:ascii="Times New Roman" w:hAnsi="Times New Roman"/>
        <w:sz w:val="24"/>
        <w:szCs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nsid w:val="34FD10D1"/>
    <w:multiLevelType w:val="multilevel"/>
    <w:tmpl w:val="90A224FA"/>
    <w:lvl w:ilvl="0">
      <w:start w:val="1"/>
      <w:numFmt w:val="decimal"/>
      <w:lvlText w:val="%1)"/>
      <w:lvlJc w:val="left"/>
      <w:pPr>
        <w:tabs>
          <w:tab w:val="num" w:pos="720"/>
        </w:tabs>
        <w:ind w:left="720" w:hanging="360"/>
      </w:pPr>
      <w:rPr>
        <w:rFonts w:ascii="Times New Roman" w:hAnsi="Times New Roman"/>
        <w:sz w:val="24"/>
        <w:szCs w:val="24"/>
      </w:r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rPr>
        <w:rFonts w:ascii="Times New Roman" w:hAnsi="Times New Roman"/>
        <w:sz w:val="24"/>
        <w:szCs w:val="24"/>
      </w:rPr>
    </w:lvl>
    <w:lvl w:ilvl="3">
      <w:start w:val="1"/>
      <w:numFmt w:val="decimal"/>
      <w:lvlText w:val="%4."/>
      <w:lvlJc w:val="left"/>
      <w:pPr>
        <w:tabs>
          <w:tab w:val="num" w:pos="1800"/>
        </w:tabs>
        <w:ind w:left="1800" w:hanging="360"/>
      </w:pPr>
      <w:rPr>
        <w:rFonts w:ascii="Times New Roman" w:hAnsi="Times New Roman"/>
        <w:sz w:val="24"/>
        <w:szCs w:val="24"/>
      </w:rPr>
    </w:lvl>
    <w:lvl w:ilvl="4">
      <w:start w:val="1"/>
      <w:numFmt w:val="decimal"/>
      <w:lvlText w:val="%5."/>
      <w:lvlJc w:val="left"/>
      <w:pPr>
        <w:tabs>
          <w:tab w:val="num" w:pos="2160"/>
        </w:tabs>
        <w:ind w:left="2160" w:hanging="360"/>
      </w:pPr>
      <w:rPr>
        <w:rFonts w:ascii="Times New Roman" w:hAnsi="Times New Roman"/>
        <w:sz w:val="24"/>
        <w:szCs w:val="24"/>
      </w:rPr>
    </w:lvl>
    <w:lvl w:ilvl="5">
      <w:start w:val="1"/>
      <w:numFmt w:val="decimal"/>
      <w:lvlText w:val="%6."/>
      <w:lvlJc w:val="left"/>
      <w:pPr>
        <w:tabs>
          <w:tab w:val="num" w:pos="2520"/>
        </w:tabs>
        <w:ind w:left="2520" w:hanging="360"/>
      </w:pPr>
      <w:rPr>
        <w:rFonts w:ascii="Times New Roman" w:hAnsi="Times New Roman"/>
        <w:sz w:val="24"/>
        <w:szCs w:val="24"/>
      </w:rPr>
    </w:lvl>
    <w:lvl w:ilvl="6">
      <w:start w:val="1"/>
      <w:numFmt w:val="decimal"/>
      <w:lvlText w:val="%7."/>
      <w:lvlJc w:val="left"/>
      <w:pPr>
        <w:tabs>
          <w:tab w:val="num" w:pos="2880"/>
        </w:tabs>
        <w:ind w:left="2880" w:hanging="360"/>
      </w:pPr>
      <w:rPr>
        <w:rFonts w:ascii="Times New Roman" w:hAnsi="Times New Roman"/>
        <w:sz w:val="24"/>
        <w:szCs w:val="24"/>
      </w:rPr>
    </w:lvl>
    <w:lvl w:ilvl="7">
      <w:start w:val="1"/>
      <w:numFmt w:val="decimal"/>
      <w:lvlText w:val="%8."/>
      <w:lvlJc w:val="left"/>
      <w:pPr>
        <w:tabs>
          <w:tab w:val="num" w:pos="3240"/>
        </w:tabs>
        <w:ind w:left="3240" w:hanging="360"/>
      </w:pPr>
      <w:rPr>
        <w:rFonts w:ascii="Times New Roman" w:hAnsi="Times New Roman"/>
        <w:sz w:val="24"/>
        <w:szCs w:val="24"/>
      </w:rPr>
    </w:lvl>
    <w:lvl w:ilvl="8">
      <w:start w:val="1"/>
      <w:numFmt w:val="decimal"/>
      <w:lvlText w:val="%9."/>
      <w:lvlJc w:val="left"/>
      <w:pPr>
        <w:tabs>
          <w:tab w:val="num" w:pos="3600"/>
        </w:tabs>
        <w:ind w:left="3600" w:hanging="360"/>
      </w:pPr>
      <w:rPr>
        <w:rFonts w:ascii="Times New Roman" w:hAnsi="Times New Roman"/>
        <w:sz w:val="24"/>
        <w:szCs w:val="24"/>
      </w:rPr>
    </w:lvl>
  </w:abstractNum>
  <w:abstractNum w:abstractNumId="21">
    <w:nsid w:val="36314126"/>
    <w:multiLevelType w:val="multilevel"/>
    <w:tmpl w:val="139E01A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65634EC"/>
    <w:multiLevelType w:val="multilevel"/>
    <w:tmpl w:val="F12CD4CA"/>
    <w:lvl w:ilvl="0">
      <w:start w:val="1"/>
      <w:numFmt w:val="decimal"/>
      <w:lvlText w:val="%1)"/>
      <w:lvlJc w:val="left"/>
      <w:pPr>
        <w:tabs>
          <w:tab w:val="num" w:pos="0"/>
        </w:tabs>
        <w:ind w:left="2061" w:hanging="360"/>
      </w:pPr>
      <w:rPr>
        <w:rFonts w:ascii="Times New Roman" w:hAnsi="Times New Roman" w:cs="Times New Roman"/>
        <w:sz w:val="24"/>
        <w:szCs w:val="24"/>
      </w:r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23">
    <w:nsid w:val="36713D29"/>
    <w:multiLevelType w:val="multilevel"/>
    <w:tmpl w:val="10FE57C8"/>
    <w:lvl w:ilvl="0">
      <w:start w:val="1"/>
      <w:numFmt w:val="decimal"/>
      <w:lvlText w:val="%1)"/>
      <w:lvlJc w:val="left"/>
      <w:pPr>
        <w:tabs>
          <w:tab w:val="num" w:pos="0"/>
        </w:tabs>
        <w:ind w:left="927" w:hanging="360"/>
      </w:pPr>
      <w:rPr>
        <w:rFonts w:ascii="Times New Roman" w:hAnsi="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nsid w:val="396E0170"/>
    <w:multiLevelType w:val="multilevel"/>
    <w:tmpl w:val="CD3AE42E"/>
    <w:lvl w:ilvl="0">
      <w:start w:val="1"/>
      <w:numFmt w:val="decimal"/>
      <w:lvlText w:val="%1)"/>
      <w:lvlJc w:val="left"/>
      <w:pPr>
        <w:tabs>
          <w:tab w:val="num" w:pos="720"/>
        </w:tabs>
        <w:ind w:left="720" w:hanging="360"/>
      </w:pPr>
      <w:rPr>
        <w:rFonts w:ascii="Times New Roman" w:hAnsi="Times New Roman"/>
        <w:sz w:val="24"/>
        <w:szCs w:val="24"/>
      </w:r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rPr>
        <w:rFonts w:ascii="Times New Roman" w:hAnsi="Times New Roman"/>
        <w:sz w:val="24"/>
        <w:szCs w:val="24"/>
      </w:rPr>
    </w:lvl>
    <w:lvl w:ilvl="3">
      <w:start w:val="1"/>
      <w:numFmt w:val="decimal"/>
      <w:lvlText w:val="%4."/>
      <w:lvlJc w:val="left"/>
      <w:pPr>
        <w:tabs>
          <w:tab w:val="num" w:pos="1800"/>
        </w:tabs>
        <w:ind w:left="1800" w:hanging="360"/>
      </w:pPr>
      <w:rPr>
        <w:rFonts w:ascii="Times New Roman" w:hAnsi="Times New Roman"/>
        <w:sz w:val="24"/>
        <w:szCs w:val="24"/>
      </w:rPr>
    </w:lvl>
    <w:lvl w:ilvl="4">
      <w:start w:val="1"/>
      <w:numFmt w:val="decimal"/>
      <w:lvlText w:val="%5."/>
      <w:lvlJc w:val="left"/>
      <w:pPr>
        <w:tabs>
          <w:tab w:val="num" w:pos="2160"/>
        </w:tabs>
        <w:ind w:left="2160" w:hanging="360"/>
      </w:pPr>
      <w:rPr>
        <w:rFonts w:ascii="Times New Roman" w:hAnsi="Times New Roman"/>
        <w:sz w:val="24"/>
        <w:szCs w:val="24"/>
      </w:rPr>
    </w:lvl>
    <w:lvl w:ilvl="5">
      <w:start w:val="1"/>
      <w:numFmt w:val="decimal"/>
      <w:lvlText w:val="%6."/>
      <w:lvlJc w:val="left"/>
      <w:pPr>
        <w:tabs>
          <w:tab w:val="num" w:pos="2520"/>
        </w:tabs>
        <w:ind w:left="2520" w:hanging="360"/>
      </w:pPr>
      <w:rPr>
        <w:rFonts w:ascii="Times New Roman" w:hAnsi="Times New Roman"/>
        <w:sz w:val="24"/>
        <w:szCs w:val="24"/>
      </w:rPr>
    </w:lvl>
    <w:lvl w:ilvl="6">
      <w:start w:val="1"/>
      <w:numFmt w:val="decimal"/>
      <w:lvlText w:val="%7."/>
      <w:lvlJc w:val="left"/>
      <w:pPr>
        <w:tabs>
          <w:tab w:val="num" w:pos="2880"/>
        </w:tabs>
        <w:ind w:left="2880" w:hanging="360"/>
      </w:pPr>
      <w:rPr>
        <w:rFonts w:ascii="Times New Roman" w:hAnsi="Times New Roman"/>
        <w:sz w:val="24"/>
        <w:szCs w:val="24"/>
      </w:rPr>
    </w:lvl>
    <w:lvl w:ilvl="7">
      <w:start w:val="1"/>
      <w:numFmt w:val="decimal"/>
      <w:lvlText w:val="%8."/>
      <w:lvlJc w:val="left"/>
      <w:pPr>
        <w:tabs>
          <w:tab w:val="num" w:pos="3240"/>
        </w:tabs>
        <w:ind w:left="3240" w:hanging="360"/>
      </w:pPr>
      <w:rPr>
        <w:rFonts w:ascii="Times New Roman" w:hAnsi="Times New Roman"/>
        <w:sz w:val="24"/>
        <w:szCs w:val="24"/>
      </w:rPr>
    </w:lvl>
    <w:lvl w:ilvl="8">
      <w:start w:val="1"/>
      <w:numFmt w:val="decimal"/>
      <w:lvlText w:val="%9."/>
      <w:lvlJc w:val="left"/>
      <w:pPr>
        <w:tabs>
          <w:tab w:val="num" w:pos="3600"/>
        </w:tabs>
        <w:ind w:left="3600" w:hanging="360"/>
      </w:pPr>
      <w:rPr>
        <w:rFonts w:ascii="Times New Roman" w:hAnsi="Times New Roman"/>
        <w:sz w:val="24"/>
        <w:szCs w:val="24"/>
      </w:rPr>
    </w:lvl>
  </w:abstractNum>
  <w:abstractNum w:abstractNumId="25">
    <w:nsid w:val="39BD56B9"/>
    <w:multiLevelType w:val="multilevel"/>
    <w:tmpl w:val="747420E4"/>
    <w:lvl w:ilvl="0">
      <w:start w:val="1"/>
      <w:numFmt w:val="decimal"/>
      <w:lvlText w:val="%1)"/>
      <w:lvlJc w:val="left"/>
      <w:pPr>
        <w:tabs>
          <w:tab w:val="num" w:pos="0"/>
        </w:tabs>
        <w:ind w:left="1429" w:hanging="360"/>
      </w:p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6">
    <w:nsid w:val="3C277436"/>
    <w:multiLevelType w:val="multilevel"/>
    <w:tmpl w:val="0C883FC0"/>
    <w:lvl w:ilvl="0">
      <w:start w:val="1"/>
      <w:numFmt w:val="decimal"/>
      <w:lvlText w:val="%1)"/>
      <w:lvlJc w:val="left"/>
      <w:pPr>
        <w:tabs>
          <w:tab w:val="num" w:pos="720"/>
        </w:tabs>
        <w:ind w:left="720" w:hanging="360"/>
      </w:pPr>
      <w:rPr>
        <w:rFonts w:ascii="Times New Roman" w:hAnsi="Times New Roman"/>
        <w:sz w:val="24"/>
        <w:szCs w:val="24"/>
      </w:r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rPr>
        <w:rFonts w:ascii="Times New Roman" w:hAnsi="Times New Roman"/>
        <w:sz w:val="24"/>
        <w:szCs w:val="24"/>
      </w:rPr>
    </w:lvl>
    <w:lvl w:ilvl="3">
      <w:start w:val="1"/>
      <w:numFmt w:val="decimal"/>
      <w:lvlText w:val="%4."/>
      <w:lvlJc w:val="left"/>
      <w:pPr>
        <w:tabs>
          <w:tab w:val="num" w:pos="1800"/>
        </w:tabs>
        <w:ind w:left="1800" w:hanging="360"/>
      </w:pPr>
      <w:rPr>
        <w:rFonts w:ascii="Times New Roman" w:hAnsi="Times New Roman"/>
        <w:sz w:val="24"/>
        <w:szCs w:val="24"/>
      </w:rPr>
    </w:lvl>
    <w:lvl w:ilvl="4">
      <w:start w:val="1"/>
      <w:numFmt w:val="decimal"/>
      <w:lvlText w:val="%5."/>
      <w:lvlJc w:val="left"/>
      <w:pPr>
        <w:tabs>
          <w:tab w:val="num" w:pos="2160"/>
        </w:tabs>
        <w:ind w:left="2160" w:hanging="360"/>
      </w:pPr>
      <w:rPr>
        <w:rFonts w:ascii="Times New Roman" w:hAnsi="Times New Roman"/>
        <w:sz w:val="24"/>
        <w:szCs w:val="24"/>
      </w:rPr>
    </w:lvl>
    <w:lvl w:ilvl="5">
      <w:start w:val="1"/>
      <w:numFmt w:val="decimal"/>
      <w:lvlText w:val="%6."/>
      <w:lvlJc w:val="left"/>
      <w:pPr>
        <w:tabs>
          <w:tab w:val="num" w:pos="2520"/>
        </w:tabs>
        <w:ind w:left="2520" w:hanging="360"/>
      </w:pPr>
      <w:rPr>
        <w:rFonts w:ascii="Times New Roman" w:hAnsi="Times New Roman"/>
        <w:sz w:val="24"/>
        <w:szCs w:val="24"/>
      </w:rPr>
    </w:lvl>
    <w:lvl w:ilvl="6">
      <w:start w:val="1"/>
      <w:numFmt w:val="decimal"/>
      <w:lvlText w:val="%7."/>
      <w:lvlJc w:val="left"/>
      <w:pPr>
        <w:tabs>
          <w:tab w:val="num" w:pos="2880"/>
        </w:tabs>
        <w:ind w:left="2880" w:hanging="360"/>
      </w:pPr>
      <w:rPr>
        <w:rFonts w:ascii="Times New Roman" w:hAnsi="Times New Roman"/>
        <w:sz w:val="24"/>
        <w:szCs w:val="24"/>
      </w:rPr>
    </w:lvl>
    <w:lvl w:ilvl="7">
      <w:start w:val="1"/>
      <w:numFmt w:val="decimal"/>
      <w:lvlText w:val="%8."/>
      <w:lvlJc w:val="left"/>
      <w:pPr>
        <w:tabs>
          <w:tab w:val="num" w:pos="3240"/>
        </w:tabs>
        <w:ind w:left="3240" w:hanging="360"/>
      </w:pPr>
      <w:rPr>
        <w:rFonts w:ascii="Times New Roman" w:hAnsi="Times New Roman"/>
        <w:sz w:val="24"/>
        <w:szCs w:val="24"/>
      </w:rPr>
    </w:lvl>
    <w:lvl w:ilvl="8">
      <w:start w:val="1"/>
      <w:numFmt w:val="decimal"/>
      <w:lvlText w:val="%9."/>
      <w:lvlJc w:val="left"/>
      <w:pPr>
        <w:tabs>
          <w:tab w:val="num" w:pos="3600"/>
        </w:tabs>
        <w:ind w:left="3600" w:hanging="360"/>
      </w:pPr>
      <w:rPr>
        <w:rFonts w:ascii="Times New Roman" w:hAnsi="Times New Roman"/>
        <w:sz w:val="24"/>
        <w:szCs w:val="24"/>
      </w:rPr>
    </w:lvl>
  </w:abstractNum>
  <w:abstractNum w:abstractNumId="27">
    <w:nsid w:val="40D31281"/>
    <w:multiLevelType w:val="multilevel"/>
    <w:tmpl w:val="25EC5C6A"/>
    <w:lvl w:ilvl="0">
      <w:start w:val="1"/>
      <w:numFmt w:val="decimal"/>
      <w:lvlText w:val="%1)"/>
      <w:lvlJc w:val="left"/>
      <w:pPr>
        <w:tabs>
          <w:tab w:val="num" w:pos="720"/>
        </w:tabs>
        <w:ind w:left="720" w:hanging="360"/>
      </w:pPr>
      <w:rPr>
        <w:rFonts w:ascii="Times New Roman" w:hAnsi="Times New Roman"/>
        <w:sz w:val="24"/>
        <w:szCs w:val="24"/>
      </w:r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rPr>
        <w:rFonts w:ascii="Times New Roman" w:hAnsi="Times New Roman"/>
        <w:sz w:val="24"/>
        <w:szCs w:val="24"/>
      </w:rPr>
    </w:lvl>
    <w:lvl w:ilvl="3">
      <w:start w:val="1"/>
      <w:numFmt w:val="decimal"/>
      <w:lvlText w:val="%4)"/>
      <w:lvlJc w:val="left"/>
      <w:pPr>
        <w:tabs>
          <w:tab w:val="num" w:pos="1800"/>
        </w:tabs>
        <w:ind w:left="1800" w:hanging="360"/>
      </w:pPr>
      <w:rPr>
        <w:rFonts w:ascii="Times New Roman" w:hAnsi="Times New Roman"/>
        <w:sz w:val="24"/>
        <w:szCs w:val="24"/>
      </w:rPr>
    </w:lvl>
    <w:lvl w:ilvl="4">
      <w:start w:val="1"/>
      <w:numFmt w:val="decimal"/>
      <w:lvlText w:val="%5)"/>
      <w:lvlJc w:val="left"/>
      <w:pPr>
        <w:tabs>
          <w:tab w:val="num" w:pos="2160"/>
        </w:tabs>
        <w:ind w:left="2160" w:hanging="360"/>
      </w:pPr>
      <w:rPr>
        <w:rFonts w:ascii="Times New Roman" w:hAnsi="Times New Roman"/>
        <w:sz w:val="24"/>
        <w:szCs w:val="24"/>
      </w:rPr>
    </w:lvl>
    <w:lvl w:ilvl="5">
      <w:start w:val="1"/>
      <w:numFmt w:val="decimal"/>
      <w:lvlText w:val="%6)"/>
      <w:lvlJc w:val="left"/>
      <w:pPr>
        <w:tabs>
          <w:tab w:val="num" w:pos="2520"/>
        </w:tabs>
        <w:ind w:left="2520" w:hanging="360"/>
      </w:pPr>
      <w:rPr>
        <w:rFonts w:ascii="Times New Roman" w:hAnsi="Times New Roman"/>
        <w:sz w:val="24"/>
        <w:szCs w:val="24"/>
      </w:rPr>
    </w:lvl>
    <w:lvl w:ilvl="6">
      <w:start w:val="1"/>
      <w:numFmt w:val="decimal"/>
      <w:lvlText w:val="%7)"/>
      <w:lvlJc w:val="left"/>
      <w:pPr>
        <w:tabs>
          <w:tab w:val="num" w:pos="2880"/>
        </w:tabs>
        <w:ind w:left="2880" w:hanging="360"/>
      </w:pPr>
      <w:rPr>
        <w:rFonts w:ascii="Times New Roman" w:hAnsi="Times New Roman"/>
        <w:sz w:val="24"/>
        <w:szCs w:val="24"/>
      </w:rPr>
    </w:lvl>
    <w:lvl w:ilvl="7">
      <w:start w:val="1"/>
      <w:numFmt w:val="decimal"/>
      <w:lvlText w:val="%8)"/>
      <w:lvlJc w:val="left"/>
      <w:pPr>
        <w:tabs>
          <w:tab w:val="num" w:pos="3240"/>
        </w:tabs>
        <w:ind w:left="3240" w:hanging="360"/>
      </w:pPr>
      <w:rPr>
        <w:rFonts w:ascii="Times New Roman" w:hAnsi="Times New Roman"/>
        <w:sz w:val="24"/>
        <w:szCs w:val="24"/>
      </w:rPr>
    </w:lvl>
    <w:lvl w:ilvl="8">
      <w:start w:val="1"/>
      <w:numFmt w:val="decimal"/>
      <w:lvlText w:val="%9)"/>
      <w:lvlJc w:val="left"/>
      <w:pPr>
        <w:tabs>
          <w:tab w:val="num" w:pos="3600"/>
        </w:tabs>
        <w:ind w:left="3600" w:hanging="360"/>
      </w:pPr>
      <w:rPr>
        <w:rFonts w:ascii="Times New Roman" w:hAnsi="Times New Roman"/>
        <w:sz w:val="24"/>
        <w:szCs w:val="24"/>
      </w:rPr>
    </w:lvl>
  </w:abstractNum>
  <w:abstractNum w:abstractNumId="28">
    <w:nsid w:val="41C01A2C"/>
    <w:multiLevelType w:val="multilevel"/>
    <w:tmpl w:val="7034F246"/>
    <w:lvl w:ilvl="0">
      <w:start w:val="1"/>
      <w:numFmt w:val="decimal"/>
      <w:lvlText w:val="%1)"/>
      <w:lvlJc w:val="left"/>
      <w:pPr>
        <w:tabs>
          <w:tab w:val="num" w:pos="720"/>
        </w:tabs>
        <w:ind w:left="720" w:hanging="360"/>
      </w:pPr>
      <w:rPr>
        <w:rFonts w:ascii="Times New Roman" w:hAnsi="Times New Roman"/>
        <w:sz w:val="24"/>
        <w:szCs w:val="24"/>
      </w:r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rPr>
        <w:rFonts w:ascii="Times New Roman" w:hAnsi="Times New Roman"/>
        <w:sz w:val="24"/>
        <w:szCs w:val="24"/>
      </w:rPr>
    </w:lvl>
    <w:lvl w:ilvl="3">
      <w:start w:val="1"/>
      <w:numFmt w:val="decimal"/>
      <w:lvlText w:val="%4."/>
      <w:lvlJc w:val="left"/>
      <w:pPr>
        <w:tabs>
          <w:tab w:val="num" w:pos="1800"/>
        </w:tabs>
        <w:ind w:left="1800" w:hanging="360"/>
      </w:pPr>
      <w:rPr>
        <w:rFonts w:ascii="Times New Roman" w:hAnsi="Times New Roman"/>
        <w:sz w:val="24"/>
        <w:szCs w:val="24"/>
      </w:rPr>
    </w:lvl>
    <w:lvl w:ilvl="4">
      <w:start w:val="1"/>
      <w:numFmt w:val="decimal"/>
      <w:lvlText w:val="%5."/>
      <w:lvlJc w:val="left"/>
      <w:pPr>
        <w:tabs>
          <w:tab w:val="num" w:pos="2160"/>
        </w:tabs>
        <w:ind w:left="2160" w:hanging="360"/>
      </w:pPr>
      <w:rPr>
        <w:rFonts w:ascii="Times New Roman" w:hAnsi="Times New Roman"/>
        <w:sz w:val="24"/>
        <w:szCs w:val="24"/>
      </w:rPr>
    </w:lvl>
    <w:lvl w:ilvl="5">
      <w:start w:val="1"/>
      <w:numFmt w:val="decimal"/>
      <w:lvlText w:val="%6."/>
      <w:lvlJc w:val="left"/>
      <w:pPr>
        <w:tabs>
          <w:tab w:val="num" w:pos="2520"/>
        </w:tabs>
        <w:ind w:left="2520" w:hanging="360"/>
      </w:pPr>
      <w:rPr>
        <w:rFonts w:ascii="Times New Roman" w:hAnsi="Times New Roman"/>
        <w:sz w:val="24"/>
        <w:szCs w:val="24"/>
      </w:rPr>
    </w:lvl>
    <w:lvl w:ilvl="6">
      <w:start w:val="1"/>
      <w:numFmt w:val="decimal"/>
      <w:lvlText w:val="%7."/>
      <w:lvlJc w:val="left"/>
      <w:pPr>
        <w:tabs>
          <w:tab w:val="num" w:pos="2880"/>
        </w:tabs>
        <w:ind w:left="2880" w:hanging="360"/>
      </w:pPr>
      <w:rPr>
        <w:rFonts w:ascii="Times New Roman" w:hAnsi="Times New Roman"/>
        <w:sz w:val="24"/>
        <w:szCs w:val="24"/>
      </w:rPr>
    </w:lvl>
    <w:lvl w:ilvl="7">
      <w:start w:val="1"/>
      <w:numFmt w:val="decimal"/>
      <w:lvlText w:val="%8."/>
      <w:lvlJc w:val="left"/>
      <w:pPr>
        <w:tabs>
          <w:tab w:val="num" w:pos="3240"/>
        </w:tabs>
        <w:ind w:left="3240" w:hanging="360"/>
      </w:pPr>
      <w:rPr>
        <w:rFonts w:ascii="Times New Roman" w:hAnsi="Times New Roman"/>
        <w:sz w:val="24"/>
        <w:szCs w:val="24"/>
      </w:rPr>
    </w:lvl>
    <w:lvl w:ilvl="8">
      <w:start w:val="1"/>
      <w:numFmt w:val="decimal"/>
      <w:lvlText w:val="%9."/>
      <w:lvlJc w:val="left"/>
      <w:pPr>
        <w:tabs>
          <w:tab w:val="num" w:pos="3600"/>
        </w:tabs>
        <w:ind w:left="3600" w:hanging="360"/>
      </w:pPr>
      <w:rPr>
        <w:rFonts w:ascii="Times New Roman" w:hAnsi="Times New Roman"/>
        <w:sz w:val="24"/>
        <w:szCs w:val="24"/>
      </w:rPr>
    </w:lvl>
  </w:abstractNum>
  <w:abstractNum w:abstractNumId="29">
    <w:nsid w:val="49AB61A1"/>
    <w:multiLevelType w:val="multilevel"/>
    <w:tmpl w:val="5BC87282"/>
    <w:lvl w:ilvl="0">
      <w:start w:val="1"/>
      <w:numFmt w:val="decimal"/>
      <w:lvlText w:val="%1)"/>
      <w:lvlJc w:val="left"/>
      <w:pPr>
        <w:tabs>
          <w:tab w:val="num" w:pos="720"/>
        </w:tabs>
        <w:ind w:left="720" w:hanging="360"/>
      </w:pPr>
      <w:rPr>
        <w:rFonts w:ascii="Times New Roman" w:hAnsi="Times New Roman"/>
        <w:sz w:val="24"/>
        <w:szCs w:val="24"/>
      </w:r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rPr>
        <w:rFonts w:ascii="Times New Roman" w:hAnsi="Times New Roman"/>
        <w:sz w:val="24"/>
        <w:szCs w:val="24"/>
      </w:rPr>
    </w:lvl>
    <w:lvl w:ilvl="3">
      <w:start w:val="1"/>
      <w:numFmt w:val="decimal"/>
      <w:lvlText w:val="%4)"/>
      <w:lvlJc w:val="left"/>
      <w:pPr>
        <w:tabs>
          <w:tab w:val="num" w:pos="1800"/>
        </w:tabs>
        <w:ind w:left="1800" w:hanging="360"/>
      </w:pPr>
      <w:rPr>
        <w:rFonts w:ascii="Times New Roman" w:hAnsi="Times New Roman"/>
        <w:sz w:val="24"/>
        <w:szCs w:val="24"/>
      </w:rPr>
    </w:lvl>
    <w:lvl w:ilvl="4">
      <w:start w:val="1"/>
      <w:numFmt w:val="decimal"/>
      <w:lvlText w:val="%5)"/>
      <w:lvlJc w:val="left"/>
      <w:pPr>
        <w:tabs>
          <w:tab w:val="num" w:pos="2160"/>
        </w:tabs>
        <w:ind w:left="2160" w:hanging="360"/>
      </w:pPr>
      <w:rPr>
        <w:rFonts w:ascii="Times New Roman" w:hAnsi="Times New Roman"/>
        <w:sz w:val="24"/>
        <w:szCs w:val="24"/>
      </w:rPr>
    </w:lvl>
    <w:lvl w:ilvl="5">
      <w:start w:val="1"/>
      <w:numFmt w:val="decimal"/>
      <w:lvlText w:val="%6)"/>
      <w:lvlJc w:val="left"/>
      <w:pPr>
        <w:tabs>
          <w:tab w:val="num" w:pos="2520"/>
        </w:tabs>
        <w:ind w:left="2520" w:hanging="360"/>
      </w:pPr>
      <w:rPr>
        <w:rFonts w:ascii="Times New Roman" w:hAnsi="Times New Roman"/>
        <w:sz w:val="24"/>
        <w:szCs w:val="24"/>
      </w:rPr>
    </w:lvl>
    <w:lvl w:ilvl="6">
      <w:start w:val="1"/>
      <w:numFmt w:val="decimal"/>
      <w:lvlText w:val="%7)"/>
      <w:lvlJc w:val="left"/>
      <w:pPr>
        <w:tabs>
          <w:tab w:val="num" w:pos="2880"/>
        </w:tabs>
        <w:ind w:left="2880" w:hanging="360"/>
      </w:pPr>
      <w:rPr>
        <w:rFonts w:ascii="Times New Roman" w:hAnsi="Times New Roman"/>
        <w:sz w:val="24"/>
        <w:szCs w:val="24"/>
      </w:rPr>
    </w:lvl>
    <w:lvl w:ilvl="7">
      <w:start w:val="1"/>
      <w:numFmt w:val="decimal"/>
      <w:lvlText w:val="%8)"/>
      <w:lvlJc w:val="left"/>
      <w:pPr>
        <w:tabs>
          <w:tab w:val="num" w:pos="3240"/>
        </w:tabs>
        <w:ind w:left="3240" w:hanging="360"/>
      </w:pPr>
      <w:rPr>
        <w:rFonts w:ascii="Times New Roman" w:hAnsi="Times New Roman"/>
        <w:sz w:val="24"/>
        <w:szCs w:val="24"/>
      </w:rPr>
    </w:lvl>
    <w:lvl w:ilvl="8">
      <w:start w:val="1"/>
      <w:numFmt w:val="decimal"/>
      <w:lvlText w:val="%9)"/>
      <w:lvlJc w:val="left"/>
      <w:pPr>
        <w:tabs>
          <w:tab w:val="num" w:pos="3600"/>
        </w:tabs>
        <w:ind w:left="3600" w:hanging="360"/>
      </w:pPr>
      <w:rPr>
        <w:rFonts w:ascii="Times New Roman" w:hAnsi="Times New Roman"/>
        <w:sz w:val="24"/>
        <w:szCs w:val="24"/>
      </w:rPr>
    </w:lvl>
  </w:abstractNum>
  <w:abstractNum w:abstractNumId="30">
    <w:nsid w:val="4A9173FC"/>
    <w:multiLevelType w:val="multilevel"/>
    <w:tmpl w:val="B1BE4718"/>
    <w:lvl w:ilvl="0">
      <w:start w:val="1"/>
      <w:numFmt w:val="decimal"/>
      <w:lvlText w:val="%1)"/>
      <w:lvlJc w:val="left"/>
      <w:pPr>
        <w:tabs>
          <w:tab w:val="num" w:pos="720"/>
        </w:tabs>
        <w:ind w:left="720" w:hanging="360"/>
      </w:pPr>
      <w:rPr>
        <w:rFonts w:ascii="Times New Roman" w:hAnsi="Times New Roman"/>
        <w:sz w:val="24"/>
        <w:szCs w:val="24"/>
      </w:r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rPr>
        <w:rFonts w:ascii="Times New Roman" w:hAnsi="Times New Roman"/>
        <w:sz w:val="24"/>
        <w:szCs w:val="24"/>
      </w:rPr>
    </w:lvl>
    <w:lvl w:ilvl="3">
      <w:start w:val="1"/>
      <w:numFmt w:val="decimal"/>
      <w:lvlText w:val="%4."/>
      <w:lvlJc w:val="left"/>
      <w:pPr>
        <w:tabs>
          <w:tab w:val="num" w:pos="1800"/>
        </w:tabs>
        <w:ind w:left="1800" w:hanging="360"/>
      </w:pPr>
      <w:rPr>
        <w:rFonts w:ascii="Times New Roman" w:hAnsi="Times New Roman"/>
        <w:sz w:val="24"/>
        <w:szCs w:val="24"/>
      </w:rPr>
    </w:lvl>
    <w:lvl w:ilvl="4">
      <w:start w:val="1"/>
      <w:numFmt w:val="decimal"/>
      <w:lvlText w:val="%5."/>
      <w:lvlJc w:val="left"/>
      <w:pPr>
        <w:tabs>
          <w:tab w:val="num" w:pos="2160"/>
        </w:tabs>
        <w:ind w:left="2160" w:hanging="360"/>
      </w:pPr>
      <w:rPr>
        <w:rFonts w:ascii="Times New Roman" w:hAnsi="Times New Roman"/>
        <w:sz w:val="24"/>
        <w:szCs w:val="24"/>
      </w:rPr>
    </w:lvl>
    <w:lvl w:ilvl="5">
      <w:start w:val="1"/>
      <w:numFmt w:val="decimal"/>
      <w:lvlText w:val="%6."/>
      <w:lvlJc w:val="left"/>
      <w:pPr>
        <w:tabs>
          <w:tab w:val="num" w:pos="2520"/>
        </w:tabs>
        <w:ind w:left="2520" w:hanging="360"/>
      </w:pPr>
      <w:rPr>
        <w:rFonts w:ascii="Times New Roman" w:hAnsi="Times New Roman"/>
        <w:sz w:val="24"/>
        <w:szCs w:val="24"/>
      </w:rPr>
    </w:lvl>
    <w:lvl w:ilvl="6">
      <w:start w:val="1"/>
      <w:numFmt w:val="decimal"/>
      <w:lvlText w:val="%7."/>
      <w:lvlJc w:val="left"/>
      <w:pPr>
        <w:tabs>
          <w:tab w:val="num" w:pos="2880"/>
        </w:tabs>
        <w:ind w:left="2880" w:hanging="360"/>
      </w:pPr>
      <w:rPr>
        <w:rFonts w:ascii="Times New Roman" w:hAnsi="Times New Roman"/>
        <w:sz w:val="24"/>
        <w:szCs w:val="24"/>
      </w:rPr>
    </w:lvl>
    <w:lvl w:ilvl="7">
      <w:start w:val="1"/>
      <w:numFmt w:val="decimal"/>
      <w:lvlText w:val="%8."/>
      <w:lvlJc w:val="left"/>
      <w:pPr>
        <w:tabs>
          <w:tab w:val="num" w:pos="3240"/>
        </w:tabs>
        <w:ind w:left="3240" w:hanging="360"/>
      </w:pPr>
      <w:rPr>
        <w:rFonts w:ascii="Times New Roman" w:hAnsi="Times New Roman"/>
        <w:sz w:val="24"/>
        <w:szCs w:val="24"/>
      </w:rPr>
    </w:lvl>
    <w:lvl w:ilvl="8">
      <w:start w:val="1"/>
      <w:numFmt w:val="decimal"/>
      <w:lvlText w:val="%9."/>
      <w:lvlJc w:val="left"/>
      <w:pPr>
        <w:tabs>
          <w:tab w:val="num" w:pos="3600"/>
        </w:tabs>
        <w:ind w:left="3600" w:hanging="360"/>
      </w:pPr>
      <w:rPr>
        <w:rFonts w:ascii="Times New Roman" w:hAnsi="Times New Roman"/>
        <w:sz w:val="24"/>
        <w:szCs w:val="24"/>
      </w:rPr>
    </w:lvl>
  </w:abstractNum>
  <w:abstractNum w:abstractNumId="31">
    <w:nsid w:val="4DF337DE"/>
    <w:multiLevelType w:val="multilevel"/>
    <w:tmpl w:val="DEECAE44"/>
    <w:lvl w:ilvl="0">
      <w:start w:val="1"/>
      <w:numFmt w:val="decimal"/>
      <w:lvlText w:val="%1)"/>
      <w:lvlJc w:val="left"/>
      <w:pPr>
        <w:tabs>
          <w:tab w:val="num" w:pos="0"/>
        </w:tabs>
        <w:ind w:left="690" w:hanging="360"/>
      </w:pPr>
    </w:lvl>
    <w:lvl w:ilvl="1">
      <w:start w:val="1"/>
      <w:numFmt w:val="bullet"/>
      <w:lvlText w:val="o"/>
      <w:lvlJc w:val="left"/>
      <w:pPr>
        <w:tabs>
          <w:tab w:val="num" w:pos="0"/>
        </w:tabs>
        <w:ind w:left="1410" w:hanging="360"/>
      </w:pPr>
      <w:rPr>
        <w:rFonts w:ascii="Courier New" w:hAnsi="Courier New" w:cs="Courier New" w:hint="default"/>
      </w:rPr>
    </w:lvl>
    <w:lvl w:ilvl="2">
      <w:start w:val="1"/>
      <w:numFmt w:val="bullet"/>
      <w:lvlText w:val=""/>
      <w:lvlJc w:val="left"/>
      <w:pPr>
        <w:tabs>
          <w:tab w:val="num" w:pos="0"/>
        </w:tabs>
        <w:ind w:left="2130" w:hanging="360"/>
      </w:pPr>
      <w:rPr>
        <w:rFonts w:ascii="Wingdings" w:hAnsi="Wingdings" w:cs="Wingdings" w:hint="default"/>
      </w:rPr>
    </w:lvl>
    <w:lvl w:ilvl="3">
      <w:start w:val="1"/>
      <w:numFmt w:val="bullet"/>
      <w:lvlText w:val=""/>
      <w:lvlJc w:val="left"/>
      <w:pPr>
        <w:tabs>
          <w:tab w:val="num" w:pos="0"/>
        </w:tabs>
        <w:ind w:left="2850" w:hanging="360"/>
      </w:pPr>
      <w:rPr>
        <w:rFonts w:ascii="Symbol" w:hAnsi="Symbol" w:cs="Symbol" w:hint="default"/>
      </w:rPr>
    </w:lvl>
    <w:lvl w:ilvl="4">
      <w:start w:val="1"/>
      <w:numFmt w:val="bullet"/>
      <w:lvlText w:val="o"/>
      <w:lvlJc w:val="left"/>
      <w:pPr>
        <w:tabs>
          <w:tab w:val="num" w:pos="0"/>
        </w:tabs>
        <w:ind w:left="3570" w:hanging="360"/>
      </w:pPr>
      <w:rPr>
        <w:rFonts w:ascii="Courier New" w:hAnsi="Courier New" w:cs="Courier New" w:hint="default"/>
      </w:rPr>
    </w:lvl>
    <w:lvl w:ilvl="5">
      <w:start w:val="1"/>
      <w:numFmt w:val="bullet"/>
      <w:lvlText w:val=""/>
      <w:lvlJc w:val="left"/>
      <w:pPr>
        <w:tabs>
          <w:tab w:val="num" w:pos="0"/>
        </w:tabs>
        <w:ind w:left="4290" w:hanging="360"/>
      </w:pPr>
      <w:rPr>
        <w:rFonts w:ascii="Wingdings" w:hAnsi="Wingdings" w:cs="Wingdings" w:hint="default"/>
      </w:rPr>
    </w:lvl>
    <w:lvl w:ilvl="6">
      <w:start w:val="1"/>
      <w:numFmt w:val="bullet"/>
      <w:lvlText w:val=""/>
      <w:lvlJc w:val="left"/>
      <w:pPr>
        <w:tabs>
          <w:tab w:val="num" w:pos="0"/>
        </w:tabs>
        <w:ind w:left="5010" w:hanging="360"/>
      </w:pPr>
      <w:rPr>
        <w:rFonts w:ascii="Symbol" w:hAnsi="Symbol" w:cs="Symbol" w:hint="default"/>
      </w:rPr>
    </w:lvl>
    <w:lvl w:ilvl="7">
      <w:start w:val="1"/>
      <w:numFmt w:val="bullet"/>
      <w:lvlText w:val="o"/>
      <w:lvlJc w:val="left"/>
      <w:pPr>
        <w:tabs>
          <w:tab w:val="num" w:pos="0"/>
        </w:tabs>
        <w:ind w:left="5730" w:hanging="360"/>
      </w:pPr>
      <w:rPr>
        <w:rFonts w:ascii="Courier New" w:hAnsi="Courier New" w:cs="Courier New" w:hint="default"/>
      </w:rPr>
    </w:lvl>
    <w:lvl w:ilvl="8">
      <w:start w:val="1"/>
      <w:numFmt w:val="bullet"/>
      <w:lvlText w:val=""/>
      <w:lvlJc w:val="left"/>
      <w:pPr>
        <w:tabs>
          <w:tab w:val="num" w:pos="0"/>
        </w:tabs>
        <w:ind w:left="6450" w:hanging="360"/>
      </w:pPr>
      <w:rPr>
        <w:rFonts w:ascii="Wingdings" w:hAnsi="Wingdings" w:cs="Wingdings" w:hint="default"/>
      </w:rPr>
    </w:lvl>
  </w:abstractNum>
  <w:abstractNum w:abstractNumId="32">
    <w:nsid w:val="5490723A"/>
    <w:multiLevelType w:val="multilevel"/>
    <w:tmpl w:val="BDBC71F6"/>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33">
    <w:nsid w:val="58113FA6"/>
    <w:multiLevelType w:val="multilevel"/>
    <w:tmpl w:val="242E7D60"/>
    <w:lvl w:ilvl="0">
      <w:start w:val="1"/>
      <w:numFmt w:val="decimal"/>
      <w:lvlText w:val="%1)"/>
      <w:lvlJc w:val="left"/>
      <w:pPr>
        <w:tabs>
          <w:tab w:val="num" w:pos="0"/>
        </w:tabs>
        <w:ind w:left="2061" w:hanging="360"/>
      </w:pPr>
      <w:rPr>
        <w:rFonts w:ascii="Times New Roman" w:hAnsi="Times New Roman" w:cs="Times New Roman"/>
        <w:sz w:val="24"/>
        <w:szCs w:val="24"/>
      </w:r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34">
    <w:nsid w:val="58BA3315"/>
    <w:multiLevelType w:val="multilevel"/>
    <w:tmpl w:val="E5D84F16"/>
    <w:lvl w:ilvl="0">
      <w:start w:val="1"/>
      <w:numFmt w:val="decimal"/>
      <w:lvlText w:val="%1)"/>
      <w:lvlJc w:val="left"/>
      <w:pPr>
        <w:tabs>
          <w:tab w:val="num" w:pos="720"/>
        </w:tabs>
        <w:ind w:left="720" w:hanging="360"/>
      </w:pPr>
      <w:rPr>
        <w:rFonts w:ascii="Times New Roman" w:hAnsi="Times New Roman"/>
        <w:sz w:val="24"/>
        <w:szCs w:val="24"/>
      </w:r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rPr>
        <w:rFonts w:ascii="Times New Roman" w:hAnsi="Times New Roman"/>
        <w:sz w:val="24"/>
        <w:szCs w:val="24"/>
      </w:rPr>
    </w:lvl>
    <w:lvl w:ilvl="3">
      <w:start w:val="1"/>
      <w:numFmt w:val="decimal"/>
      <w:lvlText w:val="%4)"/>
      <w:lvlJc w:val="left"/>
      <w:pPr>
        <w:tabs>
          <w:tab w:val="num" w:pos="1800"/>
        </w:tabs>
        <w:ind w:left="1800" w:hanging="360"/>
      </w:pPr>
      <w:rPr>
        <w:rFonts w:ascii="Times New Roman" w:hAnsi="Times New Roman"/>
        <w:sz w:val="24"/>
        <w:szCs w:val="24"/>
      </w:rPr>
    </w:lvl>
    <w:lvl w:ilvl="4">
      <w:start w:val="1"/>
      <w:numFmt w:val="decimal"/>
      <w:lvlText w:val="%5)"/>
      <w:lvlJc w:val="left"/>
      <w:pPr>
        <w:tabs>
          <w:tab w:val="num" w:pos="2160"/>
        </w:tabs>
        <w:ind w:left="2160" w:hanging="360"/>
      </w:pPr>
      <w:rPr>
        <w:rFonts w:ascii="Times New Roman" w:hAnsi="Times New Roman"/>
        <w:sz w:val="24"/>
        <w:szCs w:val="24"/>
      </w:rPr>
    </w:lvl>
    <w:lvl w:ilvl="5">
      <w:start w:val="1"/>
      <w:numFmt w:val="decimal"/>
      <w:lvlText w:val="%6)"/>
      <w:lvlJc w:val="left"/>
      <w:pPr>
        <w:tabs>
          <w:tab w:val="num" w:pos="2520"/>
        </w:tabs>
        <w:ind w:left="2520" w:hanging="360"/>
      </w:pPr>
      <w:rPr>
        <w:rFonts w:ascii="Times New Roman" w:hAnsi="Times New Roman"/>
        <w:sz w:val="24"/>
        <w:szCs w:val="24"/>
      </w:rPr>
    </w:lvl>
    <w:lvl w:ilvl="6">
      <w:start w:val="1"/>
      <w:numFmt w:val="decimal"/>
      <w:lvlText w:val="%7)"/>
      <w:lvlJc w:val="left"/>
      <w:pPr>
        <w:tabs>
          <w:tab w:val="num" w:pos="2880"/>
        </w:tabs>
        <w:ind w:left="2880" w:hanging="360"/>
      </w:pPr>
      <w:rPr>
        <w:rFonts w:ascii="Times New Roman" w:hAnsi="Times New Roman"/>
        <w:sz w:val="24"/>
        <w:szCs w:val="24"/>
      </w:rPr>
    </w:lvl>
    <w:lvl w:ilvl="7">
      <w:start w:val="1"/>
      <w:numFmt w:val="decimal"/>
      <w:lvlText w:val="%8)"/>
      <w:lvlJc w:val="left"/>
      <w:pPr>
        <w:tabs>
          <w:tab w:val="num" w:pos="3240"/>
        </w:tabs>
        <w:ind w:left="3240" w:hanging="360"/>
      </w:pPr>
      <w:rPr>
        <w:rFonts w:ascii="Times New Roman" w:hAnsi="Times New Roman"/>
        <w:sz w:val="24"/>
        <w:szCs w:val="24"/>
      </w:rPr>
    </w:lvl>
    <w:lvl w:ilvl="8">
      <w:start w:val="1"/>
      <w:numFmt w:val="decimal"/>
      <w:lvlText w:val="%9)"/>
      <w:lvlJc w:val="left"/>
      <w:pPr>
        <w:tabs>
          <w:tab w:val="num" w:pos="3600"/>
        </w:tabs>
        <w:ind w:left="3600" w:hanging="360"/>
      </w:pPr>
      <w:rPr>
        <w:rFonts w:ascii="Times New Roman" w:hAnsi="Times New Roman"/>
        <w:sz w:val="24"/>
        <w:szCs w:val="24"/>
      </w:rPr>
    </w:lvl>
  </w:abstractNum>
  <w:abstractNum w:abstractNumId="35">
    <w:nsid w:val="5B1203F4"/>
    <w:multiLevelType w:val="multilevel"/>
    <w:tmpl w:val="88DAB6F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nsid w:val="5F615C32"/>
    <w:multiLevelType w:val="multilevel"/>
    <w:tmpl w:val="6F8487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608D58CE"/>
    <w:multiLevelType w:val="multilevel"/>
    <w:tmpl w:val="1A3E21BC"/>
    <w:lvl w:ilvl="0">
      <w:start w:val="1"/>
      <w:numFmt w:val="decimal"/>
      <w:lvlText w:val="%1."/>
      <w:lvlJc w:val="left"/>
      <w:pPr>
        <w:tabs>
          <w:tab w:val="num" w:pos="0"/>
        </w:tabs>
        <w:ind w:left="360" w:hanging="360"/>
      </w:pPr>
      <w:rPr>
        <w:rFonts w:ascii="Times New Roman" w:hAnsi="Times New Roman" w:cs="Times New Roman"/>
        <w:sz w:val="24"/>
      </w:rPr>
    </w:lvl>
    <w:lvl w:ilvl="1">
      <w:start w:val="1"/>
      <w:numFmt w:val="decimal"/>
      <w:lvlText w:val="%1.%2."/>
      <w:lvlJc w:val="left"/>
      <w:pPr>
        <w:tabs>
          <w:tab w:val="num" w:pos="0"/>
        </w:tabs>
        <w:ind w:left="927" w:hanging="360"/>
      </w:pPr>
      <w:rPr>
        <w:rFonts w:ascii="Times New Roman" w:hAnsi="Times New Roman" w:cs="Times New Roman"/>
        <w:sz w:val="24"/>
      </w:rPr>
    </w:lvl>
    <w:lvl w:ilvl="2">
      <w:start w:val="1"/>
      <w:numFmt w:val="decimal"/>
      <w:lvlText w:val="%1.%2.%3."/>
      <w:lvlJc w:val="left"/>
      <w:pPr>
        <w:tabs>
          <w:tab w:val="num" w:pos="0"/>
        </w:tabs>
        <w:ind w:left="1854" w:hanging="720"/>
      </w:pPr>
      <w:rPr>
        <w:rFonts w:ascii="Times New Roman" w:hAnsi="Times New Roman" w:cs="Times New Roman"/>
        <w:sz w:val="24"/>
      </w:rPr>
    </w:lvl>
    <w:lvl w:ilvl="3">
      <w:start w:val="1"/>
      <w:numFmt w:val="decimal"/>
      <w:lvlText w:val="%1.%2.%3.%4."/>
      <w:lvlJc w:val="left"/>
      <w:pPr>
        <w:tabs>
          <w:tab w:val="num" w:pos="0"/>
        </w:tabs>
        <w:ind w:left="2421" w:hanging="720"/>
      </w:pPr>
      <w:rPr>
        <w:rFonts w:ascii="Times New Roman" w:hAnsi="Times New Roman" w:cs="Times New Roman"/>
        <w:sz w:val="24"/>
      </w:rPr>
    </w:lvl>
    <w:lvl w:ilvl="4">
      <w:start w:val="1"/>
      <w:numFmt w:val="decimal"/>
      <w:lvlText w:val="%1.%2.%3.%4.%5."/>
      <w:lvlJc w:val="left"/>
      <w:pPr>
        <w:tabs>
          <w:tab w:val="num" w:pos="0"/>
        </w:tabs>
        <w:ind w:left="3348" w:hanging="1080"/>
      </w:pPr>
      <w:rPr>
        <w:rFonts w:ascii="Times New Roman" w:hAnsi="Times New Roman" w:cs="Times New Roman"/>
        <w:sz w:val="24"/>
      </w:rPr>
    </w:lvl>
    <w:lvl w:ilvl="5">
      <w:start w:val="1"/>
      <w:numFmt w:val="decimal"/>
      <w:lvlText w:val="%1.%2.%3.%4.%5.%6."/>
      <w:lvlJc w:val="left"/>
      <w:pPr>
        <w:tabs>
          <w:tab w:val="num" w:pos="0"/>
        </w:tabs>
        <w:ind w:left="3915" w:hanging="1080"/>
      </w:pPr>
      <w:rPr>
        <w:rFonts w:ascii="Times New Roman" w:hAnsi="Times New Roman" w:cs="Times New Roman"/>
        <w:sz w:val="24"/>
      </w:rPr>
    </w:lvl>
    <w:lvl w:ilvl="6">
      <w:start w:val="1"/>
      <w:numFmt w:val="decimal"/>
      <w:lvlText w:val="%1.%2.%3.%4.%5.%6.%7."/>
      <w:lvlJc w:val="left"/>
      <w:pPr>
        <w:tabs>
          <w:tab w:val="num" w:pos="0"/>
        </w:tabs>
        <w:ind w:left="4842" w:hanging="1440"/>
      </w:pPr>
      <w:rPr>
        <w:rFonts w:ascii="Times New Roman" w:hAnsi="Times New Roman" w:cs="Times New Roman"/>
        <w:sz w:val="24"/>
      </w:rPr>
    </w:lvl>
    <w:lvl w:ilvl="7">
      <w:start w:val="1"/>
      <w:numFmt w:val="decimal"/>
      <w:lvlText w:val="%1.%2.%3.%4.%5.%6.%7.%8."/>
      <w:lvlJc w:val="left"/>
      <w:pPr>
        <w:tabs>
          <w:tab w:val="num" w:pos="0"/>
        </w:tabs>
        <w:ind w:left="5409" w:hanging="1440"/>
      </w:pPr>
      <w:rPr>
        <w:rFonts w:ascii="Times New Roman" w:hAnsi="Times New Roman" w:cs="Times New Roman"/>
        <w:sz w:val="24"/>
      </w:rPr>
    </w:lvl>
    <w:lvl w:ilvl="8">
      <w:start w:val="1"/>
      <w:numFmt w:val="decimal"/>
      <w:lvlText w:val="%1.%2.%3.%4.%5.%6.%7.%8.%9."/>
      <w:lvlJc w:val="left"/>
      <w:pPr>
        <w:tabs>
          <w:tab w:val="num" w:pos="0"/>
        </w:tabs>
        <w:ind w:left="6336" w:hanging="1800"/>
      </w:pPr>
      <w:rPr>
        <w:rFonts w:ascii="Times New Roman" w:hAnsi="Times New Roman" w:cs="Times New Roman"/>
        <w:sz w:val="24"/>
      </w:rPr>
    </w:lvl>
  </w:abstractNum>
  <w:abstractNum w:abstractNumId="38">
    <w:nsid w:val="68606C29"/>
    <w:multiLevelType w:val="multilevel"/>
    <w:tmpl w:val="42AE6118"/>
    <w:lvl w:ilvl="0">
      <w:start w:val="1"/>
      <w:numFmt w:val="decimal"/>
      <w:lvlText w:val="%1)"/>
      <w:lvlJc w:val="left"/>
      <w:pPr>
        <w:tabs>
          <w:tab w:val="num" w:pos="720"/>
        </w:tabs>
        <w:ind w:left="720" w:hanging="360"/>
      </w:pPr>
      <w:rPr>
        <w:rFonts w:ascii="Times New Roman" w:hAnsi="Times New Roman"/>
        <w:sz w:val="24"/>
        <w:szCs w:val="24"/>
      </w:r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rPr>
        <w:rFonts w:ascii="Times New Roman" w:hAnsi="Times New Roman"/>
        <w:sz w:val="24"/>
        <w:szCs w:val="24"/>
      </w:rPr>
    </w:lvl>
    <w:lvl w:ilvl="3">
      <w:start w:val="1"/>
      <w:numFmt w:val="decimal"/>
      <w:lvlText w:val="%4)"/>
      <w:lvlJc w:val="left"/>
      <w:pPr>
        <w:tabs>
          <w:tab w:val="num" w:pos="1800"/>
        </w:tabs>
        <w:ind w:left="1800" w:hanging="360"/>
      </w:pPr>
      <w:rPr>
        <w:rFonts w:ascii="Times New Roman" w:hAnsi="Times New Roman"/>
        <w:sz w:val="24"/>
        <w:szCs w:val="24"/>
      </w:rPr>
    </w:lvl>
    <w:lvl w:ilvl="4">
      <w:start w:val="1"/>
      <w:numFmt w:val="decimal"/>
      <w:lvlText w:val="%5)"/>
      <w:lvlJc w:val="left"/>
      <w:pPr>
        <w:tabs>
          <w:tab w:val="num" w:pos="2160"/>
        </w:tabs>
        <w:ind w:left="2160" w:hanging="360"/>
      </w:pPr>
      <w:rPr>
        <w:rFonts w:ascii="Times New Roman" w:hAnsi="Times New Roman"/>
        <w:sz w:val="24"/>
        <w:szCs w:val="24"/>
      </w:rPr>
    </w:lvl>
    <w:lvl w:ilvl="5">
      <w:start w:val="1"/>
      <w:numFmt w:val="decimal"/>
      <w:lvlText w:val="%6)"/>
      <w:lvlJc w:val="left"/>
      <w:pPr>
        <w:tabs>
          <w:tab w:val="num" w:pos="2520"/>
        </w:tabs>
        <w:ind w:left="2520" w:hanging="360"/>
      </w:pPr>
      <w:rPr>
        <w:rFonts w:ascii="Times New Roman" w:hAnsi="Times New Roman"/>
        <w:sz w:val="24"/>
        <w:szCs w:val="24"/>
      </w:rPr>
    </w:lvl>
    <w:lvl w:ilvl="6">
      <w:start w:val="1"/>
      <w:numFmt w:val="decimal"/>
      <w:lvlText w:val="%7)"/>
      <w:lvlJc w:val="left"/>
      <w:pPr>
        <w:tabs>
          <w:tab w:val="num" w:pos="2880"/>
        </w:tabs>
        <w:ind w:left="2880" w:hanging="360"/>
      </w:pPr>
      <w:rPr>
        <w:rFonts w:ascii="Times New Roman" w:hAnsi="Times New Roman"/>
        <w:sz w:val="24"/>
        <w:szCs w:val="24"/>
      </w:rPr>
    </w:lvl>
    <w:lvl w:ilvl="7">
      <w:start w:val="1"/>
      <w:numFmt w:val="decimal"/>
      <w:lvlText w:val="%8)"/>
      <w:lvlJc w:val="left"/>
      <w:pPr>
        <w:tabs>
          <w:tab w:val="num" w:pos="3240"/>
        </w:tabs>
        <w:ind w:left="3240" w:hanging="360"/>
      </w:pPr>
      <w:rPr>
        <w:rFonts w:ascii="Times New Roman" w:hAnsi="Times New Roman"/>
        <w:sz w:val="24"/>
        <w:szCs w:val="24"/>
      </w:rPr>
    </w:lvl>
    <w:lvl w:ilvl="8">
      <w:start w:val="1"/>
      <w:numFmt w:val="decimal"/>
      <w:lvlText w:val="%9)"/>
      <w:lvlJc w:val="left"/>
      <w:pPr>
        <w:tabs>
          <w:tab w:val="num" w:pos="3600"/>
        </w:tabs>
        <w:ind w:left="3600" w:hanging="360"/>
      </w:pPr>
      <w:rPr>
        <w:rFonts w:ascii="Times New Roman" w:hAnsi="Times New Roman"/>
        <w:sz w:val="24"/>
        <w:szCs w:val="24"/>
      </w:rPr>
    </w:lvl>
  </w:abstractNum>
  <w:abstractNum w:abstractNumId="39">
    <w:nsid w:val="69634B5D"/>
    <w:multiLevelType w:val="multilevel"/>
    <w:tmpl w:val="E33886D8"/>
    <w:lvl w:ilvl="0">
      <w:start w:val="1"/>
      <w:numFmt w:val="decimal"/>
      <w:lvlText w:val="%1)"/>
      <w:lvlJc w:val="left"/>
      <w:pPr>
        <w:tabs>
          <w:tab w:val="num" w:pos="0"/>
        </w:tabs>
        <w:ind w:left="1429" w:hanging="360"/>
      </w:p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0">
    <w:nsid w:val="6E2B2FFB"/>
    <w:multiLevelType w:val="multilevel"/>
    <w:tmpl w:val="CB8E8766"/>
    <w:lvl w:ilvl="0">
      <w:start w:val="1"/>
      <w:numFmt w:val="decimal"/>
      <w:lvlText w:val="%1)"/>
      <w:lvlJc w:val="left"/>
      <w:pPr>
        <w:tabs>
          <w:tab w:val="num" w:pos="720"/>
        </w:tabs>
        <w:ind w:left="720" w:hanging="360"/>
      </w:pPr>
      <w:rPr>
        <w:rFonts w:ascii="Times New Roman" w:hAnsi="Times New Roman"/>
        <w:sz w:val="24"/>
        <w:szCs w:val="24"/>
      </w:r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rPr>
        <w:rFonts w:ascii="Times New Roman" w:hAnsi="Times New Roman"/>
        <w:sz w:val="24"/>
        <w:szCs w:val="24"/>
      </w:rPr>
    </w:lvl>
    <w:lvl w:ilvl="3">
      <w:start w:val="1"/>
      <w:numFmt w:val="decimal"/>
      <w:lvlText w:val="%4."/>
      <w:lvlJc w:val="left"/>
      <w:pPr>
        <w:tabs>
          <w:tab w:val="num" w:pos="1800"/>
        </w:tabs>
        <w:ind w:left="1800" w:hanging="360"/>
      </w:pPr>
      <w:rPr>
        <w:rFonts w:ascii="Times New Roman" w:hAnsi="Times New Roman"/>
        <w:sz w:val="24"/>
        <w:szCs w:val="24"/>
      </w:rPr>
    </w:lvl>
    <w:lvl w:ilvl="4">
      <w:start w:val="1"/>
      <w:numFmt w:val="decimal"/>
      <w:lvlText w:val="%5."/>
      <w:lvlJc w:val="left"/>
      <w:pPr>
        <w:tabs>
          <w:tab w:val="num" w:pos="2160"/>
        </w:tabs>
        <w:ind w:left="2160" w:hanging="360"/>
      </w:pPr>
      <w:rPr>
        <w:rFonts w:ascii="Times New Roman" w:hAnsi="Times New Roman"/>
        <w:sz w:val="24"/>
        <w:szCs w:val="24"/>
      </w:rPr>
    </w:lvl>
    <w:lvl w:ilvl="5">
      <w:start w:val="1"/>
      <w:numFmt w:val="decimal"/>
      <w:lvlText w:val="%6."/>
      <w:lvlJc w:val="left"/>
      <w:pPr>
        <w:tabs>
          <w:tab w:val="num" w:pos="2520"/>
        </w:tabs>
        <w:ind w:left="2520" w:hanging="360"/>
      </w:pPr>
      <w:rPr>
        <w:rFonts w:ascii="Times New Roman" w:hAnsi="Times New Roman"/>
        <w:sz w:val="24"/>
        <w:szCs w:val="24"/>
      </w:rPr>
    </w:lvl>
    <w:lvl w:ilvl="6">
      <w:start w:val="1"/>
      <w:numFmt w:val="decimal"/>
      <w:lvlText w:val="%7."/>
      <w:lvlJc w:val="left"/>
      <w:pPr>
        <w:tabs>
          <w:tab w:val="num" w:pos="2880"/>
        </w:tabs>
        <w:ind w:left="2880" w:hanging="360"/>
      </w:pPr>
      <w:rPr>
        <w:rFonts w:ascii="Times New Roman" w:hAnsi="Times New Roman"/>
        <w:sz w:val="24"/>
        <w:szCs w:val="24"/>
      </w:rPr>
    </w:lvl>
    <w:lvl w:ilvl="7">
      <w:start w:val="1"/>
      <w:numFmt w:val="decimal"/>
      <w:lvlText w:val="%8."/>
      <w:lvlJc w:val="left"/>
      <w:pPr>
        <w:tabs>
          <w:tab w:val="num" w:pos="3240"/>
        </w:tabs>
        <w:ind w:left="3240" w:hanging="360"/>
      </w:pPr>
      <w:rPr>
        <w:rFonts w:ascii="Times New Roman" w:hAnsi="Times New Roman"/>
        <w:sz w:val="24"/>
        <w:szCs w:val="24"/>
      </w:rPr>
    </w:lvl>
    <w:lvl w:ilvl="8">
      <w:start w:val="1"/>
      <w:numFmt w:val="decimal"/>
      <w:lvlText w:val="%9."/>
      <w:lvlJc w:val="left"/>
      <w:pPr>
        <w:tabs>
          <w:tab w:val="num" w:pos="3600"/>
        </w:tabs>
        <w:ind w:left="3600" w:hanging="360"/>
      </w:pPr>
      <w:rPr>
        <w:rFonts w:ascii="Times New Roman" w:hAnsi="Times New Roman"/>
        <w:sz w:val="24"/>
        <w:szCs w:val="24"/>
      </w:rPr>
    </w:lvl>
  </w:abstractNum>
  <w:abstractNum w:abstractNumId="41">
    <w:nsid w:val="6FC92FF1"/>
    <w:multiLevelType w:val="multilevel"/>
    <w:tmpl w:val="C97C1E8A"/>
    <w:lvl w:ilvl="0">
      <w:start w:val="1"/>
      <w:numFmt w:val="decimal"/>
      <w:lvlText w:val="%1."/>
      <w:lvlJc w:val="left"/>
      <w:pPr>
        <w:tabs>
          <w:tab w:val="num" w:pos="720"/>
        </w:tabs>
        <w:ind w:left="720" w:hanging="360"/>
      </w:pPr>
      <w:rPr>
        <w:rFonts w:ascii="Times New Roman" w:hAnsi="Times New Roman"/>
        <w:sz w:val="24"/>
        <w:szCs w:val="24"/>
      </w:r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rPr>
        <w:rFonts w:ascii="Times New Roman" w:hAnsi="Times New Roman"/>
        <w:sz w:val="24"/>
        <w:szCs w:val="24"/>
      </w:rPr>
    </w:lvl>
    <w:lvl w:ilvl="3">
      <w:start w:val="1"/>
      <w:numFmt w:val="decimal"/>
      <w:lvlText w:val="%4."/>
      <w:lvlJc w:val="left"/>
      <w:pPr>
        <w:tabs>
          <w:tab w:val="num" w:pos="1800"/>
        </w:tabs>
        <w:ind w:left="1800" w:hanging="360"/>
      </w:pPr>
      <w:rPr>
        <w:rFonts w:ascii="Times New Roman" w:hAnsi="Times New Roman"/>
        <w:sz w:val="24"/>
        <w:szCs w:val="24"/>
      </w:rPr>
    </w:lvl>
    <w:lvl w:ilvl="4">
      <w:start w:val="1"/>
      <w:numFmt w:val="decimal"/>
      <w:lvlText w:val="%5."/>
      <w:lvlJc w:val="left"/>
      <w:pPr>
        <w:tabs>
          <w:tab w:val="num" w:pos="2160"/>
        </w:tabs>
        <w:ind w:left="2160" w:hanging="360"/>
      </w:pPr>
      <w:rPr>
        <w:rFonts w:ascii="Times New Roman" w:hAnsi="Times New Roman"/>
        <w:sz w:val="24"/>
        <w:szCs w:val="24"/>
      </w:rPr>
    </w:lvl>
    <w:lvl w:ilvl="5">
      <w:start w:val="1"/>
      <w:numFmt w:val="decimal"/>
      <w:lvlText w:val="%6."/>
      <w:lvlJc w:val="left"/>
      <w:pPr>
        <w:tabs>
          <w:tab w:val="num" w:pos="2520"/>
        </w:tabs>
        <w:ind w:left="2520" w:hanging="360"/>
      </w:pPr>
      <w:rPr>
        <w:rFonts w:ascii="Times New Roman" w:hAnsi="Times New Roman"/>
        <w:sz w:val="24"/>
        <w:szCs w:val="24"/>
      </w:rPr>
    </w:lvl>
    <w:lvl w:ilvl="6">
      <w:start w:val="1"/>
      <w:numFmt w:val="decimal"/>
      <w:lvlText w:val="%7."/>
      <w:lvlJc w:val="left"/>
      <w:pPr>
        <w:tabs>
          <w:tab w:val="num" w:pos="2880"/>
        </w:tabs>
        <w:ind w:left="2880" w:hanging="360"/>
      </w:pPr>
      <w:rPr>
        <w:rFonts w:ascii="Times New Roman" w:hAnsi="Times New Roman"/>
        <w:sz w:val="24"/>
        <w:szCs w:val="24"/>
      </w:rPr>
    </w:lvl>
    <w:lvl w:ilvl="7">
      <w:start w:val="1"/>
      <w:numFmt w:val="decimal"/>
      <w:lvlText w:val="%8."/>
      <w:lvlJc w:val="left"/>
      <w:pPr>
        <w:tabs>
          <w:tab w:val="num" w:pos="3240"/>
        </w:tabs>
        <w:ind w:left="3240" w:hanging="360"/>
      </w:pPr>
      <w:rPr>
        <w:rFonts w:ascii="Times New Roman" w:hAnsi="Times New Roman"/>
        <w:sz w:val="24"/>
        <w:szCs w:val="24"/>
      </w:rPr>
    </w:lvl>
    <w:lvl w:ilvl="8">
      <w:start w:val="1"/>
      <w:numFmt w:val="decimal"/>
      <w:lvlText w:val="%9."/>
      <w:lvlJc w:val="left"/>
      <w:pPr>
        <w:tabs>
          <w:tab w:val="num" w:pos="3600"/>
        </w:tabs>
        <w:ind w:left="3600" w:hanging="360"/>
      </w:pPr>
      <w:rPr>
        <w:rFonts w:ascii="Times New Roman" w:hAnsi="Times New Roman"/>
        <w:sz w:val="24"/>
        <w:szCs w:val="24"/>
      </w:rPr>
    </w:lvl>
  </w:abstractNum>
  <w:abstractNum w:abstractNumId="42">
    <w:nsid w:val="724B68F6"/>
    <w:multiLevelType w:val="multilevel"/>
    <w:tmpl w:val="C15A4D36"/>
    <w:lvl w:ilvl="0">
      <w:start w:val="1"/>
      <w:numFmt w:val="decimal"/>
      <w:lvlText w:val="%1)"/>
      <w:lvlJc w:val="left"/>
      <w:pPr>
        <w:tabs>
          <w:tab w:val="num" w:pos="720"/>
        </w:tabs>
        <w:ind w:left="720" w:hanging="360"/>
      </w:pPr>
      <w:rPr>
        <w:rFonts w:ascii="Times New Roman" w:hAnsi="Times New Roman"/>
        <w:sz w:val="24"/>
        <w:szCs w:val="24"/>
      </w:r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rPr>
        <w:rFonts w:ascii="Times New Roman" w:hAnsi="Times New Roman"/>
        <w:sz w:val="24"/>
        <w:szCs w:val="24"/>
      </w:rPr>
    </w:lvl>
    <w:lvl w:ilvl="3">
      <w:start w:val="1"/>
      <w:numFmt w:val="decimal"/>
      <w:lvlText w:val="%4."/>
      <w:lvlJc w:val="left"/>
      <w:pPr>
        <w:tabs>
          <w:tab w:val="num" w:pos="1800"/>
        </w:tabs>
        <w:ind w:left="1800" w:hanging="360"/>
      </w:pPr>
      <w:rPr>
        <w:rFonts w:ascii="Times New Roman" w:hAnsi="Times New Roman"/>
        <w:sz w:val="24"/>
        <w:szCs w:val="24"/>
      </w:rPr>
    </w:lvl>
    <w:lvl w:ilvl="4">
      <w:start w:val="1"/>
      <w:numFmt w:val="decimal"/>
      <w:lvlText w:val="%5."/>
      <w:lvlJc w:val="left"/>
      <w:pPr>
        <w:tabs>
          <w:tab w:val="num" w:pos="2160"/>
        </w:tabs>
        <w:ind w:left="2160" w:hanging="360"/>
      </w:pPr>
      <w:rPr>
        <w:rFonts w:ascii="Times New Roman" w:hAnsi="Times New Roman"/>
        <w:sz w:val="24"/>
        <w:szCs w:val="24"/>
      </w:rPr>
    </w:lvl>
    <w:lvl w:ilvl="5">
      <w:start w:val="1"/>
      <w:numFmt w:val="decimal"/>
      <w:lvlText w:val="%6."/>
      <w:lvlJc w:val="left"/>
      <w:pPr>
        <w:tabs>
          <w:tab w:val="num" w:pos="2520"/>
        </w:tabs>
        <w:ind w:left="2520" w:hanging="360"/>
      </w:pPr>
      <w:rPr>
        <w:rFonts w:ascii="Times New Roman" w:hAnsi="Times New Roman"/>
        <w:sz w:val="24"/>
        <w:szCs w:val="24"/>
      </w:rPr>
    </w:lvl>
    <w:lvl w:ilvl="6">
      <w:start w:val="1"/>
      <w:numFmt w:val="decimal"/>
      <w:lvlText w:val="%7."/>
      <w:lvlJc w:val="left"/>
      <w:pPr>
        <w:tabs>
          <w:tab w:val="num" w:pos="2880"/>
        </w:tabs>
        <w:ind w:left="2880" w:hanging="360"/>
      </w:pPr>
      <w:rPr>
        <w:rFonts w:ascii="Times New Roman" w:hAnsi="Times New Roman"/>
        <w:sz w:val="24"/>
        <w:szCs w:val="24"/>
      </w:rPr>
    </w:lvl>
    <w:lvl w:ilvl="7">
      <w:start w:val="1"/>
      <w:numFmt w:val="decimal"/>
      <w:lvlText w:val="%8."/>
      <w:lvlJc w:val="left"/>
      <w:pPr>
        <w:tabs>
          <w:tab w:val="num" w:pos="3240"/>
        </w:tabs>
        <w:ind w:left="3240" w:hanging="360"/>
      </w:pPr>
      <w:rPr>
        <w:rFonts w:ascii="Times New Roman" w:hAnsi="Times New Roman"/>
        <w:sz w:val="24"/>
        <w:szCs w:val="24"/>
      </w:rPr>
    </w:lvl>
    <w:lvl w:ilvl="8">
      <w:start w:val="1"/>
      <w:numFmt w:val="decimal"/>
      <w:lvlText w:val="%9."/>
      <w:lvlJc w:val="left"/>
      <w:pPr>
        <w:tabs>
          <w:tab w:val="num" w:pos="3600"/>
        </w:tabs>
        <w:ind w:left="3600" w:hanging="360"/>
      </w:pPr>
      <w:rPr>
        <w:rFonts w:ascii="Times New Roman" w:hAnsi="Times New Roman"/>
        <w:sz w:val="24"/>
        <w:szCs w:val="24"/>
      </w:rPr>
    </w:lvl>
  </w:abstractNum>
  <w:abstractNum w:abstractNumId="43">
    <w:nsid w:val="744F4151"/>
    <w:multiLevelType w:val="multilevel"/>
    <w:tmpl w:val="F7DE8C36"/>
    <w:lvl w:ilvl="0">
      <w:start w:val="1"/>
      <w:numFmt w:val="decimal"/>
      <w:lvlText w:val="%1)"/>
      <w:lvlJc w:val="left"/>
      <w:pPr>
        <w:tabs>
          <w:tab w:val="num" w:pos="0"/>
        </w:tabs>
        <w:ind w:left="1494" w:hanging="360"/>
      </w:pPr>
      <w:rPr>
        <w:rFonts w:ascii="Times New Roman" w:hAnsi="Times New Roman" w:cs="Times New Roman"/>
        <w:sz w:val="24"/>
        <w:szCs w:val="24"/>
      </w:r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44">
    <w:nsid w:val="76420228"/>
    <w:multiLevelType w:val="multilevel"/>
    <w:tmpl w:val="B1C8FB5E"/>
    <w:lvl w:ilvl="0">
      <w:start w:val="1"/>
      <w:numFmt w:val="decimal"/>
      <w:lvlText w:val="%1)"/>
      <w:lvlJc w:val="left"/>
      <w:pPr>
        <w:tabs>
          <w:tab w:val="num" w:pos="720"/>
        </w:tabs>
        <w:ind w:left="720" w:hanging="360"/>
      </w:pPr>
      <w:rPr>
        <w:rFonts w:ascii="Times New Roman" w:hAnsi="Times New Roman"/>
        <w:sz w:val="24"/>
        <w:szCs w:val="24"/>
      </w:r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rPr>
        <w:rFonts w:ascii="Times New Roman" w:hAnsi="Times New Roman"/>
        <w:sz w:val="24"/>
        <w:szCs w:val="24"/>
      </w:rPr>
    </w:lvl>
    <w:lvl w:ilvl="3">
      <w:start w:val="1"/>
      <w:numFmt w:val="decimal"/>
      <w:lvlText w:val="%4)"/>
      <w:lvlJc w:val="left"/>
      <w:pPr>
        <w:tabs>
          <w:tab w:val="num" w:pos="1800"/>
        </w:tabs>
        <w:ind w:left="1800" w:hanging="360"/>
      </w:pPr>
      <w:rPr>
        <w:rFonts w:ascii="Times New Roman" w:hAnsi="Times New Roman"/>
        <w:sz w:val="24"/>
        <w:szCs w:val="24"/>
      </w:rPr>
    </w:lvl>
    <w:lvl w:ilvl="4">
      <w:start w:val="1"/>
      <w:numFmt w:val="decimal"/>
      <w:lvlText w:val="%5)"/>
      <w:lvlJc w:val="left"/>
      <w:pPr>
        <w:tabs>
          <w:tab w:val="num" w:pos="2160"/>
        </w:tabs>
        <w:ind w:left="2160" w:hanging="360"/>
      </w:pPr>
      <w:rPr>
        <w:rFonts w:ascii="Times New Roman" w:hAnsi="Times New Roman"/>
        <w:sz w:val="24"/>
        <w:szCs w:val="24"/>
      </w:rPr>
    </w:lvl>
    <w:lvl w:ilvl="5">
      <w:start w:val="1"/>
      <w:numFmt w:val="decimal"/>
      <w:lvlText w:val="%6)"/>
      <w:lvlJc w:val="left"/>
      <w:pPr>
        <w:tabs>
          <w:tab w:val="num" w:pos="2520"/>
        </w:tabs>
        <w:ind w:left="2520" w:hanging="360"/>
      </w:pPr>
      <w:rPr>
        <w:rFonts w:ascii="Times New Roman" w:hAnsi="Times New Roman"/>
        <w:sz w:val="24"/>
        <w:szCs w:val="24"/>
      </w:rPr>
    </w:lvl>
    <w:lvl w:ilvl="6">
      <w:start w:val="1"/>
      <w:numFmt w:val="decimal"/>
      <w:lvlText w:val="%7)"/>
      <w:lvlJc w:val="left"/>
      <w:pPr>
        <w:tabs>
          <w:tab w:val="num" w:pos="2880"/>
        </w:tabs>
        <w:ind w:left="2880" w:hanging="360"/>
      </w:pPr>
      <w:rPr>
        <w:rFonts w:ascii="Times New Roman" w:hAnsi="Times New Roman"/>
        <w:sz w:val="24"/>
        <w:szCs w:val="24"/>
      </w:rPr>
    </w:lvl>
    <w:lvl w:ilvl="7">
      <w:start w:val="1"/>
      <w:numFmt w:val="decimal"/>
      <w:lvlText w:val="%8)"/>
      <w:lvlJc w:val="left"/>
      <w:pPr>
        <w:tabs>
          <w:tab w:val="num" w:pos="3240"/>
        </w:tabs>
        <w:ind w:left="3240" w:hanging="360"/>
      </w:pPr>
      <w:rPr>
        <w:rFonts w:ascii="Times New Roman" w:hAnsi="Times New Roman"/>
        <w:sz w:val="24"/>
        <w:szCs w:val="24"/>
      </w:rPr>
    </w:lvl>
    <w:lvl w:ilvl="8">
      <w:start w:val="1"/>
      <w:numFmt w:val="decimal"/>
      <w:lvlText w:val="%9)"/>
      <w:lvlJc w:val="left"/>
      <w:pPr>
        <w:tabs>
          <w:tab w:val="num" w:pos="3600"/>
        </w:tabs>
        <w:ind w:left="3600" w:hanging="360"/>
      </w:pPr>
      <w:rPr>
        <w:rFonts w:ascii="Times New Roman" w:hAnsi="Times New Roman"/>
        <w:sz w:val="24"/>
        <w:szCs w:val="24"/>
      </w:rPr>
    </w:lvl>
  </w:abstractNum>
  <w:abstractNum w:abstractNumId="45">
    <w:nsid w:val="76B55E4C"/>
    <w:multiLevelType w:val="multilevel"/>
    <w:tmpl w:val="93689B90"/>
    <w:lvl w:ilvl="0">
      <w:start w:val="1"/>
      <w:numFmt w:val="decimal"/>
      <w:lvlText w:val="%1)"/>
      <w:lvlJc w:val="left"/>
      <w:pPr>
        <w:tabs>
          <w:tab w:val="num" w:pos="720"/>
        </w:tabs>
        <w:ind w:left="720" w:hanging="360"/>
      </w:pPr>
      <w:rPr>
        <w:rFonts w:ascii="Times New Roman" w:hAnsi="Times New Roman"/>
        <w:sz w:val="24"/>
        <w:szCs w:val="24"/>
      </w:r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rPr>
        <w:rFonts w:ascii="Times New Roman" w:hAnsi="Times New Roman"/>
        <w:sz w:val="24"/>
        <w:szCs w:val="24"/>
      </w:rPr>
    </w:lvl>
    <w:lvl w:ilvl="3">
      <w:start w:val="1"/>
      <w:numFmt w:val="decimal"/>
      <w:lvlText w:val="%4."/>
      <w:lvlJc w:val="left"/>
      <w:pPr>
        <w:tabs>
          <w:tab w:val="num" w:pos="1800"/>
        </w:tabs>
        <w:ind w:left="1800" w:hanging="360"/>
      </w:pPr>
      <w:rPr>
        <w:rFonts w:ascii="Times New Roman" w:hAnsi="Times New Roman"/>
        <w:sz w:val="24"/>
        <w:szCs w:val="24"/>
      </w:rPr>
    </w:lvl>
    <w:lvl w:ilvl="4">
      <w:start w:val="1"/>
      <w:numFmt w:val="decimal"/>
      <w:lvlText w:val="%5."/>
      <w:lvlJc w:val="left"/>
      <w:pPr>
        <w:tabs>
          <w:tab w:val="num" w:pos="2160"/>
        </w:tabs>
        <w:ind w:left="2160" w:hanging="360"/>
      </w:pPr>
      <w:rPr>
        <w:rFonts w:ascii="Times New Roman" w:hAnsi="Times New Roman"/>
        <w:sz w:val="24"/>
        <w:szCs w:val="24"/>
      </w:rPr>
    </w:lvl>
    <w:lvl w:ilvl="5">
      <w:start w:val="1"/>
      <w:numFmt w:val="decimal"/>
      <w:lvlText w:val="%6."/>
      <w:lvlJc w:val="left"/>
      <w:pPr>
        <w:tabs>
          <w:tab w:val="num" w:pos="2520"/>
        </w:tabs>
        <w:ind w:left="2520" w:hanging="360"/>
      </w:pPr>
      <w:rPr>
        <w:rFonts w:ascii="Times New Roman" w:hAnsi="Times New Roman"/>
        <w:sz w:val="24"/>
        <w:szCs w:val="24"/>
      </w:rPr>
    </w:lvl>
    <w:lvl w:ilvl="6">
      <w:start w:val="1"/>
      <w:numFmt w:val="decimal"/>
      <w:lvlText w:val="%7."/>
      <w:lvlJc w:val="left"/>
      <w:pPr>
        <w:tabs>
          <w:tab w:val="num" w:pos="2880"/>
        </w:tabs>
        <w:ind w:left="2880" w:hanging="360"/>
      </w:pPr>
      <w:rPr>
        <w:rFonts w:ascii="Times New Roman" w:hAnsi="Times New Roman"/>
        <w:sz w:val="24"/>
        <w:szCs w:val="24"/>
      </w:rPr>
    </w:lvl>
    <w:lvl w:ilvl="7">
      <w:start w:val="1"/>
      <w:numFmt w:val="decimal"/>
      <w:lvlText w:val="%8."/>
      <w:lvlJc w:val="left"/>
      <w:pPr>
        <w:tabs>
          <w:tab w:val="num" w:pos="3240"/>
        </w:tabs>
        <w:ind w:left="3240" w:hanging="360"/>
      </w:pPr>
      <w:rPr>
        <w:rFonts w:ascii="Times New Roman" w:hAnsi="Times New Roman"/>
        <w:sz w:val="24"/>
        <w:szCs w:val="24"/>
      </w:rPr>
    </w:lvl>
    <w:lvl w:ilvl="8">
      <w:start w:val="1"/>
      <w:numFmt w:val="decimal"/>
      <w:lvlText w:val="%9."/>
      <w:lvlJc w:val="left"/>
      <w:pPr>
        <w:tabs>
          <w:tab w:val="num" w:pos="3600"/>
        </w:tabs>
        <w:ind w:left="3600" w:hanging="360"/>
      </w:pPr>
      <w:rPr>
        <w:rFonts w:ascii="Times New Roman" w:hAnsi="Times New Roman"/>
        <w:sz w:val="24"/>
        <w:szCs w:val="24"/>
      </w:rPr>
    </w:lvl>
  </w:abstractNum>
  <w:abstractNum w:abstractNumId="46">
    <w:nsid w:val="7C4253E0"/>
    <w:multiLevelType w:val="multilevel"/>
    <w:tmpl w:val="E1D43A82"/>
    <w:lvl w:ilvl="0">
      <w:start w:val="1"/>
      <w:numFmt w:val="decimal"/>
      <w:lvlText w:val="%1)"/>
      <w:lvlJc w:val="left"/>
      <w:pPr>
        <w:tabs>
          <w:tab w:val="num" w:pos="720"/>
        </w:tabs>
        <w:ind w:left="720" w:hanging="360"/>
      </w:pPr>
      <w:rPr>
        <w:rFonts w:ascii="Times New Roman" w:hAnsi="Times New Roman"/>
        <w:sz w:val="24"/>
        <w:szCs w:val="24"/>
      </w:r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rPr>
        <w:rFonts w:ascii="Times New Roman" w:hAnsi="Times New Roman"/>
        <w:sz w:val="24"/>
        <w:szCs w:val="24"/>
      </w:rPr>
    </w:lvl>
    <w:lvl w:ilvl="3">
      <w:start w:val="1"/>
      <w:numFmt w:val="decimal"/>
      <w:lvlText w:val="%4)"/>
      <w:lvlJc w:val="left"/>
      <w:pPr>
        <w:tabs>
          <w:tab w:val="num" w:pos="1800"/>
        </w:tabs>
        <w:ind w:left="1800" w:hanging="360"/>
      </w:pPr>
      <w:rPr>
        <w:rFonts w:ascii="Times New Roman" w:hAnsi="Times New Roman"/>
        <w:sz w:val="24"/>
        <w:szCs w:val="24"/>
      </w:rPr>
    </w:lvl>
    <w:lvl w:ilvl="4">
      <w:start w:val="1"/>
      <w:numFmt w:val="decimal"/>
      <w:lvlText w:val="%5)"/>
      <w:lvlJc w:val="left"/>
      <w:pPr>
        <w:tabs>
          <w:tab w:val="num" w:pos="2160"/>
        </w:tabs>
        <w:ind w:left="2160" w:hanging="360"/>
      </w:pPr>
      <w:rPr>
        <w:rFonts w:ascii="Times New Roman" w:hAnsi="Times New Roman"/>
        <w:sz w:val="24"/>
        <w:szCs w:val="24"/>
      </w:rPr>
    </w:lvl>
    <w:lvl w:ilvl="5">
      <w:start w:val="1"/>
      <w:numFmt w:val="decimal"/>
      <w:lvlText w:val="%6)"/>
      <w:lvlJc w:val="left"/>
      <w:pPr>
        <w:tabs>
          <w:tab w:val="num" w:pos="2520"/>
        </w:tabs>
        <w:ind w:left="2520" w:hanging="360"/>
      </w:pPr>
      <w:rPr>
        <w:rFonts w:ascii="Times New Roman" w:hAnsi="Times New Roman"/>
        <w:sz w:val="24"/>
        <w:szCs w:val="24"/>
      </w:rPr>
    </w:lvl>
    <w:lvl w:ilvl="6">
      <w:start w:val="1"/>
      <w:numFmt w:val="decimal"/>
      <w:lvlText w:val="%7)"/>
      <w:lvlJc w:val="left"/>
      <w:pPr>
        <w:tabs>
          <w:tab w:val="num" w:pos="2880"/>
        </w:tabs>
        <w:ind w:left="2880" w:hanging="360"/>
      </w:pPr>
      <w:rPr>
        <w:rFonts w:ascii="Times New Roman" w:hAnsi="Times New Roman"/>
        <w:sz w:val="24"/>
        <w:szCs w:val="24"/>
      </w:rPr>
    </w:lvl>
    <w:lvl w:ilvl="7">
      <w:start w:val="1"/>
      <w:numFmt w:val="decimal"/>
      <w:lvlText w:val="%8)"/>
      <w:lvlJc w:val="left"/>
      <w:pPr>
        <w:tabs>
          <w:tab w:val="num" w:pos="3240"/>
        </w:tabs>
        <w:ind w:left="3240" w:hanging="360"/>
      </w:pPr>
      <w:rPr>
        <w:rFonts w:ascii="Times New Roman" w:hAnsi="Times New Roman"/>
        <w:sz w:val="24"/>
        <w:szCs w:val="24"/>
      </w:rPr>
    </w:lvl>
    <w:lvl w:ilvl="8">
      <w:start w:val="1"/>
      <w:numFmt w:val="decimal"/>
      <w:lvlText w:val="%9)"/>
      <w:lvlJc w:val="left"/>
      <w:pPr>
        <w:tabs>
          <w:tab w:val="num" w:pos="3600"/>
        </w:tabs>
        <w:ind w:left="3600" w:hanging="360"/>
      </w:pPr>
      <w:rPr>
        <w:rFonts w:ascii="Times New Roman" w:hAnsi="Times New Roman"/>
        <w:sz w:val="24"/>
        <w:szCs w:val="24"/>
      </w:rPr>
    </w:lvl>
  </w:abstractNum>
  <w:num w:numId="1">
    <w:abstractNumId w:val="19"/>
  </w:num>
  <w:num w:numId="2">
    <w:abstractNumId w:val="11"/>
  </w:num>
  <w:num w:numId="3">
    <w:abstractNumId w:val="4"/>
  </w:num>
  <w:num w:numId="4">
    <w:abstractNumId w:val="23"/>
  </w:num>
  <w:num w:numId="5">
    <w:abstractNumId w:val="43"/>
  </w:num>
  <w:num w:numId="6">
    <w:abstractNumId w:val="22"/>
  </w:num>
  <w:num w:numId="7">
    <w:abstractNumId w:val="0"/>
  </w:num>
  <w:num w:numId="8">
    <w:abstractNumId w:val="33"/>
  </w:num>
  <w:num w:numId="9">
    <w:abstractNumId w:val="14"/>
  </w:num>
  <w:num w:numId="10">
    <w:abstractNumId w:val="8"/>
  </w:num>
  <w:num w:numId="11">
    <w:abstractNumId w:val="32"/>
  </w:num>
  <w:num w:numId="12">
    <w:abstractNumId w:val="24"/>
  </w:num>
  <w:num w:numId="13">
    <w:abstractNumId w:val="17"/>
  </w:num>
  <w:num w:numId="14">
    <w:abstractNumId w:val="6"/>
  </w:num>
  <w:num w:numId="15">
    <w:abstractNumId w:val="40"/>
  </w:num>
  <w:num w:numId="16">
    <w:abstractNumId w:val="45"/>
  </w:num>
  <w:num w:numId="17">
    <w:abstractNumId w:val="15"/>
  </w:num>
  <w:num w:numId="18">
    <w:abstractNumId w:val="16"/>
  </w:num>
  <w:num w:numId="19">
    <w:abstractNumId w:val="29"/>
  </w:num>
  <w:num w:numId="20">
    <w:abstractNumId w:val="12"/>
  </w:num>
  <w:num w:numId="21">
    <w:abstractNumId w:val="34"/>
  </w:num>
  <w:num w:numId="22">
    <w:abstractNumId w:val="26"/>
  </w:num>
  <w:num w:numId="23">
    <w:abstractNumId w:val="10"/>
  </w:num>
  <w:num w:numId="24">
    <w:abstractNumId w:val="3"/>
  </w:num>
  <w:num w:numId="25">
    <w:abstractNumId w:val="20"/>
  </w:num>
  <w:num w:numId="26">
    <w:abstractNumId w:val="44"/>
  </w:num>
  <w:num w:numId="27">
    <w:abstractNumId w:val="38"/>
  </w:num>
  <w:num w:numId="28">
    <w:abstractNumId w:val="18"/>
  </w:num>
  <w:num w:numId="29">
    <w:abstractNumId w:val="27"/>
  </w:num>
  <w:num w:numId="30">
    <w:abstractNumId w:val="41"/>
  </w:num>
  <w:num w:numId="31">
    <w:abstractNumId w:val="42"/>
  </w:num>
  <w:num w:numId="32">
    <w:abstractNumId w:val="30"/>
  </w:num>
  <w:num w:numId="33">
    <w:abstractNumId w:val="37"/>
  </w:num>
  <w:num w:numId="34">
    <w:abstractNumId w:val="31"/>
  </w:num>
  <w:num w:numId="35">
    <w:abstractNumId w:val="39"/>
  </w:num>
  <w:num w:numId="36">
    <w:abstractNumId w:val="25"/>
  </w:num>
  <w:num w:numId="37">
    <w:abstractNumId w:val="1"/>
  </w:num>
  <w:num w:numId="38">
    <w:abstractNumId w:val="28"/>
  </w:num>
  <w:num w:numId="39">
    <w:abstractNumId w:val="46"/>
  </w:num>
  <w:num w:numId="40">
    <w:abstractNumId w:val="5"/>
  </w:num>
  <w:num w:numId="41">
    <w:abstractNumId w:val="7"/>
  </w:num>
  <w:num w:numId="42">
    <w:abstractNumId w:val="2"/>
  </w:num>
  <w:num w:numId="43">
    <w:abstractNumId w:val="9"/>
  </w:num>
  <w:num w:numId="44">
    <w:abstractNumId w:val="13"/>
  </w:num>
  <w:num w:numId="45">
    <w:abstractNumId w:val="35"/>
  </w:num>
  <w:num w:numId="46">
    <w:abstractNumId w:val="36"/>
  </w:num>
  <w:num w:numId="47">
    <w:abstractNumId w:val="21"/>
  </w:num>
  <w:num w:numId="48">
    <w:abstractNumId w:val="13"/>
    <w:lvlOverride w:ilvl="0">
      <w:startOverride w:val="1"/>
    </w:lvlOverride>
  </w:num>
  <w:num w:numId="49">
    <w:abstractNumId w:val="13"/>
  </w:num>
  <w:num w:numId="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7E2"/>
    <w:rsid w:val="00046754"/>
    <w:rsid w:val="00301207"/>
    <w:rsid w:val="00333290"/>
    <w:rsid w:val="00376E3F"/>
    <w:rsid w:val="003B00E9"/>
    <w:rsid w:val="00667F04"/>
    <w:rsid w:val="008759AC"/>
    <w:rsid w:val="008E55D3"/>
    <w:rsid w:val="00934FC4"/>
    <w:rsid w:val="0096730C"/>
    <w:rsid w:val="00974240"/>
    <w:rsid w:val="009B31AB"/>
    <w:rsid w:val="009B5241"/>
    <w:rsid w:val="009D512D"/>
    <w:rsid w:val="00B8449E"/>
    <w:rsid w:val="00C3716D"/>
    <w:rsid w:val="00D15686"/>
    <w:rsid w:val="00D227E2"/>
    <w:rsid w:val="00E53302"/>
    <w:rsid w:val="00E539E5"/>
    <w:rsid w:val="00EB383E"/>
    <w:rsid w:val="00EF6335"/>
    <w:rsid w:val="00F1466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qFormat="1"/>
    <w:lsdException w:name="annotation subject" w:uiPriority="0"/>
    <w:lsdException w:name="Balloon Text" w:uiPriority="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2330A"/>
    <w:pPr>
      <w:spacing w:after="200" w:line="276" w:lineRule="auto"/>
    </w:pPr>
  </w:style>
  <w:style w:type="paragraph" w:styleId="1">
    <w:name w:val="heading 1"/>
    <w:basedOn w:val="a"/>
    <w:next w:val="a"/>
    <w:qFormat/>
    <w:rsid w:val="0032330A"/>
    <w:pPr>
      <w:keepNext/>
      <w:keepLines/>
      <w:spacing w:before="480" w:after="0"/>
      <w:outlineLvl w:val="0"/>
    </w:pPr>
    <w:rPr>
      <w:rFonts w:ascii="Cambria" w:hAnsi="Cambria"/>
      <w:b/>
      <w:bCs/>
      <w:color w:val="365F91"/>
      <w:sz w:val="28"/>
      <w:szCs w:val="28"/>
    </w:rPr>
  </w:style>
  <w:style w:type="paragraph" w:styleId="2">
    <w:name w:val="heading 2"/>
    <w:basedOn w:val="a0"/>
    <w:next w:val="a1"/>
    <w:link w:val="20"/>
    <w:qFormat/>
    <w:rsid w:val="0032330A"/>
    <w:pPr>
      <w:spacing w:before="200"/>
      <w:outlineLvl w:val="1"/>
    </w:pPr>
    <w:rPr>
      <w:rFonts w:ascii="Liberation Serif" w:eastAsia="Segoe UI" w:hAnsi="Liberation Serif" w:cs="Tahoma"/>
      <w:b/>
      <w:bCs/>
      <w:sz w:val="36"/>
      <w:szCs w:val="36"/>
    </w:rPr>
  </w:style>
  <w:style w:type="paragraph" w:styleId="3">
    <w:name w:val="heading 3"/>
    <w:basedOn w:val="a0"/>
    <w:next w:val="a1"/>
    <w:qFormat/>
    <w:rsid w:val="0032330A"/>
    <w:pPr>
      <w:spacing w:before="140"/>
      <w:outlineLvl w:val="2"/>
    </w:pPr>
    <w:rPr>
      <w:rFonts w:ascii="Liberation Serif" w:eastAsia="Segoe UI" w:hAnsi="Liberation Serif" w:cs="Tahoma"/>
      <w:b/>
      <w:bCs/>
    </w:rPr>
  </w:style>
  <w:style w:type="paragraph" w:styleId="4">
    <w:name w:val="heading 4"/>
    <w:basedOn w:val="a0"/>
    <w:next w:val="a1"/>
    <w:qFormat/>
    <w:rsid w:val="0032330A"/>
    <w:pPr>
      <w:spacing w:before="120"/>
      <w:outlineLvl w:val="3"/>
    </w:pPr>
    <w:rPr>
      <w:rFonts w:ascii="Liberation Serif" w:eastAsia="Segoe UI" w:hAnsi="Liberation Serif" w:cs="Tahoma"/>
      <w:b/>
      <w:bCs/>
      <w:sz w:val="24"/>
      <w:szCs w:val="24"/>
    </w:rPr>
  </w:style>
  <w:style w:type="paragraph" w:styleId="5">
    <w:name w:val="heading 5"/>
    <w:basedOn w:val="a0"/>
    <w:next w:val="a1"/>
    <w:qFormat/>
    <w:rsid w:val="0032330A"/>
    <w:pPr>
      <w:spacing w:before="120" w:after="60"/>
      <w:outlineLvl w:val="4"/>
    </w:pPr>
    <w:rPr>
      <w:rFonts w:ascii="Liberation Serif" w:eastAsia="Segoe UI" w:hAnsi="Liberation Serif" w:cs="Tahoma"/>
      <w:b/>
      <w:bCs/>
      <w:sz w:val="20"/>
      <w:szCs w:val="20"/>
    </w:rPr>
  </w:style>
  <w:style w:type="paragraph" w:styleId="6">
    <w:name w:val="heading 6"/>
    <w:basedOn w:val="a0"/>
    <w:next w:val="a1"/>
    <w:qFormat/>
    <w:rsid w:val="0032330A"/>
    <w:pPr>
      <w:spacing w:before="60" w:after="60"/>
      <w:outlineLvl w:val="5"/>
    </w:pPr>
    <w:rPr>
      <w:rFonts w:ascii="Liberation Serif" w:eastAsia="Segoe UI" w:hAnsi="Liberation Serif" w:cs="Tahoma"/>
      <w:b/>
      <w:bCs/>
      <w:sz w:val="14"/>
      <w:szCs w:val="14"/>
    </w:rPr>
  </w:style>
  <w:style w:type="paragraph" w:styleId="9">
    <w:name w:val="heading 9"/>
    <w:basedOn w:val="a"/>
    <w:qFormat/>
    <w:rsid w:val="0032330A"/>
    <w:pPr>
      <w:ind w:left="193"/>
      <w:jc w:val="both"/>
      <w:outlineLvl w:val="8"/>
    </w:pPr>
    <w:rPr>
      <w:rFonts w:ascii="Roboto" w:eastAsia="Roboto" w:hAnsi="Roboto" w:cs="Roboto"/>
      <w:b/>
      <w:bCs/>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Основной шрифт абзаца1"/>
    <w:qFormat/>
    <w:rsid w:val="00CE08A8"/>
  </w:style>
  <w:style w:type="character" w:customStyle="1" w:styleId="11">
    <w:name w:val="Основной шрифт абзаца1"/>
    <w:qFormat/>
    <w:rsid w:val="002A49F1"/>
  </w:style>
  <w:style w:type="character" w:styleId="a5">
    <w:name w:val="Hyperlink"/>
    <w:basedOn w:val="11"/>
    <w:rsid w:val="0032330A"/>
    <w:rPr>
      <w:color w:val="0000FF"/>
      <w:u w:val="single"/>
    </w:rPr>
  </w:style>
  <w:style w:type="character" w:styleId="a6">
    <w:name w:val="FollowedHyperlink"/>
    <w:basedOn w:val="11"/>
    <w:uiPriority w:val="99"/>
    <w:rsid w:val="0032330A"/>
    <w:rPr>
      <w:color w:val="800080"/>
      <w:u w:val="single"/>
    </w:rPr>
  </w:style>
  <w:style w:type="character" w:customStyle="1" w:styleId="12">
    <w:name w:val="Строгий1"/>
    <w:qFormat/>
    <w:rsid w:val="002A49F1"/>
    <w:rPr>
      <w:b/>
      <w:bCs/>
    </w:rPr>
  </w:style>
  <w:style w:type="character" w:customStyle="1" w:styleId="a7">
    <w:name w:val="Маркери"/>
    <w:qFormat/>
    <w:rsid w:val="0032330A"/>
    <w:rPr>
      <w:rFonts w:ascii="OpenSymbol" w:eastAsia="OpenSymbol" w:hAnsi="OpenSymbol" w:cs="OpenSymbol"/>
    </w:rPr>
  </w:style>
  <w:style w:type="character" w:styleId="a8">
    <w:name w:val="Emphasis"/>
    <w:qFormat/>
    <w:rsid w:val="0032330A"/>
    <w:rPr>
      <w:i/>
      <w:iCs/>
    </w:rPr>
  </w:style>
  <w:style w:type="character" w:customStyle="1" w:styleId="a9">
    <w:name w:val="Символ нумерації"/>
    <w:qFormat/>
    <w:rsid w:val="0032330A"/>
    <w:rPr>
      <w:rFonts w:ascii="Times New Roman" w:hAnsi="Times New Roman"/>
      <w:sz w:val="24"/>
      <w:szCs w:val="24"/>
    </w:rPr>
  </w:style>
  <w:style w:type="character" w:customStyle="1" w:styleId="aa">
    <w:name w:val="Текст выноски Знак"/>
    <w:basedOn w:val="11"/>
    <w:qFormat/>
    <w:rsid w:val="00DA692F"/>
    <w:rPr>
      <w:rFonts w:ascii="Tahoma" w:hAnsi="Tahoma"/>
      <w:sz w:val="16"/>
      <w:szCs w:val="16"/>
    </w:rPr>
  </w:style>
  <w:style w:type="character" w:customStyle="1" w:styleId="13">
    <w:name w:val="Знак примечания1"/>
    <w:qFormat/>
    <w:rsid w:val="002A49F1"/>
    <w:rPr>
      <w:sz w:val="16"/>
      <w:szCs w:val="16"/>
    </w:rPr>
  </w:style>
  <w:style w:type="character" w:customStyle="1" w:styleId="ab">
    <w:name w:val="Текст примечания Знак"/>
    <w:basedOn w:val="11"/>
    <w:link w:val="14"/>
    <w:qFormat/>
    <w:rsid w:val="00AF747F"/>
    <w:rPr>
      <w:sz w:val="20"/>
      <w:szCs w:val="20"/>
    </w:rPr>
  </w:style>
  <w:style w:type="character" w:customStyle="1" w:styleId="ac">
    <w:name w:val="Тема примечания Знак"/>
    <w:basedOn w:val="ab"/>
    <w:link w:val="15"/>
    <w:qFormat/>
    <w:rsid w:val="00AF747F"/>
    <w:rPr>
      <w:b/>
      <w:bCs/>
      <w:sz w:val="20"/>
      <w:szCs w:val="20"/>
    </w:rPr>
  </w:style>
  <w:style w:type="character" w:customStyle="1" w:styleId="WW8Num1z1">
    <w:name w:val="WW8Num1z1"/>
    <w:qFormat/>
    <w:rsid w:val="0032330A"/>
    <w:rPr>
      <w:rFonts w:ascii="Courier New" w:hAnsi="Courier New" w:cs="Courier New"/>
    </w:rPr>
  </w:style>
  <w:style w:type="character" w:customStyle="1" w:styleId="WW8Num1z0">
    <w:name w:val="WW8Num1z0"/>
    <w:qFormat/>
    <w:rsid w:val="0032330A"/>
    <w:rPr>
      <w:rFonts w:ascii="Times New Roman" w:eastAsia="Times New Roman" w:hAnsi="Times New Roman" w:cs="Times New Roman"/>
    </w:rPr>
  </w:style>
  <w:style w:type="character" w:customStyle="1" w:styleId="WW8Num27z1">
    <w:name w:val="WW8Num27z1"/>
    <w:qFormat/>
    <w:rsid w:val="0032330A"/>
    <w:rPr>
      <w:rFonts w:ascii="Courier New" w:hAnsi="Courier New" w:cs="Courier New"/>
    </w:rPr>
  </w:style>
  <w:style w:type="character" w:customStyle="1" w:styleId="WW8Num27z0">
    <w:name w:val="WW8Num27z0"/>
    <w:qFormat/>
    <w:rsid w:val="00280DAA"/>
    <w:rPr>
      <w:rFonts w:ascii="Symbol" w:hAnsi="Symbol" w:cs="Symbol"/>
    </w:rPr>
  </w:style>
  <w:style w:type="character" w:customStyle="1" w:styleId="WW8Num27z2">
    <w:name w:val="WW8Num27z2"/>
    <w:qFormat/>
    <w:rsid w:val="00280DAA"/>
    <w:rPr>
      <w:rFonts w:ascii="Wingdings" w:hAnsi="Wingdings" w:cs="Wingdings"/>
    </w:rPr>
  </w:style>
  <w:style w:type="character" w:customStyle="1" w:styleId="WW8Num1z2">
    <w:name w:val="WW8Num1z2"/>
    <w:qFormat/>
    <w:rsid w:val="00280DAA"/>
    <w:rPr>
      <w:rFonts w:ascii="Wingdings" w:hAnsi="Wingdings" w:cs="Wingdings"/>
    </w:rPr>
  </w:style>
  <w:style w:type="character" w:customStyle="1" w:styleId="WW8Num1z3">
    <w:name w:val="WW8Num1z3"/>
    <w:qFormat/>
    <w:rsid w:val="00280DAA"/>
    <w:rPr>
      <w:rFonts w:ascii="Symbol" w:hAnsi="Symbol" w:cs="Symbol"/>
    </w:rPr>
  </w:style>
  <w:style w:type="character" w:customStyle="1" w:styleId="ad">
    <w:name w:val="Верхний колонтитул Знак"/>
    <w:basedOn w:val="11"/>
    <w:link w:val="ae"/>
    <w:qFormat/>
    <w:rsid w:val="00280DAA"/>
    <w:rPr>
      <w:rFonts w:ascii="Liberation Serif" w:eastAsia="NSimSun" w:hAnsi="Liberation Serif" w:cs="Arial"/>
      <w:kern w:val="2"/>
      <w:sz w:val="24"/>
      <w:szCs w:val="24"/>
      <w:lang w:eastAsia="zh-CN" w:bidi="hi-IN"/>
    </w:rPr>
  </w:style>
  <w:style w:type="character" w:customStyle="1" w:styleId="af">
    <w:name w:val="Нижний колонтитул Знак"/>
    <w:basedOn w:val="11"/>
    <w:link w:val="af0"/>
    <w:qFormat/>
    <w:rsid w:val="004C52A9"/>
  </w:style>
  <w:style w:type="character" w:customStyle="1" w:styleId="20">
    <w:name w:val="Заголовок 2 Знак"/>
    <w:basedOn w:val="11"/>
    <w:link w:val="2"/>
    <w:qFormat/>
    <w:rsid w:val="00C26CB4"/>
    <w:rPr>
      <w:rFonts w:ascii="Liberation Serif" w:eastAsia="Segoe UI" w:hAnsi="Liberation Serif"/>
      <w:b/>
      <w:bCs/>
      <w:sz w:val="36"/>
      <w:szCs w:val="36"/>
    </w:rPr>
  </w:style>
  <w:style w:type="character" w:customStyle="1" w:styleId="af1">
    <w:name w:val="Основной текст Знак"/>
    <w:basedOn w:val="11"/>
    <w:link w:val="a1"/>
    <w:qFormat/>
    <w:rsid w:val="00C26CB4"/>
  </w:style>
  <w:style w:type="character" w:customStyle="1" w:styleId="16">
    <w:name w:val="Нижний колонтитул Знак1"/>
    <w:basedOn w:val="11"/>
    <w:uiPriority w:val="99"/>
    <w:semiHidden/>
    <w:qFormat/>
    <w:rsid w:val="00C26CB4"/>
    <w:rPr>
      <w:rFonts w:cs="Mangal"/>
      <w:szCs w:val="21"/>
    </w:rPr>
  </w:style>
  <w:style w:type="character" w:customStyle="1" w:styleId="17">
    <w:name w:val="Верхний колонтитул Знак1"/>
    <w:basedOn w:val="11"/>
    <w:uiPriority w:val="99"/>
    <w:semiHidden/>
    <w:qFormat/>
    <w:rsid w:val="00C26CB4"/>
    <w:rPr>
      <w:rFonts w:cs="Mangal"/>
      <w:szCs w:val="21"/>
    </w:rPr>
  </w:style>
  <w:style w:type="character" w:customStyle="1" w:styleId="WW8Num2z0">
    <w:name w:val="WW8Num2z0"/>
    <w:qFormat/>
    <w:rsid w:val="002A49F1"/>
    <w:rPr>
      <w:rFonts w:ascii="Symbol" w:hAnsi="Symbol" w:cs="Symbol"/>
    </w:rPr>
  </w:style>
  <w:style w:type="character" w:customStyle="1" w:styleId="WW8Num3z0">
    <w:name w:val="WW8Num3z0"/>
    <w:qFormat/>
    <w:rsid w:val="002A49F1"/>
    <w:rPr>
      <w:rFonts w:ascii="Symbol" w:hAnsi="Symbol" w:cs="Symbol"/>
    </w:rPr>
  </w:style>
  <w:style w:type="character" w:customStyle="1" w:styleId="WW8Num4z0">
    <w:name w:val="WW8Num4z0"/>
    <w:qFormat/>
    <w:rsid w:val="002A49F1"/>
    <w:rPr>
      <w:rFonts w:ascii="Times New Roman" w:hAnsi="Times New Roman" w:cs="Times New Roman"/>
    </w:rPr>
  </w:style>
  <w:style w:type="character" w:customStyle="1" w:styleId="WW8Num5z0">
    <w:name w:val="WW8Num5z0"/>
    <w:qFormat/>
    <w:rsid w:val="002A49F1"/>
    <w:rPr>
      <w:rFonts w:ascii="Symbol" w:hAnsi="Symbol" w:cs="Symbol"/>
    </w:rPr>
  </w:style>
  <w:style w:type="character" w:customStyle="1" w:styleId="WW8Num2z1">
    <w:name w:val="WW8Num2z1"/>
    <w:qFormat/>
    <w:rsid w:val="002A49F1"/>
    <w:rPr>
      <w:rFonts w:ascii="Courier New" w:hAnsi="Courier New" w:cs="Courier New"/>
    </w:rPr>
  </w:style>
  <w:style w:type="character" w:customStyle="1" w:styleId="WW8Num2z2">
    <w:name w:val="WW8Num2z2"/>
    <w:qFormat/>
    <w:rsid w:val="002A49F1"/>
    <w:rPr>
      <w:rFonts w:ascii="Wingdings" w:hAnsi="Wingdings" w:cs="Wingdings"/>
    </w:rPr>
  </w:style>
  <w:style w:type="character" w:customStyle="1" w:styleId="WW8Num4z1">
    <w:name w:val="WW8Num4z1"/>
    <w:qFormat/>
    <w:rsid w:val="002A49F1"/>
    <w:rPr>
      <w:rFonts w:ascii="Courier New" w:hAnsi="Courier New" w:cs="Courier New"/>
    </w:rPr>
  </w:style>
  <w:style w:type="character" w:customStyle="1" w:styleId="WW8Num4z2">
    <w:name w:val="WW8Num4z2"/>
    <w:qFormat/>
    <w:rsid w:val="002A49F1"/>
    <w:rPr>
      <w:rFonts w:ascii="Wingdings" w:hAnsi="Wingdings" w:cs="Wingdings"/>
    </w:rPr>
  </w:style>
  <w:style w:type="character" w:customStyle="1" w:styleId="WW8Num4z3">
    <w:name w:val="WW8Num4z3"/>
    <w:qFormat/>
    <w:rsid w:val="002A49F1"/>
    <w:rPr>
      <w:rFonts w:ascii="Symbol" w:hAnsi="Symbol" w:cs="Symbol"/>
    </w:rPr>
  </w:style>
  <w:style w:type="character" w:customStyle="1" w:styleId="WW8Num5z1">
    <w:name w:val="WW8Num5z1"/>
    <w:qFormat/>
    <w:rsid w:val="002A49F1"/>
    <w:rPr>
      <w:rFonts w:ascii="Courier New" w:hAnsi="Courier New" w:cs="Courier New"/>
    </w:rPr>
  </w:style>
  <w:style w:type="character" w:customStyle="1" w:styleId="WW8Num5z2">
    <w:name w:val="WW8Num5z2"/>
    <w:qFormat/>
    <w:rsid w:val="002A49F1"/>
    <w:rPr>
      <w:rFonts w:ascii="Wingdings" w:hAnsi="Wingdings" w:cs="Wingdings"/>
    </w:rPr>
  </w:style>
  <w:style w:type="character" w:customStyle="1" w:styleId="18">
    <w:name w:val="Заголовок 1 Знак"/>
    <w:qFormat/>
    <w:rsid w:val="002A49F1"/>
    <w:rPr>
      <w:b/>
      <w:sz w:val="24"/>
      <w:lang w:val="uk-UA"/>
    </w:rPr>
  </w:style>
  <w:style w:type="character" w:customStyle="1" w:styleId="30">
    <w:name w:val="Заголовок 3 Знак"/>
    <w:qFormat/>
    <w:rsid w:val="002A49F1"/>
    <w:rPr>
      <w:b/>
      <w:bCs/>
      <w:sz w:val="27"/>
      <w:szCs w:val="27"/>
    </w:rPr>
  </w:style>
  <w:style w:type="character" w:customStyle="1" w:styleId="q4iawc">
    <w:name w:val="q4iawc"/>
    <w:qFormat/>
    <w:rsid w:val="002A49F1"/>
  </w:style>
  <w:style w:type="character" w:customStyle="1" w:styleId="af2">
    <w:name w:val="Текст сноски Знак"/>
    <w:qFormat/>
    <w:rsid w:val="002A49F1"/>
    <w:rPr>
      <w:rFonts w:ascii="Calibri" w:eastAsia="Calibri" w:hAnsi="Calibri" w:cs="Calibri"/>
      <w:lang w:val="uk-UA"/>
    </w:rPr>
  </w:style>
  <w:style w:type="character" w:customStyle="1" w:styleId="af3">
    <w:name w:val="Символи виноски"/>
    <w:qFormat/>
    <w:rsid w:val="002A49F1"/>
    <w:rPr>
      <w:vertAlign w:val="superscript"/>
    </w:rPr>
  </w:style>
  <w:style w:type="character" w:customStyle="1" w:styleId="viiyi">
    <w:name w:val="viiyi"/>
    <w:qFormat/>
    <w:rsid w:val="002A49F1"/>
  </w:style>
  <w:style w:type="character" w:customStyle="1" w:styleId="jlqj4b">
    <w:name w:val="jlqj4b"/>
    <w:qFormat/>
    <w:rsid w:val="002A49F1"/>
  </w:style>
  <w:style w:type="character" w:customStyle="1" w:styleId="d2edcug0">
    <w:name w:val="d2edcug0"/>
    <w:qFormat/>
    <w:rsid w:val="002A49F1"/>
  </w:style>
  <w:style w:type="character" w:customStyle="1" w:styleId="tlid-translation">
    <w:name w:val="tlid-translation"/>
    <w:qFormat/>
    <w:rsid w:val="002A49F1"/>
  </w:style>
  <w:style w:type="character" w:customStyle="1" w:styleId="markedcontent">
    <w:name w:val="markedcontent"/>
    <w:qFormat/>
    <w:rsid w:val="002A49F1"/>
  </w:style>
  <w:style w:type="character" w:customStyle="1" w:styleId="st">
    <w:name w:val="st"/>
    <w:qFormat/>
    <w:rsid w:val="002A49F1"/>
  </w:style>
  <w:style w:type="character" w:customStyle="1" w:styleId="xfm97486888">
    <w:name w:val="xfm_97486888"/>
    <w:qFormat/>
    <w:rsid w:val="002A49F1"/>
  </w:style>
  <w:style w:type="character" w:customStyle="1" w:styleId="19">
    <w:name w:val="Текст сноски Знак1"/>
    <w:basedOn w:val="11"/>
    <w:link w:val="af4"/>
    <w:qFormat/>
    <w:rsid w:val="002A49F1"/>
    <w:rPr>
      <w:rFonts w:cs="Times New Roman"/>
      <w:sz w:val="20"/>
      <w:szCs w:val="20"/>
      <w:lang w:eastAsia="zh-CN"/>
    </w:rPr>
  </w:style>
  <w:style w:type="character" w:customStyle="1" w:styleId="1a">
    <w:name w:val="Текст выноски Знак1"/>
    <w:basedOn w:val="10"/>
    <w:link w:val="21"/>
    <w:semiHidden/>
    <w:qFormat/>
    <w:rsid w:val="0046520D"/>
    <w:rPr>
      <w:rFonts w:ascii="Tahoma" w:hAnsi="Tahoma"/>
      <w:sz w:val="16"/>
      <w:szCs w:val="16"/>
    </w:rPr>
  </w:style>
  <w:style w:type="character" w:customStyle="1" w:styleId="WW8Num1z4">
    <w:name w:val="WW8Num1z4"/>
    <w:qFormat/>
    <w:rsid w:val="00CE08A8"/>
  </w:style>
  <w:style w:type="character" w:customStyle="1" w:styleId="WW8Num1z5">
    <w:name w:val="WW8Num1z5"/>
    <w:qFormat/>
    <w:rsid w:val="00CE08A8"/>
  </w:style>
  <w:style w:type="character" w:customStyle="1" w:styleId="WW8Num1z6">
    <w:name w:val="WW8Num1z6"/>
    <w:qFormat/>
    <w:rsid w:val="00CE08A8"/>
  </w:style>
  <w:style w:type="character" w:customStyle="1" w:styleId="WW8Num1z7">
    <w:name w:val="WW8Num1z7"/>
    <w:qFormat/>
    <w:rsid w:val="00CE08A8"/>
  </w:style>
  <w:style w:type="character" w:customStyle="1" w:styleId="WW8Num1z8">
    <w:name w:val="WW8Num1z8"/>
    <w:qFormat/>
    <w:rsid w:val="00CE08A8"/>
  </w:style>
  <w:style w:type="character" w:customStyle="1" w:styleId="WW8Num2z3">
    <w:name w:val="WW8Num2z3"/>
    <w:qFormat/>
    <w:rsid w:val="00CE08A8"/>
  </w:style>
  <w:style w:type="character" w:customStyle="1" w:styleId="WW8Num2z4">
    <w:name w:val="WW8Num2z4"/>
    <w:qFormat/>
    <w:rsid w:val="00CE08A8"/>
  </w:style>
  <w:style w:type="character" w:customStyle="1" w:styleId="WW8Num2z5">
    <w:name w:val="WW8Num2z5"/>
    <w:qFormat/>
    <w:rsid w:val="00CE08A8"/>
  </w:style>
  <w:style w:type="character" w:customStyle="1" w:styleId="WW8Num2z6">
    <w:name w:val="WW8Num2z6"/>
    <w:qFormat/>
    <w:rsid w:val="00CE08A8"/>
  </w:style>
  <w:style w:type="character" w:customStyle="1" w:styleId="WW8Num2z7">
    <w:name w:val="WW8Num2z7"/>
    <w:qFormat/>
    <w:rsid w:val="00CE08A8"/>
  </w:style>
  <w:style w:type="character" w:customStyle="1" w:styleId="WW8Num2z8">
    <w:name w:val="WW8Num2z8"/>
    <w:qFormat/>
    <w:rsid w:val="00CE08A8"/>
  </w:style>
  <w:style w:type="character" w:customStyle="1" w:styleId="WW8Num6z0">
    <w:name w:val="WW8Num6z0"/>
    <w:qFormat/>
    <w:rsid w:val="00CE08A8"/>
    <w:rPr>
      <w:lang w:val="uk-UA"/>
    </w:rPr>
  </w:style>
  <w:style w:type="character" w:customStyle="1" w:styleId="WW8Num3z1">
    <w:name w:val="WW8Num3z1"/>
    <w:qFormat/>
    <w:rsid w:val="00CE08A8"/>
  </w:style>
  <w:style w:type="character" w:customStyle="1" w:styleId="WW8Num3z2">
    <w:name w:val="WW8Num3z2"/>
    <w:qFormat/>
    <w:rsid w:val="00CE08A8"/>
  </w:style>
  <w:style w:type="character" w:customStyle="1" w:styleId="WW8Num3z3">
    <w:name w:val="WW8Num3z3"/>
    <w:qFormat/>
    <w:rsid w:val="00CE08A8"/>
  </w:style>
  <w:style w:type="character" w:customStyle="1" w:styleId="WW8Num3z4">
    <w:name w:val="WW8Num3z4"/>
    <w:qFormat/>
    <w:rsid w:val="00CE08A8"/>
  </w:style>
  <w:style w:type="character" w:customStyle="1" w:styleId="WW8Num3z5">
    <w:name w:val="WW8Num3z5"/>
    <w:qFormat/>
    <w:rsid w:val="00CE08A8"/>
  </w:style>
  <w:style w:type="character" w:customStyle="1" w:styleId="WW8Num3z6">
    <w:name w:val="WW8Num3z6"/>
    <w:qFormat/>
    <w:rsid w:val="00CE08A8"/>
  </w:style>
  <w:style w:type="character" w:customStyle="1" w:styleId="WW8Num3z7">
    <w:name w:val="WW8Num3z7"/>
    <w:qFormat/>
    <w:rsid w:val="00CE08A8"/>
  </w:style>
  <w:style w:type="character" w:customStyle="1" w:styleId="WW8Num3z8">
    <w:name w:val="WW8Num3z8"/>
    <w:qFormat/>
    <w:rsid w:val="00CE08A8"/>
  </w:style>
  <w:style w:type="character" w:customStyle="1" w:styleId="WW8Num4z4">
    <w:name w:val="WW8Num4z4"/>
    <w:qFormat/>
    <w:rsid w:val="00CE08A8"/>
  </w:style>
  <w:style w:type="character" w:customStyle="1" w:styleId="WW8Num4z5">
    <w:name w:val="WW8Num4z5"/>
    <w:qFormat/>
    <w:rsid w:val="00CE08A8"/>
  </w:style>
  <w:style w:type="character" w:customStyle="1" w:styleId="WW8Num4z6">
    <w:name w:val="WW8Num4z6"/>
    <w:qFormat/>
    <w:rsid w:val="00CE08A8"/>
  </w:style>
  <w:style w:type="character" w:customStyle="1" w:styleId="WW8Num4z7">
    <w:name w:val="WW8Num4z7"/>
    <w:qFormat/>
    <w:rsid w:val="00CE08A8"/>
  </w:style>
  <w:style w:type="character" w:customStyle="1" w:styleId="WW8Num4z8">
    <w:name w:val="WW8Num4z8"/>
    <w:qFormat/>
    <w:rsid w:val="00CE08A8"/>
  </w:style>
  <w:style w:type="character" w:customStyle="1" w:styleId="WW8Num5z3">
    <w:name w:val="WW8Num5z3"/>
    <w:qFormat/>
    <w:rsid w:val="00CE08A8"/>
  </w:style>
  <w:style w:type="character" w:customStyle="1" w:styleId="WW8Num5z4">
    <w:name w:val="WW8Num5z4"/>
    <w:qFormat/>
    <w:rsid w:val="00CE08A8"/>
  </w:style>
  <w:style w:type="character" w:customStyle="1" w:styleId="WW8Num5z5">
    <w:name w:val="WW8Num5z5"/>
    <w:qFormat/>
    <w:rsid w:val="00CE08A8"/>
  </w:style>
  <w:style w:type="character" w:customStyle="1" w:styleId="WW8Num5z6">
    <w:name w:val="WW8Num5z6"/>
    <w:qFormat/>
    <w:rsid w:val="00CE08A8"/>
  </w:style>
  <w:style w:type="character" w:customStyle="1" w:styleId="WW8Num5z7">
    <w:name w:val="WW8Num5z7"/>
    <w:qFormat/>
    <w:rsid w:val="00CE08A8"/>
  </w:style>
  <w:style w:type="character" w:customStyle="1" w:styleId="WW8Num5z8">
    <w:name w:val="WW8Num5z8"/>
    <w:qFormat/>
    <w:rsid w:val="00CE08A8"/>
  </w:style>
  <w:style w:type="character" w:customStyle="1" w:styleId="WW8Num6z1">
    <w:name w:val="WW8Num6z1"/>
    <w:qFormat/>
    <w:rsid w:val="00CE08A8"/>
  </w:style>
  <w:style w:type="character" w:customStyle="1" w:styleId="WW8Num6z2">
    <w:name w:val="WW8Num6z2"/>
    <w:qFormat/>
    <w:rsid w:val="00CE08A8"/>
  </w:style>
  <w:style w:type="character" w:customStyle="1" w:styleId="WW8Num6z3">
    <w:name w:val="WW8Num6z3"/>
    <w:qFormat/>
    <w:rsid w:val="00CE08A8"/>
  </w:style>
  <w:style w:type="character" w:customStyle="1" w:styleId="WW8Num6z4">
    <w:name w:val="WW8Num6z4"/>
    <w:qFormat/>
    <w:rsid w:val="00CE08A8"/>
  </w:style>
  <w:style w:type="character" w:customStyle="1" w:styleId="WW8Num6z5">
    <w:name w:val="WW8Num6z5"/>
    <w:qFormat/>
    <w:rsid w:val="00CE08A8"/>
  </w:style>
  <w:style w:type="character" w:customStyle="1" w:styleId="WW8Num6z6">
    <w:name w:val="WW8Num6z6"/>
    <w:qFormat/>
    <w:rsid w:val="00CE08A8"/>
  </w:style>
  <w:style w:type="character" w:customStyle="1" w:styleId="WW8Num6z7">
    <w:name w:val="WW8Num6z7"/>
    <w:qFormat/>
    <w:rsid w:val="00CE08A8"/>
  </w:style>
  <w:style w:type="character" w:customStyle="1" w:styleId="WW8Num6z8">
    <w:name w:val="WW8Num6z8"/>
    <w:qFormat/>
    <w:rsid w:val="00CE08A8"/>
  </w:style>
  <w:style w:type="character" w:customStyle="1" w:styleId="WW8Num7z0">
    <w:name w:val="WW8Num7z0"/>
    <w:qFormat/>
    <w:rsid w:val="00CE08A8"/>
    <w:rPr>
      <w:lang w:val="uk-UA"/>
    </w:rPr>
  </w:style>
  <w:style w:type="character" w:customStyle="1" w:styleId="WW8Num7z1">
    <w:name w:val="WW8Num7z1"/>
    <w:qFormat/>
    <w:rsid w:val="00CE08A8"/>
  </w:style>
  <w:style w:type="character" w:customStyle="1" w:styleId="WW8Num7z2">
    <w:name w:val="WW8Num7z2"/>
    <w:qFormat/>
    <w:rsid w:val="00CE08A8"/>
  </w:style>
  <w:style w:type="character" w:customStyle="1" w:styleId="WW8Num7z3">
    <w:name w:val="WW8Num7z3"/>
    <w:qFormat/>
    <w:rsid w:val="00CE08A8"/>
  </w:style>
  <w:style w:type="character" w:customStyle="1" w:styleId="WW8Num7z4">
    <w:name w:val="WW8Num7z4"/>
    <w:qFormat/>
    <w:rsid w:val="00CE08A8"/>
  </w:style>
  <w:style w:type="character" w:customStyle="1" w:styleId="WW8Num7z5">
    <w:name w:val="WW8Num7z5"/>
    <w:qFormat/>
    <w:rsid w:val="00CE08A8"/>
  </w:style>
  <w:style w:type="character" w:customStyle="1" w:styleId="WW8Num7z6">
    <w:name w:val="WW8Num7z6"/>
    <w:qFormat/>
    <w:rsid w:val="00CE08A8"/>
  </w:style>
  <w:style w:type="character" w:customStyle="1" w:styleId="WW8Num7z7">
    <w:name w:val="WW8Num7z7"/>
    <w:qFormat/>
    <w:rsid w:val="00CE08A8"/>
  </w:style>
  <w:style w:type="character" w:customStyle="1" w:styleId="WW8Num7z8">
    <w:name w:val="WW8Num7z8"/>
    <w:qFormat/>
    <w:rsid w:val="00CE08A8"/>
  </w:style>
  <w:style w:type="character" w:customStyle="1" w:styleId="50">
    <w:name w:val="Основной шрифт абзаца5"/>
    <w:qFormat/>
    <w:rsid w:val="00CE08A8"/>
  </w:style>
  <w:style w:type="character" w:customStyle="1" w:styleId="40">
    <w:name w:val="Основной шрифт абзаца4"/>
    <w:qFormat/>
    <w:rsid w:val="00CE08A8"/>
  </w:style>
  <w:style w:type="character" w:customStyle="1" w:styleId="31">
    <w:name w:val="Основной шрифт абзаца3"/>
    <w:qFormat/>
    <w:rsid w:val="00CE08A8"/>
  </w:style>
  <w:style w:type="character" w:customStyle="1" w:styleId="WW8Num8z0">
    <w:name w:val="WW8Num8z0"/>
    <w:qFormat/>
    <w:rsid w:val="00CE08A8"/>
  </w:style>
  <w:style w:type="character" w:customStyle="1" w:styleId="WW8Num9z0">
    <w:name w:val="WW8Num9z0"/>
    <w:qFormat/>
    <w:rsid w:val="00CE08A8"/>
    <w:rPr>
      <w:rFonts w:ascii="Times New Roman" w:eastAsia="Times New Roman" w:hAnsi="Times New Roman" w:cs="Times New Roman"/>
    </w:rPr>
  </w:style>
  <w:style w:type="character" w:customStyle="1" w:styleId="WW8Num9z1">
    <w:name w:val="WW8Num9z1"/>
    <w:qFormat/>
    <w:rsid w:val="00CE08A8"/>
    <w:rPr>
      <w:rFonts w:ascii="Courier New" w:hAnsi="Courier New" w:cs="Courier New"/>
    </w:rPr>
  </w:style>
  <w:style w:type="character" w:customStyle="1" w:styleId="WW8Num9z2">
    <w:name w:val="WW8Num9z2"/>
    <w:qFormat/>
    <w:rsid w:val="00CE08A8"/>
    <w:rPr>
      <w:rFonts w:ascii="Wingdings" w:hAnsi="Wingdings" w:cs="Wingdings"/>
    </w:rPr>
  </w:style>
  <w:style w:type="character" w:customStyle="1" w:styleId="WW8Num9z3">
    <w:name w:val="WW8Num9z3"/>
    <w:qFormat/>
    <w:rsid w:val="00CE08A8"/>
    <w:rPr>
      <w:rFonts w:ascii="Symbol" w:hAnsi="Symbol" w:cs="Symbol"/>
    </w:rPr>
  </w:style>
  <w:style w:type="character" w:customStyle="1" w:styleId="22">
    <w:name w:val="Основной шрифт абзаца2"/>
    <w:qFormat/>
    <w:rsid w:val="00CE08A8"/>
  </w:style>
  <w:style w:type="character" w:styleId="af5">
    <w:name w:val="Strong"/>
    <w:qFormat/>
    <w:rsid w:val="00CE08A8"/>
    <w:rPr>
      <w:b/>
      <w:bCs/>
    </w:rPr>
  </w:style>
  <w:style w:type="character" w:customStyle="1" w:styleId="23">
    <w:name w:val="Знак примечания2"/>
    <w:qFormat/>
    <w:rsid w:val="00CE08A8"/>
    <w:rPr>
      <w:rFonts w:ascii="Times New Roman" w:eastAsia="Times New Roman" w:hAnsi="Times New Roman" w:cs="Times New Roman"/>
      <w:color w:val="000000"/>
      <w:sz w:val="16"/>
      <w:szCs w:val="16"/>
    </w:rPr>
  </w:style>
  <w:style w:type="character" w:customStyle="1" w:styleId="Strong1">
    <w:name w:val="Strong1"/>
    <w:qFormat/>
    <w:rsid w:val="00CE08A8"/>
    <w:rPr>
      <w:b/>
      <w:bCs/>
    </w:rPr>
  </w:style>
  <w:style w:type="character" w:customStyle="1" w:styleId="c-committee-personposition">
    <w:name w:val="c-committee-person__position"/>
    <w:qFormat/>
    <w:rsid w:val="00CE08A8"/>
  </w:style>
  <w:style w:type="character" w:customStyle="1" w:styleId="1b">
    <w:name w:val="Текст примечания Знак1"/>
    <w:basedOn w:val="10"/>
    <w:link w:val="24"/>
    <w:uiPriority w:val="99"/>
    <w:semiHidden/>
    <w:qFormat/>
    <w:rsid w:val="00CE08A8"/>
    <w:rPr>
      <w:sz w:val="20"/>
      <w:szCs w:val="20"/>
    </w:rPr>
  </w:style>
  <w:style w:type="character" w:customStyle="1" w:styleId="1c">
    <w:name w:val="Тема примечания Знак1"/>
    <w:basedOn w:val="1b"/>
    <w:link w:val="25"/>
    <w:qFormat/>
    <w:rsid w:val="00CE08A8"/>
    <w:rPr>
      <w:rFonts w:cs="Times New Roman"/>
      <w:b/>
      <w:bCs/>
      <w:sz w:val="20"/>
      <w:szCs w:val="20"/>
      <w:lang w:val="ru-RU" w:eastAsia="zh-CN"/>
    </w:rPr>
  </w:style>
  <w:style w:type="paragraph" w:customStyle="1" w:styleId="a0">
    <w:name w:val="Заголовок"/>
    <w:basedOn w:val="a"/>
    <w:next w:val="a1"/>
    <w:qFormat/>
    <w:rsid w:val="0032330A"/>
    <w:pPr>
      <w:keepNext/>
      <w:spacing w:before="240" w:after="120"/>
    </w:pPr>
    <w:rPr>
      <w:rFonts w:ascii="Liberation Sans" w:eastAsia="Microsoft YaHei" w:hAnsi="Liberation Sans" w:cs="Arial"/>
      <w:sz w:val="28"/>
      <w:szCs w:val="28"/>
    </w:rPr>
  </w:style>
  <w:style w:type="paragraph" w:styleId="a1">
    <w:name w:val="Body Text"/>
    <w:basedOn w:val="a"/>
    <w:link w:val="af1"/>
    <w:rsid w:val="0032330A"/>
    <w:pPr>
      <w:spacing w:after="140"/>
    </w:pPr>
  </w:style>
  <w:style w:type="paragraph" w:styleId="af6">
    <w:name w:val="List"/>
    <w:basedOn w:val="a1"/>
    <w:rsid w:val="0032330A"/>
    <w:rPr>
      <w:rFonts w:cs="Arial"/>
    </w:rPr>
  </w:style>
  <w:style w:type="paragraph" w:styleId="af7">
    <w:name w:val="caption"/>
    <w:basedOn w:val="a"/>
    <w:qFormat/>
    <w:pPr>
      <w:suppressLineNumbers/>
      <w:spacing w:before="120" w:after="120"/>
    </w:pPr>
    <w:rPr>
      <w:rFonts w:cs="Arial"/>
      <w:i/>
      <w:iCs/>
      <w:sz w:val="24"/>
      <w:szCs w:val="24"/>
    </w:rPr>
  </w:style>
  <w:style w:type="paragraph" w:customStyle="1" w:styleId="af8">
    <w:name w:val="Покажчик"/>
    <w:basedOn w:val="a"/>
    <w:qFormat/>
    <w:rsid w:val="0032330A"/>
    <w:pPr>
      <w:suppressLineNumbers/>
    </w:pPr>
    <w:rPr>
      <w:rFonts w:cs="Arial"/>
    </w:rPr>
  </w:style>
  <w:style w:type="paragraph" w:customStyle="1" w:styleId="caption1">
    <w:name w:val="caption1"/>
    <w:basedOn w:val="a"/>
    <w:qFormat/>
    <w:pPr>
      <w:suppressLineNumbers/>
      <w:spacing w:before="120" w:after="120"/>
    </w:pPr>
    <w:rPr>
      <w:rFonts w:cs="Lucida Sans"/>
      <w:i/>
      <w:iCs/>
      <w:sz w:val="24"/>
      <w:szCs w:val="24"/>
    </w:rPr>
  </w:style>
  <w:style w:type="paragraph" w:customStyle="1" w:styleId="caption11">
    <w:name w:val="caption11"/>
    <w:basedOn w:val="a"/>
    <w:qFormat/>
    <w:pPr>
      <w:suppressLineNumbers/>
      <w:spacing w:before="120" w:after="120"/>
    </w:pPr>
    <w:rPr>
      <w:rFonts w:cs="Lucida Sans"/>
      <w:i/>
      <w:iCs/>
      <w:sz w:val="24"/>
      <w:szCs w:val="24"/>
    </w:rPr>
  </w:style>
  <w:style w:type="paragraph" w:customStyle="1" w:styleId="caption111">
    <w:name w:val="caption111"/>
    <w:basedOn w:val="a"/>
    <w:qFormat/>
    <w:pPr>
      <w:suppressLineNumbers/>
      <w:spacing w:before="120" w:after="120"/>
    </w:pPr>
    <w:rPr>
      <w:rFonts w:cs="Lucida Sans"/>
      <w:i/>
      <w:iCs/>
      <w:sz w:val="24"/>
      <w:szCs w:val="24"/>
    </w:rPr>
  </w:style>
  <w:style w:type="paragraph" w:customStyle="1" w:styleId="caption1111">
    <w:name w:val="caption1111"/>
    <w:basedOn w:val="a"/>
    <w:qFormat/>
    <w:pPr>
      <w:suppressLineNumbers/>
      <w:spacing w:before="120" w:after="120"/>
    </w:pPr>
    <w:rPr>
      <w:rFonts w:cs="Lucida Sans"/>
      <w:i/>
      <w:iCs/>
      <w:sz w:val="24"/>
      <w:szCs w:val="24"/>
    </w:rPr>
  </w:style>
  <w:style w:type="paragraph" w:customStyle="1" w:styleId="caption11111">
    <w:name w:val="caption11111"/>
    <w:basedOn w:val="a"/>
    <w:qFormat/>
    <w:pPr>
      <w:suppressLineNumbers/>
      <w:spacing w:before="120" w:after="120"/>
    </w:pPr>
    <w:rPr>
      <w:rFonts w:cs="Lucida Sans"/>
      <w:i/>
      <w:iCs/>
      <w:sz w:val="24"/>
      <w:szCs w:val="24"/>
    </w:rPr>
  </w:style>
  <w:style w:type="paragraph" w:customStyle="1" w:styleId="caption111111">
    <w:name w:val="caption111111"/>
    <w:basedOn w:val="a"/>
    <w:qFormat/>
    <w:pPr>
      <w:suppressLineNumbers/>
      <w:spacing w:before="120" w:after="120"/>
    </w:pPr>
    <w:rPr>
      <w:rFonts w:cs="Lucida Sans"/>
      <w:i/>
      <w:iCs/>
      <w:sz w:val="24"/>
      <w:szCs w:val="24"/>
    </w:rPr>
  </w:style>
  <w:style w:type="paragraph" w:customStyle="1" w:styleId="caption1111111">
    <w:name w:val="caption1111111"/>
    <w:basedOn w:val="a"/>
    <w:qFormat/>
    <w:pPr>
      <w:suppressLineNumbers/>
      <w:spacing w:before="120" w:after="120"/>
    </w:pPr>
    <w:rPr>
      <w:rFonts w:cs="Lucida Sans"/>
      <w:i/>
      <w:iCs/>
      <w:sz w:val="24"/>
      <w:szCs w:val="24"/>
    </w:rPr>
  </w:style>
  <w:style w:type="paragraph" w:customStyle="1" w:styleId="caption11111111">
    <w:name w:val="caption11111111"/>
    <w:basedOn w:val="a"/>
    <w:qFormat/>
    <w:rsid w:val="002A49F1"/>
    <w:pPr>
      <w:spacing w:before="120" w:after="120" w:line="240" w:lineRule="auto"/>
    </w:pPr>
    <w:rPr>
      <w:rFonts w:ascii="Times New Roman" w:eastAsia="Times New Roman" w:hAnsi="Times New Roman" w:cs="Times New Roman"/>
      <w:i/>
      <w:iCs/>
      <w:sz w:val="24"/>
      <w:szCs w:val="24"/>
      <w:lang w:val="ru-RU" w:eastAsia="zh-CN"/>
    </w:rPr>
  </w:style>
  <w:style w:type="paragraph" w:customStyle="1" w:styleId="caption111111111">
    <w:name w:val="caption111111111"/>
    <w:basedOn w:val="a"/>
    <w:qFormat/>
    <w:pPr>
      <w:suppressLineNumbers/>
      <w:spacing w:before="120" w:after="120"/>
    </w:pPr>
    <w:rPr>
      <w:rFonts w:cs="Lucida Sans"/>
      <w:i/>
      <w:iCs/>
      <w:sz w:val="24"/>
      <w:szCs w:val="24"/>
    </w:rPr>
  </w:style>
  <w:style w:type="paragraph" w:customStyle="1" w:styleId="caption1111111111">
    <w:name w:val="caption1111111111"/>
    <w:basedOn w:val="a"/>
    <w:qFormat/>
    <w:pPr>
      <w:suppressLineNumbers/>
      <w:spacing w:before="120" w:after="120"/>
    </w:pPr>
    <w:rPr>
      <w:rFonts w:cs="Lucida Sans"/>
      <w:i/>
      <w:iCs/>
      <w:sz w:val="24"/>
      <w:szCs w:val="24"/>
    </w:rPr>
  </w:style>
  <w:style w:type="paragraph" w:customStyle="1" w:styleId="caption11111111111">
    <w:name w:val="caption11111111111"/>
    <w:basedOn w:val="a"/>
    <w:qFormat/>
    <w:pPr>
      <w:suppressLineNumbers/>
      <w:spacing w:before="120" w:after="120"/>
    </w:pPr>
    <w:rPr>
      <w:rFonts w:cs="Lucida Sans"/>
      <w:i/>
      <w:iCs/>
      <w:sz w:val="24"/>
      <w:szCs w:val="24"/>
    </w:rPr>
  </w:style>
  <w:style w:type="paragraph" w:customStyle="1" w:styleId="caption111111111111">
    <w:name w:val="caption111111111111"/>
    <w:basedOn w:val="a"/>
    <w:qFormat/>
    <w:pPr>
      <w:suppressLineNumbers/>
      <w:spacing w:before="120" w:after="120"/>
    </w:pPr>
    <w:rPr>
      <w:rFonts w:cs="Lucida Sans"/>
      <w:i/>
      <w:iCs/>
      <w:sz w:val="24"/>
      <w:szCs w:val="24"/>
    </w:rPr>
  </w:style>
  <w:style w:type="paragraph" w:customStyle="1" w:styleId="caption1111111111111">
    <w:name w:val="caption1111111111111"/>
    <w:basedOn w:val="a"/>
    <w:qFormat/>
    <w:pPr>
      <w:suppressLineNumbers/>
      <w:spacing w:before="120" w:after="120"/>
    </w:pPr>
    <w:rPr>
      <w:rFonts w:cs="Lucida Sans"/>
      <w:i/>
      <w:iCs/>
      <w:sz w:val="24"/>
      <w:szCs w:val="24"/>
    </w:rPr>
  </w:style>
  <w:style w:type="paragraph" w:customStyle="1" w:styleId="caption11111111111111">
    <w:name w:val="caption11111111111111"/>
    <w:basedOn w:val="a"/>
    <w:qFormat/>
    <w:pPr>
      <w:suppressLineNumbers/>
      <w:spacing w:before="120" w:after="120"/>
    </w:pPr>
    <w:rPr>
      <w:rFonts w:cs="Lucida Sans"/>
      <w:i/>
      <w:iCs/>
      <w:sz w:val="24"/>
      <w:szCs w:val="24"/>
    </w:rPr>
  </w:style>
  <w:style w:type="paragraph" w:customStyle="1" w:styleId="caption111111111111111">
    <w:name w:val="caption111111111111111"/>
    <w:basedOn w:val="a"/>
    <w:qFormat/>
    <w:pPr>
      <w:suppressLineNumbers/>
      <w:spacing w:before="120" w:after="120"/>
    </w:pPr>
    <w:rPr>
      <w:rFonts w:cs="Lucida Sans"/>
      <w:i/>
      <w:iCs/>
      <w:sz w:val="24"/>
      <w:szCs w:val="24"/>
    </w:rPr>
  </w:style>
  <w:style w:type="paragraph" w:customStyle="1" w:styleId="caption1111111111111111">
    <w:name w:val="caption1111111111111111"/>
    <w:basedOn w:val="a"/>
    <w:qFormat/>
    <w:pPr>
      <w:suppressLineNumbers/>
      <w:spacing w:before="120" w:after="120"/>
    </w:pPr>
    <w:rPr>
      <w:rFonts w:cs="Lucida Sans"/>
      <w:i/>
      <w:iCs/>
      <w:sz w:val="24"/>
      <w:szCs w:val="24"/>
    </w:rPr>
  </w:style>
  <w:style w:type="paragraph" w:customStyle="1" w:styleId="caption11111111111111111">
    <w:name w:val="caption11111111111111111"/>
    <w:basedOn w:val="a"/>
    <w:qFormat/>
    <w:pPr>
      <w:suppressLineNumbers/>
      <w:spacing w:before="120" w:after="120"/>
    </w:pPr>
    <w:rPr>
      <w:rFonts w:cs="Lucida Sans"/>
      <w:i/>
      <w:iCs/>
      <w:sz w:val="24"/>
      <w:szCs w:val="24"/>
    </w:rPr>
  </w:style>
  <w:style w:type="paragraph" w:customStyle="1" w:styleId="caption111111111111111111">
    <w:name w:val="caption111111111111111111"/>
    <w:basedOn w:val="a"/>
    <w:qFormat/>
    <w:pPr>
      <w:suppressLineNumbers/>
      <w:spacing w:before="120" w:after="120"/>
    </w:pPr>
    <w:rPr>
      <w:rFonts w:cs="Lucida Sans"/>
      <w:i/>
      <w:iCs/>
      <w:sz w:val="24"/>
      <w:szCs w:val="24"/>
    </w:rPr>
  </w:style>
  <w:style w:type="paragraph" w:customStyle="1" w:styleId="caption1111111111111111111">
    <w:name w:val="caption1111111111111111111"/>
    <w:basedOn w:val="a"/>
    <w:qFormat/>
    <w:pPr>
      <w:suppressLineNumbers/>
      <w:spacing w:before="120" w:after="120"/>
    </w:pPr>
    <w:rPr>
      <w:rFonts w:cs="Lucida Sans"/>
      <w:i/>
      <w:iCs/>
      <w:sz w:val="24"/>
      <w:szCs w:val="24"/>
    </w:rPr>
  </w:style>
  <w:style w:type="paragraph" w:customStyle="1" w:styleId="caption11111111111111111111">
    <w:name w:val="caption11111111111111111111"/>
    <w:basedOn w:val="a"/>
    <w:qFormat/>
    <w:pPr>
      <w:suppressLineNumbers/>
      <w:spacing w:before="120" w:after="120"/>
    </w:pPr>
    <w:rPr>
      <w:rFonts w:cs="Lucida Sans"/>
      <w:i/>
      <w:iCs/>
      <w:sz w:val="24"/>
      <w:szCs w:val="24"/>
    </w:rPr>
  </w:style>
  <w:style w:type="paragraph" w:customStyle="1" w:styleId="caption111111111111111111111">
    <w:name w:val="caption111111111111111111111"/>
    <w:basedOn w:val="a"/>
    <w:qFormat/>
    <w:pPr>
      <w:suppressLineNumbers/>
      <w:spacing w:before="120" w:after="120"/>
    </w:pPr>
    <w:rPr>
      <w:rFonts w:cs="Lucida Sans"/>
      <w:i/>
      <w:iCs/>
      <w:sz w:val="24"/>
      <w:szCs w:val="24"/>
    </w:rPr>
  </w:style>
  <w:style w:type="paragraph" w:customStyle="1" w:styleId="caption1111111111111111111111">
    <w:name w:val="caption1111111111111111111111"/>
    <w:basedOn w:val="a"/>
    <w:qFormat/>
    <w:pPr>
      <w:suppressLineNumbers/>
      <w:spacing w:before="120" w:after="120"/>
    </w:pPr>
    <w:rPr>
      <w:rFonts w:cs="Lucida Sans"/>
      <w:i/>
      <w:iCs/>
      <w:sz w:val="24"/>
      <w:szCs w:val="24"/>
    </w:rPr>
  </w:style>
  <w:style w:type="paragraph" w:customStyle="1" w:styleId="caption11111111111111111111111">
    <w:name w:val="caption11111111111111111111111"/>
    <w:basedOn w:val="a"/>
    <w:qFormat/>
    <w:pPr>
      <w:suppressLineNumbers/>
      <w:spacing w:before="120" w:after="120"/>
    </w:pPr>
    <w:rPr>
      <w:rFonts w:cs="Lucida Sans"/>
      <w:i/>
      <w:iCs/>
      <w:sz w:val="24"/>
      <w:szCs w:val="24"/>
    </w:rPr>
  </w:style>
  <w:style w:type="paragraph" w:customStyle="1" w:styleId="caption111111111111111111111111">
    <w:name w:val="caption111111111111111111111111"/>
    <w:basedOn w:val="a"/>
    <w:qFormat/>
    <w:rsid w:val="000B1D29"/>
    <w:pPr>
      <w:suppressLineNumbers/>
      <w:spacing w:before="120" w:after="120"/>
    </w:pPr>
    <w:rPr>
      <w:rFonts w:cs="Lucida Sans"/>
      <w:i/>
      <w:iCs/>
      <w:sz w:val="24"/>
      <w:szCs w:val="24"/>
    </w:rPr>
  </w:style>
  <w:style w:type="paragraph" w:customStyle="1" w:styleId="caption1111111111111111111111111">
    <w:name w:val="caption1111111111111111111111111"/>
    <w:basedOn w:val="a"/>
    <w:qFormat/>
    <w:rsid w:val="000B1D29"/>
    <w:pPr>
      <w:suppressLineNumbers/>
      <w:spacing w:before="120" w:after="120"/>
    </w:pPr>
    <w:rPr>
      <w:rFonts w:cs="Lucida Sans"/>
      <w:i/>
      <w:iCs/>
      <w:sz w:val="24"/>
      <w:szCs w:val="24"/>
    </w:rPr>
  </w:style>
  <w:style w:type="paragraph" w:customStyle="1" w:styleId="caption11111111111111111111111111">
    <w:name w:val="caption11111111111111111111111111"/>
    <w:basedOn w:val="a"/>
    <w:qFormat/>
    <w:rsid w:val="0032330A"/>
    <w:pPr>
      <w:suppressLineNumbers/>
      <w:spacing w:before="120" w:after="120"/>
    </w:pPr>
    <w:rPr>
      <w:rFonts w:cs="Lucida Sans"/>
      <w:i/>
      <w:iCs/>
      <w:sz w:val="24"/>
      <w:szCs w:val="24"/>
    </w:rPr>
  </w:style>
  <w:style w:type="paragraph" w:customStyle="1" w:styleId="caption111111111111111111111111111">
    <w:name w:val="caption111111111111111111111111111"/>
    <w:basedOn w:val="a"/>
    <w:qFormat/>
    <w:rsid w:val="0032330A"/>
    <w:pPr>
      <w:suppressLineNumbers/>
      <w:spacing w:before="120" w:after="120"/>
    </w:pPr>
    <w:rPr>
      <w:rFonts w:cs="Lucida Sans"/>
      <w:i/>
      <w:iCs/>
      <w:sz w:val="24"/>
      <w:szCs w:val="24"/>
    </w:rPr>
  </w:style>
  <w:style w:type="paragraph" w:customStyle="1" w:styleId="caption1111111111111111111111111111">
    <w:name w:val="caption1111111111111111111111111111"/>
    <w:basedOn w:val="a"/>
    <w:qFormat/>
    <w:rsid w:val="0032330A"/>
    <w:pPr>
      <w:suppressLineNumbers/>
      <w:spacing w:before="120" w:after="120"/>
    </w:pPr>
    <w:rPr>
      <w:rFonts w:cs="Lucida Sans"/>
      <w:i/>
      <w:iCs/>
      <w:sz w:val="24"/>
      <w:szCs w:val="24"/>
    </w:rPr>
  </w:style>
  <w:style w:type="paragraph" w:customStyle="1" w:styleId="caption11111111111111111111111111111">
    <w:name w:val="caption11111111111111111111111111111"/>
    <w:basedOn w:val="a"/>
    <w:qFormat/>
    <w:rsid w:val="0032330A"/>
    <w:pPr>
      <w:suppressLineNumbers/>
      <w:spacing w:before="120" w:after="120"/>
    </w:pPr>
    <w:rPr>
      <w:rFonts w:cs="Lucida Sans"/>
      <w:i/>
      <w:iCs/>
      <w:sz w:val="24"/>
      <w:szCs w:val="24"/>
    </w:rPr>
  </w:style>
  <w:style w:type="paragraph" w:customStyle="1" w:styleId="caption111111111111111111111111111111">
    <w:name w:val="caption111111111111111111111111111111"/>
    <w:basedOn w:val="a"/>
    <w:qFormat/>
    <w:rsid w:val="0032330A"/>
    <w:pPr>
      <w:suppressLineNumbers/>
      <w:spacing w:before="120" w:after="120"/>
    </w:pPr>
    <w:rPr>
      <w:rFonts w:cs="Lucida Sans"/>
      <w:i/>
      <w:iCs/>
      <w:sz w:val="24"/>
      <w:szCs w:val="24"/>
    </w:rPr>
  </w:style>
  <w:style w:type="paragraph" w:customStyle="1" w:styleId="caption1111111111111111111111111111111">
    <w:name w:val="caption1111111111111111111111111111111"/>
    <w:basedOn w:val="a"/>
    <w:qFormat/>
    <w:rsid w:val="0032330A"/>
    <w:pPr>
      <w:suppressLineNumbers/>
      <w:spacing w:before="120" w:after="120"/>
    </w:pPr>
    <w:rPr>
      <w:rFonts w:cs="Lucida Sans"/>
      <w:i/>
      <w:iCs/>
      <w:sz w:val="24"/>
      <w:szCs w:val="24"/>
    </w:rPr>
  </w:style>
  <w:style w:type="paragraph" w:customStyle="1" w:styleId="caption11111111111111111111111111111111">
    <w:name w:val="caption11111111111111111111111111111111"/>
    <w:basedOn w:val="a"/>
    <w:qFormat/>
    <w:rsid w:val="0032330A"/>
    <w:pPr>
      <w:suppressLineNumbers/>
      <w:spacing w:before="120" w:after="120"/>
    </w:pPr>
    <w:rPr>
      <w:rFonts w:cs="Lucida Sans"/>
      <w:i/>
      <w:iCs/>
      <w:sz w:val="24"/>
      <w:szCs w:val="24"/>
    </w:rPr>
  </w:style>
  <w:style w:type="paragraph" w:customStyle="1" w:styleId="caption111111111111111111111111111111111">
    <w:name w:val="caption111111111111111111111111111111111"/>
    <w:basedOn w:val="a"/>
    <w:qFormat/>
    <w:rsid w:val="0032330A"/>
    <w:pPr>
      <w:suppressLineNumbers/>
      <w:spacing w:before="120" w:after="120"/>
    </w:pPr>
    <w:rPr>
      <w:rFonts w:cs="Lucida Sans"/>
      <w:i/>
      <w:iCs/>
      <w:sz w:val="24"/>
      <w:szCs w:val="24"/>
    </w:rPr>
  </w:style>
  <w:style w:type="paragraph" w:customStyle="1" w:styleId="caption1111111111111111111111111111111111">
    <w:name w:val="caption1111111111111111111111111111111111"/>
    <w:basedOn w:val="a"/>
    <w:qFormat/>
    <w:rsid w:val="0032330A"/>
    <w:pPr>
      <w:suppressLineNumbers/>
      <w:spacing w:before="120" w:after="120"/>
    </w:pPr>
    <w:rPr>
      <w:rFonts w:cs="Lucida Sans"/>
      <w:i/>
      <w:iCs/>
      <w:sz w:val="24"/>
      <w:szCs w:val="24"/>
    </w:rPr>
  </w:style>
  <w:style w:type="paragraph" w:customStyle="1" w:styleId="caption11111111111111111111111111111111111">
    <w:name w:val="caption11111111111111111111111111111111111"/>
    <w:basedOn w:val="a"/>
    <w:qFormat/>
    <w:rsid w:val="0032330A"/>
    <w:pPr>
      <w:suppressLineNumbers/>
      <w:spacing w:before="120" w:after="120"/>
    </w:pPr>
    <w:rPr>
      <w:rFonts w:cs="Arial"/>
      <w:i/>
      <w:iCs/>
      <w:sz w:val="24"/>
      <w:szCs w:val="24"/>
    </w:rPr>
  </w:style>
  <w:style w:type="paragraph" w:customStyle="1" w:styleId="1d">
    <w:name w:val="Абзац списка1"/>
    <w:basedOn w:val="a"/>
    <w:qFormat/>
    <w:rsid w:val="002A49F1"/>
    <w:pPr>
      <w:ind w:left="720"/>
    </w:pPr>
    <w:rPr>
      <w:rFonts w:eastAsia="Times New Roman" w:cs="Calibri"/>
      <w:lang w:eastAsia="zh-CN"/>
    </w:rPr>
  </w:style>
  <w:style w:type="paragraph" w:customStyle="1" w:styleId="af9">
    <w:name w:val="Вміст таблиці"/>
    <w:basedOn w:val="a"/>
    <w:qFormat/>
    <w:rsid w:val="0032330A"/>
    <w:pPr>
      <w:widowControl w:val="0"/>
      <w:suppressLineNumbers/>
    </w:pPr>
  </w:style>
  <w:style w:type="paragraph" w:customStyle="1" w:styleId="afa">
    <w:name w:val="Заголовок таблиці"/>
    <w:basedOn w:val="af9"/>
    <w:qFormat/>
    <w:rsid w:val="0032330A"/>
    <w:pPr>
      <w:jc w:val="center"/>
    </w:pPr>
    <w:rPr>
      <w:b/>
      <w:bCs/>
    </w:rPr>
  </w:style>
  <w:style w:type="paragraph" w:customStyle="1" w:styleId="afb">
    <w:name w:val="Вміст рамки"/>
    <w:basedOn w:val="a"/>
    <w:qFormat/>
    <w:rsid w:val="0032330A"/>
  </w:style>
  <w:style w:type="paragraph" w:customStyle="1" w:styleId="afc">
    <w:name w:val="Верхній і нижній колонтитули"/>
    <w:basedOn w:val="a"/>
    <w:qFormat/>
    <w:rsid w:val="0032330A"/>
    <w:pPr>
      <w:suppressLineNumbers/>
      <w:tabs>
        <w:tab w:val="center" w:pos="4819"/>
        <w:tab w:val="right" w:pos="9638"/>
      </w:tabs>
    </w:pPr>
  </w:style>
  <w:style w:type="paragraph" w:styleId="af0">
    <w:name w:val="footer"/>
    <w:basedOn w:val="afc"/>
    <w:link w:val="af"/>
    <w:rsid w:val="0032330A"/>
  </w:style>
  <w:style w:type="paragraph" w:customStyle="1" w:styleId="310">
    <w:name w:val="Основной текст с отступом 31"/>
    <w:basedOn w:val="a"/>
    <w:qFormat/>
    <w:rsid w:val="002A49F1"/>
    <w:pPr>
      <w:spacing w:after="0" w:line="240" w:lineRule="auto"/>
      <w:ind w:left="540"/>
      <w:jc w:val="both"/>
    </w:pPr>
    <w:rPr>
      <w:rFonts w:ascii="Times New Roman" w:eastAsia="Times New Roman" w:hAnsi="Times New Roman" w:cs="Times New Roman"/>
      <w:lang w:eastAsia="zh-CN"/>
    </w:rPr>
  </w:style>
  <w:style w:type="paragraph" w:customStyle="1" w:styleId="LO-normal">
    <w:name w:val="LO-normal"/>
    <w:qFormat/>
    <w:rsid w:val="0032330A"/>
    <w:pPr>
      <w:widowControl w:val="0"/>
    </w:pPr>
    <w:rPr>
      <w:rFonts w:ascii="Times New Roman" w:eastAsia="Times New Roman" w:hAnsi="Times New Roman" w:cs="Times New Roman"/>
      <w:sz w:val="24"/>
      <w:szCs w:val="24"/>
      <w:lang w:eastAsia="zh-CN"/>
    </w:rPr>
  </w:style>
  <w:style w:type="paragraph" w:customStyle="1" w:styleId="1e">
    <w:name w:val="Без интервала1"/>
    <w:qFormat/>
    <w:rsid w:val="002A49F1"/>
    <w:rPr>
      <w:rFonts w:cs="Calibri"/>
      <w:lang w:val="ru-RU" w:eastAsia="zh-CN"/>
    </w:rPr>
  </w:style>
  <w:style w:type="paragraph" w:customStyle="1" w:styleId="Standard">
    <w:name w:val="Standard"/>
    <w:qFormat/>
    <w:rsid w:val="0032330A"/>
    <w:pPr>
      <w:widowControl w:val="0"/>
      <w:textAlignment w:val="baseline"/>
    </w:pPr>
    <w:rPr>
      <w:rFonts w:ascii="Times New Roman" w:eastAsia="Andale Sans UI" w:hAnsi="Times New Roman"/>
      <w:kern w:val="2"/>
      <w:sz w:val="24"/>
      <w:szCs w:val="24"/>
      <w:lang w:eastAsia="zh-CN"/>
    </w:rPr>
  </w:style>
  <w:style w:type="paragraph" w:styleId="afd">
    <w:name w:val="Body Text Indent"/>
    <w:basedOn w:val="a"/>
    <w:rsid w:val="0032330A"/>
    <w:pPr>
      <w:spacing w:after="120"/>
      <w:ind w:left="283"/>
    </w:pPr>
  </w:style>
  <w:style w:type="paragraph" w:customStyle="1" w:styleId="1f">
    <w:name w:val="Текст выноски1"/>
    <w:basedOn w:val="a"/>
    <w:qFormat/>
    <w:rsid w:val="002A49F1"/>
    <w:pPr>
      <w:spacing w:after="0" w:line="240" w:lineRule="exact"/>
    </w:pPr>
    <w:rPr>
      <w:rFonts w:ascii="Tahoma" w:eastAsia="Times New Roman" w:hAnsi="Tahoma"/>
      <w:sz w:val="16"/>
      <w:szCs w:val="16"/>
      <w:lang w:val="ru-RU" w:eastAsia="zh-CN"/>
    </w:rPr>
  </w:style>
  <w:style w:type="paragraph" w:customStyle="1" w:styleId="14">
    <w:name w:val="Текст примечания1"/>
    <w:basedOn w:val="a"/>
    <w:link w:val="ab"/>
    <w:qFormat/>
    <w:rsid w:val="002A49F1"/>
    <w:pPr>
      <w:widowControl w:val="0"/>
      <w:spacing w:before="240" w:after="240" w:line="360" w:lineRule="auto"/>
      <w:jc w:val="both"/>
      <w:textAlignment w:val="baseline"/>
    </w:pPr>
    <w:rPr>
      <w:rFonts w:ascii="Arial" w:eastAsia="Times New Roman" w:hAnsi="Arial" w:cs="Arial"/>
      <w:szCs w:val="20"/>
      <w:lang w:val="es-ES" w:eastAsia="zh-CN"/>
    </w:rPr>
  </w:style>
  <w:style w:type="paragraph" w:customStyle="1" w:styleId="15">
    <w:name w:val="Тема примечания1"/>
    <w:next w:val="14"/>
    <w:link w:val="ac"/>
    <w:qFormat/>
    <w:rsid w:val="002A49F1"/>
    <w:pPr>
      <w:widowControl w:val="0"/>
      <w:spacing w:line="240" w:lineRule="exact"/>
    </w:pPr>
    <w:rPr>
      <w:rFonts w:ascii="Liberation Serif" w:eastAsia="NSimSun" w:hAnsi="Liberation Serif" w:cs="Arial"/>
      <w:b/>
      <w:bCs/>
      <w:sz w:val="20"/>
      <w:szCs w:val="20"/>
      <w:lang w:eastAsia="zh-CN" w:bidi="hi-IN"/>
    </w:rPr>
  </w:style>
  <w:style w:type="paragraph" w:customStyle="1" w:styleId="afe">
    <w:name w:val="Фігура"/>
    <w:basedOn w:val="caption11111111111111111111111111111111111"/>
    <w:qFormat/>
    <w:rsid w:val="0032330A"/>
  </w:style>
  <w:style w:type="paragraph" w:customStyle="1" w:styleId="TableParagraph">
    <w:name w:val="Table Paragraph"/>
    <w:basedOn w:val="a"/>
    <w:qFormat/>
    <w:rsid w:val="0032330A"/>
    <w:rPr>
      <w:rFonts w:ascii="Microsoft Sans Serif" w:eastAsia="Microsoft Sans Serif" w:hAnsi="Microsoft Sans Serif" w:cs="Microsoft Sans Serif"/>
    </w:rPr>
  </w:style>
  <w:style w:type="paragraph" w:customStyle="1" w:styleId="1f0">
    <w:name w:val="Абзац списку1"/>
    <w:basedOn w:val="a"/>
    <w:qFormat/>
    <w:rsid w:val="0032330A"/>
    <w:pPr>
      <w:ind w:left="708"/>
    </w:pPr>
  </w:style>
  <w:style w:type="paragraph" w:styleId="ae">
    <w:name w:val="header"/>
    <w:basedOn w:val="afc"/>
    <w:link w:val="ad"/>
    <w:rsid w:val="00280DAA"/>
    <w:pPr>
      <w:tabs>
        <w:tab w:val="clear" w:pos="4819"/>
        <w:tab w:val="clear" w:pos="9638"/>
        <w:tab w:val="center" w:pos="4677"/>
        <w:tab w:val="right" w:pos="9355"/>
      </w:tabs>
      <w:spacing w:after="0" w:line="240" w:lineRule="auto"/>
    </w:pPr>
    <w:rPr>
      <w:rFonts w:ascii="Liberation Serif" w:eastAsia="NSimSun" w:hAnsi="Liberation Serif" w:cs="Arial"/>
      <w:kern w:val="2"/>
      <w:sz w:val="24"/>
      <w:szCs w:val="24"/>
      <w:lang w:eastAsia="zh-CN" w:bidi="hi-IN"/>
    </w:rPr>
  </w:style>
  <w:style w:type="paragraph" w:customStyle="1" w:styleId="aff">
    <w:name w:val="Верхній колонтитул ліворуч"/>
    <w:basedOn w:val="ae"/>
    <w:qFormat/>
    <w:rsid w:val="00280DAA"/>
  </w:style>
  <w:style w:type="paragraph" w:customStyle="1" w:styleId="xfmc1">
    <w:name w:val="xfmc1"/>
    <w:basedOn w:val="a"/>
    <w:qFormat/>
    <w:rsid w:val="00280DAA"/>
    <w:pPr>
      <w:spacing w:beforeAutospacing="1" w:afterAutospacing="1" w:line="240" w:lineRule="auto"/>
    </w:pPr>
    <w:rPr>
      <w:rFonts w:ascii="Times New Roman" w:eastAsia="Times New Roman" w:hAnsi="Times New Roman" w:cs="Times New Roman"/>
      <w:kern w:val="2"/>
      <w:sz w:val="24"/>
      <w:szCs w:val="24"/>
      <w:lang w:val="ru-RU" w:eastAsia="ru-RU" w:bidi="hi-IN"/>
    </w:rPr>
  </w:style>
  <w:style w:type="paragraph" w:customStyle="1" w:styleId="1f1">
    <w:name w:val="Обычная таблица1"/>
    <w:qFormat/>
    <w:rsid w:val="0032330A"/>
    <w:rPr>
      <w:rFonts w:eastAsia="Cambria" w:cs="Calibri"/>
      <w:sz w:val="20"/>
      <w:lang w:val="ru-RU"/>
    </w:rPr>
  </w:style>
  <w:style w:type="paragraph" w:customStyle="1" w:styleId="2007">
    <w:name w:val="2007"/>
    <w:basedOn w:val="caption1111111111111111111111111"/>
    <w:qFormat/>
    <w:rsid w:val="000B1D29"/>
  </w:style>
  <w:style w:type="paragraph" w:customStyle="1" w:styleId="2020">
    <w:name w:val="2020"/>
    <w:basedOn w:val="caption1111111111111111111111111"/>
    <w:qFormat/>
    <w:rsid w:val="000B1D29"/>
  </w:style>
  <w:style w:type="paragraph" w:styleId="aff0">
    <w:name w:val="Normal (Web)"/>
    <w:basedOn w:val="a"/>
    <w:unhideWhenUsed/>
    <w:qFormat/>
    <w:rsid w:val="00D74EA7"/>
    <w:pPr>
      <w:spacing w:after="0" w:line="240" w:lineRule="auto"/>
    </w:pPr>
    <w:rPr>
      <w:rFonts w:ascii="Times New Roman" w:eastAsia="NSimSun" w:hAnsi="Times New Roman" w:cs="Mangal"/>
      <w:kern w:val="2"/>
      <w:sz w:val="24"/>
      <w:szCs w:val="21"/>
      <w:lang w:eastAsia="zh-CN" w:bidi="hi-IN"/>
    </w:rPr>
  </w:style>
  <w:style w:type="paragraph" w:customStyle="1" w:styleId="Default">
    <w:name w:val="Default"/>
    <w:qFormat/>
    <w:rsid w:val="00D74EA7"/>
    <w:pPr>
      <w:suppressAutoHyphens w:val="0"/>
    </w:pPr>
    <w:rPr>
      <w:rFonts w:ascii="Times New Roman" w:eastAsia="NSimSun" w:hAnsi="Times New Roman" w:cs="Times New Roman"/>
      <w:color w:val="000000"/>
      <w:sz w:val="24"/>
      <w:szCs w:val="24"/>
      <w:lang w:eastAsia="zh-CN"/>
    </w:rPr>
  </w:style>
  <w:style w:type="paragraph" w:customStyle="1" w:styleId="26">
    <w:name w:val="Обычная таблица2"/>
    <w:qFormat/>
    <w:pPr>
      <w:textAlignment w:val="baseline"/>
    </w:pPr>
    <w:rPr>
      <w:rFonts w:ascii="Liberation Serif" w:eastAsia="SimSun" w:hAnsi="Liberation Serif" w:cs="Mangal"/>
      <w:kern w:val="2"/>
      <w:sz w:val="24"/>
      <w:szCs w:val="24"/>
      <w:lang w:val="en-US" w:eastAsia="zh-CN" w:bidi="hi-IN"/>
    </w:rPr>
  </w:style>
  <w:style w:type="paragraph" w:customStyle="1" w:styleId="210">
    <w:name w:val="Основной текст 21"/>
    <w:basedOn w:val="a"/>
    <w:qFormat/>
    <w:rsid w:val="002A49F1"/>
    <w:pPr>
      <w:spacing w:after="0" w:line="240" w:lineRule="auto"/>
      <w:jc w:val="center"/>
    </w:pPr>
    <w:rPr>
      <w:rFonts w:ascii="Times New Roman" w:eastAsia="Times New Roman" w:hAnsi="Times New Roman" w:cs="Times New Roman"/>
      <w:b/>
      <w:sz w:val="28"/>
      <w:szCs w:val="28"/>
      <w:lang w:eastAsia="zh-CN"/>
    </w:rPr>
  </w:style>
  <w:style w:type="paragraph" w:customStyle="1" w:styleId="StyleProp">
    <w:name w:val="StyleProp"/>
    <w:basedOn w:val="a"/>
    <w:qFormat/>
    <w:rsid w:val="002A49F1"/>
    <w:pPr>
      <w:spacing w:after="0" w:line="200" w:lineRule="exact"/>
      <w:ind w:firstLine="227"/>
      <w:jc w:val="both"/>
    </w:pPr>
    <w:rPr>
      <w:rFonts w:ascii="Times New Roman" w:eastAsia="Times New Roman" w:hAnsi="Times New Roman" w:cs="Times New Roman"/>
      <w:sz w:val="18"/>
      <w:szCs w:val="20"/>
      <w:lang w:eastAsia="zh-CN"/>
    </w:rPr>
  </w:style>
  <w:style w:type="paragraph" w:customStyle="1" w:styleId="ms-rtethemefontface-1">
    <w:name w:val="ms-rtethemefontface-1"/>
    <w:basedOn w:val="a"/>
    <w:qFormat/>
    <w:rsid w:val="002A49F1"/>
    <w:pPr>
      <w:spacing w:before="280" w:after="280" w:line="240" w:lineRule="auto"/>
    </w:pPr>
    <w:rPr>
      <w:rFonts w:ascii="Times New Roman" w:eastAsia="Times New Roman" w:hAnsi="Times New Roman" w:cs="Times New Roman"/>
      <w:sz w:val="24"/>
      <w:szCs w:val="24"/>
      <w:lang w:val="ru-RU" w:eastAsia="zh-CN"/>
    </w:rPr>
  </w:style>
  <w:style w:type="paragraph" w:styleId="af4">
    <w:name w:val="footnote text"/>
    <w:basedOn w:val="a"/>
    <w:link w:val="19"/>
    <w:rsid w:val="002A49F1"/>
    <w:pPr>
      <w:spacing w:after="0" w:line="240" w:lineRule="auto"/>
    </w:pPr>
    <w:rPr>
      <w:rFonts w:cs="Times New Roman"/>
      <w:sz w:val="20"/>
      <w:szCs w:val="20"/>
      <w:lang w:eastAsia="zh-CN"/>
    </w:rPr>
  </w:style>
  <w:style w:type="paragraph" w:customStyle="1" w:styleId="indexheading1">
    <w:name w:val="index heading1"/>
    <w:basedOn w:val="a0"/>
    <w:qFormat/>
  </w:style>
  <w:style w:type="paragraph" w:customStyle="1" w:styleId="indexheading2">
    <w:name w:val="index heading2"/>
    <w:basedOn w:val="a0"/>
    <w:qFormat/>
  </w:style>
  <w:style w:type="paragraph" w:customStyle="1" w:styleId="indexheading3">
    <w:name w:val="index heading3"/>
    <w:basedOn w:val="a0"/>
    <w:qFormat/>
  </w:style>
  <w:style w:type="paragraph" w:customStyle="1" w:styleId="indexheading4">
    <w:name w:val="index heading4"/>
    <w:basedOn w:val="a0"/>
    <w:qFormat/>
  </w:style>
  <w:style w:type="paragraph" w:customStyle="1" w:styleId="indexheading5">
    <w:name w:val="index heading5"/>
    <w:basedOn w:val="a0"/>
    <w:qFormat/>
  </w:style>
  <w:style w:type="paragraph" w:customStyle="1" w:styleId="indexheading6">
    <w:name w:val="index heading6"/>
    <w:basedOn w:val="a0"/>
    <w:qFormat/>
  </w:style>
  <w:style w:type="paragraph" w:customStyle="1" w:styleId="indexheading7">
    <w:name w:val="index heading7"/>
    <w:basedOn w:val="a0"/>
    <w:qFormat/>
  </w:style>
  <w:style w:type="paragraph" w:styleId="aff1">
    <w:name w:val="index heading"/>
    <w:basedOn w:val="a0"/>
  </w:style>
  <w:style w:type="paragraph" w:styleId="aff2">
    <w:name w:val="TOC Heading"/>
    <w:basedOn w:val="1"/>
    <w:next w:val="a"/>
    <w:qFormat/>
    <w:rsid w:val="002A49F1"/>
    <w:pPr>
      <w:outlineLvl w:val="9"/>
    </w:pPr>
    <w:rPr>
      <w:rFonts w:eastAsia="Times New Roman" w:cs="Times New Roman"/>
      <w:lang w:val="ru-RU" w:eastAsia="zh-CN"/>
    </w:rPr>
  </w:style>
  <w:style w:type="paragraph" w:styleId="32">
    <w:name w:val="toc 3"/>
    <w:basedOn w:val="a"/>
    <w:next w:val="a"/>
    <w:rsid w:val="002A49F1"/>
    <w:pPr>
      <w:spacing w:after="100"/>
      <w:ind w:left="440"/>
    </w:pPr>
    <w:rPr>
      <w:rFonts w:cs="Times New Roman"/>
      <w:lang w:val="ru-RU" w:eastAsia="zh-CN"/>
    </w:rPr>
  </w:style>
  <w:style w:type="paragraph" w:styleId="1f2">
    <w:name w:val="toc 1"/>
    <w:basedOn w:val="a"/>
    <w:next w:val="a"/>
    <w:rsid w:val="002A49F1"/>
    <w:pPr>
      <w:spacing w:after="100"/>
    </w:pPr>
    <w:rPr>
      <w:rFonts w:cs="Times New Roman"/>
      <w:lang w:val="ru-RU" w:eastAsia="zh-CN"/>
    </w:rPr>
  </w:style>
  <w:style w:type="paragraph" w:styleId="27">
    <w:name w:val="toc 2"/>
    <w:basedOn w:val="a"/>
    <w:next w:val="a"/>
    <w:rsid w:val="002A49F1"/>
    <w:pPr>
      <w:spacing w:after="100"/>
      <w:ind w:left="220"/>
    </w:pPr>
    <w:rPr>
      <w:rFonts w:cs="Times New Roman"/>
      <w:lang w:val="ru-RU" w:eastAsia="zh-CN"/>
    </w:rPr>
  </w:style>
  <w:style w:type="paragraph" w:customStyle="1" w:styleId="tj">
    <w:name w:val="tj"/>
    <w:basedOn w:val="a"/>
    <w:qFormat/>
    <w:rsid w:val="002A49F1"/>
    <w:pPr>
      <w:spacing w:before="280" w:after="280" w:line="240" w:lineRule="auto"/>
    </w:pPr>
    <w:rPr>
      <w:rFonts w:ascii="Times New Roman" w:eastAsia="Times New Roman" w:hAnsi="Times New Roman" w:cs="Times New Roman"/>
      <w:sz w:val="24"/>
      <w:szCs w:val="24"/>
      <w:lang w:val="en-US" w:eastAsia="zh-CN"/>
    </w:rPr>
  </w:style>
  <w:style w:type="paragraph" w:customStyle="1" w:styleId="1f3">
    <w:name w:val="Название объекта1"/>
    <w:basedOn w:val="a"/>
    <w:next w:val="a"/>
    <w:qFormat/>
    <w:rsid w:val="002A49F1"/>
    <w:pPr>
      <w:spacing w:line="240" w:lineRule="auto"/>
    </w:pPr>
    <w:rPr>
      <w:rFonts w:cs="Times New Roman"/>
      <w:b/>
      <w:bCs/>
      <w:color w:val="4F81BD"/>
      <w:sz w:val="18"/>
      <w:szCs w:val="18"/>
      <w:lang w:val="ru-RU" w:eastAsia="zh-CN"/>
    </w:rPr>
  </w:style>
  <w:style w:type="paragraph" w:customStyle="1" w:styleId="aff3">
    <w:name w:val="Абзац списку"/>
    <w:basedOn w:val="a"/>
    <w:qFormat/>
    <w:rsid w:val="002A49F1"/>
    <w:pPr>
      <w:spacing w:after="0" w:line="240" w:lineRule="auto"/>
      <w:ind w:left="708"/>
    </w:pPr>
    <w:rPr>
      <w:rFonts w:ascii="Times New Roman" w:eastAsia="Times New Roman" w:hAnsi="Times New Roman" w:cs="Times New Roman"/>
      <w:sz w:val="24"/>
      <w:szCs w:val="24"/>
      <w:lang w:val="ru-RU" w:eastAsia="zh-CN"/>
    </w:rPr>
  </w:style>
  <w:style w:type="paragraph" w:customStyle="1" w:styleId="21">
    <w:name w:val="Текст выноски2"/>
    <w:basedOn w:val="a"/>
    <w:link w:val="1a"/>
    <w:qFormat/>
    <w:rsid w:val="00CE08A8"/>
    <w:pPr>
      <w:spacing w:after="0" w:line="240" w:lineRule="exact"/>
    </w:pPr>
    <w:rPr>
      <w:rFonts w:ascii="Tahoma" w:eastAsia="Times New Roman" w:hAnsi="Tahoma"/>
      <w:sz w:val="16"/>
      <w:szCs w:val="16"/>
      <w:lang w:val="ru-RU" w:eastAsia="zh-CN"/>
    </w:rPr>
  </w:style>
  <w:style w:type="paragraph" w:customStyle="1" w:styleId="28">
    <w:name w:val="Абзац списка2"/>
    <w:basedOn w:val="a"/>
    <w:qFormat/>
    <w:rsid w:val="00CE08A8"/>
    <w:pPr>
      <w:spacing w:after="0" w:line="240" w:lineRule="auto"/>
      <w:ind w:left="720"/>
      <w:contextualSpacing/>
    </w:pPr>
    <w:rPr>
      <w:rFonts w:ascii="Times New Roman" w:eastAsia="Times New Roman" w:hAnsi="Times New Roman" w:cs="Times New Roman"/>
      <w:sz w:val="24"/>
      <w:szCs w:val="24"/>
      <w:lang w:val="ru-RU" w:eastAsia="zh-CN"/>
    </w:rPr>
  </w:style>
  <w:style w:type="paragraph" w:customStyle="1" w:styleId="51">
    <w:name w:val="Название объекта5"/>
    <w:basedOn w:val="a"/>
    <w:qFormat/>
    <w:rsid w:val="00CE08A8"/>
    <w:pPr>
      <w:suppressLineNumbers/>
      <w:spacing w:before="120" w:after="120" w:line="240" w:lineRule="auto"/>
    </w:pPr>
    <w:rPr>
      <w:rFonts w:ascii="Times New Roman" w:eastAsia="Times New Roman" w:hAnsi="Times New Roman" w:cs="Lucida Sans"/>
      <w:i/>
      <w:iCs/>
      <w:sz w:val="24"/>
      <w:szCs w:val="24"/>
      <w:lang w:val="ru-RU" w:eastAsia="zh-CN"/>
    </w:rPr>
  </w:style>
  <w:style w:type="paragraph" w:customStyle="1" w:styleId="Caption12">
    <w:name w:val="Caption12"/>
    <w:basedOn w:val="a"/>
    <w:qFormat/>
    <w:rsid w:val="00CE08A8"/>
    <w:pPr>
      <w:suppressLineNumbers/>
      <w:spacing w:before="120" w:after="120" w:line="240" w:lineRule="auto"/>
    </w:pPr>
    <w:rPr>
      <w:rFonts w:ascii="Times New Roman" w:eastAsia="Times New Roman" w:hAnsi="Times New Roman" w:cs="Lucida Sans"/>
      <w:i/>
      <w:iCs/>
      <w:sz w:val="24"/>
      <w:szCs w:val="24"/>
      <w:lang w:val="ru-RU" w:eastAsia="zh-CN"/>
    </w:rPr>
  </w:style>
  <w:style w:type="paragraph" w:customStyle="1" w:styleId="Caption112">
    <w:name w:val="Caption112"/>
    <w:basedOn w:val="a"/>
    <w:qFormat/>
    <w:rsid w:val="00CE08A8"/>
    <w:pPr>
      <w:suppressLineNumbers/>
      <w:spacing w:before="120" w:after="120" w:line="240" w:lineRule="auto"/>
    </w:pPr>
    <w:rPr>
      <w:rFonts w:ascii="Times New Roman" w:eastAsia="Times New Roman" w:hAnsi="Times New Roman" w:cs="Lucida Sans"/>
      <w:i/>
      <w:iCs/>
      <w:sz w:val="24"/>
      <w:szCs w:val="24"/>
      <w:lang w:val="ru-RU" w:eastAsia="zh-CN"/>
    </w:rPr>
  </w:style>
  <w:style w:type="paragraph" w:customStyle="1" w:styleId="41">
    <w:name w:val="Название объекта4"/>
    <w:basedOn w:val="a"/>
    <w:qFormat/>
    <w:rsid w:val="00CE08A8"/>
    <w:pPr>
      <w:suppressLineNumbers/>
      <w:spacing w:before="120" w:after="120" w:line="240" w:lineRule="auto"/>
    </w:pPr>
    <w:rPr>
      <w:rFonts w:ascii="Times New Roman" w:eastAsia="Times New Roman" w:hAnsi="Times New Roman" w:cs="Lucida Sans"/>
      <w:i/>
      <w:iCs/>
      <w:sz w:val="24"/>
      <w:szCs w:val="24"/>
      <w:lang w:val="ru-RU" w:eastAsia="zh-CN"/>
    </w:rPr>
  </w:style>
  <w:style w:type="paragraph" w:customStyle="1" w:styleId="Caption1112">
    <w:name w:val="Caption1112"/>
    <w:basedOn w:val="a"/>
    <w:qFormat/>
    <w:rsid w:val="00CE08A8"/>
    <w:pPr>
      <w:suppressLineNumbers/>
      <w:spacing w:before="120" w:after="120" w:line="240" w:lineRule="auto"/>
    </w:pPr>
    <w:rPr>
      <w:rFonts w:ascii="Times New Roman" w:eastAsia="Times New Roman" w:hAnsi="Times New Roman" w:cs="Lucida Sans"/>
      <w:i/>
      <w:iCs/>
      <w:sz w:val="24"/>
      <w:szCs w:val="24"/>
      <w:lang w:val="ru-RU" w:eastAsia="zh-CN"/>
    </w:rPr>
  </w:style>
  <w:style w:type="paragraph" w:customStyle="1" w:styleId="Caption11112">
    <w:name w:val="Caption11112"/>
    <w:basedOn w:val="a"/>
    <w:qFormat/>
    <w:rsid w:val="00CE08A8"/>
    <w:pPr>
      <w:suppressLineNumbers/>
      <w:spacing w:before="120" w:after="120" w:line="240" w:lineRule="auto"/>
    </w:pPr>
    <w:rPr>
      <w:rFonts w:ascii="Times New Roman" w:eastAsia="Times New Roman" w:hAnsi="Times New Roman" w:cs="Lucida Sans"/>
      <w:i/>
      <w:iCs/>
      <w:sz w:val="24"/>
      <w:szCs w:val="24"/>
      <w:lang w:val="ru-RU" w:eastAsia="zh-CN"/>
    </w:rPr>
  </w:style>
  <w:style w:type="paragraph" w:customStyle="1" w:styleId="Caption111112">
    <w:name w:val="Caption111112"/>
    <w:basedOn w:val="a"/>
    <w:qFormat/>
    <w:rsid w:val="00CE08A8"/>
    <w:pPr>
      <w:suppressLineNumbers/>
      <w:spacing w:before="120" w:after="120" w:line="240" w:lineRule="auto"/>
    </w:pPr>
    <w:rPr>
      <w:rFonts w:ascii="Times New Roman" w:eastAsia="Times New Roman" w:hAnsi="Times New Roman" w:cs="Lucida Sans"/>
      <w:i/>
      <w:iCs/>
      <w:sz w:val="24"/>
      <w:szCs w:val="24"/>
      <w:lang w:val="ru-RU" w:eastAsia="zh-CN"/>
    </w:rPr>
  </w:style>
  <w:style w:type="paragraph" w:customStyle="1" w:styleId="Caption1111112">
    <w:name w:val="Caption1111112"/>
    <w:basedOn w:val="a"/>
    <w:qFormat/>
    <w:rsid w:val="00CE08A8"/>
    <w:pPr>
      <w:suppressLineNumbers/>
      <w:spacing w:before="120" w:after="120" w:line="240" w:lineRule="auto"/>
    </w:pPr>
    <w:rPr>
      <w:rFonts w:ascii="Times New Roman" w:eastAsia="Times New Roman" w:hAnsi="Times New Roman" w:cs="Lucida Sans"/>
      <w:i/>
      <w:iCs/>
      <w:sz w:val="24"/>
      <w:szCs w:val="24"/>
      <w:lang w:val="ru-RU" w:eastAsia="zh-CN"/>
    </w:rPr>
  </w:style>
  <w:style w:type="paragraph" w:customStyle="1" w:styleId="Caption11111112">
    <w:name w:val="Caption11111112"/>
    <w:basedOn w:val="a"/>
    <w:qFormat/>
    <w:rsid w:val="00CE08A8"/>
    <w:pPr>
      <w:suppressLineNumbers/>
      <w:spacing w:before="120" w:after="120" w:line="240" w:lineRule="auto"/>
    </w:pPr>
    <w:rPr>
      <w:rFonts w:ascii="Times New Roman" w:eastAsia="Times New Roman" w:hAnsi="Times New Roman" w:cs="Lucida Sans"/>
      <w:i/>
      <w:iCs/>
      <w:sz w:val="24"/>
      <w:szCs w:val="24"/>
      <w:lang w:val="ru-RU" w:eastAsia="zh-CN"/>
    </w:rPr>
  </w:style>
  <w:style w:type="paragraph" w:customStyle="1" w:styleId="33">
    <w:name w:val="Название объекта3"/>
    <w:basedOn w:val="a"/>
    <w:qFormat/>
    <w:rsid w:val="00CE08A8"/>
    <w:pPr>
      <w:suppressLineNumbers/>
      <w:spacing w:before="120" w:after="120" w:line="240" w:lineRule="auto"/>
    </w:pPr>
    <w:rPr>
      <w:rFonts w:ascii="Times New Roman" w:eastAsia="Times New Roman" w:hAnsi="Times New Roman" w:cs="Lucida Sans"/>
      <w:i/>
      <w:iCs/>
      <w:sz w:val="24"/>
      <w:szCs w:val="24"/>
      <w:lang w:val="ru-RU" w:eastAsia="zh-CN"/>
    </w:rPr>
  </w:style>
  <w:style w:type="paragraph" w:customStyle="1" w:styleId="29">
    <w:name w:val="Название объекта2"/>
    <w:basedOn w:val="a"/>
    <w:qFormat/>
    <w:rsid w:val="00CE08A8"/>
    <w:pPr>
      <w:suppressLineNumbers/>
      <w:spacing w:before="120" w:after="120" w:line="240" w:lineRule="auto"/>
    </w:pPr>
    <w:rPr>
      <w:rFonts w:ascii="Times New Roman" w:eastAsia="Times New Roman" w:hAnsi="Times New Roman" w:cs="Arial"/>
      <w:i/>
      <w:iCs/>
      <w:sz w:val="24"/>
      <w:szCs w:val="24"/>
      <w:lang w:val="ru-RU" w:eastAsia="zh-CN"/>
    </w:rPr>
  </w:style>
  <w:style w:type="paragraph" w:customStyle="1" w:styleId="24">
    <w:name w:val="Текст примечания2"/>
    <w:basedOn w:val="a"/>
    <w:link w:val="1b"/>
    <w:qFormat/>
    <w:rsid w:val="00CE08A8"/>
    <w:pPr>
      <w:spacing w:after="0" w:line="240" w:lineRule="exact"/>
    </w:pPr>
    <w:rPr>
      <w:rFonts w:ascii="Times New Roman" w:eastAsia="Times New Roman" w:hAnsi="Times New Roman" w:cs="Times New Roman"/>
      <w:sz w:val="20"/>
      <w:szCs w:val="20"/>
      <w:lang w:val="ru-RU" w:eastAsia="zh-CN"/>
    </w:rPr>
  </w:style>
  <w:style w:type="paragraph" w:customStyle="1" w:styleId="25">
    <w:name w:val="Тема примечания2"/>
    <w:next w:val="14"/>
    <w:link w:val="1c"/>
    <w:qFormat/>
    <w:rsid w:val="00CE08A8"/>
    <w:pPr>
      <w:widowControl w:val="0"/>
      <w:spacing w:line="240" w:lineRule="exact"/>
    </w:pPr>
    <w:rPr>
      <w:rFonts w:ascii="Liberation Serif" w:eastAsia="NSimSun" w:hAnsi="Liberation Serif" w:cs="Arial"/>
      <w:b/>
      <w:bCs/>
      <w:sz w:val="20"/>
      <w:szCs w:val="20"/>
      <w:lang w:eastAsia="zh-CN" w:bidi="hi-IN"/>
    </w:rPr>
  </w:style>
  <w:style w:type="paragraph" w:customStyle="1" w:styleId="2a">
    <w:name w:val="Без интервала2"/>
    <w:qFormat/>
    <w:rsid w:val="00CE08A8"/>
    <w:rPr>
      <w:rFonts w:cs="Calibri"/>
      <w:lang w:val="ru-RU" w:eastAsia="zh-CN"/>
    </w:rPr>
  </w:style>
  <w:style w:type="paragraph" w:customStyle="1" w:styleId="320">
    <w:name w:val="Основной текст с отступом 32"/>
    <w:basedOn w:val="a"/>
    <w:qFormat/>
    <w:rsid w:val="00CE08A8"/>
    <w:pPr>
      <w:spacing w:after="120" w:line="240" w:lineRule="auto"/>
      <w:ind w:left="283"/>
    </w:pPr>
    <w:rPr>
      <w:rFonts w:ascii="Times New Roman" w:eastAsia="Times New Roman" w:hAnsi="Times New Roman" w:cs="Mangal"/>
      <w:sz w:val="16"/>
      <w:szCs w:val="14"/>
      <w:lang w:val="ru-RU" w:eastAsia="zh-CN"/>
    </w:rPr>
  </w:style>
  <w:style w:type="paragraph" w:customStyle="1" w:styleId="34">
    <w:name w:val="Обычная таблица3"/>
    <w:qFormat/>
    <w:rsid w:val="00CE08A8"/>
    <w:rPr>
      <w:rFonts w:ascii="Times New Roman" w:eastAsia="Times New Roman" w:hAnsi="Times New Roman" w:cs="Times New Roman"/>
      <w:sz w:val="20"/>
      <w:szCs w:val="20"/>
      <w:lang w:eastAsia="uk-UA" w:bidi="hi-IN"/>
    </w:rPr>
  </w:style>
  <w:style w:type="numbering" w:customStyle="1" w:styleId="1f4">
    <w:name w:val="Нет списка1"/>
    <w:uiPriority w:val="99"/>
    <w:semiHidden/>
    <w:unhideWhenUsed/>
    <w:qFormat/>
    <w:rsid w:val="00280DAA"/>
  </w:style>
  <w:style w:type="numbering" w:customStyle="1" w:styleId="WW8Num27">
    <w:name w:val="WW8Num27"/>
    <w:qFormat/>
    <w:rsid w:val="00280DAA"/>
  </w:style>
  <w:style w:type="numbering" w:customStyle="1" w:styleId="WW8Num1">
    <w:name w:val="WW8Num1"/>
    <w:qFormat/>
    <w:rsid w:val="00280DAA"/>
  </w:style>
  <w:style w:type="numbering" w:customStyle="1" w:styleId="2b">
    <w:name w:val="Нет списка2"/>
    <w:uiPriority w:val="99"/>
    <w:semiHidden/>
    <w:unhideWhenUsed/>
    <w:qFormat/>
    <w:rsid w:val="00C26CB4"/>
  </w:style>
  <w:style w:type="numbering" w:customStyle="1" w:styleId="35">
    <w:name w:val="Нет списка3"/>
    <w:uiPriority w:val="99"/>
    <w:semiHidden/>
    <w:unhideWhenUsed/>
    <w:qFormat/>
    <w:rsid w:val="00D74EA7"/>
  </w:style>
  <w:style w:type="numbering" w:customStyle="1" w:styleId="42">
    <w:name w:val="Нет списка4"/>
    <w:uiPriority w:val="99"/>
    <w:semiHidden/>
    <w:unhideWhenUsed/>
    <w:qFormat/>
    <w:rsid w:val="002A49F1"/>
  </w:style>
  <w:style w:type="numbering" w:customStyle="1" w:styleId="52">
    <w:name w:val="Нет списка5"/>
    <w:uiPriority w:val="99"/>
    <w:semiHidden/>
    <w:unhideWhenUsed/>
    <w:qFormat/>
    <w:rsid w:val="00CE08A8"/>
  </w:style>
  <w:style w:type="table" w:styleId="aff4">
    <w:name w:val="Table Grid"/>
    <w:basedOn w:val="a3"/>
    <w:uiPriority w:val="39"/>
    <w:rsid w:val="000A6805"/>
    <w:rPr>
      <w:rFonts w:asciiTheme="minorHAnsi" w:eastAsiaTheme="minorHAnsi" w:hAnsiTheme="minorHAnsi" w:cs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1"/>
    <w:basedOn w:val="a3"/>
    <w:uiPriority w:val="59"/>
    <w:rsid w:val="00D74EA7"/>
    <w:rPr>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3"/>
    <w:uiPriority w:val="39"/>
    <w:rsid w:val="00D74E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3"/>
    <w:uiPriority w:val="39"/>
    <w:rsid w:val="00D74EA7"/>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Balloon Text"/>
    <w:basedOn w:val="a"/>
    <w:link w:val="2d"/>
    <w:semiHidden/>
    <w:unhideWhenUsed/>
    <w:qFormat/>
    <w:rsid w:val="009B31AB"/>
    <w:pPr>
      <w:spacing w:after="0" w:line="240" w:lineRule="auto"/>
    </w:pPr>
    <w:rPr>
      <w:rFonts w:ascii="Tahoma" w:hAnsi="Tahoma"/>
      <w:sz w:val="16"/>
      <w:szCs w:val="16"/>
    </w:rPr>
  </w:style>
  <w:style w:type="character" w:customStyle="1" w:styleId="2d">
    <w:name w:val="Текст выноски Знак2"/>
    <w:basedOn w:val="a2"/>
    <w:link w:val="aff5"/>
    <w:semiHidden/>
    <w:rsid w:val="009B31AB"/>
    <w:rPr>
      <w:rFonts w:ascii="Tahoma" w:hAnsi="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qFormat="1"/>
    <w:lsdException w:name="annotation subject" w:uiPriority="0"/>
    <w:lsdException w:name="Balloon Text" w:uiPriority="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2330A"/>
    <w:pPr>
      <w:spacing w:after="200" w:line="276" w:lineRule="auto"/>
    </w:pPr>
  </w:style>
  <w:style w:type="paragraph" w:styleId="1">
    <w:name w:val="heading 1"/>
    <w:basedOn w:val="a"/>
    <w:next w:val="a"/>
    <w:qFormat/>
    <w:rsid w:val="0032330A"/>
    <w:pPr>
      <w:keepNext/>
      <w:keepLines/>
      <w:spacing w:before="480" w:after="0"/>
      <w:outlineLvl w:val="0"/>
    </w:pPr>
    <w:rPr>
      <w:rFonts w:ascii="Cambria" w:hAnsi="Cambria"/>
      <w:b/>
      <w:bCs/>
      <w:color w:val="365F91"/>
      <w:sz w:val="28"/>
      <w:szCs w:val="28"/>
    </w:rPr>
  </w:style>
  <w:style w:type="paragraph" w:styleId="2">
    <w:name w:val="heading 2"/>
    <w:basedOn w:val="a0"/>
    <w:next w:val="a1"/>
    <w:link w:val="20"/>
    <w:qFormat/>
    <w:rsid w:val="0032330A"/>
    <w:pPr>
      <w:spacing w:before="200"/>
      <w:outlineLvl w:val="1"/>
    </w:pPr>
    <w:rPr>
      <w:rFonts w:ascii="Liberation Serif" w:eastAsia="Segoe UI" w:hAnsi="Liberation Serif" w:cs="Tahoma"/>
      <w:b/>
      <w:bCs/>
      <w:sz w:val="36"/>
      <w:szCs w:val="36"/>
    </w:rPr>
  </w:style>
  <w:style w:type="paragraph" w:styleId="3">
    <w:name w:val="heading 3"/>
    <w:basedOn w:val="a0"/>
    <w:next w:val="a1"/>
    <w:qFormat/>
    <w:rsid w:val="0032330A"/>
    <w:pPr>
      <w:spacing w:before="140"/>
      <w:outlineLvl w:val="2"/>
    </w:pPr>
    <w:rPr>
      <w:rFonts w:ascii="Liberation Serif" w:eastAsia="Segoe UI" w:hAnsi="Liberation Serif" w:cs="Tahoma"/>
      <w:b/>
      <w:bCs/>
    </w:rPr>
  </w:style>
  <w:style w:type="paragraph" w:styleId="4">
    <w:name w:val="heading 4"/>
    <w:basedOn w:val="a0"/>
    <w:next w:val="a1"/>
    <w:qFormat/>
    <w:rsid w:val="0032330A"/>
    <w:pPr>
      <w:spacing w:before="120"/>
      <w:outlineLvl w:val="3"/>
    </w:pPr>
    <w:rPr>
      <w:rFonts w:ascii="Liberation Serif" w:eastAsia="Segoe UI" w:hAnsi="Liberation Serif" w:cs="Tahoma"/>
      <w:b/>
      <w:bCs/>
      <w:sz w:val="24"/>
      <w:szCs w:val="24"/>
    </w:rPr>
  </w:style>
  <w:style w:type="paragraph" w:styleId="5">
    <w:name w:val="heading 5"/>
    <w:basedOn w:val="a0"/>
    <w:next w:val="a1"/>
    <w:qFormat/>
    <w:rsid w:val="0032330A"/>
    <w:pPr>
      <w:spacing w:before="120" w:after="60"/>
      <w:outlineLvl w:val="4"/>
    </w:pPr>
    <w:rPr>
      <w:rFonts w:ascii="Liberation Serif" w:eastAsia="Segoe UI" w:hAnsi="Liberation Serif" w:cs="Tahoma"/>
      <w:b/>
      <w:bCs/>
      <w:sz w:val="20"/>
      <w:szCs w:val="20"/>
    </w:rPr>
  </w:style>
  <w:style w:type="paragraph" w:styleId="6">
    <w:name w:val="heading 6"/>
    <w:basedOn w:val="a0"/>
    <w:next w:val="a1"/>
    <w:qFormat/>
    <w:rsid w:val="0032330A"/>
    <w:pPr>
      <w:spacing w:before="60" w:after="60"/>
      <w:outlineLvl w:val="5"/>
    </w:pPr>
    <w:rPr>
      <w:rFonts w:ascii="Liberation Serif" w:eastAsia="Segoe UI" w:hAnsi="Liberation Serif" w:cs="Tahoma"/>
      <w:b/>
      <w:bCs/>
      <w:sz w:val="14"/>
      <w:szCs w:val="14"/>
    </w:rPr>
  </w:style>
  <w:style w:type="paragraph" w:styleId="9">
    <w:name w:val="heading 9"/>
    <w:basedOn w:val="a"/>
    <w:qFormat/>
    <w:rsid w:val="0032330A"/>
    <w:pPr>
      <w:ind w:left="193"/>
      <w:jc w:val="both"/>
      <w:outlineLvl w:val="8"/>
    </w:pPr>
    <w:rPr>
      <w:rFonts w:ascii="Roboto" w:eastAsia="Roboto" w:hAnsi="Roboto" w:cs="Roboto"/>
      <w:b/>
      <w:bCs/>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Основной шрифт абзаца1"/>
    <w:qFormat/>
    <w:rsid w:val="00CE08A8"/>
  </w:style>
  <w:style w:type="character" w:customStyle="1" w:styleId="11">
    <w:name w:val="Основной шрифт абзаца1"/>
    <w:qFormat/>
    <w:rsid w:val="002A49F1"/>
  </w:style>
  <w:style w:type="character" w:styleId="a5">
    <w:name w:val="Hyperlink"/>
    <w:basedOn w:val="11"/>
    <w:rsid w:val="0032330A"/>
    <w:rPr>
      <w:color w:val="0000FF"/>
      <w:u w:val="single"/>
    </w:rPr>
  </w:style>
  <w:style w:type="character" w:styleId="a6">
    <w:name w:val="FollowedHyperlink"/>
    <w:basedOn w:val="11"/>
    <w:uiPriority w:val="99"/>
    <w:rsid w:val="0032330A"/>
    <w:rPr>
      <w:color w:val="800080"/>
      <w:u w:val="single"/>
    </w:rPr>
  </w:style>
  <w:style w:type="character" w:customStyle="1" w:styleId="12">
    <w:name w:val="Строгий1"/>
    <w:qFormat/>
    <w:rsid w:val="002A49F1"/>
    <w:rPr>
      <w:b/>
      <w:bCs/>
    </w:rPr>
  </w:style>
  <w:style w:type="character" w:customStyle="1" w:styleId="a7">
    <w:name w:val="Маркери"/>
    <w:qFormat/>
    <w:rsid w:val="0032330A"/>
    <w:rPr>
      <w:rFonts w:ascii="OpenSymbol" w:eastAsia="OpenSymbol" w:hAnsi="OpenSymbol" w:cs="OpenSymbol"/>
    </w:rPr>
  </w:style>
  <w:style w:type="character" w:styleId="a8">
    <w:name w:val="Emphasis"/>
    <w:qFormat/>
    <w:rsid w:val="0032330A"/>
    <w:rPr>
      <w:i/>
      <w:iCs/>
    </w:rPr>
  </w:style>
  <w:style w:type="character" w:customStyle="1" w:styleId="a9">
    <w:name w:val="Символ нумерації"/>
    <w:qFormat/>
    <w:rsid w:val="0032330A"/>
    <w:rPr>
      <w:rFonts w:ascii="Times New Roman" w:hAnsi="Times New Roman"/>
      <w:sz w:val="24"/>
      <w:szCs w:val="24"/>
    </w:rPr>
  </w:style>
  <w:style w:type="character" w:customStyle="1" w:styleId="aa">
    <w:name w:val="Текст выноски Знак"/>
    <w:basedOn w:val="11"/>
    <w:qFormat/>
    <w:rsid w:val="00DA692F"/>
    <w:rPr>
      <w:rFonts w:ascii="Tahoma" w:hAnsi="Tahoma"/>
      <w:sz w:val="16"/>
      <w:szCs w:val="16"/>
    </w:rPr>
  </w:style>
  <w:style w:type="character" w:customStyle="1" w:styleId="13">
    <w:name w:val="Знак примечания1"/>
    <w:qFormat/>
    <w:rsid w:val="002A49F1"/>
    <w:rPr>
      <w:sz w:val="16"/>
      <w:szCs w:val="16"/>
    </w:rPr>
  </w:style>
  <w:style w:type="character" w:customStyle="1" w:styleId="ab">
    <w:name w:val="Текст примечания Знак"/>
    <w:basedOn w:val="11"/>
    <w:link w:val="14"/>
    <w:qFormat/>
    <w:rsid w:val="00AF747F"/>
    <w:rPr>
      <w:sz w:val="20"/>
      <w:szCs w:val="20"/>
    </w:rPr>
  </w:style>
  <w:style w:type="character" w:customStyle="1" w:styleId="ac">
    <w:name w:val="Тема примечания Знак"/>
    <w:basedOn w:val="ab"/>
    <w:link w:val="15"/>
    <w:qFormat/>
    <w:rsid w:val="00AF747F"/>
    <w:rPr>
      <w:b/>
      <w:bCs/>
      <w:sz w:val="20"/>
      <w:szCs w:val="20"/>
    </w:rPr>
  </w:style>
  <w:style w:type="character" w:customStyle="1" w:styleId="WW8Num1z1">
    <w:name w:val="WW8Num1z1"/>
    <w:qFormat/>
    <w:rsid w:val="0032330A"/>
    <w:rPr>
      <w:rFonts w:ascii="Courier New" w:hAnsi="Courier New" w:cs="Courier New"/>
    </w:rPr>
  </w:style>
  <w:style w:type="character" w:customStyle="1" w:styleId="WW8Num1z0">
    <w:name w:val="WW8Num1z0"/>
    <w:qFormat/>
    <w:rsid w:val="0032330A"/>
    <w:rPr>
      <w:rFonts w:ascii="Times New Roman" w:eastAsia="Times New Roman" w:hAnsi="Times New Roman" w:cs="Times New Roman"/>
    </w:rPr>
  </w:style>
  <w:style w:type="character" w:customStyle="1" w:styleId="WW8Num27z1">
    <w:name w:val="WW8Num27z1"/>
    <w:qFormat/>
    <w:rsid w:val="0032330A"/>
    <w:rPr>
      <w:rFonts w:ascii="Courier New" w:hAnsi="Courier New" w:cs="Courier New"/>
    </w:rPr>
  </w:style>
  <w:style w:type="character" w:customStyle="1" w:styleId="WW8Num27z0">
    <w:name w:val="WW8Num27z0"/>
    <w:qFormat/>
    <w:rsid w:val="00280DAA"/>
    <w:rPr>
      <w:rFonts w:ascii="Symbol" w:hAnsi="Symbol" w:cs="Symbol"/>
    </w:rPr>
  </w:style>
  <w:style w:type="character" w:customStyle="1" w:styleId="WW8Num27z2">
    <w:name w:val="WW8Num27z2"/>
    <w:qFormat/>
    <w:rsid w:val="00280DAA"/>
    <w:rPr>
      <w:rFonts w:ascii="Wingdings" w:hAnsi="Wingdings" w:cs="Wingdings"/>
    </w:rPr>
  </w:style>
  <w:style w:type="character" w:customStyle="1" w:styleId="WW8Num1z2">
    <w:name w:val="WW8Num1z2"/>
    <w:qFormat/>
    <w:rsid w:val="00280DAA"/>
    <w:rPr>
      <w:rFonts w:ascii="Wingdings" w:hAnsi="Wingdings" w:cs="Wingdings"/>
    </w:rPr>
  </w:style>
  <w:style w:type="character" w:customStyle="1" w:styleId="WW8Num1z3">
    <w:name w:val="WW8Num1z3"/>
    <w:qFormat/>
    <w:rsid w:val="00280DAA"/>
    <w:rPr>
      <w:rFonts w:ascii="Symbol" w:hAnsi="Symbol" w:cs="Symbol"/>
    </w:rPr>
  </w:style>
  <w:style w:type="character" w:customStyle="1" w:styleId="ad">
    <w:name w:val="Верхний колонтитул Знак"/>
    <w:basedOn w:val="11"/>
    <w:link w:val="ae"/>
    <w:qFormat/>
    <w:rsid w:val="00280DAA"/>
    <w:rPr>
      <w:rFonts w:ascii="Liberation Serif" w:eastAsia="NSimSun" w:hAnsi="Liberation Serif" w:cs="Arial"/>
      <w:kern w:val="2"/>
      <w:sz w:val="24"/>
      <w:szCs w:val="24"/>
      <w:lang w:eastAsia="zh-CN" w:bidi="hi-IN"/>
    </w:rPr>
  </w:style>
  <w:style w:type="character" w:customStyle="1" w:styleId="af">
    <w:name w:val="Нижний колонтитул Знак"/>
    <w:basedOn w:val="11"/>
    <w:link w:val="af0"/>
    <w:qFormat/>
    <w:rsid w:val="004C52A9"/>
  </w:style>
  <w:style w:type="character" w:customStyle="1" w:styleId="20">
    <w:name w:val="Заголовок 2 Знак"/>
    <w:basedOn w:val="11"/>
    <w:link w:val="2"/>
    <w:qFormat/>
    <w:rsid w:val="00C26CB4"/>
    <w:rPr>
      <w:rFonts w:ascii="Liberation Serif" w:eastAsia="Segoe UI" w:hAnsi="Liberation Serif"/>
      <w:b/>
      <w:bCs/>
      <w:sz w:val="36"/>
      <w:szCs w:val="36"/>
    </w:rPr>
  </w:style>
  <w:style w:type="character" w:customStyle="1" w:styleId="af1">
    <w:name w:val="Основной текст Знак"/>
    <w:basedOn w:val="11"/>
    <w:link w:val="a1"/>
    <w:qFormat/>
    <w:rsid w:val="00C26CB4"/>
  </w:style>
  <w:style w:type="character" w:customStyle="1" w:styleId="16">
    <w:name w:val="Нижний колонтитул Знак1"/>
    <w:basedOn w:val="11"/>
    <w:uiPriority w:val="99"/>
    <w:semiHidden/>
    <w:qFormat/>
    <w:rsid w:val="00C26CB4"/>
    <w:rPr>
      <w:rFonts w:cs="Mangal"/>
      <w:szCs w:val="21"/>
    </w:rPr>
  </w:style>
  <w:style w:type="character" w:customStyle="1" w:styleId="17">
    <w:name w:val="Верхний колонтитул Знак1"/>
    <w:basedOn w:val="11"/>
    <w:uiPriority w:val="99"/>
    <w:semiHidden/>
    <w:qFormat/>
    <w:rsid w:val="00C26CB4"/>
    <w:rPr>
      <w:rFonts w:cs="Mangal"/>
      <w:szCs w:val="21"/>
    </w:rPr>
  </w:style>
  <w:style w:type="character" w:customStyle="1" w:styleId="WW8Num2z0">
    <w:name w:val="WW8Num2z0"/>
    <w:qFormat/>
    <w:rsid w:val="002A49F1"/>
    <w:rPr>
      <w:rFonts w:ascii="Symbol" w:hAnsi="Symbol" w:cs="Symbol"/>
    </w:rPr>
  </w:style>
  <w:style w:type="character" w:customStyle="1" w:styleId="WW8Num3z0">
    <w:name w:val="WW8Num3z0"/>
    <w:qFormat/>
    <w:rsid w:val="002A49F1"/>
    <w:rPr>
      <w:rFonts w:ascii="Symbol" w:hAnsi="Symbol" w:cs="Symbol"/>
    </w:rPr>
  </w:style>
  <w:style w:type="character" w:customStyle="1" w:styleId="WW8Num4z0">
    <w:name w:val="WW8Num4z0"/>
    <w:qFormat/>
    <w:rsid w:val="002A49F1"/>
    <w:rPr>
      <w:rFonts w:ascii="Times New Roman" w:hAnsi="Times New Roman" w:cs="Times New Roman"/>
    </w:rPr>
  </w:style>
  <w:style w:type="character" w:customStyle="1" w:styleId="WW8Num5z0">
    <w:name w:val="WW8Num5z0"/>
    <w:qFormat/>
    <w:rsid w:val="002A49F1"/>
    <w:rPr>
      <w:rFonts w:ascii="Symbol" w:hAnsi="Symbol" w:cs="Symbol"/>
    </w:rPr>
  </w:style>
  <w:style w:type="character" w:customStyle="1" w:styleId="WW8Num2z1">
    <w:name w:val="WW8Num2z1"/>
    <w:qFormat/>
    <w:rsid w:val="002A49F1"/>
    <w:rPr>
      <w:rFonts w:ascii="Courier New" w:hAnsi="Courier New" w:cs="Courier New"/>
    </w:rPr>
  </w:style>
  <w:style w:type="character" w:customStyle="1" w:styleId="WW8Num2z2">
    <w:name w:val="WW8Num2z2"/>
    <w:qFormat/>
    <w:rsid w:val="002A49F1"/>
    <w:rPr>
      <w:rFonts w:ascii="Wingdings" w:hAnsi="Wingdings" w:cs="Wingdings"/>
    </w:rPr>
  </w:style>
  <w:style w:type="character" w:customStyle="1" w:styleId="WW8Num4z1">
    <w:name w:val="WW8Num4z1"/>
    <w:qFormat/>
    <w:rsid w:val="002A49F1"/>
    <w:rPr>
      <w:rFonts w:ascii="Courier New" w:hAnsi="Courier New" w:cs="Courier New"/>
    </w:rPr>
  </w:style>
  <w:style w:type="character" w:customStyle="1" w:styleId="WW8Num4z2">
    <w:name w:val="WW8Num4z2"/>
    <w:qFormat/>
    <w:rsid w:val="002A49F1"/>
    <w:rPr>
      <w:rFonts w:ascii="Wingdings" w:hAnsi="Wingdings" w:cs="Wingdings"/>
    </w:rPr>
  </w:style>
  <w:style w:type="character" w:customStyle="1" w:styleId="WW8Num4z3">
    <w:name w:val="WW8Num4z3"/>
    <w:qFormat/>
    <w:rsid w:val="002A49F1"/>
    <w:rPr>
      <w:rFonts w:ascii="Symbol" w:hAnsi="Symbol" w:cs="Symbol"/>
    </w:rPr>
  </w:style>
  <w:style w:type="character" w:customStyle="1" w:styleId="WW8Num5z1">
    <w:name w:val="WW8Num5z1"/>
    <w:qFormat/>
    <w:rsid w:val="002A49F1"/>
    <w:rPr>
      <w:rFonts w:ascii="Courier New" w:hAnsi="Courier New" w:cs="Courier New"/>
    </w:rPr>
  </w:style>
  <w:style w:type="character" w:customStyle="1" w:styleId="WW8Num5z2">
    <w:name w:val="WW8Num5z2"/>
    <w:qFormat/>
    <w:rsid w:val="002A49F1"/>
    <w:rPr>
      <w:rFonts w:ascii="Wingdings" w:hAnsi="Wingdings" w:cs="Wingdings"/>
    </w:rPr>
  </w:style>
  <w:style w:type="character" w:customStyle="1" w:styleId="18">
    <w:name w:val="Заголовок 1 Знак"/>
    <w:qFormat/>
    <w:rsid w:val="002A49F1"/>
    <w:rPr>
      <w:b/>
      <w:sz w:val="24"/>
      <w:lang w:val="uk-UA"/>
    </w:rPr>
  </w:style>
  <w:style w:type="character" w:customStyle="1" w:styleId="30">
    <w:name w:val="Заголовок 3 Знак"/>
    <w:qFormat/>
    <w:rsid w:val="002A49F1"/>
    <w:rPr>
      <w:b/>
      <w:bCs/>
      <w:sz w:val="27"/>
      <w:szCs w:val="27"/>
    </w:rPr>
  </w:style>
  <w:style w:type="character" w:customStyle="1" w:styleId="q4iawc">
    <w:name w:val="q4iawc"/>
    <w:qFormat/>
    <w:rsid w:val="002A49F1"/>
  </w:style>
  <w:style w:type="character" w:customStyle="1" w:styleId="af2">
    <w:name w:val="Текст сноски Знак"/>
    <w:qFormat/>
    <w:rsid w:val="002A49F1"/>
    <w:rPr>
      <w:rFonts w:ascii="Calibri" w:eastAsia="Calibri" w:hAnsi="Calibri" w:cs="Calibri"/>
      <w:lang w:val="uk-UA"/>
    </w:rPr>
  </w:style>
  <w:style w:type="character" w:customStyle="1" w:styleId="af3">
    <w:name w:val="Символи виноски"/>
    <w:qFormat/>
    <w:rsid w:val="002A49F1"/>
    <w:rPr>
      <w:vertAlign w:val="superscript"/>
    </w:rPr>
  </w:style>
  <w:style w:type="character" w:customStyle="1" w:styleId="viiyi">
    <w:name w:val="viiyi"/>
    <w:qFormat/>
    <w:rsid w:val="002A49F1"/>
  </w:style>
  <w:style w:type="character" w:customStyle="1" w:styleId="jlqj4b">
    <w:name w:val="jlqj4b"/>
    <w:qFormat/>
    <w:rsid w:val="002A49F1"/>
  </w:style>
  <w:style w:type="character" w:customStyle="1" w:styleId="d2edcug0">
    <w:name w:val="d2edcug0"/>
    <w:qFormat/>
    <w:rsid w:val="002A49F1"/>
  </w:style>
  <w:style w:type="character" w:customStyle="1" w:styleId="tlid-translation">
    <w:name w:val="tlid-translation"/>
    <w:qFormat/>
    <w:rsid w:val="002A49F1"/>
  </w:style>
  <w:style w:type="character" w:customStyle="1" w:styleId="markedcontent">
    <w:name w:val="markedcontent"/>
    <w:qFormat/>
    <w:rsid w:val="002A49F1"/>
  </w:style>
  <w:style w:type="character" w:customStyle="1" w:styleId="st">
    <w:name w:val="st"/>
    <w:qFormat/>
    <w:rsid w:val="002A49F1"/>
  </w:style>
  <w:style w:type="character" w:customStyle="1" w:styleId="xfm97486888">
    <w:name w:val="xfm_97486888"/>
    <w:qFormat/>
    <w:rsid w:val="002A49F1"/>
  </w:style>
  <w:style w:type="character" w:customStyle="1" w:styleId="19">
    <w:name w:val="Текст сноски Знак1"/>
    <w:basedOn w:val="11"/>
    <w:link w:val="af4"/>
    <w:qFormat/>
    <w:rsid w:val="002A49F1"/>
    <w:rPr>
      <w:rFonts w:cs="Times New Roman"/>
      <w:sz w:val="20"/>
      <w:szCs w:val="20"/>
      <w:lang w:eastAsia="zh-CN"/>
    </w:rPr>
  </w:style>
  <w:style w:type="character" w:customStyle="1" w:styleId="1a">
    <w:name w:val="Текст выноски Знак1"/>
    <w:basedOn w:val="10"/>
    <w:link w:val="21"/>
    <w:semiHidden/>
    <w:qFormat/>
    <w:rsid w:val="0046520D"/>
    <w:rPr>
      <w:rFonts w:ascii="Tahoma" w:hAnsi="Tahoma"/>
      <w:sz w:val="16"/>
      <w:szCs w:val="16"/>
    </w:rPr>
  </w:style>
  <w:style w:type="character" w:customStyle="1" w:styleId="WW8Num1z4">
    <w:name w:val="WW8Num1z4"/>
    <w:qFormat/>
    <w:rsid w:val="00CE08A8"/>
  </w:style>
  <w:style w:type="character" w:customStyle="1" w:styleId="WW8Num1z5">
    <w:name w:val="WW8Num1z5"/>
    <w:qFormat/>
    <w:rsid w:val="00CE08A8"/>
  </w:style>
  <w:style w:type="character" w:customStyle="1" w:styleId="WW8Num1z6">
    <w:name w:val="WW8Num1z6"/>
    <w:qFormat/>
    <w:rsid w:val="00CE08A8"/>
  </w:style>
  <w:style w:type="character" w:customStyle="1" w:styleId="WW8Num1z7">
    <w:name w:val="WW8Num1z7"/>
    <w:qFormat/>
    <w:rsid w:val="00CE08A8"/>
  </w:style>
  <w:style w:type="character" w:customStyle="1" w:styleId="WW8Num1z8">
    <w:name w:val="WW8Num1z8"/>
    <w:qFormat/>
    <w:rsid w:val="00CE08A8"/>
  </w:style>
  <w:style w:type="character" w:customStyle="1" w:styleId="WW8Num2z3">
    <w:name w:val="WW8Num2z3"/>
    <w:qFormat/>
    <w:rsid w:val="00CE08A8"/>
  </w:style>
  <w:style w:type="character" w:customStyle="1" w:styleId="WW8Num2z4">
    <w:name w:val="WW8Num2z4"/>
    <w:qFormat/>
    <w:rsid w:val="00CE08A8"/>
  </w:style>
  <w:style w:type="character" w:customStyle="1" w:styleId="WW8Num2z5">
    <w:name w:val="WW8Num2z5"/>
    <w:qFormat/>
    <w:rsid w:val="00CE08A8"/>
  </w:style>
  <w:style w:type="character" w:customStyle="1" w:styleId="WW8Num2z6">
    <w:name w:val="WW8Num2z6"/>
    <w:qFormat/>
    <w:rsid w:val="00CE08A8"/>
  </w:style>
  <w:style w:type="character" w:customStyle="1" w:styleId="WW8Num2z7">
    <w:name w:val="WW8Num2z7"/>
    <w:qFormat/>
    <w:rsid w:val="00CE08A8"/>
  </w:style>
  <w:style w:type="character" w:customStyle="1" w:styleId="WW8Num2z8">
    <w:name w:val="WW8Num2z8"/>
    <w:qFormat/>
    <w:rsid w:val="00CE08A8"/>
  </w:style>
  <w:style w:type="character" w:customStyle="1" w:styleId="WW8Num6z0">
    <w:name w:val="WW8Num6z0"/>
    <w:qFormat/>
    <w:rsid w:val="00CE08A8"/>
    <w:rPr>
      <w:lang w:val="uk-UA"/>
    </w:rPr>
  </w:style>
  <w:style w:type="character" w:customStyle="1" w:styleId="WW8Num3z1">
    <w:name w:val="WW8Num3z1"/>
    <w:qFormat/>
    <w:rsid w:val="00CE08A8"/>
  </w:style>
  <w:style w:type="character" w:customStyle="1" w:styleId="WW8Num3z2">
    <w:name w:val="WW8Num3z2"/>
    <w:qFormat/>
    <w:rsid w:val="00CE08A8"/>
  </w:style>
  <w:style w:type="character" w:customStyle="1" w:styleId="WW8Num3z3">
    <w:name w:val="WW8Num3z3"/>
    <w:qFormat/>
    <w:rsid w:val="00CE08A8"/>
  </w:style>
  <w:style w:type="character" w:customStyle="1" w:styleId="WW8Num3z4">
    <w:name w:val="WW8Num3z4"/>
    <w:qFormat/>
    <w:rsid w:val="00CE08A8"/>
  </w:style>
  <w:style w:type="character" w:customStyle="1" w:styleId="WW8Num3z5">
    <w:name w:val="WW8Num3z5"/>
    <w:qFormat/>
    <w:rsid w:val="00CE08A8"/>
  </w:style>
  <w:style w:type="character" w:customStyle="1" w:styleId="WW8Num3z6">
    <w:name w:val="WW8Num3z6"/>
    <w:qFormat/>
    <w:rsid w:val="00CE08A8"/>
  </w:style>
  <w:style w:type="character" w:customStyle="1" w:styleId="WW8Num3z7">
    <w:name w:val="WW8Num3z7"/>
    <w:qFormat/>
    <w:rsid w:val="00CE08A8"/>
  </w:style>
  <w:style w:type="character" w:customStyle="1" w:styleId="WW8Num3z8">
    <w:name w:val="WW8Num3z8"/>
    <w:qFormat/>
    <w:rsid w:val="00CE08A8"/>
  </w:style>
  <w:style w:type="character" w:customStyle="1" w:styleId="WW8Num4z4">
    <w:name w:val="WW8Num4z4"/>
    <w:qFormat/>
    <w:rsid w:val="00CE08A8"/>
  </w:style>
  <w:style w:type="character" w:customStyle="1" w:styleId="WW8Num4z5">
    <w:name w:val="WW8Num4z5"/>
    <w:qFormat/>
    <w:rsid w:val="00CE08A8"/>
  </w:style>
  <w:style w:type="character" w:customStyle="1" w:styleId="WW8Num4z6">
    <w:name w:val="WW8Num4z6"/>
    <w:qFormat/>
    <w:rsid w:val="00CE08A8"/>
  </w:style>
  <w:style w:type="character" w:customStyle="1" w:styleId="WW8Num4z7">
    <w:name w:val="WW8Num4z7"/>
    <w:qFormat/>
    <w:rsid w:val="00CE08A8"/>
  </w:style>
  <w:style w:type="character" w:customStyle="1" w:styleId="WW8Num4z8">
    <w:name w:val="WW8Num4z8"/>
    <w:qFormat/>
    <w:rsid w:val="00CE08A8"/>
  </w:style>
  <w:style w:type="character" w:customStyle="1" w:styleId="WW8Num5z3">
    <w:name w:val="WW8Num5z3"/>
    <w:qFormat/>
    <w:rsid w:val="00CE08A8"/>
  </w:style>
  <w:style w:type="character" w:customStyle="1" w:styleId="WW8Num5z4">
    <w:name w:val="WW8Num5z4"/>
    <w:qFormat/>
    <w:rsid w:val="00CE08A8"/>
  </w:style>
  <w:style w:type="character" w:customStyle="1" w:styleId="WW8Num5z5">
    <w:name w:val="WW8Num5z5"/>
    <w:qFormat/>
    <w:rsid w:val="00CE08A8"/>
  </w:style>
  <w:style w:type="character" w:customStyle="1" w:styleId="WW8Num5z6">
    <w:name w:val="WW8Num5z6"/>
    <w:qFormat/>
    <w:rsid w:val="00CE08A8"/>
  </w:style>
  <w:style w:type="character" w:customStyle="1" w:styleId="WW8Num5z7">
    <w:name w:val="WW8Num5z7"/>
    <w:qFormat/>
    <w:rsid w:val="00CE08A8"/>
  </w:style>
  <w:style w:type="character" w:customStyle="1" w:styleId="WW8Num5z8">
    <w:name w:val="WW8Num5z8"/>
    <w:qFormat/>
    <w:rsid w:val="00CE08A8"/>
  </w:style>
  <w:style w:type="character" w:customStyle="1" w:styleId="WW8Num6z1">
    <w:name w:val="WW8Num6z1"/>
    <w:qFormat/>
    <w:rsid w:val="00CE08A8"/>
  </w:style>
  <w:style w:type="character" w:customStyle="1" w:styleId="WW8Num6z2">
    <w:name w:val="WW8Num6z2"/>
    <w:qFormat/>
    <w:rsid w:val="00CE08A8"/>
  </w:style>
  <w:style w:type="character" w:customStyle="1" w:styleId="WW8Num6z3">
    <w:name w:val="WW8Num6z3"/>
    <w:qFormat/>
    <w:rsid w:val="00CE08A8"/>
  </w:style>
  <w:style w:type="character" w:customStyle="1" w:styleId="WW8Num6z4">
    <w:name w:val="WW8Num6z4"/>
    <w:qFormat/>
    <w:rsid w:val="00CE08A8"/>
  </w:style>
  <w:style w:type="character" w:customStyle="1" w:styleId="WW8Num6z5">
    <w:name w:val="WW8Num6z5"/>
    <w:qFormat/>
    <w:rsid w:val="00CE08A8"/>
  </w:style>
  <w:style w:type="character" w:customStyle="1" w:styleId="WW8Num6z6">
    <w:name w:val="WW8Num6z6"/>
    <w:qFormat/>
    <w:rsid w:val="00CE08A8"/>
  </w:style>
  <w:style w:type="character" w:customStyle="1" w:styleId="WW8Num6z7">
    <w:name w:val="WW8Num6z7"/>
    <w:qFormat/>
    <w:rsid w:val="00CE08A8"/>
  </w:style>
  <w:style w:type="character" w:customStyle="1" w:styleId="WW8Num6z8">
    <w:name w:val="WW8Num6z8"/>
    <w:qFormat/>
    <w:rsid w:val="00CE08A8"/>
  </w:style>
  <w:style w:type="character" w:customStyle="1" w:styleId="WW8Num7z0">
    <w:name w:val="WW8Num7z0"/>
    <w:qFormat/>
    <w:rsid w:val="00CE08A8"/>
    <w:rPr>
      <w:lang w:val="uk-UA"/>
    </w:rPr>
  </w:style>
  <w:style w:type="character" w:customStyle="1" w:styleId="WW8Num7z1">
    <w:name w:val="WW8Num7z1"/>
    <w:qFormat/>
    <w:rsid w:val="00CE08A8"/>
  </w:style>
  <w:style w:type="character" w:customStyle="1" w:styleId="WW8Num7z2">
    <w:name w:val="WW8Num7z2"/>
    <w:qFormat/>
    <w:rsid w:val="00CE08A8"/>
  </w:style>
  <w:style w:type="character" w:customStyle="1" w:styleId="WW8Num7z3">
    <w:name w:val="WW8Num7z3"/>
    <w:qFormat/>
    <w:rsid w:val="00CE08A8"/>
  </w:style>
  <w:style w:type="character" w:customStyle="1" w:styleId="WW8Num7z4">
    <w:name w:val="WW8Num7z4"/>
    <w:qFormat/>
    <w:rsid w:val="00CE08A8"/>
  </w:style>
  <w:style w:type="character" w:customStyle="1" w:styleId="WW8Num7z5">
    <w:name w:val="WW8Num7z5"/>
    <w:qFormat/>
    <w:rsid w:val="00CE08A8"/>
  </w:style>
  <w:style w:type="character" w:customStyle="1" w:styleId="WW8Num7z6">
    <w:name w:val="WW8Num7z6"/>
    <w:qFormat/>
    <w:rsid w:val="00CE08A8"/>
  </w:style>
  <w:style w:type="character" w:customStyle="1" w:styleId="WW8Num7z7">
    <w:name w:val="WW8Num7z7"/>
    <w:qFormat/>
    <w:rsid w:val="00CE08A8"/>
  </w:style>
  <w:style w:type="character" w:customStyle="1" w:styleId="WW8Num7z8">
    <w:name w:val="WW8Num7z8"/>
    <w:qFormat/>
    <w:rsid w:val="00CE08A8"/>
  </w:style>
  <w:style w:type="character" w:customStyle="1" w:styleId="50">
    <w:name w:val="Основной шрифт абзаца5"/>
    <w:qFormat/>
    <w:rsid w:val="00CE08A8"/>
  </w:style>
  <w:style w:type="character" w:customStyle="1" w:styleId="40">
    <w:name w:val="Основной шрифт абзаца4"/>
    <w:qFormat/>
    <w:rsid w:val="00CE08A8"/>
  </w:style>
  <w:style w:type="character" w:customStyle="1" w:styleId="31">
    <w:name w:val="Основной шрифт абзаца3"/>
    <w:qFormat/>
    <w:rsid w:val="00CE08A8"/>
  </w:style>
  <w:style w:type="character" w:customStyle="1" w:styleId="WW8Num8z0">
    <w:name w:val="WW8Num8z0"/>
    <w:qFormat/>
    <w:rsid w:val="00CE08A8"/>
  </w:style>
  <w:style w:type="character" w:customStyle="1" w:styleId="WW8Num9z0">
    <w:name w:val="WW8Num9z0"/>
    <w:qFormat/>
    <w:rsid w:val="00CE08A8"/>
    <w:rPr>
      <w:rFonts w:ascii="Times New Roman" w:eastAsia="Times New Roman" w:hAnsi="Times New Roman" w:cs="Times New Roman"/>
    </w:rPr>
  </w:style>
  <w:style w:type="character" w:customStyle="1" w:styleId="WW8Num9z1">
    <w:name w:val="WW8Num9z1"/>
    <w:qFormat/>
    <w:rsid w:val="00CE08A8"/>
    <w:rPr>
      <w:rFonts w:ascii="Courier New" w:hAnsi="Courier New" w:cs="Courier New"/>
    </w:rPr>
  </w:style>
  <w:style w:type="character" w:customStyle="1" w:styleId="WW8Num9z2">
    <w:name w:val="WW8Num9z2"/>
    <w:qFormat/>
    <w:rsid w:val="00CE08A8"/>
    <w:rPr>
      <w:rFonts w:ascii="Wingdings" w:hAnsi="Wingdings" w:cs="Wingdings"/>
    </w:rPr>
  </w:style>
  <w:style w:type="character" w:customStyle="1" w:styleId="WW8Num9z3">
    <w:name w:val="WW8Num9z3"/>
    <w:qFormat/>
    <w:rsid w:val="00CE08A8"/>
    <w:rPr>
      <w:rFonts w:ascii="Symbol" w:hAnsi="Symbol" w:cs="Symbol"/>
    </w:rPr>
  </w:style>
  <w:style w:type="character" w:customStyle="1" w:styleId="22">
    <w:name w:val="Основной шрифт абзаца2"/>
    <w:qFormat/>
    <w:rsid w:val="00CE08A8"/>
  </w:style>
  <w:style w:type="character" w:styleId="af5">
    <w:name w:val="Strong"/>
    <w:qFormat/>
    <w:rsid w:val="00CE08A8"/>
    <w:rPr>
      <w:b/>
      <w:bCs/>
    </w:rPr>
  </w:style>
  <w:style w:type="character" w:customStyle="1" w:styleId="23">
    <w:name w:val="Знак примечания2"/>
    <w:qFormat/>
    <w:rsid w:val="00CE08A8"/>
    <w:rPr>
      <w:rFonts w:ascii="Times New Roman" w:eastAsia="Times New Roman" w:hAnsi="Times New Roman" w:cs="Times New Roman"/>
      <w:color w:val="000000"/>
      <w:sz w:val="16"/>
      <w:szCs w:val="16"/>
    </w:rPr>
  </w:style>
  <w:style w:type="character" w:customStyle="1" w:styleId="Strong1">
    <w:name w:val="Strong1"/>
    <w:qFormat/>
    <w:rsid w:val="00CE08A8"/>
    <w:rPr>
      <w:b/>
      <w:bCs/>
    </w:rPr>
  </w:style>
  <w:style w:type="character" w:customStyle="1" w:styleId="c-committee-personposition">
    <w:name w:val="c-committee-person__position"/>
    <w:qFormat/>
    <w:rsid w:val="00CE08A8"/>
  </w:style>
  <w:style w:type="character" w:customStyle="1" w:styleId="1b">
    <w:name w:val="Текст примечания Знак1"/>
    <w:basedOn w:val="10"/>
    <w:link w:val="24"/>
    <w:uiPriority w:val="99"/>
    <w:semiHidden/>
    <w:qFormat/>
    <w:rsid w:val="00CE08A8"/>
    <w:rPr>
      <w:sz w:val="20"/>
      <w:szCs w:val="20"/>
    </w:rPr>
  </w:style>
  <w:style w:type="character" w:customStyle="1" w:styleId="1c">
    <w:name w:val="Тема примечания Знак1"/>
    <w:basedOn w:val="1b"/>
    <w:link w:val="25"/>
    <w:qFormat/>
    <w:rsid w:val="00CE08A8"/>
    <w:rPr>
      <w:rFonts w:cs="Times New Roman"/>
      <w:b/>
      <w:bCs/>
      <w:sz w:val="20"/>
      <w:szCs w:val="20"/>
      <w:lang w:val="ru-RU" w:eastAsia="zh-CN"/>
    </w:rPr>
  </w:style>
  <w:style w:type="paragraph" w:customStyle="1" w:styleId="a0">
    <w:name w:val="Заголовок"/>
    <w:basedOn w:val="a"/>
    <w:next w:val="a1"/>
    <w:qFormat/>
    <w:rsid w:val="0032330A"/>
    <w:pPr>
      <w:keepNext/>
      <w:spacing w:before="240" w:after="120"/>
    </w:pPr>
    <w:rPr>
      <w:rFonts w:ascii="Liberation Sans" w:eastAsia="Microsoft YaHei" w:hAnsi="Liberation Sans" w:cs="Arial"/>
      <w:sz w:val="28"/>
      <w:szCs w:val="28"/>
    </w:rPr>
  </w:style>
  <w:style w:type="paragraph" w:styleId="a1">
    <w:name w:val="Body Text"/>
    <w:basedOn w:val="a"/>
    <w:link w:val="af1"/>
    <w:rsid w:val="0032330A"/>
    <w:pPr>
      <w:spacing w:after="140"/>
    </w:pPr>
  </w:style>
  <w:style w:type="paragraph" w:styleId="af6">
    <w:name w:val="List"/>
    <w:basedOn w:val="a1"/>
    <w:rsid w:val="0032330A"/>
    <w:rPr>
      <w:rFonts w:cs="Arial"/>
    </w:rPr>
  </w:style>
  <w:style w:type="paragraph" w:styleId="af7">
    <w:name w:val="caption"/>
    <w:basedOn w:val="a"/>
    <w:qFormat/>
    <w:pPr>
      <w:suppressLineNumbers/>
      <w:spacing w:before="120" w:after="120"/>
    </w:pPr>
    <w:rPr>
      <w:rFonts w:cs="Arial"/>
      <w:i/>
      <w:iCs/>
      <w:sz w:val="24"/>
      <w:szCs w:val="24"/>
    </w:rPr>
  </w:style>
  <w:style w:type="paragraph" w:customStyle="1" w:styleId="af8">
    <w:name w:val="Покажчик"/>
    <w:basedOn w:val="a"/>
    <w:qFormat/>
    <w:rsid w:val="0032330A"/>
    <w:pPr>
      <w:suppressLineNumbers/>
    </w:pPr>
    <w:rPr>
      <w:rFonts w:cs="Arial"/>
    </w:rPr>
  </w:style>
  <w:style w:type="paragraph" w:customStyle="1" w:styleId="caption1">
    <w:name w:val="caption1"/>
    <w:basedOn w:val="a"/>
    <w:qFormat/>
    <w:pPr>
      <w:suppressLineNumbers/>
      <w:spacing w:before="120" w:after="120"/>
    </w:pPr>
    <w:rPr>
      <w:rFonts w:cs="Lucida Sans"/>
      <w:i/>
      <w:iCs/>
      <w:sz w:val="24"/>
      <w:szCs w:val="24"/>
    </w:rPr>
  </w:style>
  <w:style w:type="paragraph" w:customStyle="1" w:styleId="caption11">
    <w:name w:val="caption11"/>
    <w:basedOn w:val="a"/>
    <w:qFormat/>
    <w:pPr>
      <w:suppressLineNumbers/>
      <w:spacing w:before="120" w:after="120"/>
    </w:pPr>
    <w:rPr>
      <w:rFonts w:cs="Lucida Sans"/>
      <w:i/>
      <w:iCs/>
      <w:sz w:val="24"/>
      <w:szCs w:val="24"/>
    </w:rPr>
  </w:style>
  <w:style w:type="paragraph" w:customStyle="1" w:styleId="caption111">
    <w:name w:val="caption111"/>
    <w:basedOn w:val="a"/>
    <w:qFormat/>
    <w:pPr>
      <w:suppressLineNumbers/>
      <w:spacing w:before="120" w:after="120"/>
    </w:pPr>
    <w:rPr>
      <w:rFonts w:cs="Lucida Sans"/>
      <w:i/>
      <w:iCs/>
      <w:sz w:val="24"/>
      <w:szCs w:val="24"/>
    </w:rPr>
  </w:style>
  <w:style w:type="paragraph" w:customStyle="1" w:styleId="caption1111">
    <w:name w:val="caption1111"/>
    <w:basedOn w:val="a"/>
    <w:qFormat/>
    <w:pPr>
      <w:suppressLineNumbers/>
      <w:spacing w:before="120" w:after="120"/>
    </w:pPr>
    <w:rPr>
      <w:rFonts w:cs="Lucida Sans"/>
      <w:i/>
      <w:iCs/>
      <w:sz w:val="24"/>
      <w:szCs w:val="24"/>
    </w:rPr>
  </w:style>
  <w:style w:type="paragraph" w:customStyle="1" w:styleId="caption11111">
    <w:name w:val="caption11111"/>
    <w:basedOn w:val="a"/>
    <w:qFormat/>
    <w:pPr>
      <w:suppressLineNumbers/>
      <w:spacing w:before="120" w:after="120"/>
    </w:pPr>
    <w:rPr>
      <w:rFonts w:cs="Lucida Sans"/>
      <w:i/>
      <w:iCs/>
      <w:sz w:val="24"/>
      <w:szCs w:val="24"/>
    </w:rPr>
  </w:style>
  <w:style w:type="paragraph" w:customStyle="1" w:styleId="caption111111">
    <w:name w:val="caption111111"/>
    <w:basedOn w:val="a"/>
    <w:qFormat/>
    <w:pPr>
      <w:suppressLineNumbers/>
      <w:spacing w:before="120" w:after="120"/>
    </w:pPr>
    <w:rPr>
      <w:rFonts w:cs="Lucida Sans"/>
      <w:i/>
      <w:iCs/>
      <w:sz w:val="24"/>
      <w:szCs w:val="24"/>
    </w:rPr>
  </w:style>
  <w:style w:type="paragraph" w:customStyle="1" w:styleId="caption1111111">
    <w:name w:val="caption1111111"/>
    <w:basedOn w:val="a"/>
    <w:qFormat/>
    <w:pPr>
      <w:suppressLineNumbers/>
      <w:spacing w:before="120" w:after="120"/>
    </w:pPr>
    <w:rPr>
      <w:rFonts w:cs="Lucida Sans"/>
      <w:i/>
      <w:iCs/>
      <w:sz w:val="24"/>
      <w:szCs w:val="24"/>
    </w:rPr>
  </w:style>
  <w:style w:type="paragraph" w:customStyle="1" w:styleId="caption11111111">
    <w:name w:val="caption11111111"/>
    <w:basedOn w:val="a"/>
    <w:qFormat/>
    <w:rsid w:val="002A49F1"/>
    <w:pPr>
      <w:spacing w:before="120" w:after="120" w:line="240" w:lineRule="auto"/>
    </w:pPr>
    <w:rPr>
      <w:rFonts w:ascii="Times New Roman" w:eastAsia="Times New Roman" w:hAnsi="Times New Roman" w:cs="Times New Roman"/>
      <w:i/>
      <w:iCs/>
      <w:sz w:val="24"/>
      <w:szCs w:val="24"/>
      <w:lang w:val="ru-RU" w:eastAsia="zh-CN"/>
    </w:rPr>
  </w:style>
  <w:style w:type="paragraph" w:customStyle="1" w:styleId="caption111111111">
    <w:name w:val="caption111111111"/>
    <w:basedOn w:val="a"/>
    <w:qFormat/>
    <w:pPr>
      <w:suppressLineNumbers/>
      <w:spacing w:before="120" w:after="120"/>
    </w:pPr>
    <w:rPr>
      <w:rFonts w:cs="Lucida Sans"/>
      <w:i/>
      <w:iCs/>
      <w:sz w:val="24"/>
      <w:szCs w:val="24"/>
    </w:rPr>
  </w:style>
  <w:style w:type="paragraph" w:customStyle="1" w:styleId="caption1111111111">
    <w:name w:val="caption1111111111"/>
    <w:basedOn w:val="a"/>
    <w:qFormat/>
    <w:pPr>
      <w:suppressLineNumbers/>
      <w:spacing w:before="120" w:after="120"/>
    </w:pPr>
    <w:rPr>
      <w:rFonts w:cs="Lucida Sans"/>
      <w:i/>
      <w:iCs/>
      <w:sz w:val="24"/>
      <w:szCs w:val="24"/>
    </w:rPr>
  </w:style>
  <w:style w:type="paragraph" w:customStyle="1" w:styleId="caption11111111111">
    <w:name w:val="caption11111111111"/>
    <w:basedOn w:val="a"/>
    <w:qFormat/>
    <w:pPr>
      <w:suppressLineNumbers/>
      <w:spacing w:before="120" w:after="120"/>
    </w:pPr>
    <w:rPr>
      <w:rFonts w:cs="Lucida Sans"/>
      <w:i/>
      <w:iCs/>
      <w:sz w:val="24"/>
      <w:szCs w:val="24"/>
    </w:rPr>
  </w:style>
  <w:style w:type="paragraph" w:customStyle="1" w:styleId="caption111111111111">
    <w:name w:val="caption111111111111"/>
    <w:basedOn w:val="a"/>
    <w:qFormat/>
    <w:pPr>
      <w:suppressLineNumbers/>
      <w:spacing w:before="120" w:after="120"/>
    </w:pPr>
    <w:rPr>
      <w:rFonts w:cs="Lucida Sans"/>
      <w:i/>
      <w:iCs/>
      <w:sz w:val="24"/>
      <w:szCs w:val="24"/>
    </w:rPr>
  </w:style>
  <w:style w:type="paragraph" w:customStyle="1" w:styleId="caption1111111111111">
    <w:name w:val="caption1111111111111"/>
    <w:basedOn w:val="a"/>
    <w:qFormat/>
    <w:pPr>
      <w:suppressLineNumbers/>
      <w:spacing w:before="120" w:after="120"/>
    </w:pPr>
    <w:rPr>
      <w:rFonts w:cs="Lucida Sans"/>
      <w:i/>
      <w:iCs/>
      <w:sz w:val="24"/>
      <w:szCs w:val="24"/>
    </w:rPr>
  </w:style>
  <w:style w:type="paragraph" w:customStyle="1" w:styleId="caption11111111111111">
    <w:name w:val="caption11111111111111"/>
    <w:basedOn w:val="a"/>
    <w:qFormat/>
    <w:pPr>
      <w:suppressLineNumbers/>
      <w:spacing w:before="120" w:after="120"/>
    </w:pPr>
    <w:rPr>
      <w:rFonts w:cs="Lucida Sans"/>
      <w:i/>
      <w:iCs/>
      <w:sz w:val="24"/>
      <w:szCs w:val="24"/>
    </w:rPr>
  </w:style>
  <w:style w:type="paragraph" w:customStyle="1" w:styleId="caption111111111111111">
    <w:name w:val="caption111111111111111"/>
    <w:basedOn w:val="a"/>
    <w:qFormat/>
    <w:pPr>
      <w:suppressLineNumbers/>
      <w:spacing w:before="120" w:after="120"/>
    </w:pPr>
    <w:rPr>
      <w:rFonts w:cs="Lucida Sans"/>
      <w:i/>
      <w:iCs/>
      <w:sz w:val="24"/>
      <w:szCs w:val="24"/>
    </w:rPr>
  </w:style>
  <w:style w:type="paragraph" w:customStyle="1" w:styleId="caption1111111111111111">
    <w:name w:val="caption1111111111111111"/>
    <w:basedOn w:val="a"/>
    <w:qFormat/>
    <w:pPr>
      <w:suppressLineNumbers/>
      <w:spacing w:before="120" w:after="120"/>
    </w:pPr>
    <w:rPr>
      <w:rFonts w:cs="Lucida Sans"/>
      <w:i/>
      <w:iCs/>
      <w:sz w:val="24"/>
      <w:szCs w:val="24"/>
    </w:rPr>
  </w:style>
  <w:style w:type="paragraph" w:customStyle="1" w:styleId="caption11111111111111111">
    <w:name w:val="caption11111111111111111"/>
    <w:basedOn w:val="a"/>
    <w:qFormat/>
    <w:pPr>
      <w:suppressLineNumbers/>
      <w:spacing w:before="120" w:after="120"/>
    </w:pPr>
    <w:rPr>
      <w:rFonts w:cs="Lucida Sans"/>
      <w:i/>
      <w:iCs/>
      <w:sz w:val="24"/>
      <w:szCs w:val="24"/>
    </w:rPr>
  </w:style>
  <w:style w:type="paragraph" w:customStyle="1" w:styleId="caption111111111111111111">
    <w:name w:val="caption111111111111111111"/>
    <w:basedOn w:val="a"/>
    <w:qFormat/>
    <w:pPr>
      <w:suppressLineNumbers/>
      <w:spacing w:before="120" w:after="120"/>
    </w:pPr>
    <w:rPr>
      <w:rFonts w:cs="Lucida Sans"/>
      <w:i/>
      <w:iCs/>
      <w:sz w:val="24"/>
      <w:szCs w:val="24"/>
    </w:rPr>
  </w:style>
  <w:style w:type="paragraph" w:customStyle="1" w:styleId="caption1111111111111111111">
    <w:name w:val="caption1111111111111111111"/>
    <w:basedOn w:val="a"/>
    <w:qFormat/>
    <w:pPr>
      <w:suppressLineNumbers/>
      <w:spacing w:before="120" w:after="120"/>
    </w:pPr>
    <w:rPr>
      <w:rFonts w:cs="Lucida Sans"/>
      <w:i/>
      <w:iCs/>
      <w:sz w:val="24"/>
      <w:szCs w:val="24"/>
    </w:rPr>
  </w:style>
  <w:style w:type="paragraph" w:customStyle="1" w:styleId="caption11111111111111111111">
    <w:name w:val="caption11111111111111111111"/>
    <w:basedOn w:val="a"/>
    <w:qFormat/>
    <w:pPr>
      <w:suppressLineNumbers/>
      <w:spacing w:before="120" w:after="120"/>
    </w:pPr>
    <w:rPr>
      <w:rFonts w:cs="Lucida Sans"/>
      <w:i/>
      <w:iCs/>
      <w:sz w:val="24"/>
      <w:szCs w:val="24"/>
    </w:rPr>
  </w:style>
  <w:style w:type="paragraph" w:customStyle="1" w:styleId="caption111111111111111111111">
    <w:name w:val="caption111111111111111111111"/>
    <w:basedOn w:val="a"/>
    <w:qFormat/>
    <w:pPr>
      <w:suppressLineNumbers/>
      <w:spacing w:before="120" w:after="120"/>
    </w:pPr>
    <w:rPr>
      <w:rFonts w:cs="Lucida Sans"/>
      <w:i/>
      <w:iCs/>
      <w:sz w:val="24"/>
      <w:szCs w:val="24"/>
    </w:rPr>
  </w:style>
  <w:style w:type="paragraph" w:customStyle="1" w:styleId="caption1111111111111111111111">
    <w:name w:val="caption1111111111111111111111"/>
    <w:basedOn w:val="a"/>
    <w:qFormat/>
    <w:pPr>
      <w:suppressLineNumbers/>
      <w:spacing w:before="120" w:after="120"/>
    </w:pPr>
    <w:rPr>
      <w:rFonts w:cs="Lucida Sans"/>
      <w:i/>
      <w:iCs/>
      <w:sz w:val="24"/>
      <w:szCs w:val="24"/>
    </w:rPr>
  </w:style>
  <w:style w:type="paragraph" w:customStyle="1" w:styleId="caption11111111111111111111111">
    <w:name w:val="caption11111111111111111111111"/>
    <w:basedOn w:val="a"/>
    <w:qFormat/>
    <w:pPr>
      <w:suppressLineNumbers/>
      <w:spacing w:before="120" w:after="120"/>
    </w:pPr>
    <w:rPr>
      <w:rFonts w:cs="Lucida Sans"/>
      <w:i/>
      <w:iCs/>
      <w:sz w:val="24"/>
      <w:szCs w:val="24"/>
    </w:rPr>
  </w:style>
  <w:style w:type="paragraph" w:customStyle="1" w:styleId="caption111111111111111111111111">
    <w:name w:val="caption111111111111111111111111"/>
    <w:basedOn w:val="a"/>
    <w:qFormat/>
    <w:rsid w:val="000B1D29"/>
    <w:pPr>
      <w:suppressLineNumbers/>
      <w:spacing w:before="120" w:after="120"/>
    </w:pPr>
    <w:rPr>
      <w:rFonts w:cs="Lucida Sans"/>
      <w:i/>
      <w:iCs/>
      <w:sz w:val="24"/>
      <w:szCs w:val="24"/>
    </w:rPr>
  </w:style>
  <w:style w:type="paragraph" w:customStyle="1" w:styleId="caption1111111111111111111111111">
    <w:name w:val="caption1111111111111111111111111"/>
    <w:basedOn w:val="a"/>
    <w:qFormat/>
    <w:rsid w:val="000B1D29"/>
    <w:pPr>
      <w:suppressLineNumbers/>
      <w:spacing w:before="120" w:after="120"/>
    </w:pPr>
    <w:rPr>
      <w:rFonts w:cs="Lucida Sans"/>
      <w:i/>
      <w:iCs/>
      <w:sz w:val="24"/>
      <w:szCs w:val="24"/>
    </w:rPr>
  </w:style>
  <w:style w:type="paragraph" w:customStyle="1" w:styleId="caption11111111111111111111111111">
    <w:name w:val="caption11111111111111111111111111"/>
    <w:basedOn w:val="a"/>
    <w:qFormat/>
    <w:rsid w:val="0032330A"/>
    <w:pPr>
      <w:suppressLineNumbers/>
      <w:spacing w:before="120" w:after="120"/>
    </w:pPr>
    <w:rPr>
      <w:rFonts w:cs="Lucida Sans"/>
      <w:i/>
      <w:iCs/>
      <w:sz w:val="24"/>
      <w:szCs w:val="24"/>
    </w:rPr>
  </w:style>
  <w:style w:type="paragraph" w:customStyle="1" w:styleId="caption111111111111111111111111111">
    <w:name w:val="caption111111111111111111111111111"/>
    <w:basedOn w:val="a"/>
    <w:qFormat/>
    <w:rsid w:val="0032330A"/>
    <w:pPr>
      <w:suppressLineNumbers/>
      <w:spacing w:before="120" w:after="120"/>
    </w:pPr>
    <w:rPr>
      <w:rFonts w:cs="Lucida Sans"/>
      <w:i/>
      <w:iCs/>
      <w:sz w:val="24"/>
      <w:szCs w:val="24"/>
    </w:rPr>
  </w:style>
  <w:style w:type="paragraph" w:customStyle="1" w:styleId="caption1111111111111111111111111111">
    <w:name w:val="caption1111111111111111111111111111"/>
    <w:basedOn w:val="a"/>
    <w:qFormat/>
    <w:rsid w:val="0032330A"/>
    <w:pPr>
      <w:suppressLineNumbers/>
      <w:spacing w:before="120" w:after="120"/>
    </w:pPr>
    <w:rPr>
      <w:rFonts w:cs="Lucida Sans"/>
      <w:i/>
      <w:iCs/>
      <w:sz w:val="24"/>
      <w:szCs w:val="24"/>
    </w:rPr>
  </w:style>
  <w:style w:type="paragraph" w:customStyle="1" w:styleId="caption11111111111111111111111111111">
    <w:name w:val="caption11111111111111111111111111111"/>
    <w:basedOn w:val="a"/>
    <w:qFormat/>
    <w:rsid w:val="0032330A"/>
    <w:pPr>
      <w:suppressLineNumbers/>
      <w:spacing w:before="120" w:after="120"/>
    </w:pPr>
    <w:rPr>
      <w:rFonts w:cs="Lucida Sans"/>
      <w:i/>
      <w:iCs/>
      <w:sz w:val="24"/>
      <w:szCs w:val="24"/>
    </w:rPr>
  </w:style>
  <w:style w:type="paragraph" w:customStyle="1" w:styleId="caption111111111111111111111111111111">
    <w:name w:val="caption111111111111111111111111111111"/>
    <w:basedOn w:val="a"/>
    <w:qFormat/>
    <w:rsid w:val="0032330A"/>
    <w:pPr>
      <w:suppressLineNumbers/>
      <w:spacing w:before="120" w:after="120"/>
    </w:pPr>
    <w:rPr>
      <w:rFonts w:cs="Lucida Sans"/>
      <w:i/>
      <w:iCs/>
      <w:sz w:val="24"/>
      <w:szCs w:val="24"/>
    </w:rPr>
  </w:style>
  <w:style w:type="paragraph" w:customStyle="1" w:styleId="caption1111111111111111111111111111111">
    <w:name w:val="caption1111111111111111111111111111111"/>
    <w:basedOn w:val="a"/>
    <w:qFormat/>
    <w:rsid w:val="0032330A"/>
    <w:pPr>
      <w:suppressLineNumbers/>
      <w:spacing w:before="120" w:after="120"/>
    </w:pPr>
    <w:rPr>
      <w:rFonts w:cs="Lucida Sans"/>
      <w:i/>
      <w:iCs/>
      <w:sz w:val="24"/>
      <w:szCs w:val="24"/>
    </w:rPr>
  </w:style>
  <w:style w:type="paragraph" w:customStyle="1" w:styleId="caption11111111111111111111111111111111">
    <w:name w:val="caption11111111111111111111111111111111"/>
    <w:basedOn w:val="a"/>
    <w:qFormat/>
    <w:rsid w:val="0032330A"/>
    <w:pPr>
      <w:suppressLineNumbers/>
      <w:spacing w:before="120" w:after="120"/>
    </w:pPr>
    <w:rPr>
      <w:rFonts w:cs="Lucida Sans"/>
      <w:i/>
      <w:iCs/>
      <w:sz w:val="24"/>
      <w:szCs w:val="24"/>
    </w:rPr>
  </w:style>
  <w:style w:type="paragraph" w:customStyle="1" w:styleId="caption111111111111111111111111111111111">
    <w:name w:val="caption111111111111111111111111111111111"/>
    <w:basedOn w:val="a"/>
    <w:qFormat/>
    <w:rsid w:val="0032330A"/>
    <w:pPr>
      <w:suppressLineNumbers/>
      <w:spacing w:before="120" w:after="120"/>
    </w:pPr>
    <w:rPr>
      <w:rFonts w:cs="Lucida Sans"/>
      <w:i/>
      <w:iCs/>
      <w:sz w:val="24"/>
      <w:szCs w:val="24"/>
    </w:rPr>
  </w:style>
  <w:style w:type="paragraph" w:customStyle="1" w:styleId="caption1111111111111111111111111111111111">
    <w:name w:val="caption1111111111111111111111111111111111"/>
    <w:basedOn w:val="a"/>
    <w:qFormat/>
    <w:rsid w:val="0032330A"/>
    <w:pPr>
      <w:suppressLineNumbers/>
      <w:spacing w:before="120" w:after="120"/>
    </w:pPr>
    <w:rPr>
      <w:rFonts w:cs="Lucida Sans"/>
      <w:i/>
      <w:iCs/>
      <w:sz w:val="24"/>
      <w:szCs w:val="24"/>
    </w:rPr>
  </w:style>
  <w:style w:type="paragraph" w:customStyle="1" w:styleId="caption11111111111111111111111111111111111">
    <w:name w:val="caption11111111111111111111111111111111111"/>
    <w:basedOn w:val="a"/>
    <w:qFormat/>
    <w:rsid w:val="0032330A"/>
    <w:pPr>
      <w:suppressLineNumbers/>
      <w:spacing w:before="120" w:after="120"/>
    </w:pPr>
    <w:rPr>
      <w:rFonts w:cs="Arial"/>
      <w:i/>
      <w:iCs/>
      <w:sz w:val="24"/>
      <w:szCs w:val="24"/>
    </w:rPr>
  </w:style>
  <w:style w:type="paragraph" w:customStyle="1" w:styleId="1d">
    <w:name w:val="Абзац списка1"/>
    <w:basedOn w:val="a"/>
    <w:qFormat/>
    <w:rsid w:val="002A49F1"/>
    <w:pPr>
      <w:ind w:left="720"/>
    </w:pPr>
    <w:rPr>
      <w:rFonts w:eastAsia="Times New Roman" w:cs="Calibri"/>
      <w:lang w:eastAsia="zh-CN"/>
    </w:rPr>
  </w:style>
  <w:style w:type="paragraph" w:customStyle="1" w:styleId="af9">
    <w:name w:val="Вміст таблиці"/>
    <w:basedOn w:val="a"/>
    <w:qFormat/>
    <w:rsid w:val="0032330A"/>
    <w:pPr>
      <w:widowControl w:val="0"/>
      <w:suppressLineNumbers/>
    </w:pPr>
  </w:style>
  <w:style w:type="paragraph" w:customStyle="1" w:styleId="afa">
    <w:name w:val="Заголовок таблиці"/>
    <w:basedOn w:val="af9"/>
    <w:qFormat/>
    <w:rsid w:val="0032330A"/>
    <w:pPr>
      <w:jc w:val="center"/>
    </w:pPr>
    <w:rPr>
      <w:b/>
      <w:bCs/>
    </w:rPr>
  </w:style>
  <w:style w:type="paragraph" w:customStyle="1" w:styleId="afb">
    <w:name w:val="Вміст рамки"/>
    <w:basedOn w:val="a"/>
    <w:qFormat/>
    <w:rsid w:val="0032330A"/>
  </w:style>
  <w:style w:type="paragraph" w:customStyle="1" w:styleId="afc">
    <w:name w:val="Верхній і нижній колонтитули"/>
    <w:basedOn w:val="a"/>
    <w:qFormat/>
    <w:rsid w:val="0032330A"/>
    <w:pPr>
      <w:suppressLineNumbers/>
      <w:tabs>
        <w:tab w:val="center" w:pos="4819"/>
        <w:tab w:val="right" w:pos="9638"/>
      </w:tabs>
    </w:pPr>
  </w:style>
  <w:style w:type="paragraph" w:styleId="af0">
    <w:name w:val="footer"/>
    <w:basedOn w:val="afc"/>
    <w:link w:val="af"/>
    <w:rsid w:val="0032330A"/>
  </w:style>
  <w:style w:type="paragraph" w:customStyle="1" w:styleId="310">
    <w:name w:val="Основной текст с отступом 31"/>
    <w:basedOn w:val="a"/>
    <w:qFormat/>
    <w:rsid w:val="002A49F1"/>
    <w:pPr>
      <w:spacing w:after="0" w:line="240" w:lineRule="auto"/>
      <w:ind w:left="540"/>
      <w:jc w:val="both"/>
    </w:pPr>
    <w:rPr>
      <w:rFonts w:ascii="Times New Roman" w:eastAsia="Times New Roman" w:hAnsi="Times New Roman" w:cs="Times New Roman"/>
      <w:lang w:eastAsia="zh-CN"/>
    </w:rPr>
  </w:style>
  <w:style w:type="paragraph" w:customStyle="1" w:styleId="LO-normal">
    <w:name w:val="LO-normal"/>
    <w:qFormat/>
    <w:rsid w:val="0032330A"/>
    <w:pPr>
      <w:widowControl w:val="0"/>
    </w:pPr>
    <w:rPr>
      <w:rFonts w:ascii="Times New Roman" w:eastAsia="Times New Roman" w:hAnsi="Times New Roman" w:cs="Times New Roman"/>
      <w:sz w:val="24"/>
      <w:szCs w:val="24"/>
      <w:lang w:eastAsia="zh-CN"/>
    </w:rPr>
  </w:style>
  <w:style w:type="paragraph" w:customStyle="1" w:styleId="1e">
    <w:name w:val="Без интервала1"/>
    <w:qFormat/>
    <w:rsid w:val="002A49F1"/>
    <w:rPr>
      <w:rFonts w:cs="Calibri"/>
      <w:lang w:val="ru-RU" w:eastAsia="zh-CN"/>
    </w:rPr>
  </w:style>
  <w:style w:type="paragraph" w:customStyle="1" w:styleId="Standard">
    <w:name w:val="Standard"/>
    <w:qFormat/>
    <w:rsid w:val="0032330A"/>
    <w:pPr>
      <w:widowControl w:val="0"/>
      <w:textAlignment w:val="baseline"/>
    </w:pPr>
    <w:rPr>
      <w:rFonts w:ascii="Times New Roman" w:eastAsia="Andale Sans UI" w:hAnsi="Times New Roman"/>
      <w:kern w:val="2"/>
      <w:sz w:val="24"/>
      <w:szCs w:val="24"/>
      <w:lang w:eastAsia="zh-CN"/>
    </w:rPr>
  </w:style>
  <w:style w:type="paragraph" w:styleId="afd">
    <w:name w:val="Body Text Indent"/>
    <w:basedOn w:val="a"/>
    <w:rsid w:val="0032330A"/>
    <w:pPr>
      <w:spacing w:after="120"/>
      <w:ind w:left="283"/>
    </w:pPr>
  </w:style>
  <w:style w:type="paragraph" w:customStyle="1" w:styleId="1f">
    <w:name w:val="Текст выноски1"/>
    <w:basedOn w:val="a"/>
    <w:qFormat/>
    <w:rsid w:val="002A49F1"/>
    <w:pPr>
      <w:spacing w:after="0" w:line="240" w:lineRule="exact"/>
    </w:pPr>
    <w:rPr>
      <w:rFonts w:ascii="Tahoma" w:eastAsia="Times New Roman" w:hAnsi="Tahoma"/>
      <w:sz w:val="16"/>
      <w:szCs w:val="16"/>
      <w:lang w:val="ru-RU" w:eastAsia="zh-CN"/>
    </w:rPr>
  </w:style>
  <w:style w:type="paragraph" w:customStyle="1" w:styleId="14">
    <w:name w:val="Текст примечания1"/>
    <w:basedOn w:val="a"/>
    <w:link w:val="ab"/>
    <w:qFormat/>
    <w:rsid w:val="002A49F1"/>
    <w:pPr>
      <w:widowControl w:val="0"/>
      <w:spacing w:before="240" w:after="240" w:line="360" w:lineRule="auto"/>
      <w:jc w:val="both"/>
      <w:textAlignment w:val="baseline"/>
    </w:pPr>
    <w:rPr>
      <w:rFonts w:ascii="Arial" w:eastAsia="Times New Roman" w:hAnsi="Arial" w:cs="Arial"/>
      <w:szCs w:val="20"/>
      <w:lang w:val="es-ES" w:eastAsia="zh-CN"/>
    </w:rPr>
  </w:style>
  <w:style w:type="paragraph" w:customStyle="1" w:styleId="15">
    <w:name w:val="Тема примечания1"/>
    <w:next w:val="14"/>
    <w:link w:val="ac"/>
    <w:qFormat/>
    <w:rsid w:val="002A49F1"/>
    <w:pPr>
      <w:widowControl w:val="0"/>
      <w:spacing w:line="240" w:lineRule="exact"/>
    </w:pPr>
    <w:rPr>
      <w:rFonts w:ascii="Liberation Serif" w:eastAsia="NSimSun" w:hAnsi="Liberation Serif" w:cs="Arial"/>
      <w:b/>
      <w:bCs/>
      <w:sz w:val="20"/>
      <w:szCs w:val="20"/>
      <w:lang w:eastAsia="zh-CN" w:bidi="hi-IN"/>
    </w:rPr>
  </w:style>
  <w:style w:type="paragraph" w:customStyle="1" w:styleId="afe">
    <w:name w:val="Фігура"/>
    <w:basedOn w:val="caption11111111111111111111111111111111111"/>
    <w:qFormat/>
    <w:rsid w:val="0032330A"/>
  </w:style>
  <w:style w:type="paragraph" w:customStyle="1" w:styleId="TableParagraph">
    <w:name w:val="Table Paragraph"/>
    <w:basedOn w:val="a"/>
    <w:qFormat/>
    <w:rsid w:val="0032330A"/>
    <w:rPr>
      <w:rFonts w:ascii="Microsoft Sans Serif" w:eastAsia="Microsoft Sans Serif" w:hAnsi="Microsoft Sans Serif" w:cs="Microsoft Sans Serif"/>
    </w:rPr>
  </w:style>
  <w:style w:type="paragraph" w:customStyle="1" w:styleId="1f0">
    <w:name w:val="Абзац списку1"/>
    <w:basedOn w:val="a"/>
    <w:qFormat/>
    <w:rsid w:val="0032330A"/>
    <w:pPr>
      <w:ind w:left="708"/>
    </w:pPr>
  </w:style>
  <w:style w:type="paragraph" w:styleId="ae">
    <w:name w:val="header"/>
    <w:basedOn w:val="afc"/>
    <w:link w:val="ad"/>
    <w:rsid w:val="00280DAA"/>
    <w:pPr>
      <w:tabs>
        <w:tab w:val="clear" w:pos="4819"/>
        <w:tab w:val="clear" w:pos="9638"/>
        <w:tab w:val="center" w:pos="4677"/>
        <w:tab w:val="right" w:pos="9355"/>
      </w:tabs>
      <w:spacing w:after="0" w:line="240" w:lineRule="auto"/>
    </w:pPr>
    <w:rPr>
      <w:rFonts w:ascii="Liberation Serif" w:eastAsia="NSimSun" w:hAnsi="Liberation Serif" w:cs="Arial"/>
      <w:kern w:val="2"/>
      <w:sz w:val="24"/>
      <w:szCs w:val="24"/>
      <w:lang w:eastAsia="zh-CN" w:bidi="hi-IN"/>
    </w:rPr>
  </w:style>
  <w:style w:type="paragraph" w:customStyle="1" w:styleId="aff">
    <w:name w:val="Верхній колонтитул ліворуч"/>
    <w:basedOn w:val="ae"/>
    <w:qFormat/>
    <w:rsid w:val="00280DAA"/>
  </w:style>
  <w:style w:type="paragraph" w:customStyle="1" w:styleId="xfmc1">
    <w:name w:val="xfmc1"/>
    <w:basedOn w:val="a"/>
    <w:qFormat/>
    <w:rsid w:val="00280DAA"/>
    <w:pPr>
      <w:spacing w:beforeAutospacing="1" w:afterAutospacing="1" w:line="240" w:lineRule="auto"/>
    </w:pPr>
    <w:rPr>
      <w:rFonts w:ascii="Times New Roman" w:eastAsia="Times New Roman" w:hAnsi="Times New Roman" w:cs="Times New Roman"/>
      <w:kern w:val="2"/>
      <w:sz w:val="24"/>
      <w:szCs w:val="24"/>
      <w:lang w:val="ru-RU" w:eastAsia="ru-RU" w:bidi="hi-IN"/>
    </w:rPr>
  </w:style>
  <w:style w:type="paragraph" w:customStyle="1" w:styleId="1f1">
    <w:name w:val="Обычная таблица1"/>
    <w:qFormat/>
    <w:rsid w:val="0032330A"/>
    <w:rPr>
      <w:rFonts w:eastAsia="Cambria" w:cs="Calibri"/>
      <w:sz w:val="20"/>
      <w:lang w:val="ru-RU"/>
    </w:rPr>
  </w:style>
  <w:style w:type="paragraph" w:customStyle="1" w:styleId="2007">
    <w:name w:val="2007"/>
    <w:basedOn w:val="caption1111111111111111111111111"/>
    <w:qFormat/>
    <w:rsid w:val="000B1D29"/>
  </w:style>
  <w:style w:type="paragraph" w:customStyle="1" w:styleId="2020">
    <w:name w:val="2020"/>
    <w:basedOn w:val="caption1111111111111111111111111"/>
    <w:qFormat/>
    <w:rsid w:val="000B1D29"/>
  </w:style>
  <w:style w:type="paragraph" w:styleId="aff0">
    <w:name w:val="Normal (Web)"/>
    <w:basedOn w:val="a"/>
    <w:unhideWhenUsed/>
    <w:qFormat/>
    <w:rsid w:val="00D74EA7"/>
    <w:pPr>
      <w:spacing w:after="0" w:line="240" w:lineRule="auto"/>
    </w:pPr>
    <w:rPr>
      <w:rFonts w:ascii="Times New Roman" w:eastAsia="NSimSun" w:hAnsi="Times New Roman" w:cs="Mangal"/>
      <w:kern w:val="2"/>
      <w:sz w:val="24"/>
      <w:szCs w:val="21"/>
      <w:lang w:eastAsia="zh-CN" w:bidi="hi-IN"/>
    </w:rPr>
  </w:style>
  <w:style w:type="paragraph" w:customStyle="1" w:styleId="Default">
    <w:name w:val="Default"/>
    <w:qFormat/>
    <w:rsid w:val="00D74EA7"/>
    <w:pPr>
      <w:suppressAutoHyphens w:val="0"/>
    </w:pPr>
    <w:rPr>
      <w:rFonts w:ascii="Times New Roman" w:eastAsia="NSimSun" w:hAnsi="Times New Roman" w:cs="Times New Roman"/>
      <w:color w:val="000000"/>
      <w:sz w:val="24"/>
      <w:szCs w:val="24"/>
      <w:lang w:eastAsia="zh-CN"/>
    </w:rPr>
  </w:style>
  <w:style w:type="paragraph" w:customStyle="1" w:styleId="26">
    <w:name w:val="Обычная таблица2"/>
    <w:qFormat/>
    <w:pPr>
      <w:textAlignment w:val="baseline"/>
    </w:pPr>
    <w:rPr>
      <w:rFonts w:ascii="Liberation Serif" w:eastAsia="SimSun" w:hAnsi="Liberation Serif" w:cs="Mangal"/>
      <w:kern w:val="2"/>
      <w:sz w:val="24"/>
      <w:szCs w:val="24"/>
      <w:lang w:val="en-US" w:eastAsia="zh-CN" w:bidi="hi-IN"/>
    </w:rPr>
  </w:style>
  <w:style w:type="paragraph" w:customStyle="1" w:styleId="210">
    <w:name w:val="Основной текст 21"/>
    <w:basedOn w:val="a"/>
    <w:qFormat/>
    <w:rsid w:val="002A49F1"/>
    <w:pPr>
      <w:spacing w:after="0" w:line="240" w:lineRule="auto"/>
      <w:jc w:val="center"/>
    </w:pPr>
    <w:rPr>
      <w:rFonts w:ascii="Times New Roman" w:eastAsia="Times New Roman" w:hAnsi="Times New Roman" w:cs="Times New Roman"/>
      <w:b/>
      <w:sz w:val="28"/>
      <w:szCs w:val="28"/>
      <w:lang w:eastAsia="zh-CN"/>
    </w:rPr>
  </w:style>
  <w:style w:type="paragraph" w:customStyle="1" w:styleId="StyleProp">
    <w:name w:val="StyleProp"/>
    <w:basedOn w:val="a"/>
    <w:qFormat/>
    <w:rsid w:val="002A49F1"/>
    <w:pPr>
      <w:spacing w:after="0" w:line="200" w:lineRule="exact"/>
      <w:ind w:firstLine="227"/>
      <w:jc w:val="both"/>
    </w:pPr>
    <w:rPr>
      <w:rFonts w:ascii="Times New Roman" w:eastAsia="Times New Roman" w:hAnsi="Times New Roman" w:cs="Times New Roman"/>
      <w:sz w:val="18"/>
      <w:szCs w:val="20"/>
      <w:lang w:eastAsia="zh-CN"/>
    </w:rPr>
  </w:style>
  <w:style w:type="paragraph" w:customStyle="1" w:styleId="ms-rtethemefontface-1">
    <w:name w:val="ms-rtethemefontface-1"/>
    <w:basedOn w:val="a"/>
    <w:qFormat/>
    <w:rsid w:val="002A49F1"/>
    <w:pPr>
      <w:spacing w:before="280" w:after="280" w:line="240" w:lineRule="auto"/>
    </w:pPr>
    <w:rPr>
      <w:rFonts w:ascii="Times New Roman" w:eastAsia="Times New Roman" w:hAnsi="Times New Roman" w:cs="Times New Roman"/>
      <w:sz w:val="24"/>
      <w:szCs w:val="24"/>
      <w:lang w:val="ru-RU" w:eastAsia="zh-CN"/>
    </w:rPr>
  </w:style>
  <w:style w:type="paragraph" w:styleId="af4">
    <w:name w:val="footnote text"/>
    <w:basedOn w:val="a"/>
    <w:link w:val="19"/>
    <w:rsid w:val="002A49F1"/>
    <w:pPr>
      <w:spacing w:after="0" w:line="240" w:lineRule="auto"/>
    </w:pPr>
    <w:rPr>
      <w:rFonts w:cs="Times New Roman"/>
      <w:sz w:val="20"/>
      <w:szCs w:val="20"/>
      <w:lang w:eastAsia="zh-CN"/>
    </w:rPr>
  </w:style>
  <w:style w:type="paragraph" w:customStyle="1" w:styleId="indexheading1">
    <w:name w:val="index heading1"/>
    <w:basedOn w:val="a0"/>
    <w:qFormat/>
  </w:style>
  <w:style w:type="paragraph" w:customStyle="1" w:styleId="indexheading2">
    <w:name w:val="index heading2"/>
    <w:basedOn w:val="a0"/>
    <w:qFormat/>
  </w:style>
  <w:style w:type="paragraph" w:customStyle="1" w:styleId="indexheading3">
    <w:name w:val="index heading3"/>
    <w:basedOn w:val="a0"/>
    <w:qFormat/>
  </w:style>
  <w:style w:type="paragraph" w:customStyle="1" w:styleId="indexheading4">
    <w:name w:val="index heading4"/>
    <w:basedOn w:val="a0"/>
    <w:qFormat/>
  </w:style>
  <w:style w:type="paragraph" w:customStyle="1" w:styleId="indexheading5">
    <w:name w:val="index heading5"/>
    <w:basedOn w:val="a0"/>
    <w:qFormat/>
  </w:style>
  <w:style w:type="paragraph" w:customStyle="1" w:styleId="indexheading6">
    <w:name w:val="index heading6"/>
    <w:basedOn w:val="a0"/>
    <w:qFormat/>
  </w:style>
  <w:style w:type="paragraph" w:customStyle="1" w:styleId="indexheading7">
    <w:name w:val="index heading7"/>
    <w:basedOn w:val="a0"/>
    <w:qFormat/>
  </w:style>
  <w:style w:type="paragraph" w:styleId="aff1">
    <w:name w:val="index heading"/>
    <w:basedOn w:val="a0"/>
  </w:style>
  <w:style w:type="paragraph" w:styleId="aff2">
    <w:name w:val="TOC Heading"/>
    <w:basedOn w:val="1"/>
    <w:next w:val="a"/>
    <w:qFormat/>
    <w:rsid w:val="002A49F1"/>
    <w:pPr>
      <w:outlineLvl w:val="9"/>
    </w:pPr>
    <w:rPr>
      <w:rFonts w:eastAsia="Times New Roman" w:cs="Times New Roman"/>
      <w:lang w:val="ru-RU" w:eastAsia="zh-CN"/>
    </w:rPr>
  </w:style>
  <w:style w:type="paragraph" w:styleId="32">
    <w:name w:val="toc 3"/>
    <w:basedOn w:val="a"/>
    <w:next w:val="a"/>
    <w:rsid w:val="002A49F1"/>
    <w:pPr>
      <w:spacing w:after="100"/>
      <w:ind w:left="440"/>
    </w:pPr>
    <w:rPr>
      <w:rFonts w:cs="Times New Roman"/>
      <w:lang w:val="ru-RU" w:eastAsia="zh-CN"/>
    </w:rPr>
  </w:style>
  <w:style w:type="paragraph" w:styleId="1f2">
    <w:name w:val="toc 1"/>
    <w:basedOn w:val="a"/>
    <w:next w:val="a"/>
    <w:rsid w:val="002A49F1"/>
    <w:pPr>
      <w:spacing w:after="100"/>
    </w:pPr>
    <w:rPr>
      <w:rFonts w:cs="Times New Roman"/>
      <w:lang w:val="ru-RU" w:eastAsia="zh-CN"/>
    </w:rPr>
  </w:style>
  <w:style w:type="paragraph" w:styleId="27">
    <w:name w:val="toc 2"/>
    <w:basedOn w:val="a"/>
    <w:next w:val="a"/>
    <w:rsid w:val="002A49F1"/>
    <w:pPr>
      <w:spacing w:after="100"/>
      <w:ind w:left="220"/>
    </w:pPr>
    <w:rPr>
      <w:rFonts w:cs="Times New Roman"/>
      <w:lang w:val="ru-RU" w:eastAsia="zh-CN"/>
    </w:rPr>
  </w:style>
  <w:style w:type="paragraph" w:customStyle="1" w:styleId="tj">
    <w:name w:val="tj"/>
    <w:basedOn w:val="a"/>
    <w:qFormat/>
    <w:rsid w:val="002A49F1"/>
    <w:pPr>
      <w:spacing w:before="280" w:after="280" w:line="240" w:lineRule="auto"/>
    </w:pPr>
    <w:rPr>
      <w:rFonts w:ascii="Times New Roman" w:eastAsia="Times New Roman" w:hAnsi="Times New Roman" w:cs="Times New Roman"/>
      <w:sz w:val="24"/>
      <w:szCs w:val="24"/>
      <w:lang w:val="en-US" w:eastAsia="zh-CN"/>
    </w:rPr>
  </w:style>
  <w:style w:type="paragraph" w:customStyle="1" w:styleId="1f3">
    <w:name w:val="Название объекта1"/>
    <w:basedOn w:val="a"/>
    <w:next w:val="a"/>
    <w:qFormat/>
    <w:rsid w:val="002A49F1"/>
    <w:pPr>
      <w:spacing w:line="240" w:lineRule="auto"/>
    </w:pPr>
    <w:rPr>
      <w:rFonts w:cs="Times New Roman"/>
      <w:b/>
      <w:bCs/>
      <w:color w:val="4F81BD"/>
      <w:sz w:val="18"/>
      <w:szCs w:val="18"/>
      <w:lang w:val="ru-RU" w:eastAsia="zh-CN"/>
    </w:rPr>
  </w:style>
  <w:style w:type="paragraph" w:customStyle="1" w:styleId="aff3">
    <w:name w:val="Абзац списку"/>
    <w:basedOn w:val="a"/>
    <w:qFormat/>
    <w:rsid w:val="002A49F1"/>
    <w:pPr>
      <w:spacing w:after="0" w:line="240" w:lineRule="auto"/>
      <w:ind w:left="708"/>
    </w:pPr>
    <w:rPr>
      <w:rFonts w:ascii="Times New Roman" w:eastAsia="Times New Roman" w:hAnsi="Times New Roman" w:cs="Times New Roman"/>
      <w:sz w:val="24"/>
      <w:szCs w:val="24"/>
      <w:lang w:val="ru-RU" w:eastAsia="zh-CN"/>
    </w:rPr>
  </w:style>
  <w:style w:type="paragraph" w:customStyle="1" w:styleId="21">
    <w:name w:val="Текст выноски2"/>
    <w:basedOn w:val="a"/>
    <w:link w:val="1a"/>
    <w:qFormat/>
    <w:rsid w:val="00CE08A8"/>
    <w:pPr>
      <w:spacing w:after="0" w:line="240" w:lineRule="exact"/>
    </w:pPr>
    <w:rPr>
      <w:rFonts w:ascii="Tahoma" w:eastAsia="Times New Roman" w:hAnsi="Tahoma"/>
      <w:sz w:val="16"/>
      <w:szCs w:val="16"/>
      <w:lang w:val="ru-RU" w:eastAsia="zh-CN"/>
    </w:rPr>
  </w:style>
  <w:style w:type="paragraph" w:customStyle="1" w:styleId="28">
    <w:name w:val="Абзац списка2"/>
    <w:basedOn w:val="a"/>
    <w:qFormat/>
    <w:rsid w:val="00CE08A8"/>
    <w:pPr>
      <w:spacing w:after="0" w:line="240" w:lineRule="auto"/>
      <w:ind w:left="720"/>
      <w:contextualSpacing/>
    </w:pPr>
    <w:rPr>
      <w:rFonts w:ascii="Times New Roman" w:eastAsia="Times New Roman" w:hAnsi="Times New Roman" w:cs="Times New Roman"/>
      <w:sz w:val="24"/>
      <w:szCs w:val="24"/>
      <w:lang w:val="ru-RU" w:eastAsia="zh-CN"/>
    </w:rPr>
  </w:style>
  <w:style w:type="paragraph" w:customStyle="1" w:styleId="51">
    <w:name w:val="Название объекта5"/>
    <w:basedOn w:val="a"/>
    <w:qFormat/>
    <w:rsid w:val="00CE08A8"/>
    <w:pPr>
      <w:suppressLineNumbers/>
      <w:spacing w:before="120" w:after="120" w:line="240" w:lineRule="auto"/>
    </w:pPr>
    <w:rPr>
      <w:rFonts w:ascii="Times New Roman" w:eastAsia="Times New Roman" w:hAnsi="Times New Roman" w:cs="Lucida Sans"/>
      <w:i/>
      <w:iCs/>
      <w:sz w:val="24"/>
      <w:szCs w:val="24"/>
      <w:lang w:val="ru-RU" w:eastAsia="zh-CN"/>
    </w:rPr>
  </w:style>
  <w:style w:type="paragraph" w:customStyle="1" w:styleId="Caption12">
    <w:name w:val="Caption12"/>
    <w:basedOn w:val="a"/>
    <w:qFormat/>
    <w:rsid w:val="00CE08A8"/>
    <w:pPr>
      <w:suppressLineNumbers/>
      <w:spacing w:before="120" w:after="120" w:line="240" w:lineRule="auto"/>
    </w:pPr>
    <w:rPr>
      <w:rFonts w:ascii="Times New Roman" w:eastAsia="Times New Roman" w:hAnsi="Times New Roman" w:cs="Lucida Sans"/>
      <w:i/>
      <w:iCs/>
      <w:sz w:val="24"/>
      <w:szCs w:val="24"/>
      <w:lang w:val="ru-RU" w:eastAsia="zh-CN"/>
    </w:rPr>
  </w:style>
  <w:style w:type="paragraph" w:customStyle="1" w:styleId="Caption112">
    <w:name w:val="Caption112"/>
    <w:basedOn w:val="a"/>
    <w:qFormat/>
    <w:rsid w:val="00CE08A8"/>
    <w:pPr>
      <w:suppressLineNumbers/>
      <w:spacing w:before="120" w:after="120" w:line="240" w:lineRule="auto"/>
    </w:pPr>
    <w:rPr>
      <w:rFonts w:ascii="Times New Roman" w:eastAsia="Times New Roman" w:hAnsi="Times New Roman" w:cs="Lucida Sans"/>
      <w:i/>
      <w:iCs/>
      <w:sz w:val="24"/>
      <w:szCs w:val="24"/>
      <w:lang w:val="ru-RU" w:eastAsia="zh-CN"/>
    </w:rPr>
  </w:style>
  <w:style w:type="paragraph" w:customStyle="1" w:styleId="41">
    <w:name w:val="Название объекта4"/>
    <w:basedOn w:val="a"/>
    <w:qFormat/>
    <w:rsid w:val="00CE08A8"/>
    <w:pPr>
      <w:suppressLineNumbers/>
      <w:spacing w:before="120" w:after="120" w:line="240" w:lineRule="auto"/>
    </w:pPr>
    <w:rPr>
      <w:rFonts w:ascii="Times New Roman" w:eastAsia="Times New Roman" w:hAnsi="Times New Roman" w:cs="Lucida Sans"/>
      <w:i/>
      <w:iCs/>
      <w:sz w:val="24"/>
      <w:szCs w:val="24"/>
      <w:lang w:val="ru-RU" w:eastAsia="zh-CN"/>
    </w:rPr>
  </w:style>
  <w:style w:type="paragraph" w:customStyle="1" w:styleId="Caption1112">
    <w:name w:val="Caption1112"/>
    <w:basedOn w:val="a"/>
    <w:qFormat/>
    <w:rsid w:val="00CE08A8"/>
    <w:pPr>
      <w:suppressLineNumbers/>
      <w:spacing w:before="120" w:after="120" w:line="240" w:lineRule="auto"/>
    </w:pPr>
    <w:rPr>
      <w:rFonts w:ascii="Times New Roman" w:eastAsia="Times New Roman" w:hAnsi="Times New Roman" w:cs="Lucida Sans"/>
      <w:i/>
      <w:iCs/>
      <w:sz w:val="24"/>
      <w:szCs w:val="24"/>
      <w:lang w:val="ru-RU" w:eastAsia="zh-CN"/>
    </w:rPr>
  </w:style>
  <w:style w:type="paragraph" w:customStyle="1" w:styleId="Caption11112">
    <w:name w:val="Caption11112"/>
    <w:basedOn w:val="a"/>
    <w:qFormat/>
    <w:rsid w:val="00CE08A8"/>
    <w:pPr>
      <w:suppressLineNumbers/>
      <w:spacing w:before="120" w:after="120" w:line="240" w:lineRule="auto"/>
    </w:pPr>
    <w:rPr>
      <w:rFonts w:ascii="Times New Roman" w:eastAsia="Times New Roman" w:hAnsi="Times New Roman" w:cs="Lucida Sans"/>
      <w:i/>
      <w:iCs/>
      <w:sz w:val="24"/>
      <w:szCs w:val="24"/>
      <w:lang w:val="ru-RU" w:eastAsia="zh-CN"/>
    </w:rPr>
  </w:style>
  <w:style w:type="paragraph" w:customStyle="1" w:styleId="Caption111112">
    <w:name w:val="Caption111112"/>
    <w:basedOn w:val="a"/>
    <w:qFormat/>
    <w:rsid w:val="00CE08A8"/>
    <w:pPr>
      <w:suppressLineNumbers/>
      <w:spacing w:before="120" w:after="120" w:line="240" w:lineRule="auto"/>
    </w:pPr>
    <w:rPr>
      <w:rFonts w:ascii="Times New Roman" w:eastAsia="Times New Roman" w:hAnsi="Times New Roman" w:cs="Lucida Sans"/>
      <w:i/>
      <w:iCs/>
      <w:sz w:val="24"/>
      <w:szCs w:val="24"/>
      <w:lang w:val="ru-RU" w:eastAsia="zh-CN"/>
    </w:rPr>
  </w:style>
  <w:style w:type="paragraph" w:customStyle="1" w:styleId="Caption1111112">
    <w:name w:val="Caption1111112"/>
    <w:basedOn w:val="a"/>
    <w:qFormat/>
    <w:rsid w:val="00CE08A8"/>
    <w:pPr>
      <w:suppressLineNumbers/>
      <w:spacing w:before="120" w:after="120" w:line="240" w:lineRule="auto"/>
    </w:pPr>
    <w:rPr>
      <w:rFonts w:ascii="Times New Roman" w:eastAsia="Times New Roman" w:hAnsi="Times New Roman" w:cs="Lucida Sans"/>
      <w:i/>
      <w:iCs/>
      <w:sz w:val="24"/>
      <w:szCs w:val="24"/>
      <w:lang w:val="ru-RU" w:eastAsia="zh-CN"/>
    </w:rPr>
  </w:style>
  <w:style w:type="paragraph" w:customStyle="1" w:styleId="Caption11111112">
    <w:name w:val="Caption11111112"/>
    <w:basedOn w:val="a"/>
    <w:qFormat/>
    <w:rsid w:val="00CE08A8"/>
    <w:pPr>
      <w:suppressLineNumbers/>
      <w:spacing w:before="120" w:after="120" w:line="240" w:lineRule="auto"/>
    </w:pPr>
    <w:rPr>
      <w:rFonts w:ascii="Times New Roman" w:eastAsia="Times New Roman" w:hAnsi="Times New Roman" w:cs="Lucida Sans"/>
      <w:i/>
      <w:iCs/>
      <w:sz w:val="24"/>
      <w:szCs w:val="24"/>
      <w:lang w:val="ru-RU" w:eastAsia="zh-CN"/>
    </w:rPr>
  </w:style>
  <w:style w:type="paragraph" w:customStyle="1" w:styleId="33">
    <w:name w:val="Название объекта3"/>
    <w:basedOn w:val="a"/>
    <w:qFormat/>
    <w:rsid w:val="00CE08A8"/>
    <w:pPr>
      <w:suppressLineNumbers/>
      <w:spacing w:before="120" w:after="120" w:line="240" w:lineRule="auto"/>
    </w:pPr>
    <w:rPr>
      <w:rFonts w:ascii="Times New Roman" w:eastAsia="Times New Roman" w:hAnsi="Times New Roman" w:cs="Lucida Sans"/>
      <w:i/>
      <w:iCs/>
      <w:sz w:val="24"/>
      <w:szCs w:val="24"/>
      <w:lang w:val="ru-RU" w:eastAsia="zh-CN"/>
    </w:rPr>
  </w:style>
  <w:style w:type="paragraph" w:customStyle="1" w:styleId="29">
    <w:name w:val="Название объекта2"/>
    <w:basedOn w:val="a"/>
    <w:qFormat/>
    <w:rsid w:val="00CE08A8"/>
    <w:pPr>
      <w:suppressLineNumbers/>
      <w:spacing w:before="120" w:after="120" w:line="240" w:lineRule="auto"/>
    </w:pPr>
    <w:rPr>
      <w:rFonts w:ascii="Times New Roman" w:eastAsia="Times New Roman" w:hAnsi="Times New Roman" w:cs="Arial"/>
      <w:i/>
      <w:iCs/>
      <w:sz w:val="24"/>
      <w:szCs w:val="24"/>
      <w:lang w:val="ru-RU" w:eastAsia="zh-CN"/>
    </w:rPr>
  </w:style>
  <w:style w:type="paragraph" w:customStyle="1" w:styleId="24">
    <w:name w:val="Текст примечания2"/>
    <w:basedOn w:val="a"/>
    <w:link w:val="1b"/>
    <w:qFormat/>
    <w:rsid w:val="00CE08A8"/>
    <w:pPr>
      <w:spacing w:after="0" w:line="240" w:lineRule="exact"/>
    </w:pPr>
    <w:rPr>
      <w:rFonts w:ascii="Times New Roman" w:eastAsia="Times New Roman" w:hAnsi="Times New Roman" w:cs="Times New Roman"/>
      <w:sz w:val="20"/>
      <w:szCs w:val="20"/>
      <w:lang w:val="ru-RU" w:eastAsia="zh-CN"/>
    </w:rPr>
  </w:style>
  <w:style w:type="paragraph" w:customStyle="1" w:styleId="25">
    <w:name w:val="Тема примечания2"/>
    <w:next w:val="14"/>
    <w:link w:val="1c"/>
    <w:qFormat/>
    <w:rsid w:val="00CE08A8"/>
    <w:pPr>
      <w:widowControl w:val="0"/>
      <w:spacing w:line="240" w:lineRule="exact"/>
    </w:pPr>
    <w:rPr>
      <w:rFonts w:ascii="Liberation Serif" w:eastAsia="NSimSun" w:hAnsi="Liberation Serif" w:cs="Arial"/>
      <w:b/>
      <w:bCs/>
      <w:sz w:val="20"/>
      <w:szCs w:val="20"/>
      <w:lang w:eastAsia="zh-CN" w:bidi="hi-IN"/>
    </w:rPr>
  </w:style>
  <w:style w:type="paragraph" w:customStyle="1" w:styleId="2a">
    <w:name w:val="Без интервала2"/>
    <w:qFormat/>
    <w:rsid w:val="00CE08A8"/>
    <w:rPr>
      <w:rFonts w:cs="Calibri"/>
      <w:lang w:val="ru-RU" w:eastAsia="zh-CN"/>
    </w:rPr>
  </w:style>
  <w:style w:type="paragraph" w:customStyle="1" w:styleId="320">
    <w:name w:val="Основной текст с отступом 32"/>
    <w:basedOn w:val="a"/>
    <w:qFormat/>
    <w:rsid w:val="00CE08A8"/>
    <w:pPr>
      <w:spacing w:after="120" w:line="240" w:lineRule="auto"/>
      <w:ind w:left="283"/>
    </w:pPr>
    <w:rPr>
      <w:rFonts w:ascii="Times New Roman" w:eastAsia="Times New Roman" w:hAnsi="Times New Roman" w:cs="Mangal"/>
      <w:sz w:val="16"/>
      <w:szCs w:val="14"/>
      <w:lang w:val="ru-RU" w:eastAsia="zh-CN"/>
    </w:rPr>
  </w:style>
  <w:style w:type="paragraph" w:customStyle="1" w:styleId="34">
    <w:name w:val="Обычная таблица3"/>
    <w:qFormat/>
    <w:rsid w:val="00CE08A8"/>
    <w:rPr>
      <w:rFonts w:ascii="Times New Roman" w:eastAsia="Times New Roman" w:hAnsi="Times New Roman" w:cs="Times New Roman"/>
      <w:sz w:val="20"/>
      <w:szCs w:val="20"/>
      <w:lang w:eastAsia="uk-UA" w:bidi="hi-IN"/>
    </w:rPr>
  </w:style>
  <w:style w:type="numbering" w:customStyle="1" w:styleId="1f4">
    <w:name w:val="Нет списка1"/>
    <w:uiPriority w:val="99"/>
    <w:semiHidden/>
    <w:unhideWhenUsed/>
    <w:qFormat/>
    <w:rsid w:val="00280DAA"/>
  </w:style>
  <w:style w:type="numbering" w:customStyle="1" w:styleId="WW8Num27">
    <w:name w:val="WW8Num27"/>
    <w:qFormat/>
    <w:rsid w:val="00280DAA"/>
  </w:style>
  <w:style w:type="numbering" w:customStyle="1" w:styleId="WW8Num1">
    <w:name w:val="WW8Num1"/>
    <w:qFormat/>
    <w:rsid w:val="00280DAA"/>
  </w:style>
  <w:style w:type="numbering" w:customStyle="1" w:styleId="2b">
    <w:name w:val="Нет списка2"/>
    <w:uiPriority w:val="99"/>
    <w:semiHidden/>
    <w:unhideWhenUsed/>
    <w:qFormat/>
    <w:rsid w:val="00C26CB4"/>
  </w:style>
  <w:style w:type="numbering" w:customStyle="1" w:styleId="35">
    <w:name w:val="Нет списка3"/>
    <w:uiPriority w:val="99"/>
    <w:semiHidden/>
    <w:unhideWhenUsed/>
    <w:qFormat/>
    <w:rsid w:val="00D74EA7"/>
  </w:style>
  <w:style w:type="numbering" w:customStyle="1" w:styleId="42">
    <w:name w:val="Нет списка4"/>
    <w:uiPriority w:val="99"/>
    <w:semiHidden/>
    <w:unhideWhenUsed/>
    <w:qFormat/>
    <w:rsid w:val="002A49F1"/>
  </w:style>
  <w:style w:type="numbering" w:customStyle="1" w:styleId="52">
    <w:name w:val="Нет списка5"/>
    <w:uiPriority w:val="99"/>
    <w:semiHidden/>
    <w:unhideWhenUsed/>
    <w:qFormat/>
    <w:rsid w:val="00CE08A8"/>
  </w:style>
  <w:style w:type="table" w:styleId="aff4">
    <w:name w:val="Table Grid"/>
    <w:basedOn w:val="a3"/>
    <w:uiPriority w:val="39"/>
    <w:rsid w:val="000A6805"/>
    <w:rPr>
      <w:rFonts w:asciiTheme="minorHAnsi" w:eastAsiaTheme="minorHAnsi" w:hAnsiTheme="minorHAnsi" w:cs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1"/>
    <w:basedOn w:val="a3"/>
    <w:uiPriority w:val="59"/>
    <w:rsid w:val="00D74EA7"/>
    <w:rPr>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3"/>
    <w:uiPriority w:val="39"/>
    <w:rsid w:val="00D74E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3"/>
    <w:uiPriority w:val="39"/>
    <w:rsid w:val="00D74EA7"/>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Balloon Text"/>
    <w:basedOn w:val="a"/>
    <w:link w:val="2d"/>
    <w:semiHidden/>
    <w:unhideWhenUsed/>
    <w:qFormat/>
    <w:rsid w:val="009B31AB"/>
    <w:pPr>
      <w:spacing w:after="0" w:line="240" w:lineRule="auto"/>
    </w:pPr>
    <w:rPr>
      <w:rFonts w:ascii="Tahoma" w:hAnsi="Tahoma"/>
      <w:sz w:val="16"/>
      <w:szCs w:val="16"/>
    </w:rPr>
  </w:style>
  <w:style w:type="character" w:customStyle="1" w:styleId="2d">
    <w:name w:val="Текст выноски Знак2"/>
    <w:basedOn w:val="a2"/>
    <w:link w:val="aff5"/>
    <w:semiHidden/>
    <w:rsid w:val="009B31AB"/>
    <w:rPr>
      <w:rFonts w:ascii="Tahoma" w:hAnsi="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6528280">
      <w:bodyDiv w:val="1"/>
      <w:marLeft w:val="0"/>
      <w:marRight w:val="0"/>
      <w:marTop w:val="0"/>
      <w:marBottom w:val="0"/>
      <w:divBdr>
        <w:top w:val="none" w:sz="0" w:space="0" w:color="auto"/>
        <w:left w:val="none" w:sz="0" w:space="0" w:color="auto"/>
        <w:bottom w:val="none" w:sz="0" w:space="0" w:color="auto"/>
        <w:right w:val="none" w:sz="0" w:space="0" w:color="auto"/>
      </w:divBdr>
    </w:div>
    <w:div w:id="1802457185">
      <w:bodyDiv w:val="1"/>
      <w:marLeft w:val="0"/>
      <w:marRight w:val="0"/>
      <w:marTop w:val="0"/>
      <w:marBottom w:val="0"/>
      <w:divBdr>
        <w:top w:val="none" w:sz="0" w:space="0" w:color="auto"/>
        <w:left w:val="none" w:sz="0" w:space="0" w:color="auto"/>
        <w:bottom w:val="none" w:sz="0" w:space="0" w:color="auto"/>
        <w:right w:val="none" w:sz="0" w:space="0" w:color="auto"/>
      </w:divBdr>
    </w:div>
    <w:div w:id="1922106974">
      <w:bodyDiv w:val="1"/>
      <w:marLeft w:val="0"/>
      <w:marRight w:val="0"/>
      <w:marTop w:val="0"/>
      <w:marBottom w:val="0"/>
      <w:divBdr>
        <w:top w:val="none" w:sz="0" w:space="0" w:color="auto"/>
        <w:left w:val="none" w:sz="0" w:space="0" w:color="auto"/>
        <w:bottom w:val="none" w:sz="0" w:space="0" w:color="auto"/>
        <w:right w:val="none" w:sz="0" w:space="0" w:color="auto"/>
      </w:divBdr>
    </w:div>
    <w:div w:id="2142264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00.png"/><Relationship Id="rId21" Type="http://schemas.openxmlformats.org/officeDocument/2006/relationships/image" Target="media/image3.png"/><Relationship Id="rId42" Type="http://schemas.openxmlformats.org/officeDocument/2006/relationships/chart" Target="charts/chart2.xml"/><Relationship Id="rId63" Type="http://schemas.openxmlformats.org/officeDocument/2006/relationships/chart" Target="charts/chart21.xml"/><Relationship Id="rId84" Type="http://schemas.openxmlformats.org/officeDocument/2006/relationships/image" Target="media/image24.jpeg"/><Relationship Id="rId138" Type="http://schemas.openxmlformats.org/officeDocument/2006/relationships/header" Target="header13.xml"/><Relationship Id="rId159" Type="http://schemas.openxmlformats.org/officeDocument/2006/relationships/image" Target="media/image46.png"/><Relationship Id="rId170" Type="http://schemas.openxmlformats.org/officeDocument/2006/relationships/image" Target="media/image57.png"/><Relationship Id="rId191" Type="http://schemas.openxmlformats.org/officeDocument/2006/relationships/image" Target="media/image78.png"/><Relationship Id="rId205" Type="http://schemas.openxmlformats.org/officeDocument/2006/relationships/header" Target="header19.xml"/><Relationship Id="rId11" Type="http://schemas.openxmlformats.org/officeDocument/2006/relationships/hyperlink" Target="https://com-east.eu/" TargetMode="External"/><Relationship Id="rId32" Type="http://schemas.openxmlformats.org/officeDocument/2006/relationships/hyperlink" Target="https://ukraine.un.org/uk/sdgs/17" TargetMode="External"/><Relationship Id="rId37" Type="http://schemas.openxmlformats.org/officeDocument/2006/relationships/image" Target="media/image12.png"/><Relationship Id="rId53" Type="http://schemas.openxmlformats.org/officeDocument/2006/relationships/chart" Target="charts/chart12.xml"/><Relationship Id="rId58" Type="http://schemas.openxmlformats.org/officeDocument/2006/relationships/chart" Target="charts/chart16.xml"/><Relationship Id="rId74" Type="http://schemas.openxmlformats.org/officeDocument/2006/relationships/chart" Target="charts/chart32.xml"/><Relationship Id="rId79" Type="http://schemas.openxmlformats.org/officeDocument/2006/relationships/chart" Target="charts/chart36.xml"/><Relationship Id="rId102" Type="http://schemas.openxmlformats.org/officeDocument/2006/relationships/header" Target="header10.xml"/><Relationship Id="rId123" Type="http://schemas.microsoft.com/office/2007/relationships/hdphoto" Target="media/hdphoto4.wdp"/><Relationship Id="rId128" Type="http://schemas.openxmlformats.org/officeDocument/2006/relationships/image" Target="media/image34.png"/><Relationship Id="rId144" Type="http://schemas.openxmlformats.org/officeDocument/2006/relationships/header" Target="header16.xml"/><Relationship Id="rId149" Type="http://schemas.openxmlformats.org/officeDocument/2006/relationships/chart" Target="charts/chart47.xml"/><Relationship Id="rId5" Type="http://schemas.openxmlformats.org/officeDocument/2006/relationships/settings" Target="settings.xml"/><Relationship Id="rId90" Type="http://schemas.openxmlformats.org/officeDocument/2006/relationships/footer" Target="footer2.xml"/><Relationship Id="rId95" Type="http://schemas.openxmlformats.org/officeDocument/2006/relationships/footer" Target="footer4.xml"/><Relationship Id="rId160" Type="http://schemas.openxmlformats.org/officeDocument/2006/relationships/image" Target="media/image47.png"/><Relationship Id="rId165" Type="http://schemas.openxmlformats.org/officeDocument/2006/relationships/image" Target="media/image52.png"/><Relationship Id="rId181" Type="http://schemas.openxmlformats.org/officeDocument/2006/relationships/image" Target="media/image68.png"/><Relationship Id="rId186" Type="http://schemas.openxmlformats.org/officeDocument/2006/relationships/image" Target="media/image73.png"/><Relationship Id="rId211" Type="http://schemas.openxmlformats.org/officeDocument/2006/relationships/header" Target="header22.xml"/><Relationship Id="rId22" Type="http://schemas.openxmlformats.org/officeDocument/2006/relationships/hyperlink" Target="https://ukraine.un.org/uk/sdgs/7" TargetMode="External"/><Relationship Id="rId27" Type="http://schemas.openxmlformats.org/officeDocument/2006/relationships/image" Target="media/image6.png"/><Relationship Id="rId43" Type="http://schemas.openxmlformats.org/officeDocument/2006/relationships/chart" Target="charts/chart3.xml"/><Relationship Id="rId48" Type="http://schemas.openxmlformats.org/officeDocument/2006/relationships/chart" Target="charts/chart8.xml"/><Relationship Id="rId64" Type="http://schemas.openxmlformats.org/officeDocument/2006/relationships/chart" Target="charts/chart22.xml"/><Relationship Id="rId69" Type="http://schemas.openxmlformats.org/officeDocument/2006/relationships/chart" Target="charts/chart27.xml"/><Relationship Id="rId113" Type="http://schemas.openxmlformats.org/officeDocument/2006/relationships/chart" Target="charts/chart41.xml"/><Relationship Id="rId118" Type="http://schemas.openxmlformats.org/officeDocument/2006/relationships/image" Target="media/image30.jpeg"/><Relationship Id="rId134" Type="http://schemas.openxmlformats.org/officeDocument/2006/relationships/header" Target="header11.xml"/><Relationship Id="rId139" Type="http://schemas.openxmlformats.org/officeDocument/2006/relationships/footer" Target="footer11.xml"/><Relationship Id="rId80" Type="http://schemas.openxmlformats.org/officeDocument/2006/relationships/chart" Target="charts/chart37.xml"/><Relationship Id="rId85" Type="http://schemas.openxmlformats.org/officeDocument/2006/relationships/image" Target="media/image25.png"/><Relationship Id="rId150" Type="http://schemas.openxmlformats.org/officeDocument/2006/relationships/image" Target="media/image37.png"/><Relationship Id="rId155" Type="http://schemas.openxmlformats.org/officeDocument/2006/relationships/image" Target="media/image42.png"/><Relationship Id="rId171" Type="http://schemas.openxmlformats.org/officeDocument/2006/relationships/image" Target="media/image58.png"/><Relationship Id="rId176" Type="http://schemas.openxmlformats.org/officeDocument/2006/relationships/image" Target="media/image63.png"/><Relationship Id="rId192" Type="http://schemas.openxmlformats.org/officeDocument/2006/relationships/image" Target="media/image79.png"/><Relationship Id="rId197" Type="http://schemas.openxmlformats.org/officeDocument/2006/relationships/image" Target="media/image84.wmf"/><Relationship Id="rId206" Type="http://schemas.openxmlformats.org/officeDocument/2006/relationships/footer" Target="footer17.xml"/><Relationship Id="rId201" Type="http://schemas.openxmlformats.org/officeDocument/2006/relationships/header" Target="header17.xml"/><Relationship Id="rId12" Type="http://schemas.openxmlformats.org/officeDocument/2006/relationships/hyperlink" Target="https://meteopost.com/pogoda/lutsk/" TargetMode="External"/><Relationship Id="rId17" Type="http://schemas.openxmlformats.org/officeDocument/2006/relationships/hyperlink" Target="https://www.calculat.org/ua/" TargetMode="External"/><Relationship Id="rId33" Type="http://schemas.openxmlformats.org/officeDocument/2006/relationships/image" Target="media/image9.png"/><Relationship Id="rId38" Type="http://schemas.openxmlformats.org/officeDocument/2006/relationships/image" Target="media/image13.png"/><Relationship Id="rId59" Type="http://schemas.openxmlformats.org/officeDocument/2006/relationships/chart" Target="charts/chart17.xml"/><Relationship Id="rId103" Type="http://schemas.openxmlformats.org/officeDocument/2006/relationships/footer" Target="footer8.xml"/><Relationship Id="rId124" Type="http://schemas.openxmlformats.org/officeDocument/2006/relationships/image" Target="media/image330.png"/><Relationship Id="rId129" Type="http://schemas.microsoft.com/office/2007/relationships/hdphoto" Target="media/hdphoto6.wdp"/><Relationship Id="rId54" Type="http://schemas.openxmlformats.org/officeDocument/2006/relationships/chart" Target="charts/chart13.xml"/><Relationship Id="rId70" Type="http://schemas.openxmlformats.org/officeDocument/2006/relationships/chart" Target="charts/chart28.xml"/><Relationship Id="rId75" Type="http://schemas.openxmlformats.org/officeDocument/2006/relationships/image" Target="media/image20.jpeg"/><Relationship Id="rId91" Type="http://schemas.openxmlformats.org/officeDocument/2006/relationships/header" Target="header4.xml"/><Relationship Id="rId96" Type="http://schemas.openxmlformats.org/officeDocument/2006/relationships/header" Target="header7.xml"/><Relationship Id="rId140" Type="http://schemas.openxmlformats.org/officeDocument/2006/relationships/header" Target="header14.xml"/><Relationship Id="rId145" Type="http://schemas.openxmlformats.org/officeDocument/2006/relationships/footer" Target="footer14.xml"/><Relationship Id="rId161" Type="http://schemas.openxmlformats.org/officeDocument/2006/relationships/image" Target="media/image48.png"/><Relationship Id="rId166" Type="http://schemas.openxmlformats.org/officeDocument/2006/relationships/image" Target="media/image53.png"/><Relationship Id="rId182" Type="http://schemas.openxmlformats.org/officeDocument/2006/relationships/image" Target="media/image69.png"/><Relationship Id="rId187" Type="http://schemas.openxmlformats.org/officeDocument/2006/relationships/image" Target="media/image74.png"/><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footer" Target="footer20.xml"/><Relationship Id="rId23" Type="http://schemas.openxmlformats.org/officeDocument/2006/relationships/image" Target="media/image4.png"/><Relationship Id="rId28" Type="http://schemas.openxmlformats.org/officeDocument/2006/relationships/hyperlink" Target="https://ukraine.un.org/uk/sdgs/13" TargetMode="External"/><Relationship Id="rId49" Type="http://schemas.openxmlformats.org/officeDocument/2006/relationships/chart" Target="charts/chart9.xml"/><Relationship Id="rId114" Type="http://schemas.openxmlformats.org/officeDocument/2006/relationships/chart" Target="charts/chart42.xml"/><Relationship Id="rId119" Type="http://schemas.openxmlformats.org/officeDocument/2006/relationships/image" Target="media/image31.jpeg"/><Relationship Id="rId44" Type="http://schemas.openxmlformats.org/officeDocument/2006/relationships/chart" Target="charts/chart4.xml"/><Relationship Id="rId60" Type="http://schemas.openxmlformats.org/officeDocument/2006/relationships/chart" Target="charts/chart18.xml"/><Relationship Id="rId65" Type="http://schemas.openxmlformats.org/officeDocument/2006/relationships/chart" Target="charts/chart23.xml"/><Relationship Id="rId81" Type="http://schemas.openxmlformats.org/officeDocument/2006/relationships/image" Target="media/image21.png"/><Relationship Id="rId86" Type="http://schemas.openxmlformats.org/officeDocument/2006/relationships/image" Target="media/image26.jpeg"/><Relationship Id="rId130" Type="http://schemas.openxmlformats.org/officeDocument/2006/relationships/image" Target="media/image350.png"/><Relationship Id="rId135" Type="http://schemas.openxmlformats.org/officeDocument/2006/relationships/header" Target="header12.xml"/><Relationship Id="rId151" Type="http://schemas.openxmlformats.org/officeDocument/2006/relationships/image" Target="media/image38.png"/><Relationship Id="rId156" Type="http://schemas.openxmlformats.org/officeDocument/2006/relationships/image" Target="media/image43.png"/><Relationship Id="rId177" Type="http://schemas.openxmlformats.org/officeDocument/2006/relationships/image" Target="media/image64.png"/><Relationship Id="rId198" Type="http://schemas.openxmlformats.org/officeDocument/2006/relationships/image" Target="media/image85.wmf"/><Relationship Id="rId172" Type="http://schemas.openxmlformats.org/officeDocument/2006/relationships/image" Target="media/image59.png"/><Relationship Id="rId193" Type="http://schemas.openxmlformats.org/officeDocument/2006/relationships/image" Target="media/image80.png"/><Relationship Id="rId202" Type="http://schemas.openxmlformats.org/officeDocument/2006/relationships/header" Target="header18.xml"/><Relationship Id="rId207" Type="http://schemas.openxmlformats.org/officeDocument/2006/relationships/header" Target="header20.xml"/><Relationship Id="rId13" Type="http://schemas.openxmlformats.org/officeDocument/2006/relationships/hyperlink" Target="http://www.meteolutsk.net.ua/" TargetMode="External"/><Relationship Id="rId18" Type="http://schemas.openxmlformats.org/officeDocument/2006/relationships/hyperlink" Target="https://ukraine.un.org/uk/sdgs/1" TargetMode="External"/><Relationship Id="rId39" Type="http://schemas.openxmlformats.org/officeDocument/2006/relationships/image" Target="media/image14.png"/><Relationship Id="rId109" Type="http://schemas.openxmlformats.org/officeDocument/2006/relationships/image" Target="media/image280.png"/><Relationship Id="rId34" Type="http://schemas.openxmlformats.org/officeDocument/2006/relationships/image" Target="media/image10.jpeg"/><Relationship Id="rId50" Type="http://schemas.openxmlformats.org/officeDocument/2006/relationships/chart" Target="charts/chart10.xml"/><Relationship Id="rId55" Type="http://schemas.openxmlformats.org/officeDocument/2006/relationships/chart" Target="charts/chart14.xml"/><Relationship Id="rId76" Type="http://schemas.openxmlformats.org/officeDocument/2006/relationships/chart" Target="charts/chart33.xml"/><Relationship Id="rId97" Type="http://schemas.openxmlformats.org/officeDocument/2006/relationships/footer" Target="footer5.xml"/><Relationship Id="rId104" Type="http://schemas.openxmlformats.org/officeDocument/2006/relationships/chart" Target="charts/chart38.xml"/><Relationship Id="rId120" Type="http://schemas.microsoft.com/office/2007/relationships/hdphoto" Target="media/hdphoto3.wdp"/><Relationship Id="rId125" Type="http://schemas.openxmlformats.org/officeDocument/2006/relationships/image" Target="media/image33.png"/><Relationship Id="rId141" Type="http://schemas.openxmlformats.org/officeDocument/2006/relationships/header" Target="header15.xml"/><Relationship Id="rId146" Type="http://schemas.openxmlformats.org/officeDocument/2006/relationships/chart" Target="charts/chart44.xml"/><Relationship Id="rId167" Type="http://schemas.openxmlformats.org/officeDocument/2006/relationships/image" Target="media/image54.png"/><Relationship Id="rId188" Type="http://schemas.openxmlformats.org/officeDocument/2006/relationships/image" Target="media/image75.png"/><Relationship Id="rId7" Type="http://schemas.openxmlformats.org/officeDocument/2006/relationships/footnotes" Target="footnotes.xml"/><Relationship Id="rId71" Type="http://schemas.openxmlformats.org/officeDocument/2006/relationships/chart" Target="charts/chart29.xml"/><Relationship Id="rId92" Type="http://schemas.openxmlformats.org/officeDocument/2006/relationships/header" Target="header5.xml"/><Relationship Id="rId162" Type="http://schemas.openxmlformats.org/officeDocument/2006/relationships/image" Target="media/image49.png"/><Relationship Id="rId183" Type="http://schemas.openxmlformats.org/officeDocument/2006/relationships/image" Target="media/image70.png"/><Relationship Id="rId21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7.png"/><Relationship Id="rId24" Type="http://schemas.openxmlformats.org/officeDocument/2006/relationships/hyperlink" Target="https://ukraine.un.org/uk/sdgs/11" TargetMode="External"/><Relationship Id="rId40" Type="http://schemas.openxmlformats.org/officeDocument/2006/relationships/image" Target="media/image15.png"/><Relationship Id="rId45" Type="http://schemas.openxmlformats.org/officeDocument/2006/relationships/chart" Target="charts/chart5.xml"/><Relationship Id="rId66" Type="http://schemas.openxmlformats.org/officeDocument/2006/relationships/chart" Target="charts/chart24.xml"/><Relationship Id="rId87" Type="http://schemas.openxmlformats.org/officeDocument/2006/relationships/header" Target="header2.xml"/><Relationship Id="rId110" Type="http://schemas.openxmlformats.org/officeDocument/2006/relationships/chart" Target="charts/chart39.xml"/><Relationship Id="rId115" Type="http://schemas.openxmlformats.org/officeDocument/2006/relationships/image" Target="media/image29.png"/><Relationship Id="rId131" Type="http://schemas.openxmlformats.org/officeDocument/2006/relationships/image" Target="media/image35.png"/><Relationship Id="rId136" Type="http://schemas.openxmlformats.org/officeDocument/2006/relationships/footer" Target="footer9.xml"/><Relationship Id="rId157" Type="http://schemas.openxmlformats.org/officeDocument/2006/relationships/image" Target="media/image44.png"/><Relationship Id="rId178" Type="http://schemas.openxmlformats.org/officeDocument/2006/relationships/image" Target="media/image65.png"/><Relationship Id="rId61" Type="http://schemas.openxmlformats.org/officeDocument/2006/relationships/chart" Target="charts/chart19.xml"/><Relationship Id="rId82" Type="http://schemas.openxmlformats.org/officeDocument/2006/relationships/image" Target="media/image22.jpeg"/><Relationship Id="rId152" Type="http://schemas.openxmlformats.org/officeDocument/2006/relationships/image" Target="media/image39.png"/><Relationship Id="rId173" Type="http://schemas.openxmlformats.org/officeDocument/2006/relationships/image" Target="media/image60.png"/><Relationship Id="rId194" Type="http://schemas.openxmlformats.org/officeDocument/2006/relationships/image" Target="media/image81.wmf"/><Relationship Id="rId199" Type="http://schemas.openxmlformats.org/officeDocument/2006/relationships/image" Target="media/image86.wmf"/><Relationship Id="rId203" Type="http://schemas.openxmlformats.org/officeDocument/2006/relationships/footer" Target="footer15.xml"/><Relationship Id="rId208" Type="http://schemas.openxmlformats.org/officeDocument/2006/relationships/header" Target="header21.xml"/><Relationship Id="rId19" Type="http://schemas.openxmlformats.org/officeDocument/2006/relationships/image" Target="media/image2.png"/><Relationship Id="rId14" Type="http://schemas.openxmlformats.org/officeDocument/2006/relationships/hyperlink" Target="https://www.facebook.com/gidrometeovolyn" TargetMode="External"/><Relationship Id="rId30" Type="http://schemas.openxmlformats.org/officeDocument/2006/relationships/hyperlink" Target="https://ukraine.un.org/uk/sdgs/15" TargetMode="External"/><Relationship Id="rId35" Type="http://schemas.openxmlformats.org/officeDocument/2006/relationships/hyperlink" Target="https://com-east.eu/" TargetMode="External"/><Relationship Id="rId56" Type="http://schemas.openxmlformats.org/officeDocument/2006/relationships/chart" Target="charts/chart15.xml"/><Relationship Id="rId77" Type="http://schemas.openxmlformats.org/officeDocument/2006/relationships/chart" Target="charts/chart34.xml"/><Relationship Id="rId100" Type="http://schemas.openxmlformats.org/officeDocument/2006/relationships/footer" Target="footer6.xml"/><Relationship Id="rId105" Type="http://schemas.openxmlformats.org/officeDocument/2006/relationships/image" Target="media/image27.png"/><Relationship Id="rId126" Type="http://schemas.microsoft.com/office/2007/relationships/hdphoto" Target="media/hdphoto5.wdp"/><Relationship Id="rId147" Type="http://schemas.openxmlformats.org/officeDocument/2006/relationships/chart" Target="charts/chart45.xml"/><Relationship Id="rId168" Type="http://schemas.openxmlformats.org/officeDocument/2006/relationships/image" Target="media/image55.png"/><Relationship Id="rId8" Type="http://schemas.openxmlformats.org/officeDocument/2006/relationships/endnotes" Target="endnotes.xml"/><Relationship Id="rId51" Type="http://schemas.openxmlformats.org/officeDocument/2006/relationships/chart" Target="charts/chart11.xml"/><Relationship Id="rId72" Type="http://schemas.openxmlformats.org/officeDocument/2006/relationships/chart" Target="charts/chart30.xml"/><Relationship Id="rId93" Type="http://schemas.openxmlformats.org/officeDocument/2006/relationships/header" Target="header6.xml"/><Relationship Id="rId98" Type="http://schemas.openxmlformats.org/officeDocument/2006/relationships/header" Target="header8.xml"/><Relationship Id="rId121" Type="http://schemas.openxmlformats.org/officeDocument/2006/relationships/image" Target="media/image320.jpeg"/><Relationship Id="rId142" Type="http://schemas.openxmlformats.org/officeDocument/2006/relationships/footer" Target="footer12.xml"/><Relationship Id="rId163" Type="http://schemas.openxmlformats.org/officeDocument/2006/relationships/image" Target="media/image50.png"/><Relationship Id="rId184" Type="http://schemas.openxmlformats.org/officeDocument/2006/relationships/image" Target="media/image71.png"/><Relationship Id="rId189" Type="http://schemas.openxmlformats.org/officeDocument/2006/relationships/image" Target="media/image76.png"/><Relationship Id="rId3" Type="http://schemas.openxmlformats.org/officeDocument/2006/relationships/styles" Target="styles.xml"/><Relationship Id="rId214" Type="http://schemas.openxmlformats.org/officeDocument/2006/relationships/theme" Target="theme/theme1.xml"/><Relationship Id="rId25" Type="http://schemas.openxmlformats.org/officeDocument/2006/relationships/image" Target="media/image5.png"/><Relationship Id="rId46" Type="http://schemas.openxmlformats.org/officeDocument/2006/relationships/chart" Target="charts/chart6.xml"/><Relationship Id="rId67" Type="http://schemas.openxmlformats.org/officeDocument/2006/relationships/chart" Target="charts/chart25.xml"/><Relationship Id="rId116" Type="http://schemas.microsoft.com/office/2007/relationships/hdphoto" Target="media/hdphoto2.wdp"/><Relationship Id="rId137" Type="http://schemas.openxmlformats.org/officeDocument/2006/relationships/footer" Target="footer10.xml"/><Relationship Id="rId158" Type="http://schemas.openxmlformats.org/officeDocument/2006/relationships/image" Target="media/image45.png"/><Relationship Id="rId20" Type="http://schemas.openxmlformats.org/officeDocument/2006/relationships/hyperlink" Target="https://ukraine.un.org/uk/sdgs/6" TargetMode="External"/><Relationship Id="rId41" Type="http://schemas.openxmlformats.org/officeDocument/2006/relationships/chart" Target="charts/chart1.xml"/><Relationship Id="rId62" Type="http://schemas.openxmlformats.org/officeDocument/2006/relationships/chart" Target="charts/chart20.xml"/><Relationship Id="rId83" Type="http://schemas.openxmlformats.org/officeDocument/2006/relationships/image" Target="media/image23.png"/><Relationship Id="rId88" Type="http://schemas.openxmlformats.org/officeDocument/2006/relationships/header" Target="header3.xml"/><Relationship Id="rId111" Type="http://schemas.openxmlformats.org/officeDocument/2006/relationships/chart" Target="charts/chart40.xml"/><Relationship Id="rId132" Type="http://schemas.openxmlformats.org/officeDocument/2006/relationships/image" Target="media/image36.jpeg"/><Relationship Id="rId153" Type="http://schemas.openxmlformats.org/officeDocument/2006/relationships/image" Target="media/image40.png"/><Relationship Id="rId174" Type="http://schemas.openxmlformats.org/officeDocument/2006/relationships/image" Target="media/image61.png"/><Relationship Id="rId179" Type="http://schemas.openxmlformats.org/officeDocument/2006/relationships/image" Target="media/image66.png"/><Relationship Id="rId195" Type="http://schemas.openxmlformats.org/officeDocument/2006/relationships/image" Target="media/image82.wmf"/><Relationship Id="rId209" Type="http://schemas.openxmlformats.org/officeDocument/2006/relationships/footer" Target="footer18.xml"/><Relationship Id="rId190" Type="http://schemas.openxmlformats.org/officeDocument/2006/relationships/image" Target="media/image77.png"/><Relationship Id="rId204" Type="http://schemas.openxmlformats.org/officeDocument/2006/relationships/footer" Target="footer16.xml"/><Relationship Id="rId15" Type="http://schemas.openxmlformats.org/officeDocument/2006/relationships/hyperlink" Target="https://www.facebook.com/gidrometeovolyn/" TargetMode="External"/><Relationship Id="rId36" Type="http://schemas.openxmlformats.org/officeDocument/2006/relationships/image" Target="media/image11.png"/><Relationship Id="rId57" Type="http://schemas.openxmlformats.org/officeDocument/2006/relationships/image" Target="media/image17.png"/><Relationship Id="rId106" Type="http://schemas.microsoft.com/office/2007/relationships/hdphoto" Target="media/hdphoto1.wdp"/><Relationship Id="rId127" Type="http://schemas.openxmlformats.org/officeDocument/2006/relationships/image" Target="media/image340.png"/><Relationship Id="rId10" Type="http://schemas.openxmlformats.org/officeDocument/2006/relationships/header" Target="header1.xml"/><Relationship Id="rId31" Type="http://schemas.openxmlformats.org/officeDocument/2006/relationships/image" Target="media/image8.png"/><Relationship Id="rId52" Type="http://schemas.openxmlformats.org/officeDocument/2006/relationships/image" Target="media/image16.png"/><Relationship Id="rId73" Type="http://schemas.openxmlformats.org/officeDocument/2006/relationships/chart" Target="charts/chart31.xml"/><Relationship Id="rId78" Type="http://schemas.openxmlformats.org/officeDocument/2006/relationships/chart" Target="charts/chart35.xml"/><Relationship Id="rId94" Type="http://schemas.openxmlformats.org/officeDocument/2006/relationships/footer" Target="footer3.xml"/><Relationship Id="rId99" Type="http://schemas.openxmlformats.org/officeDocument/2006/relationships/header" Target="header9.xml"/><Relationship Id="rId101" Type="http://schemas.openxmlformats.org/officeDocument/2006/relationships/footer" Target="footer7.xml"/><Relationship Id="rId122" Type="http://schemas.openxmlformats.org/officeDocument/2006/relationships/image" Target="media/image32.png"/><Relationship Id="rId143" Type="http://schemas.openxmlformats.org/officeDocument/2006/relationships/footer" Target="footer13.xml"/><Relationship Id="rId148" Type="http://schemas.openxmlformats.org/officeDocument/2006/relationships/chart" Target="charts/chart46.xml"/><Relationship Id="rId164" Type="http://schemas.openxmlformats.org/officeDocument/2006/relationships/image" Target="media/image51.png"/><Relationship Id="rId169" Type="http://schemas.openxmlformats.org/officeDocument/2006/relationships/image" Target="media/image56.png"/><Relationship Id="rId185" Type="http://schemas.openxmlformats.org/officeDocument/2006/relationships/image" Target="media/image72.png"/><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image" Target="media/image67.png"/><Relationship Id="rId210" Type="http://schemas.openxmlformats.org/officeDocument/2006/relationships/footer" Target="footer19.xml"/><Relationship Id="rId26" Type="http://schemas.openxmlformats.org/officeDocument/2006/relationships/hyperlink" Target="https://ukraine.un.org/uk/sdgs/12" TargetMode="External"/><Relationship Id="rId47" Type="http://schemas.openxmlformats.org/officeDocument/2006/relationships/chart" Target="charts/chart7.xml"/><Relationship Id="rId68" Type="http://schemas.openxmlformats.org/officeDocument/2006/relationships/chart" Target="charts/chart26.xml"/><Relationship Id="rId89" Type="http://schemas.openxmlformats.org/officeDocument/2006/relationships/footer" Target="footer1.xml"/><Relationship Id="rId112" Type="http://schemas.openxmlformats.org/officeDocument/2006/relationships/image" Target="media/image28.png"/><Relationship Id="rId133" Type="http://schemas.openxmlformats.org/officeDocument/2006/relationships/chart" Target="charts/chart43.xml"/><Relationship Id="rId154" Type="http://schemas.openxmlformats.org/officeDocument/2006/relationships/image" Target="media/image41.png"/><Relationship Id="rId175" Type="http://schemas.openxmlformats.org/officeDocument/2006/relationships/image" Target="media/image62.png"/><Relationship Id="rId196" Type="http://schemas.openxmlformats.org/officeDocument/2006/relationships/image" Target="media/image83.wmf"/><Relationship Id="rId200" Type="http://schemas.openxmlformats.org/officeDocument/2006/relationships/image" Target="media/image87.wmf"/><Relationship Id="rId16" Type="http://schemas.openxmlformats.org/officeDocument/2006/relationships/hyperlink" Target="https://razumkov.energy/meny/research/research-energy-uapolicy/" TargetMode="External"/></Relationships>
</file>

<file path=word/charts/_rels/chart30.xml.rels><?xml version="1.0" encoding="UTF-8" standalone="yes"?>
<Relationships xmlns="http://schemas.openxmlformats.org/package/2006/relationships"><Relationship Id="rId1" Type="http://schemas.openxmlformats.org/officeDocument/2006/relationships/chartUserShapes" Target="../drawings/drawing1.xml"/></Relationships>
</file>

<file path=word/charts/_rels/chart31.xml.rels><?xml version="1.0" encoding="UTF-8" standalone="yes"?>
<Relationships xmlns="http://schemas.openxmlformats.org/package/2006/relationships"><Relationship Id="rId1" Type="http://schemas.openxmlformats.org/officeDocument/2006/relationships/chartUserShapes" Target="../drawings/drawing2.xml"/></Relationships>
</file>

<file path=word/charts/_rels/chart38.xml.rels><?xml version="1.0" encoding="UTF-8" standalone="yes"?>
<Relationships xmlns="http://schemas.openxmlformats.org/package/2006/relationships"><Relationship Id="rId1" Type="http://schemas.openxmlformats.org/officeDocument/2006/relationships/package" Target="../embeddings/_____Microsoft_Excel111111111111111111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autoTitleDeleted val="1"/>
    <c:plotArea>
      <c:layout/>
      <c:barChart>
        <c:barDir val="col"/>
        <c:grouping val="clustered"/>
        <c:varyColors val="0"/>
        <c:ser>
          <c:idx val="0"/>
          <c:order val="0"/>
          <c:tx>
            <c:strRef>
              <c:f>label 0</c:f>
              <c:strCache>
                <c:ptCount val="1"/>
                <c:pt idx="0">
                  <c:v>Чисельність наявного населення по м. Луцьку, тис. осіб</c:v>
                </c:pt>
              </c:strCache>
            </c:strRef>
          </c:tx>
          <c:spPr>
            <a:solidFill>
              <a:srgbClr val="4F81BD"/>
            </a:solidFill>
            <a:ln w="9360">
              <a:solidFill>
                <a:srgbClr val="365C89"/>
              </a:solidFill>
              <a:round/>
            </a:ln>
          </c:spPr>
          <c:invertIfNegative val="0"/>
          <c:dLbls>
            <c:numFmt formatCode="General" sourceLinked="0"/>
            <c:txPr>
              <a:bodyPr wrap="square"/>
              <a:lstStyle/>
              <a:p>
                <a:pPr>
                  <a:defRPr sz="1000" b="1" strike="noStrike" spc="-1">
                    <a:solidFill>
                      <a:srgbClr val="000000"/>
                    </a:solidFill>
                    <a:latin typeface="Calibri"/>
                  </a:defRPr>
                </a:pPr>
                <a:endParaRPr lang="uk-UA"/>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7"/>
                <c:pt idx="0">
                  <c:v>2007</c:v>
                </c:pt>
                <c:pt idx="1">
                  <c:v>2016</c:v>
                </c:pt>
                <c:pt idx="2">
                  <c:v>2017</c:v>
                </c:pt>
                <c:pt idx="3">
                  <c:v>2018</c:v>
                </c:pt>
                <c:pt idx="4">
                  <c:v>2019</c:v>
                </c:pt>
                <c:pt idx="5">
                  <c:v>2020</c:v>
                </c:pt>
                <c:pt idx="6">
                  <c:v>2021</c:v>
                </c:pt>
              </c:strCache>
            </c:strRef>
          </c:cat>
          <c:val>
            <c:numRef>
              <c:f>0</c:f>
              <c:numCache>
                <c:formatCode>General</c:formatCode>
                <c:ptCount val="7"/>
                <c:pt idx="0">
                  <c:v>207.58600000000001</c:v>
                </c:pt>
                <c:pt idx="1">
                  <c:v>217.03299999999999</c:v>
                </c:pt>
                <c:pt idx="2">
                  <c:v>216.505</c:v>
                </c:pt>
                <c:pt idx="3">
                  <c:v>216.887</c:v>
                </c:pt>
                <c:pt idx="4">
                  <c:v>217.315</c:v>
                </c:pt>
                <c:pt idx="5">
                  <c:v>217.197</c:v>
                </c:pt>
                <c:pt idx="6">
                  <c:v>215.98599999999999</c:v>
                </c:pt>
              </c:numCache>
            </c:numRef>
          </c:val>
        </c:ser>
        <c:dLbls>
          <c:showLegendKey val="0"/>
          <c:showVal val="0"/>
          <c:showCatName val="0"/>
          <c:showSerName val="0"/>
          <c:showPercent val="0"/>
          <c:showBubbleSize val="0"/>
        </c:dLbls>
        <c:gapWidth val="150"/>
        <c:axId val="160599040"/>
        <c:axId val="160611328"/>
      </c:barChart>
      <c:catAx>
        <c:axId val="160599040"/>
        <c:scaling>
          <c:orientation val="minMax"/>
        </c:scaling>
        <c:delete val="0"/>
        <c:axPos val="b"/>
        <c:majorGridlines>
          <c:spPr>
            <a:ln w="0">
              <a:solidFill>
                <a:srgbClr val="B3B3B3"/>
              </a:solidFill>
            </a:ln>
          </c:spPr>
        </c:majorGridlines>
        <c:numFmt formatCode="General" sourceLinked="0"/>
        <c:majorTickMark val="out"/>
        <c:minorTickMark val="none"/>
        <c:tickLblPos val="nextTo"/>
        <c:spPr>
          <a:ln w="9360">
            <a:solidFill>
              <a:srgbClr val="878787"/>
            </a:solidFill>
            <a:round/>
          </a:ln>
        </c:spPr>
        <c:txPr>
          <a:bodyPr/>
          <a:lstStyle/>
          <a:p>
            <a:pPr>
              <a:defRPr sz="900" b="0" strike="noStrike" spc="-1">
                <a:solidFill>
                  <a:srgbClr val="000000"/>
                </a:solidFill>
                <a:latin typeface="Calibri"/>
              </a:defRPr>
            </a:pPr>
            <a:endParaRPr lang="uk-UA"/>
          </a:p>
        </c:txPr>
        <c:crossAx val="160611328"/>
        <c:crosses val="autoZero"/>
        <c:auto val="1"/>
        <c:lblAlgn val="ctr"/>
        <c:lblOffset val="100"/>
        <c:noMultiLvlLbl val="0"/>
      </c:catAx>
      <c:valAx>
        <c:axId val="160611328"/>
        <c:scaling>
          <c:orientation val="minMax"/>
        </c:scaling>
        <c:delete val="0"/>
        <c:axPos val="l"/>
        <c:majorGridlines>
          <c:spPr>
            <a:ln w="0">
              <a:solidFill>
                <a:srgbClr val="B3B3B3"/>
              </a:solidFill>
            </a:ln>
          </c:spPr>
        </c:majorGridlines>
        <c:numFmt formatCode="General" sourceLinked="0"/>
        <c:majorTickMark val="out"/>
        <c:minorTickMark val="none"/>
        <c:tickLblPos val="nextTo"/>
        <c:spPr>
          <a:ln w="9360">
            <a:solidFill>
              <a:srgbClr val="878787"/>
            </a:solidFill>
            <a:round/>
          </a:ln>
        </c:spPr>
        <c:txPr>
          <a:bodyPr/>
          <a:lstStyle/>
          <a:p>
            <a:pPr>
              <a:defRPr sz="1000" b="0" strike="noStrike" spc="-1">
                <a:solidFill>
                  <a:srgbClr val="000000"/>
                </a:solidFill>
                <a:latin typeface="Calibri"/>
              </a:defRPr>
            </a:pPr>
            <a:endParaRPr lang="uk-UA"/>
          </a:p>
        </c:txPr>
        <c:crossAx val="160599040"/>
        <c:crossesAt val="1"/>
        <c:crossBetween val="between"/>
      </c:valAx>
      <c:spPr>
        <a:noFill/>
        <a:ln w="0">
          <a:noFill/>
        </a:ln>
      </c:spPr>
    </c:plotArea>
    <c:legend>
      <c:legendPos val="b"/>
      <c:overlay val="0"/>
      <c:spPr>
        <a:noFill/>
        <a:ln w="0">
          <a:noFill/>
        </a:ln>
      </c:spPr>
      <c:txPr>
        <a:bodyPr/>
        <a:lstStyle/>
        <a:p>
          <a:pPr>
            <a:defRPr sz="1000" b="0" strike="noStrike" spc="-1">
              <a:solidFill>
                <a:srgbClr val="000000"/>
              </a:solidFill>
              <a:latin typeface="Calibri"/>
            </a:defRPr>
          </a:pPr>
          <a:endParaRPr lang="uk-UA"/>
        </a:p>
      </c:txPr>
    </c:legend>
    <c:plotVisOnly val="1"/>
    <c:dispBlanksAs val="gap"/>
    <c:showDLblsOverMax val="1"/>
  </c:chart>
  <c:spPr>
    <a:solidFill>
      <a:srgbClr val="FFFFFF"/>
    </a:solidFill>
    <a:ln w="9360">
      <a:solidFill>
        <a:srgbClr val="D9D9D9"/>
      </a:solidFill>
      <a:round/>
    </a:ln>
  </c:spPr>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title>
      <c:tx>
        <c:rich>
          <a:bodyPr rot="0"/>
          <a:lstStyle/>
          <a:p>
            <a:pPr>
              <a:defRPr lang="uk-UA" sz="1300" b="0" strike="noStrike" spc="-1">
                <a:solidFill>
                  <a:srgbClr val="000000"/>
                </a:solidFill>
                <a:latin typeface="Arial"/>
              </a:defRPr>
            </a:pPr>
            <a:r>
              <a:rPr lang="uk-UA" sz="1300" b="0" strike="noStrike" spc="-1">
                <a:solidFill>
                  <a:srgbClr val="000000"/>
                </a:solidFill>
                <a:latin typeface="Arial"/>
              </a:rPr>
              <a:t>2007 рік</a:t>
            </a:r>
          </a:p>
        </c:rich>
      </c:tx>
      <c:layout>
        <c:manualLayout>
          <c:xMode val="edge"/>
          <c:yMode val="edge"/>
          <c:x val="1E-3"/>
          <c:y val="9.8888888888888898E-3"/>
        </c:manualLayout>
      </c:layout>
      <c:overlay val="0"/>
      <c:spPr>
        <a:noFill/>
        <a:ln w="0">
          <a:noFill/>
        </a:ln>
      </c:spPr>
    </c:title>
    <c:autoTitleDeleted val="0"/>
    <c:plotArea>
      <c:layout>
        <c:manualLayout>
          <c:layoutTarget val="inner"/>
          <c:xMode val="edge"/>
          <c:yMode val="edge"/>
          <c:x val="1.125E-2"/>
          <c:y val="0.207222222222222"/>
          <c:w val="0.5546875"/>
          <c:h val="0.67100000000000004"/>
        </c:manualLayout>
      </c:layout>
      <c:pieChart>
        <c:varyColors val="1"/>
        <c:ser>
          <c:idx val="0"/>
          <c:order val="0"/>
          <c:tx>
            <c:strRef>
              <c:f>label 0</c:f>
              <c:strCache>
                <c:ptCount val="1"/>
                <c:pt idx="0">
                  <c:v>Серія1</c:v>
                </c:pt>
              </c:strCache>
            </c:strRef>
          </c:tx>
          <c:spPr>
            <a:solidFill>
              <a:srgbClr val="4F81BD"/>
            </a:solidFill>
            <a:ln w="0">
              <a:noFill/>
            </a:ln>
          </c:spPr>
          <c:dPt>
            <c:idx val="0"/>
            <c:bubble3D val="0"/>
          </c:dPt>
          <c:dPt>
            <c:idx val="1"/>
            <c:bubble3D val="0"/>
            <c:spPr>
              <a:solidFill>
                <a:srgbClr val="C0504D"/>
              </a:solidFill>
              <a:ln w="0">
                <a:noFill/>
              </a:ln>
            </c:spPr>
          </c:dPt>
          <c:dPt>
            <c:idx val="2"/>
            <c:bubble3D val="0"/>
            <c:spPr>
              <a:solidFill>
                <a:srgbClr val="9BBB59"/>
              </a:solidFill>
              <a:ln w="0">
                <a:noFill/>
              </a:ln>
            </c:spPr>
          </c:dPt>
          <c:dPt>
            <c:idx val="3"/>
            <c:bubble3D val="0"/>
            <c:spPr>
              <a:solidFill>
                <a:srgbClr val="8064A2"/>
              </a:solidFill>
              <a:ln w="0">
                <a:noFill/>
              </a:ln>
            </c:spPr>
          </c:dPt>
          <c:dLbls>
            <c:dLbl>
              <c:idx val="1"/>
              <c:dLblPos val="outEnd"/>
              <c:showLegendKey val="0"/>
              <c:showVal val="0"/>
              <c:showCatName val="0"/>
              <c:showSerName val="0"/>
              <c:showPercent val="1"/>
              <c:showBubbleSize val="1"/>
              <c:separator>
</c:separator>
            </c:dLbl>
            <c:dLbl>
              <c:idx val="3"/>
              <c:dLblPos val="outEnd"/>
              <c:showLegendKey val="0"/>
              <c:showVal val="0"/>
              <c:showCatName val="0"/>
              <c:showSerName val="0"/>
              <c:showPercent val="1"/>
              <c:showBubbleSize val="1"/>
              <c:separator>
</c:separator>
            </c:dLbl>
            <c:txPr>
              <a:bodyPr wrap="square"/>
              <a:lstStyle/>
              <a:p>
                <a:pPr>
                  <a:defRPr sz="1200" b="0" strike="noStrike" spc="-1">
                    <a:solidFill>
                      <a:srgbClr val="000000"/>
                    </a:solidFill>
                    <a:latin typeface="Calibri"/>
                  </a:defRPr>
                </a:pPr>
                <a:endParaRPr lang="uk-UA"/>
              </a:p>
            </c:txPr>
            <c:dLblPos val="bestFit"/>
            <c:showLegendKey val="0"/>
            <c:showVal val="0"/>
            <c:showCatName val="0"/>
            <c:showSerName val="0"/>
            <c:showPercent val="1"/>
            <c:showBubbleSize val="1"/>
            <c:separator>
</c:separator>
            <c:showLeaderLines val="1"/>
          </c:dLbls>
          <c:cat>
            <c:strRef>
              <c:f>categories</c:f>
              <c:strCache>
                <c:ptCount val="4"/>
                <c:pt idx="0">
                  <c:v>Населення</c:v>
                </c:pt>
                <c:pt idx="1">
                  <c:v>Бюджетні установи</c:v>
                </c:pt>
                <c:pt idx="2">
                  <c:v>Комунальні і промислові підприємства</c:v>
                </c:pt>
                <c:pt idx="3">
                  <c:v>Невраховані інші споживачі е/е</c:v>
                </c:pt>
              </c:strCache>
            </c:strRef>
          </c:cat>
          <c:val>
            <c:numRef>
              <c:f>0</c:f>
              <c:numCache>
                <c:formatCode>General</c:formatCode>
                <c:ptCount val="4"/>
                <c:pt idx="0">
                  <c:v>25.8</c:v>
                </c:pt>
                <c:pt idx="1">
                  <c:v>6.6</c:v>
                </c:pt>
                <c:pt idx="2">
                  <c:v>56.5</c:v>
                </c:pt>
                <c:pt idx="3">
                  <c:v>11.1</c:v>
                </c:pt>
              </c:numCache>
            </c:numRef>
          </c:val>
        </c:ser>
        <c:ser>
          <c:idx val="1"/>
          <c:order val="1"/>
          <c:tx>
            <c:strRef>
              <c:f>label 1</c:f>
              <c:strCache>
                <c:ptCount val="1"/>
                <c:pt idx="0">
                  <c:v>Серія2</c:v>
                </c:pt>
              </c:strCache>
            </c:strRef>
          </c:tx>
          <c:spPr>
            <a:solidFill>
              <a:srgbClr val="C0504D"/>
            </a:solidFill>
            <a:ln w="0">
              <a:noFill/>
            </a:ln>
          </c:spPr>
          <c:dPt>
            <c:idx val="0"/>
            <c:bubble3D val="0"/>
            <c:spPr>
              <a:solidFill>
                <a:srgbClr val="4F81BD"/>
              </a:solidFill>
              <a:ln w="0">
                <a:noFill/>
              </a:ln>
            </c:spPr>
          </c:dPt>
          <c:dPt>
            <c:idx val="1"/>
            <c:bubble3D val="0"/>
          </c:dPt>
          <c:dPt>
            <c:idx val="2"/>
            <c:bubble3D val="0"/>
            <c:spPr>
              <a:solidFill>
                <a:srgbClr val="9BBB59"/>
              </a:solidFill>
              <a:ln w="0">
                <a:noFill/>
              </a:ln>
            </c:spPr>
          </c:dPt>
          <c:dPt>
            <c:idx val="3"/>
            <c:bubble3D val="0"/>
            <c:spPr>
              <a:solidFill>
                <a:srgbClr val="8064A2"/>
              </a:solidFill>
              <a:ln w="0">
                <a:noFill/>
              </a:ln>
            </c:spPr>
          </c:dPt>
          <c:dLbls>
            <c:txPr>
              <a:bodyPr wrap="square"/>
              <a:lstStyle/>
              <a:p>
                <a:pPr>
                  <a:defRPr sz="1000" b="0" strike="noStrike" spc="-1">
                    <a:solidFill>
                      <a:srgbClr val="000000"/>
                    </a:solidFill>
                    <a:latin typeface="Calibri"/>
                  </a:defRPr>
                </a:pPr>
                <a:endParaRPr lang="uk-UA"/>
              </a:p>
            </c:txPr>
            <c:dLblPos val="bestFit"/>
            <c:showLegendKey val="0"/>
            <c:showVal val="0"/>
            <c:showCatName val="0"/>
            <c:showSerName val="0"/>
            <c:showPercent val="0"/>
            <c:showBubbleSize val="1"/>
            <c:separator>; </c:separator>
            <c:showLeaderLines val="1"/>
          </c:dLbls>
          <c:cat>
            <c:strRef>
              <c:f>categories</c:f>
              <c:strCache>
                <c:ptCount val="4"/>
                <c:pt idx="0">
                  <c:v>Населення</c:v>
                </c:pt>
                <c:pt idx="1">
                  <c:v>Бюджетні установи</c:v>
                </c:pt>
                <c:pt idx="2">
                  <c:v>Комунальні і промислові підприємства</c:v>
                </c:pt>
                <c:pt idx="3">
                  <c:v>Невраховані інші споживачі е/е</c:v>
                </c:pt>
              </c:strCache>
            </c:strRef>
          </c:cat>
          <c:val>
            <c:numRef>
              <c:f>1</c:f>
              <c:numCache>
                <c:formatCode>General</c:formatCode>
                <c:ptCount val="4"/>
                <c:pt idx="0">
                  <c:v>94479</c:v>
                </c:pt>
                <c:pt idx="1">
                  <c:v>24340</c:v>
                </c:pt>
                <c:pt idx="2">
                  <c:v>207417</c:v>
                </c:pt>
                <c:pt idx="3">
                  <c:v>40650</c:v>
                </c:pt>
              </c:numCache>
            </c:numRef>
          </c:val>
        </c:ser>
        <c:dLbls>
          <c:showLegendKey val="0"/>
          <c:showVal val="0"/>
          <c:showCatName val="0"/>
          <c:showSerName val="0"/>
          <c:showPercent val="0"/>
          <c:showBubbleSize val="0"/>
          <c:showLeaderLines val="1"/>
        </c:dLbls>
        <c:firstSliceAng val="0"/>
      </c:pieChart>
      <c:spPr>
        <a:noFill/>
        <a:ln w="25560">
          <a:noFill/>
        </a:ln>
      </c:spPr>
    </c:plotArea>
    <c:legend>
      <c:legendPos val="r"/>
      <c:layout>
        <c:manualLayout>
          <c:xMode val="edge"/>
          <c:yMode val="edge"/>
          <c:x val="0.56481250000000005"/>
          <c:y val="0"/>
          <c:w val="0.407962997687355"/>
          <c:h val="0.999666629625514"/>
        </c:manualLayout>
      </c:layout>
      <c:overlay val="0"/>
      <c:spPr>
        <a:noFill/>
        <a:ln w="0">
          <a:noFill/>
        </a:ln>
      </c:spPr>
      <c:txPr>
        <a:bodyPr/>
        <a:lstStyle/>
        <a:p>
          <a:pPr>
            <a:defRPr sz="1000" b="0" strike="noStrike" spc="-1">
              <a:solidFill>
                <a:srgbClr val="000000"/>
              </a:solidFill>
              <a:latin typeface="Calibri"/>
            </a:defRPr>
          </a:pPr>
          <a:endParaRPr lang="uk-UA"/>
        </a:p>
      </c:txPr>
    </c:legend>
    <c:plotVisOnly val="1"/>
    <c:dispBlanksAs val="zero"/>
    <c:showDLblsOverMax val="1"/>
  </c:chart>
  <c:spPr>
    <a:solidFill>
      <a:srgbClr val="FFFFFF"/>
    </a:solidFill>
    <a:ln w="9360">
      <a:solidFill>
        <a:srgbClr val="808080"/>
      </a:solidFill>
      <a:round/>
    </a:ln>
  </c:spPr>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title>
      <c:tx>
        <c:rich>
          <a:bodyPr rot="0"/>
          <a:lstStyle/>
          <a:p>
            <a:pPr>
              <a:defRPr lang="uk-UA" sz="1300" b="0" strike="noStrike" spc="-1">
                <a:solidFill>
                  <a:srgbClr val="000000"/>
                </a:solidFill>
                <a:latin typeface="Arial"/>
              </a:defRPr>
            </a:pPr>
            <a:r>
              <a:rPr lang="uk-UA" sz="1300" b="0" strike="noStrike" spc="-1">
                <a:solidFill>
                  <a:srgbClr val="000000"/>
                </a:solidFill>
                <a:latin typeface="Arial"/>
              </a:rPr>
              <a:t>2022 рік</a:t>
            </a:r>
          </a:p>
        </c:rich>
      </c:tx>
      <c:layout>
        <c:manualLayout>
          <c:xMode val="edge"/>
          <c:yMode val="edge"/>
          <c:x val="1.6250000000000001E-2"/>
          <c:y val="2.32222222222222E-2"/>
        </c:manualLayout>
      </c:layout>
      <c:overlay val="0"/>
      <c:spPr>
        <a:noFill/>
        <a:ln w="0">
          <a:noFill/>
        </a:ln>
      </c:spPr>
    </c:title>
    <c:autoTitleDeleted val="0"/>
    <c:plotArea>
      <c:layout>
        <c:manualLayout>
          <c:layoutTarget val="inner"/>
          <c:xMode val="edge"/>
          <c:yMode val="edge"/>
          <c:x val="3.6187499999999997E-2"/>
          <c:y val="0.231333333333333"/>
          <c:w val="0.55406250000000001"/>
          <c:h val="0.65288888888888896"/>
        </c:manualLayout>
      </c:layout>
      <c:pieChart>
        <c:varyColors val="1"/>
        <c:ser>
          <c:idx val="0"/>
          <c:order val="0"/>
          <c:tx>
            <c:strRef>
              <c:f>label 0</c:f>
              <c:strCache>
                <c:ptCount val="1"/>
                <c:pt idx="0">
                  <c:v>Серія1</c:v>
                </c:pt>
              </c:strCache>
            </c:strRef>
          </c:tx>
          <c:spPr>
            <a:solidFill>
              <a:srgbClr val="4F81BD"/>
            </a:solidFill>
            <a:ln w="0">
              <a:noFill/>
            </a:ln>
          </c:spPr>
          <c:dPt>
            <c:idx val="0"/>
            <c:bubble3D val="0"/>
          </c:dPt>
          <c:dPt>
            <c:idx val="1"/>
            <c:bubble3D val="0"/>
            <c:spPr>
              <a:solidFill>
                <a:srgbClr val="C0504D"/>
              </a:solidFill>
              <a:ln w="0">
                <a:noFill/>
              </a:ln>
            </c:spPr>
          </c:dPt>
          <c:dPt>
            <c:idx val="2"/>
            <c:bubble3D val="0"/>
            <c:spPr>
              <a:solidFill>
                <a:srgbClr val="9BBB59"/>
              </a:solidFill>
              <a:ln w="0">
                <a:noFill/>
              </a:ln>
            </c:spPr>
          </c:dPt>
          <c:dPt>
            <c:idx val="3"/>
            <c:bubble3D val="0"/>
            <c:spPr>
              <a:solidFill>
                <a:srgbClr val="8064A2"/>
              </a:solidFill>
              <a:ln w="0">
                <a:noFill/>
              </a:ln>
            </c:spPr>
          </c:dPt>
          <c:dLbls>
            <c:txPr>
              <a:bodyPr wrap="square"/>
              <a:lstStyle/>
              <a:p>
                <a:pPr>
                  <a:defRPr sz="1200" b="0" strike="noStrike" spc="-1">
                    <a:solidFill>
                      <a:srgbClr val="000000"/>
                    </a:solidFill>
                    <a:latin typeface="Calibri"/>
                  </a:defRPr>
                </a:pPr>
                <a:endParaRPr lang="uk-UA"/>
              </a:p>
            </c:txPr>
            <c:dLblPos val="bestFit"/>
            <c:showLegendKey val="0"/>
            <c:showVal val="0"/>
            <c:showCatName val="0"/>
            <c:showSerName val="0"/>
            <c:showPercent val="1"/>
            <c:showBubbleSize val="1"/>
            <c:separator>
</c:separator>
            <c:showLeaderLines val="1"/>
          </c:dLbls>
          <c:cat>
            <c:strRef>
              <c:f>categories</c:f>
              <c:strCache>
                <c:ptCount val="4"/>
                <c:pt idx="0">
                  <c:v>Населення</c:v>
                </c:pt>
                <c:pt idx="1">
                  <c:v>Бюджетні установи</c:v>
                </c:pt>
                <c:pt idx="2">
                  <c:v>Комунальні і промислові підприємства</c:v>
                </c:pt>
                <c:pt idx="3">
                  <c:v>Невраховані інші споживачі е/е</c:v>
                </c:pt>
              </c:strCache>
            </c:strRef>
          </c:cat>
          <c:val>
            <c:numRef>
              <c:f>0</c:f>
              <c:numCache>
                <c:formatCode>General</c:formatCode>
                <c:ptCount val="4"/>
                <c:pt idx="0">
                  <c:v>36</c:v>
                </c:pt>
                <c:pt idx="1">
                  <c:v>5</c:v>
                </c:pt>
                <c:pt idx="2">
                  <c:v>42</c:v>
                </c:pt>
                <c:pt idx="3">
                  <c:v>17</c:v>
                </c:pt>
              </c:numCache>
            </c:numRef>
          </c:val>
        </c:ser>
        <c:ser>
          <c:idx val="1"/>
          <c:order val="1"/>
          <c:tx>
            <c:strRef>
              <c:f>label 1</c:f>
              <c:strCache>
                <c:ptCount val="1"/>
                <c:pt idx="0">
                  <c:v>Серія2</c:v>
                </c:pt>
              </c:strCache>
            </c:strRef>
          </c:tx>
          <c:spPr>
            <a:solidFill>
              <a:srgbClr val="C0504D"/>
            </a:solidFill>
            <a:ln w="0">
              <a:noFill/>
            </a:ln>
          </c:spPr>
          <c:dPt>
            <c:idx val="0"/>
            <c:bubble3D val="0"/>
            <c:spPr>
              <a:solidFill>
                <a:srgbClr val="4F81BD"/>
              </a:solidFill>
              <a:ln w="0">
                <a:noFill/>
              </a:ln>
            </c:spPr>
          </c:dPt>
          <c:dPt>
            <c:idx val="1"/>
            <c:bubble3D val="0"/>
          </c:dPt>
          <c:dPt>
            <c:idx val="2"/>
            <c:bubble3D val="0"/>
            <c:spPr>
              <a:solidFill>
                <a:srgbClr val="9BBB59"/>
              </a:solidFill>
              <a:ln w="0">
                <a:noFill/>
              </a:ln>
            </c:spPr>
          </c:dPt>
          <c:dPt>
            <c:idx val="3"/>
            <c:bubble3D val="0"/>
            <c:spPr>
              <a:solidFill>
                <a:srgbClr val="8064A2"/>
              </a:solidFill>
              <a:ln w="0">
                <a:noFill/>
              </a:ln>
            </c:spPr>
          </c:dPt>
          <c:dLbls>
            <c:txPr>
              <a:bodyPr wrap="square"/>
              <a:lstStyle/>
              <a:p>
                <a:pPr>
                  <a:defRPr sz="1000" b="0" strike="noStrike" spc="-1">
                    <a:solidFill>
                      <a:srgbClr val="000000"/>
                    </a:solidFill>
                    <a:latin typeface="Calibri"/>
                  </a:defRPr>
                </a:pPr>
                <a:endParaRPr lang="uk-UA"/>
              </a:p>
            </c:txPr>
            <c:dLblPos val="bestFit"/>
            <c:showLegendKey val="0"/>
            <c:showVal val="0"/>
            <c:showCatName val="0"/>
            <c:showSerName val="0"/>
            <c:showPercent val="0"/>
            <c:showBubbleSize val="1"/>
            <c:separator>; </c:separator>
            <c:showLeaderLines val="1"/>
          </c:dLbls>
          <c:cat>
            <c:strRef>
              <c:f>categories</c:f>
              <c:strCache>
                <c:ptCount val="4"/>
                <c:pt idx="0">
                  <c:v>Населення</c:v>
                </c:pt>
                <c:pt idx="1">
                  <c:v>Бюджетні установи</c:v>
                </c:pt>
                <c:pt idx="2">
                  <c:v>Комунальні і промислові підприємства</c:v>
                </c:pt>
                <c:pt idx="3">
                  <c:v>Невраховані інші споживачі е/е</c:v>
                </c:pt>
              </c:strCache>
            </c:strRef>
          </c:cat>
          <c:val>
            <c:numRef>
              <c:f>1</c:f>
              <c:numCache>
                <c:formatCode>General</c:formatCode>
                <c:ptCount val="4"/>
                <c:pt idx="0">
                  <c:v>228839</c:v>
                </c:pt>
                <c:pt idx="1">
                  <c:v>29762</c:v>
                </c:pt>
                <c:pt idx="2">
                  <c:v>272469</c:v>
                </c:pt>
                <c:pt idx="3">
                  <c:v>107604</c:v>
                </c:pt>
              </c:numCache>
            </c:numRef>
          </c:val>
        </c:ser>
        <c:dLbls>
          <c:showLegendKey val="0"/>
          <c:showVal val="0"/>
          <c:showCatName val="0"/>
          <c:showSerName val="0"/>
          <c:showPercent val="0"/>
          <c:showBubbleSize val="0"/>
          <c:showLeaderLines val="1"/>
        </c:dLbls>
        <c:firstSliceAng val="0"/>
      </c:pieChart>
      <c:spPr>
        <a:noFill/>
        <a:ln w="25560">
          <a:noFill/>
        </a:ln>
      </c:spPr>
    </c:plotArea>
    <c:legend>
      <c:legendPos val="r"/>
      <c:layout>
        <c:manualLayout>
          <c:xMode val="edge"/>
          <c:yMode val="edge"/>
          <c:x val="0.56100000000000005"/>
          <c:y val="2E-3"/>
          <c:w val="0.39858741171323198"/>
          <c:h val="0.99666629625514003"/>
        </c:manualLayout>
      </c:layout>
      <c:overlay val="0"/>
      <c:spPr>
        <a:noFill/>
        <a:ln w="0">
          <a:noFill/>
        </a:ln>
      </c:spPr>
      <c:txPr>
        <a:bodyPr/>
        <a:lstStyle/>
        <a:p>
          <a:pPr>
            <a:defRPr sz="1000" b="0" strike="noStrike" spc="-1">
              <a:solidFill>
                <a:srgbClr val="000000"/>
              </a:solidFill>
              <a:latin typeface="Calibri"/>
            </a:defRPr>
          </a:pPr>
          <a:endParaRPr lang="uk-UA"/>
        </a:p>
      </c:txPr>
    </c:legend>
    <c:plotVisOnly val="1"/>
    <c:dispBlanksAs val="zero"/>
    <c:showDLblsOverMax val="1"/>
  </c:chart>
  <c:spPr>
    <a:solidFill>
      <a:srgbClr val="FFFFFF"/>
    </a:solidFill>
    <a:ln w="9360">
      <a:solidFill>
        <a:srgbClr val="808080"/>
      </a:solidFill>
      <a:round/>
    </a:ln>
  </c:spPr>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autoTitleDeleted val="1"/>
    <c:plotArea>
      <c:layout/>
      <c:barChart>
        <c:barDir val="col"/>
        <c:grouping val="clustered"/>
        <c:varyColors val="0"/>
        <c:ser>
          <c:idx val="0"/>
          <c:order val="0"/>
          <c:tx>
            <c:strRef>
              <c:f>label 0</c:f>
              <c:strCache>
                <c:ptCount val="1"/>
                <c:pt idx="0">
                  <c:v>Виробництво теплової енергії, тис. Гкал </c:v>
                </c:pt>
              </c:strCache>
            </c:strRef>
          </c:tx>
          <c:spPr>
            <a:solidFill>
              <a:srgbClr val="004586"/>
            </a:solidFill>
            <a:ln w="0">
              <a:noFill/>
            </a:ln>
          </c:spPr>
          <c:invertIfNegative val="0"/>
          <c:dLbls>
            <c:txPr>
              <a:bodyPr wrap="none"/>
              <a:lstStyle/>
              <a:p>
                <a:pPr>
                  <a:defRPr sz="1000" b="0" strike="noStrike" spc="-1">
                    <a:solidFill>
                      <a:srgbClr val="000000"/>
                    </a:solidFill>
                    <a:latin typeface="Arial"/>
                  </a:defRPr>
                </a:pPr>
                <a:endParaRPr lang="uk-UA"/>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7"/>
                <c:pt idx="0">
                  <c:v>2007</c:v>
                </c:pt>
                <c:pt idx="1">
                  <c:v>2017</c:v>
                </c:pt>
                <c:pt idx="2">
                  <c:v>2018</c:v>
                </c:pt>
                <c:pt idx="3">
                  <c:v>2019</c:v>
                </c:pt>
                <c:pt idx="4">
                  <c:v>2020</c:v>
                </c:pt>
                <c:pt idx="5">
                  <c:v>2021</c:v>
                </c:pt>
                <c:pt idx="6">
                  <c:v>2022</c:v>
                </c:pt>
              </c:strCache>
            </c:strRef>
          </c:cat>
          <c:val>
            <c:numRef>
              <c:f>0</c:f>
              <c:numCache>
                <c:formatCode>General</c:formatCode>
                <c:ptCount val="7"/>
                <c:pt idx="0">
                  <c:v>608.4</c:v>
                </c:pt>
                <c:pt idx="1">
                  <c:v>516.29999999999995</c:v>
                </c:pt>
                <c:pt idx="2">
                  <c:v>503.3</c:v>
                </c:pt>
                <c:pt idx="3">
                  <c:v>474.6</c:v>
                </c:pt>
                <c:pt idx="4">
                  <c:v>475.9</c:v>
                </c:pt>
                <c:pt idx="5">
                  <c:v>467.7</c:v>
                </c:pt>
                <c:pt idx="6">
                  <c:v>401.1</c:v>
                </c:pt>
              </c:numCache>
            </c:numRef>
          </c:val>
        </c:ser>
        <c:dLbls>
          <c:showLegendKey val="0"/>
          <c:showVal val="0"/>
          <c:showCatName val="0"/>
          <c:showSerName val="0"/>
          <c:showPercent val="0"/>
          <c:showBubbleSize val="0"/>
        </c:dLbls>
        <c:gapWidth val="100"/>
        <c:axId val="209020800"/>
        <c:axId val="209022336"/>
      </c:barChart>
      <c:catAx>
        <c:axId val="209020800"/>
        <c:scaling>
          <c:orientation val="minMax"/>
        </c:scaling>
        <c:delete val="0"/>
        <c:axPos val="b"/>
        <c:numFmt formatCode="[$-422]dd/mm/yyyy" sourceLinked="0"/>
        <c:majorTickMark val="out"/>
        <c:minorTickMark val="none"/>
        <c:tickLblPos val="nextTo"/>
        <c:spPr>
          <a:ln w="0">
            <a:solidFill>
              <a:srgbClr val="B3B3B3"/>
            </a:solidFill>
          </a:ln>
        </c:spPr>
        <c:txPr>
          <a:bodyPr rot="-3000000"/>
          <a:lstStyle/>
          <a:p>
            <a:pPr>
              <a:defRPr sz="1000" b="0" strike="noStrike" spc="-1">
                <a:solidFill>
                  <a:srgbClr val="000000"/>
                </a:solidFill>
                <a:latin typeface="Arial"/>
              </a:defRPr>
            </a:pPr>
            <a:endParaRPr lang="uk-UA"/>
          </a:p>
        </c:txPr>
        <c:crossAx val="209022336"/>
        <c:crosses val="autoZero"/>
        <c:auto val="1"/>
        <c:lblAlgn val="ctr"/>
        <c:lblOffset val="100"/>
        <c:noMultiLvlLbl val="0"/>
      </c:catAx>
      <c:valAx>
        <c:axId val="209022336"/>
        <c:scaling>
          <c:orientation val="minMax"/>
        </c:scaling>
        <c:delete val="0"/>
        <c:axPos val="l"/>
        <c:majorGridlines>
          <c:spPr>
            <a:ln w="0">
              <a:solidFill>
                <a:srgbClr val="B3B3B3"/>
              </a:solidFill>
            </a:ln>
          </c:spPr>
        </c:majorGridlines>
        <c:numFmt formatCode="General" sourceLinked="0"/>
        <c:majorTickMark val="out"/>
        <c:minorTickMark val="none"/>
        <c:tickLblPos val="nextTo"/>
        <c:spPr>
          <a:ln w="0">
            <a:solidFill>
              <a:srgbClr val="B3B3B3"/>
            </a:solidFill>
          </a:ln>
        </c:spPr>
        <c:txPr>
          <a:bodyPr/>
          <a:lstStyle/>
          <a:p>
            <a:pPr>
              <a:defRPr sz="1000" b="0" strike="noStrike" spc="-1">
                <a:solidFill>
                  <a:srgbClr val="000000"/>
                </a:solidFill>
                <a:latin typeface="Arial"/>
              </a:defRPr>
            </a:pPr>
            <a:endParaRPr lang="uk-UA"/>
          </a:p>
        </c:txPr>
        <c:crossAx val="209020800"/>
        <c:crosses val="autoZero"/>
        <c:crossBetween val="between"/>
      </c:valAx>
      <c:spPr>
        <a:noFill/>
        <a:ln w="0">
          <a:solidFill>
            <a:srgbClr val="B3B3B3"/>
          </a:solidFill>
        </a:ln>
      </c:spPr>
    </c:plotArea>
    <c:legend>
      <c:legendPos val="b"/>
      <c:overlay val="0"/>
      <c:spPr>
        <a:noFill/>
        <a:ln w="0">
          <a:noFill/>
        </a:ln>
      </c:spPr>
      <c:txPr>
        <a:bodyPr/>
        <a:lstStyle/>
        <a:p>
          <a:pPr>
            <a:defRPr sz="1000" b="0" strike="noStrike" spc="-1">
              <a:solidFill>
                <a:srgbClr val="000000"/>
              </a:solidFill>
              <a:latin typeface="Arial"/>
            </a:defRPr>
          </a:pPr>
          <a:endParaRPr lang="uk-UA"/>
        </a:p>
      </c:txPr>
    </c:legend>
    <c:plotVisOnly val="1"/>
    <c:dispBlanksAs val="gap"/>
    <c:showDLblsOverMax val="1"/>
  </c:chart>
  <c:spPr>
    <a:noFill/>
    <a:ln w="0">
      <a:noFill/>
    </a:ln>
  </c:spPr>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autoTitleDeleted val="1"/>
    <c:plotArea>
      <c:layout/>
      <c:barChart>
        <c:barDir val="col"/>
        <c:grouping val="clustered"/>
        <c:varyColors val="0"/>
        <c:ser>
          <c:idx val="0"/>
          <c:order val="0"/>
          <c:tx>
            <c:strRef>
              <c:f>label 0</c:f>
              <c:strCache>
                <c:ptCount val="1"/>
                <c:pt idx="0">
                  <c:v>Теплова енергія, тис. Гкал</c:v>
                </c:pt>
              </c:strCache>
            </c:strRef>
          </c:tx>
          <c:spPr>
            <a:solidFill>
              <a:srgbClr val="004586"/>
            </a:solidFill>
            <a:ln w="0">
              <a:noFill/>
            </a:ln>
          </c:spPr>
          <c:invertIfNegative val="0"/>
          <c:dLbls>
            <c:txPr>
              <a:bodyPr wrap="none"/>
              <a:lstStyle/>
              <a:p>
                <a:pPr>
                  <a:defRPr sz="1000" b="0" strike="noStrike" spc="-1">
                    <a:solidFill>
                      <a:srgbClr val="000000"/>
                    </a:solidFill>
                    <a:latin typeface="Arial"/>
                  </a:defRPr>
                </a:pPr>
                <a:endParaRPr lang="uk-UA"/>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7"/>
                <c:pt idx="0">
                  <c:v>2007</c:v>
                </c:pt>
                <c:pt idx="1">
                  <c:v>2017</c:v>
                </c:pt>
                <c:pt idx="2">
                  <c:v>2018</c:v>
                </c:pt>
                <c:pt idx="3">
                  <c:v>2019</c:v>
                </c:pt>
                <c:pt idx="4">
                  <c:v>2020</c:v>
                </c:pt>
                <c:pt idx="5">
                  <c:v>2021</c:v>
                </c:pt>
                <c:pt idx="6">
                  <c:v>2022</c:v>
                </c:pt>
              </c:strCache>
            </c:strRef>
          </c:cat>
          <c:val>
            <c:numRef>
              <c:f>0</c:f>
              <c:numCache>
                <c:formatCode>General</c:formatCode>
                <c:ptCount val="7"/>
                <c:pt idx="0">
                  <c:v>608.4</c:v>
                </c:pt>
                <c:pt idx="1">
                  <c:v>516.29999999999995</c:v>
                </c:pt>
                <c:pt idx="2">
                  <c:v>503.3</c:v>
                </c:pt>
                <c:pt idx="3">
                  <c:v>474.6</c:v>
                </c:pt>
                <c:pt idx="4">
                  <c:v>475.9</c:v>
                </c:pt>
                <c:pt idx="5">
                  <c:v>467.7</c:v>
                </c:pt>
                <c:pt idx="6">
                  <c:v>401.1</c:v>
                </c:pt>
              </c:numCache>
            </c:numRef>
          </c:val>
        </c:ser>
        <c:dLbls>
          <c:showLegendKey val="0"/>
          <c:showVal val="0"/>
          <c:showCatName val="0"/>
          <c:showSerName val="0"/>
          <c:showPercent val="0"/>
          <c:showBubbleSize val="0"/>
        </c:dLbls>
        <c:gapWidth val="100"/>
        <c:axId val="209049856"/>
        <c:axId val="210403328"/>
      </c:barChart>
      <c:lineChart>
        <c:grouping val="standard"/>
        <c:varyColors val="0"/>
        <c:ser>
          <c:idx val="1"/>
          <c:order val="1"/>
          <c:tx>
            <c:strRef>
              <c:f>label 1</c:f>
              <c:strCache>
                <c:ptCount val="1"/>
                <c:pt idx="0">
                  <c:v>Градусодні</c:v>
                </c:pt>
              </c:strCache>
            </c:strRef>
          </c:tx>
          <c:spPr>
            <a:ln w="28800">
              <a:solidFill>
                <a:srgbClr val="FFD320"/>
              </a:solidFill>
              <a:round/>
            </a:ln>
          </c:spPr>
          <c:marker>
            <c:symbol val="none"/>
          </c:marker>
          <c:dLbls>
            <c:txPr>
              <a:bodyPr wrap="none"/>
              <a:lstStyle/>
              <a:p>
                <a:pPr>
                  <a:defRPr sz="1000" b="0" strike="noStrike" spc="-1">
                    <a:solidFill>
                      <a:srgbClr val="000000"/>
                    </a:solidFill>
                    <a:latin typeface="Arial"/>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7"/>
                <c:pt idx="0">
                  <c:v>2007</c:v>
                </c:pt>
                <c:pt idx="1">
                  <c:v>2017</c:v>
                </c:pt>
                <c:pt idx="2">
                  <c:v>2018</c:v>
                </c:pt>
                <c:pt idx="3">
                  <c:v>2019</c:v>
                </c:pt>
                <c:pt idx="4">
                  <c:v>2020</c:v>
                </c:pt>
                <c:pt idx="5">
                  <c:v>2021</c:v>
                </c:pt>
                <c:pt idx="6">
                  <c:v>2022</c:v>
                </c:pt>
              </c:strCache>
            </c:strRef>
          </c:cat>
          <c:val>
            <c:numRef>
              <c:f>1</c:f>
              <c:numCache>
                <c:formatCode>General</c:formatCode>
                <c:ptCount val="7"/>
                <c:pt idx="0">
                  <c:v>184</c:v>
                </c:pt>
                <c:pt idx="1">
                  <c:v>165</c:v>
                </c:pt>
                <c:pt idx="2">
                  <c:v>158</c:v>
                </c:pt>
                <c:pt idx="3">
                  <c:v>162</c:v>
                </c:pt>
                <c:pt idx="4">
                  <c:v>178</c:v>
                </c:pt>
                <c:pt idx="5">
                  <c:v>178</c:v>
                </c:pt>
                <c:pt idx="6">
                  <c:v>154</c:v>
                </c:pt>
              </c:numCache>
            </c:numRef>
          </c:val>
          <c:smooth val="0"/>
        </c:ser>
        <c:dLbls>
          <c:showLegendKey val="0"/>
          <c:showVal val="0"/>
          <c:showCatName val="0"/>
          <c:showSerName val="0"/>
          <c:showPercent val="0"/>
          <c:showBubbleSize val="0"/>
        </c:dLbls>
        <c:hiLowLines>
          <c:spPr>
            <a:ln w="0">
              <a:noFill/>
            </a:ln>
          </c:spPr>
        </c:hiLowLines>
        <c:marker val="1"/>
        <c:smooth val="0"/>
        <c:axId val="210404864"/>
        <c:axId val="210406400"/>
      </c:lineChart>
      <c:catAx>
        <c:axId val="209049856"/>
        <c:scaling>
          <c:orientation val="minMax"/>
        </c:scaling>
        <c:delete val="0"/>
        <c:axPos val="b"/>
        <c:numFmt formatCode="[$-422]dd/mm/yyyy" sourceLinked="0"/>
        <c:majorTickMark val="out"/>
        <c:minorTickMark val="none"/>
        <c:tickLblPos val="nextTo"/>
        <c:spPr>
          <a:ln w="0">
            <a:solidFill>
              <a:srgbClr val="B3B3B3"/>
            </a:solidFill>
          </a:ln>
        </c:spPr>
        <c:txPr>
          <a:bodyPr rot="-3000000"/>
          <a:lstStyle/>
          <a:p>
            <a:pPr>
              <a:defRPr sz="1000" b="0" strike="noStrike" spc="-1">
                <a:solidFill>
                  <a:srgbClr val="000000"/>
                </a:solidFill>
                <a:latin typeface="Arial"/>
              </a:defRPr>
            </a:pPr>
            <a:endParaRPr lang="uk-UA"/>
          </a:p>
        </c:txPr>
        <c:crossAx val="210403328"/>
        <c:crosses val="autoZero"/>
        <c:auto val="1"/>
        <c:lblAlgn val="ctr"/>
        <c:lblOffset val="100"/>
        <c:noMultiLvlLbl val="0"/>
      </c:catAx>
      <c:valAx>
        <c:axId val="210403328"/>
        <c:scaling>
          <c:orientation val="minMax"/>
        </c:scaling>
        <c:delete val="0"/>
        <c:axPos val="l"/>
        <c:majorGridlines>
          <c:spPr>
            <a:ln w="0">
              <a:solidFill>
                <a:srgbClr val="B3B3B3"/>
              </a:solidFill>
            </a:ln>
          </c:spPr>
        </c:majorGridlines>
        <c:numFmt formatCode="General" sourceLinked="0"/>
        <c:majorTickMark val="out"/>
        <c:minorTickMark val="none"/>
        <c:tickLblPos val="nextTo"/>
        <c:spPr>
          <a:ln w="0">
            <a:solidFill>
              <a:srgbClr val="B3B3B3"/>
            </a:solidFill>
          </a:ln>
        </c:spPr>
        <c:txPr>
          <a:bodyPr/>
          <a:lstStyle/>
          <a:p>
            <a:pPr>
              <a:defRPr sz="1000" b="0" strike="noStrike" spc="-1">
                <a:solidFill>
                  <a:srgbClr val="000000"/>
                </a:solidFill>
                <a:latin typeface="Arial"/>
              </a:defRPr>
            </a:pPr>
            <a:endParaRPr lang="uk-UA"/>
          </a:p>
        </c:txPr>
        <c:crossAx val="209049856"/>
        <c:crosses val="autoZero"/>
        <c:crossBetween val="between"/>
      </c:valAx>
      <c:catAx>
        <c:axId val="210404864"/>
        <c:scaling>
          <c:orientation val="minMax"/>
        </c:scaling>
        <c:delete val="1"/>
        <c:axPos val="b"/>
        <c:numFmt formatCode="[$-422]dd/mm/yyyy" sourceLinked="1"/>
        <c:majorTickMark val="out"/>
        <c:minorTickMark val="none"/>
        <c:tickLblPos val="none"/>
        <c:crossAx val="210406400"/>
        <c:crosses val="autoZero"/>
        <c:auto val="1"/>
        <c:lblAlgn val="ctr"/>
        <c:lblOffset val="100"/>
        <c:noMultiLvlLbl val="0"/>
      </c:catAx>
      <c:valAx>
        <c:axId val="210406400"/>
        <c:scaling>
          <c:orientation val="minMax"/>
          <c:max val="200"/>
          <c:min val="100"/>
        </c:scaling>
        <c:delete val="0"/>
        <c:axPos val="r"/>
        <c:numFmt formatCode="General" sourceLinked="0"/>
        <c:majorTickMark val="out"/>
        <c:minorTickMark val="none"/>
        <c:tickLblPos val="nextTo"/>
        <c:spPr>
          <a:ln w="0">
            <a:solidFill>
              <a:srgbClr val="B3B3B3"/>
            </a:solidFill>
          </a:ln>
        </c:spPr>
        <c:txPr>
          <a:bodyPr/>
          <a:lstStyle/>
          <a:p>
            <a:pPr>
              <a:defRPr sz="1000" b="0" strike="noStrike" spc="-1">
                <a:solidFill>
                  <a:srgbClr val="000000"/>
                </a:solidFill>
                <a:latin typeface="Arial"/>
              </a:defRPr>
            </a:pPr>
            <a:endParaRPr lang="uk-UA"/>
          </a:p>
        </c:txPr>
        <c:crossAx val="210404864"/>
        <c:crosses val="max"/>
        <c:crossBetween val="between"/>
        <c:majorUnit val="10"/>
      </c:valAx>
      <c:spPr>
        <a:noFill/>
        <a:ln w="0">
          <a:solidFill>
            <a:srgbClr val="B3B3B3"/>
          </a:solidFill>
        </a:ln>
      </c:spPr>
    </c:plotArea>
    <c:legend>
      <c:legendPos val="b"/>
      <c:overlay val="0"/>
      <c:spPr>
        <a:noFill/>
        <a:ln w="0">
          <a:noFill/>
        </a:ln>
      </c:spPr>
      <c:txPr>
        <a:bodyPr/>
        <a:lstStyle/>
        <a:p>
          <a:pPr>
            <a:defRPr sz="1000" b="0" strike="noStrike" spc="-1">
              <a:solidFill>
                <a:srgbClr val="000000"/>
              </a:solidFill>
              <a:latin typeface="Arial"/>
            </a:defRPr>
          </a:pPr>
          <a:endParaRPr lang="uk-UA"/>
        </a:p>
      </c:txPr>
    </c:legend>
    <c:plotVisOnly val="1"/>
    <c:dispBlanksAs val="gap"/>
    <c:showDLblsOverMax val="1"/>
  </c:chart>
  <c:spPr>
    <a:noFill/>
    <a:ln w="0">
      <a:noFill/>
    </a:ln>
  </c:spPr>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autoTitleDeleted val="1"/>
    <c:plotArea>
      <c:layout/>
      <c:barChart>
        <c:barDir val="col"/>
        <c:grouping val="stacked"/>
        <c:varyColors val="0"/>
        <c:ser>
          <c:idx val="0"/>
          <c:order val="0"/>
          <c:tx>
            <c:strRef>
              <c:f>label 0</c:f>
              <c:strCache>
                <c:ptCount val="1"/>
                <c:pt idx="0">
                  <c:v>Бюджетні установи</c:v>
                </c:pt>
              </c:strCache>
            </c:strRef>
          </c:tx>
          <c:spPr>
            <a:solidFill>
              <a:srgbClr val="004586"/>
            </a:solidFill>
            <a:ln w="0">
              <a:noFill/>
            </a:ln>
          </c:spPr>
          <c:invertIfNegative val="0"/>
          <c:dLbls>
            <c:txPr>
              <a:bodyPr wrap="none"/>
              <a:lstStyle/>
              <a:p>
                <a:pPr>
                  <a:defRPr sz="1000" b="0" strike="noStrike" spc="-1">
                    <a:solidFill>
                      <a:srgbClr val="000000"/>
                    </a:solidFill>
                    <a:latin typeface="Arial"/>
                  </a:defRPr>
                </a:pPr>
                <a:endParaRPr lang="uk-UA"/>
              </a:p>
            </c:txPr>
            <c:dLblPos val="ct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0"/>
                <c:pt idx="0">
                  <c:v>2007</c:v>
                </c:pt>
                <c:pt idx="1">
                  <c:v>2014</c:v>
                </c:pt>
                <c:pt idx="2">
                  <c:v>2015</c:v>
                </c:pt>
                <c:pt idx="3">
                  <c:v>2016</c:v>
                </c:pt>
                <c:pt idx="4">
                  <c:v>2017</c:v>
                </c:pt>
                <c:pt idx="5">
                  <c:v>2018</c:v>
                </c:pt>
                <c:pt idx="6">
                  <c:v>2019</c:v>
                </c:pt>
                <c:pt idx="7">
                  <c:v>2020</c:v>
                </c:pt>
                <c:pt idx="8">
                  <c:v>2021</c:v>
                </c:pt>
                <c:pt idx="9">
                  <c:v>2022</c:v>
                </c:pt>
              </c:strCache>
            </c:strRef>
          </c:cat>
          <c:val>
            <c:numRef>
              <c:f>0</c:f>
              <c:numCache>
                <c:formatCode>General</c:formatCode>
                <c:ptCount val="10"/>
                <c:pt idx="0">
                  <c:v>85.1</c:v>
                </c:pt>
                <c:pt idx="1">
                  <c:v>54.8</c:v>
                </c:pt>
                <c:pt idx="2">
                  <c:v>50.2</c:v>
                </c:pt>
                <c:pt idx="3">
                  <c:v>54.7</c:v>
                </c:pt>
                <c:pt idx="4">
                  <c:v>54.9</c:v>
                </c:pt>
                <c:pt idx="5">
                  <c:v>53.5</c:v>
                </c:pt>
                <c:pt idx="6">
                  <c:v>46.9</c:v>
                </c:pt>
                <c:pt idx="7">
                  <c:v>49.2</c:v>
                </c:pt>
                <c:pt idx="8">
                  <c:v>42.6</c:v>
                </c:pt>
                <c:pt idx="9">
                  <c:v>41.7</c:v>
                </c:pt>
              </c:numCache>
            </c:numRef>
          </c:val>
        </c:ser>
        <c:ser>
          <c:idx val="1"/>
          <c:order val="1"/>
          <c:tx>
            <c:strRef>
              <c:f>label 1</c:f>
              <c:strCache>
                <c:ptCount val="1"/>
                <c:pt idx="0">
                  <c:v>Населення</c:v>
                </c:pt>
              </c:strCache>
            </c:strRef>
          </c:tx>
          <c:spPr>
            <a:solidFill>
              <a:srgbClr val="FF420E"/>
            </a:solidFill>
            <a:ln w="0">
              <a:noFill/>
            </a:ln>
          </c:spPr>
          <c:invertIfNegative val="0"/>
          <c:dLbls>
            <c:txPr>
              <a:bodyPr wrap="none"/>
              <a:lstStyle/>
              <a:p>
                <a:pPr>
                  <a:defRPr sz="1000" b="0" strike="noStrike" spc="-1">
                    <a:solidFill>
                      <a:srgbClr val="000000"/>
                    </a:solidFill>
                    <a:latin typeface="Arial"/>
                  </a:defRPr>
                </a:pPr>
                <a:endParaRPr lang="uk-UA"/>
              </a:p>
            </c:txPr>
            <c:dLblPos val="ct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0"/>
                <c:pt idx="0">
                  <c:v>2007</c:v>
                </c:pt>
                <c:pt idx="1">
                  <c:v>2014</c:v>
                </c:pt>
                <c:pt idx="2">
                  <c:v>2015</c:v>
                </c:pt>
                <c:pt idx="3">
                  <c:v>2016</c:v>
                </c:pt>
                <c:pt idx="4">
                  <c:v>2017</c:v>
                </c:pt>
                <c:pt idx="5">
                  <c:v>2018</c:v>
                </c:pt>
                <c:pt idx="6">
                  <c:v>2019</c:v>
                </c:pt>
                <c:pt idx="7">
                  <c:v>2020</c:v>
                </c:pt>
                <c:pt idx="8">
                  <c:v>2021</c:v>
                </c:pt>
                <c:pt idx="9">
                  <c:v>2022</c:v>
                </c:pt>
              </c:strCache>
            </c:strRef>
          </c:cat>
          <c:val>
            <c:numRef>
              <c:f>1</c:f>
              <c:numCache>
                <c:formatCode>General</c:formatCode>
                <c:ptCount val="10"/>
                <c:pt idx="0">
                  <c:v>485.2</c:v>
                </c:pt>
                <c:pt idx="1">
                  <c:v>416.9</c:v>
                </c:pt>
                <c:pt idx="2">
                  <c:v>351.6</c:v>
                </c:pt>
                <c:pt idx="3">
                  <c:v>381.7</c:v>
                </c:pt>
                <c:pt idx="4">
                  <c:v>371.8</c:v>
                </c:pt>
                <c:pt idx="5">
                  <c:v>390.7</c:v>
                </c:pt>
                <c:pt idx="6">
                  <c:v>296.39999999999998</c:v>
                </c:pt>
                <c:pt idx="7">
                  <c:v>309.8</c:v>
                </c:pt>
                <c:pt idx="8">
                  <c:v>318.89999999999998</c:v>
                </c:pt>
                <c:pt idx="9">
                  <c:v>258.89999999999998</c:v>
                </c:pt>
              </c:numCache>
            </c:numRef>
          </c:val>
        </c:ser>
        <c:ser>
          <c:idx val="2"/>
          <c:order val="2"/>
          <c:tx>
            <c:strRef>
              <c:f>label 2</c:f>
              <c:strCache>
                <c:ptCount val="1"/>
                <c:pt idx="0">
                  <c:v>Промисловість</c:v>
                </c:pt>
              </c:strCache>
            </c:strRef>
          </c:tx>
          <c:spPr>
            <a:solidFill>
              <a:srgbClr val="FFD320"/>
            </a:solidFill>
            <a:ln w="0">
              <a:noFill/>
            </a:ln>
          </c:spPr>
          <c:invertIfNegative val="0"/>
          <c:dLbls>
            <c:txPr>
              <a:bodyPr wrap="none"/>
              <a:lstStyle/>
              <a:p>
                <a:pPr>
                  <a:defRPr sz="1000" b="0" strike="noStrike" spc="-1">
                    <a:solidFill>
                      <a:srgbClr val="000000"/>
                    </a:solidFill>
                    <a:latin typeface="Arial"/>
                  </a:defRPr>
                </a:pPr>
                <a:endParaRPr lang="uk-UA"/>
              </a:p>
            </c:txPr>
            <c:dLblPos val="ct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0"/>
                <c:pt idx="0">
                  <c:v>2007</c:v>
                </c:pt>
                <c:pt idx="1">
                  <c:v>2014</c:v>
                </c:pt>
                <c:pt idx="2">
                  <c:v>2015</c:v>
                </c:pt>
                <c:pt idx="3">
                  <c:v>2016</c:v>
                </c:pt>
                <c:pt idx="4">
                  <c:v>2017</c:v>
                </c:pt>
                <c:pt idx="5">
                  <c:v>2018</c:v>
                </c:pt>
                <c:pt idx="6">
                  <c:v>2019</c:v>
                </c:pt>
                <c:pt idx="7">
                  <c:v>2020</c:v>
                </c:pt>
                <c:pt idx="8">
                  <c:v>2021</c:v>
                </c:pt>
                <c:pt idx="9">
                  <c:v>2022</c:v>
                </c:pt>
              </c:strCache>
            </c:strRef>
          </c:cat>
          <c:val>
            <c:numRef>
              <c:f>2</c:f>
              <c:numCache>
                <c:formatCode>General</c:formatCode>
                <c:ptCount val="10"/>
                <c:pt idx="0">
                  <c:v>18.399999999999999</c:v>
                </c:pt>
                <c:pt idx="1">
                  <c:v>8.6999999999999993</c:v>
                </c:pt>
                <c:pt idx="2">
                  <c:v>6.5</c:v>
                </c:pt>
                <c:pt idx="3">
                  <c:v>10.1</c:v>
                </c:pt>
                <c:pt idx="4">
                  <c:v>5.9</c:v>
                </c:pt>
                <c:pt idx="5">
                  <c:v>0</c:v>
                </c:pt>
                <c:pt idx="6">
                  <c:v>0</c:v>
                </c:pt>
                <c:pt idx="7">
                  <c:v>0</c:v>
                </c:pt>
                <c:pt idx="8">
                  <c:v>0</c:v>
                </c:pt>
                <c:pt idx="9">
                  <c:v>0</c:v>
                </c:pt>
              </c:numCache>
            </c:numRef>
          </c:val>
        </c:ser>
        <c:ser>
          <c:idx val="3"/>
          <c:order val="3"/>
          <c:tx>
            <c:strRef>
              <c:f>label 3</c:f>
              <c:strCache>
                <c:ptCount val="1"/>
                <c:pt idx="0">
                  <c:v>Інші споживачі</c:v>
                </c:pt>
              </c:strCache>
            </c:strRef>
          </c:tx>
          <c:spPr>
            <a:solidFill>
              <a:srgbClr val="579D1C"/>
            </a:solidFill>
            <a:ln w="0">
              <a:noFill/>
            </a:ln>
          </c:spPr>
          <c:invertIfNegative val="0"/>
          <c:dLbls>
            <c:txPr>
              <a:bodyPr wrap="none"/>
              <a:lstStyle/>
              <a:p>
                <a:pPr>
                  <a:defRPr sz="1000" b="0" strike="noStrike" spc="-1">
                    <a:solidFill>
                      <a:srgbClr val="000000"/>
                    </a:solidFill>
                    <a:latin typeface="Arial"/>
                  </a:defRPr>
                </a:pPr>
                <a:endParaRPr lang="uk-UA"/>
              </a:p>
            </c:txPr>
            <c:dLblPos val="ct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0"/>
                <c:pt idx="0">
                  <c:v>2007</c:v>
                </c:pt>
                <c:pt idx="1">
                  <c:v>2014</c:v>
                </c:pt>
                <c:pt idx="2">
                  <c:v>2015</c:v>
                </c:pt>
                <c:pt idx="3">
                  <c:v>2016</c:v>
                </c:pt>
                <c:pt idx="4">
                  <c:v>2017</c:v>
                </c:pt>
                <c:pt idx="5">
                  <c:v>2018</c:v>
                </c:pt>
                <c:pt idx="6">
                  <c:v>2019</c:v>
                </c:pt>
                <c:pt idx="7">
                  <c:v>2020</c:v>
                </c:pt>
                <c:pt idx="8">
                  <c:v>2021</c:v>
                </c:pt>
                <c:pt idx="9">
                  <c:v>2022</c:v>
                </c:pt>
              </c:strCache>
            </c:strRef>
          </c:cat>
          <c:val>
            <c:numRef>
              <c:f>3</c:f>
              <c:numCache>
                <c:formatCode>General</c:formatCode>
                <c:ptCount val="10"/>
                <c:pt idx="0">
                  <c:v>31.6</c:v>
                </c:pt>
                <c:pt idx="1">
                  <c:v>18.100000000000001</c:v>
                </c:pt>
                <c:pt idx="2">
                  <c:v>14.9</c:v>
                </c:pt>
                <c:pt idx="3">
                  <c:v>15.4</c:v>
                </c:pt>
                <c:pt idx="4">
                  <c:v>14.3</c:v>
                </c:pt>
                <c:pt idx="5">
                  <c:v>18.3</c:v>
                </c:pt>
                <c:pt idx="6">
                  <c:v>11.9</c:v>
                </c:pt>
                <c:pt idx="7">
                  <c:v>10.4</c:v>
                </c:pt>
                <c:pt idx="8">
                  <c:v>12.1</c:v>
                </c:pt>
                <c:pt idx="9">
                  <c:v>8.1</c:v>
                </c:pt>
              </c:numCache>
            </c:numRef>
          </c:val>
        </c:ser>
        <c:ser>
          <c:idx val="4"/>
          <c:order val="4"/>
          <c:tx>
            <c:strRef>
              <c:f>label 4</c:f>
              <c:strCache>
                <c:ptCount val="1"/>
                <c:pt idx="0">
                  <c:v>Релігійні організації</c:v>
                </c:pt>
              </c:strCache>
            </c:strRef>
          </c:tx>
          <c:spPr>
            <a:solidFill>
              <a:srgbClr val="7E0021"/>
            </a:solidFill>
            <a:ln w="0">
              <a:noFill/>
            </a:ln>
          </c:spPr>
          <c:invertIfNegative val="0"/>
          <c:dLbls>
            <c:txPr>
              <a:bodyPr wrap="none"/>
              <a:lstStyle/>
              <a:p>
                <a:pPr>
                  <a:defRPr sz="1000" b="0" strike="noStrike" spc="-1">
                    <a:solidFill>
                      <a:srgbClr val="000000"/>
                    </a:solidFill>
                    <a:latin typeface="Arial"/>
                  </a:defRPr>
                </a:pPr>
                <a:endParaRPr lang="uk-UA"/>
              </a:p>
            </c:txPr>
            <c:dLblPos val="ct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0"/>
                <c:pt idx="0">
                  <c:v>2007</c:v>
                </c:pt>
                <c:pt idx="1">
                  <c:v>2014</c:v>
                </c:pt>
                <c:pt idx="2">
                  <c:v>2015</c:v>
                </c:pt>
                <c:pt idx="3">
                  <c:v>2016</c:v>
                </c:pt>
                <c:pt idx="4">
                  <c:v>2017</c:v>
                </c:pt>
                <c:pt idx="5">
                  <c:v>2018</c:v>
                </c:pt>
                <c:pt idx="6">
                  <c:v>2019</c:v>
                </c:pt>
                <c:pt idx="7">
                  <c:v>2020</c:v>
                </c:pt>
                <c:pt idx="8">
                  <c:v>2021</c:v>
                </c:pt>
                <c:pt idx="9">
                  <c:v>2022</c:v>
                </c:pt>
              </c:strCache>
            </c:strRef>
          </c:cat>
          <c:val>
            <c:numRef>
              <c:f>4</c:f>
              <c:numCache>
                <c:formatCode>General</c:formatCode>
                <c:ptCount val="10"/>
                <c:pt idx="0">
                  <c:v>0</c:v>
                </c:pt>
                <c:pt idx="1">
                  <c:v>8.5999999999999993E-2</c:v>
                </c:pt>
                <c:pt idx="2">
                  <c:v>0.11</c:v>
                </c:pt>
                <c:pt idx="3">
                  <c:v>9.3000000000000096E-2</c:v>
                </c:pt>
                <c:pt idx="4">
                  <c:v>0.15</c:v>
                </c:pt>
                <c:pt idx="5">
                  <c:v>0.17</c:v>
                </c:pt>
                <c:pt idx="6">
                  <c:v>7.6999999999999999E-2</c:v>
                </c:pt>
                <c:pt idx="7">
                  <c:v>7.5999999999999998E-2</c:v>
                </c:pt>
                <c:pt idx="8">
                  <c:v>8.5000000000000006E-2</c:v>
                </c:pt>
                <c:pt idx="9">
                  <c:v>0.1</c:v>
                </c:pt>
              </c:numCache>
            </c:numRef>
          </c:val>
        </c:ser>
        <c:dLbls>
          <c:showLegendKey val="0"/>
          <c:showVal val="0"/>
          <c:showCatName val="0"/>
          <c:showSerName val="0"/>
          <c:showPercent val="0"/>
          <c:showBubbleSize val="0"/>
        </c:dLbls>
        <c:gapWidth val="100"/>
        <c:overlap val="100"/>
        <c:axId val="210449152"/>
        <c:axId val="210450688"/>
      </c:barChart>
      <c:catAx>
        <c:axId val="210449152"/>
        <c:scaling>
          <c:orientation val="minMax"/>
        </c:scaling>
        <c:delete val="0"/>
        <c:axPos val="b"/>
        <c:numFmt formatCode="[$-422]dd/mm/yyyy" sourceLinked="0"/>
        <c:majorTickMark val="out"/>
        <c:minorTickMark val="none"/>
        <c:tickLblPos val="nextTo"/>
        <c:spPr>
          <a:ln w="0">
            <a:solidFill>
              <a:srgbClr val="B3B3B3"/>
            </a:solidFill>
          </a:ln>
        </c:spPr>
        <c:txPr>
          <a:bodyPr rot="-3000000"/>
          <a:lstStyle/>
          <a:p>
            <a:pPr>
              <a:defRPr sz="1000" b="0" strike="noStrike" spc="-1">
                <a:solidFill>
                  <a:srgbClr val="000000"/>
                </a:solidFill>
                <a:latin typeface="Arial"/>
              </a:defRPr>
            </a:pPr>
            <a:endParaRPr lang="uk-UA"/>
          </a:p>
        </c:txPr>
        <c:crossAx val="210450688"/>
        <c:crosses val="autoZero"/>
        <c:auto val="1"/>
        <c:lblAlgn val="ctr"/>
        <c:lblOffset val="100"/>
        <c:noMultiLvlLbl val="0"/>
      </c:catAx>
      <c:valAx>
        <c:axId val="210450688"/>
        <c:scaling>
          <c:orientation val="minMax"/>
        </c:scaling>
        <c:delete val="0"/>
        <c:axPos val="l"/>
        <c:majorGridlines>
          <c:spPr>
            <a:ln w="0">
              <a:solidFill>
                <a:srgbClr val="B3B3B3"/>
              </a:solidFill>
            </a:ln>
          </c:spPr>
        </c:majorGridlines>
        <c:numFmt formatCode="General" sourceLinked="0"/>
        <c:majorTickMark val="out"/>
        <c:minorTickMark val="none"/>
        <c:tickLblPos val="nextTo"/>
        <c:spPr>
          <a:ln w="0">
            <a:solidFill>
              <a:srgbClr val="B3B3B3"/>
            </a:solidFill>
          </a:ln>
        </c:spPr>
        <c:txPr>
          <a:bodyPr/>
          <a:lstStyle/>
          <a:p>
            <a:pPr>
              <a:defRPr sz="1000" b="0" strike="noStrike" spc="-1">
                <a:solidFill>
                  <a:srgbClr val="000000"/>
                </a:solidFill>
                <a:latin typeface="Arial"/>
              </a:defRPr>
            </a:pPr>
            <a:endParaRPr lang="uk-UA"/>
          </a:p>
        </c:txPr>
        <c:crossAx val="210449152"/>
        <c:crosses val="autoZero"/>
        <c:crossBetween val="between"/>
      </c:valAx>
      <c:spPr>
        <a:noFill/>
        <a:ln w="0">
          <a:solidFill>
            <a:srgbClr val="B3B3B3"/>
          </a:solidFill>
        </a:ln>
      </c:spPr>
    </c:plotArea>
    <c:legend>
      <c:legendPos val="b"/>
      <c:overlay val="0"/>
      <c:spPr>
        <a:noFill/>
        <a:ln w="0">
          <a:noFill/>
        </a:ln>
      </c:spPr>
      <c:txPr>
        <a:bodyPr/>
        <a:lstStyle/>
        <a:p>
          <a:pPr>
            <a:defRPr sz="900" b="0" strike="noStrike" spc="-1">
              <a:solidFill>
                <a:srgbClr val="000000"/>
              </a:solidFill>
              <a:latin typeface="Calibri"/>
            </a:defRPr>
          </a:pPr>
          <a:endParaRPr lang="uk-UA"/>
        </a:p>
      </c:txPr>
    </c:legend>
    <c:plotVisOnly val="1"/>
    <c:dispBlanksAs val="gap"/>
    <c:showDLblsOverMax val="1"/>
  </c:chart>
  <c:spPr>
    <a:noFill/>
    <a:ln w="0">
      <a:noFill/>
    </a:ln>
  </c:spPr>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autoTitleDeleted val="1"/>
    <c:plotArea>
      <c:layout>
        <c:manualLayout>
          <c:layoutTarget val="inner"/>
          <c:xMode val="edge"/>
          <c:yMode val="edge"/>
          <c:x val="0.20293749999999999"/>
          <c:y val="0.146666666666667"/>
          <c:w val="0.34849999999999998"/>
          <c:h val="0.79966666666666697"/>
        </c:manualLayout>
      </c:layout>
      <c:pieChart>
        <c:varyColors val="1"/>
        <c:ser>
          <c:idx val="0"/>
          <c:order val="0"/>
          <c:tx>
            <c:strRef>
              <c:f>label 0</c:f>
              <c:strCache>
                <c:ptCount val="1"/>
                <c:pt idx="0">
                  <c:v>2022</c:v>
                </c:pt>
              </c:strCache>
            </c:strRef>
          </c:tx>
          <c:spPr>
            <a:solidFill>
              <a:srgbClr val="004586"/>
            </a:solidFill>
            <a:ln w="0">
              <a:noFill/>
            </a:ln>
          </c:spPr>
          <c:dPt>
            <c:idx val="0"/>
            <c:bubble3D val="0"/>
            <c:spPr>
              <a:solidFill>
                <a:srgbClr val="4F81BD"/>
              </a:solidFill>
              <a:ln w="0">
                <a:noFill/>
              </a:ln>
            </c:spPr>
          </c:dPt>
          <c:dPt>
            <c:idx val="1"/>
            <c:bubble3D val="0"/>
            <c:spPr>
              <a:solidFill>
                <a:srgbClr val="FF420E"/>
              </a:solidFill>
              <a:ln w="0">
                <a:noFill/>
              </a:ln>
            </c:spPr>
          </c:dPt>
          <c:dPt>
            <c:idx val="2"/>
            <c:bubble3D val="0"/>
            <c:spPr>
              <a:solidFill>
                <a:srgbClr val="FFD320"/>
              </a:solidFill>
              <a:ln w="0">
                <a:noFill/>
              </a:ln>
            </c:spPr>
          </c:dPt>
          <c:dPt>
            <c:idx val="3"/>
            <c:bubble3D val="0"/>
            <c:spPr>
              <a:solidFill>
                <a:srgbClr val="579D1C"/>
              </a:solidFill>
              <a:ln w="0">
                <a:noFill/>
              </a:ln>
            </c:spPr>
          </c:dPt>
          <c:dPt>
            <c:idx val="4"/>
            <c:bubble3D val="0"/>
            <c:spPr>
              <a:solidFill>
                <a:srgbClr val="7E0021"/>
              </a:solidFill>
              <a:ln w="0">
                <a:noFill/>
              </a:ln>
            </c:spPr>
          </c:dPt>
          <c:dLbls>
            <c:txPr>
              <a:bodyPr wrap="none"/>
              <a:lstStyle/>
              <a:p>
                <a:pPr>
                  <a:defRPr sz="1100" b="0" strike="noStrike" spc="-1">
                    <a:solidFill>
                      <a:srgbClr val="000000"/>
                    </a:solidFill>
                    <a:latin typeface="Calibri"/>
                  </a:defRPr>
                </a:pPr>
                <a:endParaRPr lang="uk-UA"/>
              </a:p>
            </c:txPr>
            <c:dLblPos val="bestFit"/>
            <c:showLegendKey val="0"/>
            <c:showVal val="0"/>
            <c:showCatName val="0"/>
            <c:showSerName val="0"/>
            <c:showPercent val="1"/>
            <c:showBubbleSize val="1"/>
            <c:separator> </c:separator>
            <c:showLeaderLines val="1"/>
          </c:dLbls>
          <c:cat>
            <c:strRef>
              <c:f>categories</c:f>
              <c:strCache>
                <c:ptCount val="5"/>
                <c:pt idx="0">
                  <c:v>Бюджетні установи</c:v>
                </c:pt>
                <c:pt idx="1">
                  <c:v>Населення</c:v>
                </c:pt>
                <c:pt idx="2">
                  <c:v>Промисловість</c:v>
                </c:pt>
                <c:pt idx="3">
                  <c:v>Інші споживачі</c:v>
                </c:pt>
                <c:pt idx="4">
                  <c:v>Релігійні організації</c:v>
                </c:pt>
              </c:strCache>
            </c:strRef>
          </c:cat>
          <c:val>
            <c:numRef>
              <c:f>0</c:f>
              <c:numCache>
                <c:formatCode>General</c:formatCode>
                <c:ptCount val="5"/>
                <c:pt idx="0">
                  <c:v>41650.57</c:v>
                </c:pt>
                <c:pt idx="1">
                  <c:v>258850.24</c:v>
                </c:pt>
                <c:pt idx="2">
                  <c:v>0</c:v>
                </c:pt>
                <c:pt idx="3">
                  <c:v>8129.51</c:v>
                </c:pt>
                <c:pt idx="4">
                  <c:v>104.45</c:v>
                </c:pt>
              </c:numCache>
            </c:numRef>
          </c:val>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624"/>
          <c:y val="6.9000000000000006E-2"/>
          <c:w val="0.308831801987624"/>
          <c:h val="0.87398599844427205"/>
        </c:manualLayout>
      </c:layout>
      <c:overlay val="0"/>
      <c:spPr>
        <a:noFill/>
        <a:ln w="0">
          <a:noFill/>
        </a:ln>
      </c:spPr>
      <c:txPr>
        <a:bodyPr/>
        <a:lstStyle/>
        <a:p>
          <a:pPr>
            <a:defRPr sz="1100" b="0" strike="noStrike" spc="-1">
              <a:solidFill>
                <a:srgbClr val="000000"/>
              </a:solidFill>
              <a:latin typeface="Calibri"/>
            </a:defRPr>
          </a:pPr>
          <a:endParaRPr lang="uk-UA"/>
        </a:p>
      </c:txPr>
    </c:legend>
    <c:plotVisOnly val="1"/>
    <c:dispBlanksAs val="zero"/>
    <c:showDLblsOverMax val="1"/>
  </c:chart>
  <c:spPr>
    <a:noFill/>
    <a:ln w="0">
      <a:noFill/>
    </a:ln>
  </c:spPr>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autoTitleDeleted val="1"/>
    <c:plotArea>
      <c:layout/>
      <c:barChart>
        <c:barDir val="col"/>
        <c:grouping val="clustered"/>
        <c:varyColors val="0"/>
        <c:ser>
          <c:idx val="0"/>
          <c:order val="0"/>
          <c:tx>
            <c:strRef>
              <c:f>label 0</c:f>
              <c:strCache>
                <c:ptCount val="1"/>
                <c:pt idx="0">
                  <c:v>Загальна кількість води, що надана споживачеві, тис. м3</c:v>
                </c:pt>
              </c:strCache>
            </c:strRef>
          </c:tx>
          <c:spPr>
            <a:solidFill>
              <a:srgbClr val="004586"/>
            </a:solidFill>
            <a:ln w="0">
              <a:noFill/>
            </a:ln>
          </c:spPr>
          <c:invertIfNegative val="0"/>
          <c:dLbls>
            <c:txPr>
              <a:bodyPr wrap="none"/>
              <a:lstStyle/>
              <a:p>
                <a:pPr>
                  <a:defRPr sz="1000" b="0" strike="noStrike" spc="-1">
                    <a:solidFill>
                      <a:srgbClr val="000000"/>
                    </a:solidFill>
                    <a:latin typeface="Arial"/>
                  </a:defRPr>
                </a:pPr>
                <a:endParaRPr lang="uk-UA"/>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2007</c:v>
                </c:pt>
                <c:pt idx="1">
                  <c:v>2020</c:v>
                </c:pt>
                <c:pt idx="2">
                  <c:v>2022</c:v>
                </c:pt>
              </c:strCache>
            </c:strRef>
          </c:cat>
          <c:val>
            <c:numRef>
              <c:f>0</c:f>
              <c:numCache>
                <c:formatCode>General</c:formatCode>
                <c:ptCount val="3"/>
                <c:pt idx="0">
                  <c:v>14762</c:v>
                </c:pt>
                <c:pt idx="1">
                  <c:v>11435.6</c:v>
                </c:pt>
                <c:pt idx="2">
                  <c:v>9993</c:v>
                </c:pt>
              </c:numCache>
            </c:numRef>
          </c:val>
        </c:ser>
        <c:ser>
          <c:idx val="1"/>
          <c:order val="1"/>
          <c:tx>
            <c:strRef>
              <c:f>label 1</c:f>
              <c:strCache>
                <c:ptCount val="1"/>
                <c:pt idx="0">
                  <c:v>Загальна кількість виробленої питної води, тис. м3 </c:v>
                </c:pt>
              </c:strCache>
            </c:strRef>
          </c:tx>
          <c:spPr>
            <a:solidFill>
              <a:srgbClr val="FF420E"/>
            </a:solidFill>
            <a:ln w="0">
              <a:noFill/>
            </a:ln>
          </c:spPr>
          <c:invertIfNegative val="0"/>
          <c:dLbls>
            <c:txPr>
              <a:bodyPr wrap="none"/>
              <a:lstStyle/>
              <a:p>
                <a:pPr>
                  <a:defRPr sz="1000" b="0" strike="noStrike" spc="-1">
                    <a:solidFill>
                      <a:srgbClr val="000000"/>
                    </a:solidFill>
                    <a:latin typeface="Arial"/>
                  </a:defRPr>
                </a:pPr>
                <a:endParaRPr lang="uk-UA"/>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2007</c:v>
                </c:pt>
                <c:pt idx="1">
                  <c:v>2020</c:v>
                </c:pt>
                <c:pt idx="2">
                  <c:v>2022</c:v>
                </c:pt>
              </c:strCache>
            </c:strRef>
          </c:cat>
          <c:val>
            <c:numRef>
              <c:f>1</c:f>
              <c:numCache>
                <c:formatCode>General</c:formatCode>
                <c:ptCount val="3"/>
                <c:pt idx="0">
                  <c:v>17183</c:v>
                </c:pt>
                <c:pt idx="1">
                  <c:v>15431.2</c:v>
                </c:pt>
                <c:pt idx="2">
                  <c:v>15234.1</c:v>
                </c:pt>
              </c:numCache>
            </c:numRef>
          </c:val>
        </c:ser>
        <c:dLbls>
          <c:showLegendKey val="0"/>
          <c:showVal val="0"/>
          <c:showCatName val="0"/>
          <c:showSerName val="0"/>
          <c:showPercent val="0"/>
          <c:showBubbleSize val="0"/>
        </c:dLbls>
        <c:gapWidth val="100"/>
        <c:axId val="210500608"/>
        <c:axId val="210506496"/>
      </c:barChart>
      <c:catAx>
        <c:axId val="210500608"/>
        <c:scaling>
          <c:orientation val="minMax"/>
        </c:scaling>
        <c:delete val="0"/>
        <c:axPos val="b"/>
        <c:numFmt formatCode="[$-422]dd/mm/yyyy" sourceLinked="0"/>
        <c:majorTickMark val="out"/>
        <c:minorTickMark val="none"/>
        <c:tickLblPos val="nextTo"/>
        <c:spPr>
          <a:ln w="0">
            <a:solidFill>
              <a:srgbClr val="B3B3B3"/>
            </a:solidFill>
          </a:ln>
        </c:spPr>
        <c:txPr>
          <a:bodyPr/>
          <a:lstStyle/>
          <a:p>
            <a:pPr>
              <a:defRPr sz="1000" b="0" strike="noStrike" spc="-1">
                <a:solidFill>
                  <a:srgbClr val="000000"/>
                </a:solidFill>
                <a:latin typeface="Arial"/>
              </a:defRPr>
            </a:pPr>
            <a:endParaRPr lang="uk-UA"/>
          </a:p>
        </c:txPr>
        <c:crossAx val="210506496"/>
        <c:crosses val="autoZero"/>
        <c:auto val="1"/>
        <c:lblAlgn val="ctr"/>
        <c:lblOffset val="100"/>
        <c:noMultiLvlLbl val="0"/>
      </c:catAx>
      <c:valAx>
        <c:axId val="210506496"/>
        <c:scaling>
          <c:orientation val="minMax"/>
        </c:scaling>
        <c:delete val="0"/>
        <c:axPos val="l"/>
        <c:majorGridlines>
          <c:spPr>
            <a:ln w="0">
              <a:solidFill>
                <a:srgbClr val="B3B3B3"/>
              </a:solidFill>
            </a:ln>
          </c:spPr>
        </c:majorGridlines>
        <c:numFmt formatCode="General" sourceLinked="0"/>
        <c:majorTickMark val="out"/>
        <c:minorTickMark val="none"/>
        <c:tickLblPos val="nextTo"/>
        <c:spPr>
          <a:ln w="0">
            <a:solidFill>
              <a:srgbClr val="B3B3B3"/>
            </a:solidFill>
          </a:ln>
        </c:spPr>
        <c:txPr>
          <a:bodyPr/>
          <a:lstStyle/>
          <a:p>
            <a:pPr>
              <a:defRPr sz="1000" b="0" strike="noStrike" spc="-1">
                <a:solidFill>
                  <a:srgbClr val="000000"/>
                </a:solidFill>
                <a:latin typeface="Arial"/>
              </a:defRPr>
            </a:pPr>
            <a:endParaRPr lang="uk-UA"/>
          </a:p>
        </c:txPr>
        <c:crossAx val="210500608"/>
        <c:crosses val="autoZero"/>
        <c:crossBetween val="between"/>
      </c:valAx>
      <c:spPr>
        <a:noFill/>
        <a:ln w="0">
          <a:solidFill>
            <a:srgbClr val="B3B3B3"/>
          </a:solidFill>
        </a:ln>
      </c:spPr>
    </c:plotArea>
    <c:legend>
      <c:legendPos val="b"/>
      <c:overlay val="0"/>
      <c:spPr>
        <a:noFill/>
        <a:ln w="0">
          <a:noFill/>
        </a:ln>
      </c:spPr>
      <c:txPr>
        <a:bodyPr/>
        <a:lstStyle/>
        <a:p>
          <a:pPr>
            <a:defRPr sz="1000" b="0" strike="noStrike" spc="-1">
              <a:solidFill>
                <a:srgbClr val="000000"/>
              </a:solidFill>
              <a:latin typeface="Arial"/>
            </a:defRPr>
          </a:pPr>
          <a:endParaRPr lang="uk-UA"/>
        </a:p>
      </c:txPr>
    </c:legend>
    <c:plotVisOnly val="1"/>
    <c:dispBlanksAs val="gap"/>
    <c:showDLblsOverMax val="1"/>
  </c:chart>
  <c:spPr>
    <a:noFill/>
    <a:ln w="0">
      <a:noFill/>
    </a:ln>
  </c:spPr>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title>
      <c:tx>
        <c:rich>
          <a:bodyPr rot="0"/>
          <a:lstStyle/>
          <a:p>
            <a:pPr>
              <a:defRPr lang="uk-UA" sz="1100" b="0" strike="noStrike" spc="-1">
                <a:solidFill>
                  <a:srgbClr val="000000"/>
                </a:solidFill>
                <a:latin typeface="Arial"/>
              </a:defRPr>
            </a:pPr>
            <a:r>
              <a:rPr lang="uk-UA" sz="1100" b="0" strike="noStrike" spc="-1">
                <a:solidFill>
                  <a:srgbClr val="000000"/>
                </a:solidFill>
                <a:latin typeface="Arial"/>
              </a:rPr>
              <a:t>Водоспоживання</a:t>
            </a:r>
          </a:p>
        </c:rich>
      </c:tx>
      <c:overlay val="0"/>
      <c:spPr>
        <a:noFill/>
        <a:ln w="0">
          <a:noFill/>
        </a:ln>
      </c:spPr>
    </c:title>
    <c:autoTitleDeleted val="0"/>
    <c:plotArea>
      <c:layout>
        <c:manualLayout>
          <c:layoutTarget val="inner"/>
          <c:xMode val="edge"/>
          <c:yMode val="edge"/>
          <c:x val="0.11131249999999999"/>
          <c:y val="0.21677777777777801"/>
          <c:w val="0.37131249999999999"/>
          <c:h val="0.628"/>
        </c:manualLayout>
      </c:layout>
      <c:pieChart>
        <c:varyColors val="1"/>
        <c:ser>
          <c:idx val="0"/>
          <c:order val="0"/>
          <c:tx>
            <c:strRef>
              <c:f>label 0</c:f>
              <c:strCache>
                <c:ptCount val="1"/>
                <c:pt idx="0">
                  <c:v>Водопоспоживання</c:v>
                </c:pt>
              </c:strCache>
            </c:strRef>
          </c:tx>
          <c:spPr>
            <a:solidFill>
              <a:srgbClr val="3CB371"/>
            </a:solidFill>
            <a:ln w="0">
              <a:noFill/>
            </a:ln>
          </c:spPr>
          <c:dPt>
            <c:idx val="0"/>
            <c:bubble3D val="0"/>
            <c:spPr>
              <a:solidFill>
                <a:srgbClr val="004586"/>
              </a:solidFill>
              <a:ln w="0">
                <a:noFill/>
              </a:ln>
            </c:spPr>
          </c:dPt>
          <c:dPt>
            <c:idx val="1"/>
            <c:bubble3D val="0"/>
            <c:spPr>
              <a:solidFill>
                <a:srgbClr val="FF420E"/>
              </a:solidFill>
              <a:ln w="0">
                <a:noFill/>
              </a:ln>
            </c:spPr>
          </c:dPt>
          <c:dPt>
            <c:idx val="2"/>
            <c:bubble3D val="0"/>
            <c:spPr>
              <a:solidFill>
                <a:srgbClr val="FFD320"/>
              </a:solidFill>
              <a:ln w="0">
                <a:noFill/>
              </a:ln>
            </c:spPr>
          </c:dPt>
          <c:dLbls>
            <c:txPr>
              <a:bodyPr wrap="none"/>
              <a:lstStyle/>
              <a:p>
                <a:pPr>
                  <a:defRPr sz="1100" b="0" strike="noStrike" spc="-1">
                    <a:solidFill>
                      <a:srgbClr val="000000"/>
                    </a:solidFill>
                    <a:latin typeface="Arial"/>
                  </a:defRPr>
                </a:pPr>
                <a:endParaRPr lang="uk-UA"/>
              </a:p>
            </c:txPr>
            <c:dLblPos val="bestFit"/>
            <c:showLegendKey val="0"/>
            <c:showVal val="0"/>
            <c:showCatName val="0"/>
            <c:showSerName val="0"/>
            <c:showPercent val="1"/>
            <c:showBubbleSize val="1"/>
            <c:separator> </c:separator>
            <c:showLeaderLines val="1"/>
          </c:dLbls>
          <c:cat>
            <c:strRef>
              <c:f>categories</c:f>
              <c:strCache>
                <c:ptCount val="3"/>
                <c:pt idx="0">
                  <c:v>Населення</c:v>
                </c:pt>
                <c:pt idx="1">
                  <c:v>Бюджет</c:v>
                </c:pt>
                <c:pt idx="2">
                  <c:v>Промислові та інші підприємства</c:v>
                </c:pt>
              </c:strCache>
            </c:strRef>
          </c:cat>
          <c:val>
            <c:numRef>
              <c:f>0</c:f>
              <c:numCache>
                <c:formatCode>General</c:formatCode>
                <c:ptCount val="3"/>
                <c:pt idx="0">
                  <c:v>6910.2</c:v>
                </c:pt>
                <c:pt idx="1">
                  <c:v>510.6</c:v>
                </c:pt>
                <c:pt idx="2">
                  <c:v>2572.1</c:v>
                </c:pt>
              </c:numCache>
            </c:numRef>
          </c:val>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57943750000000005"/>
          <c:y val="0.19800000000000001"/>
          <c:w val="0.350021876367273"/>
          <c:h val="0.76775197244138205"/>
        </c:manualLayout>
      </c:layout>
      <c:overlay val="0"/>
      <c:spPr>
        <a:noFill/>
        <a:ln w="0">
          <a:noFill/>
        </a:ln>
      </c:spPr>
      <c:txPr>
        <a:bodyPr/>
        <a:lstStyle/>
        <a:p>
          <a:pPr>
            <a:defRPr sz="1000" b="0" strike="noStrike" spc="-1">
              <a:solidFill>
                <a:srgbClr val="000000"/>
              </a:solidFill>
              <a:latin typeface="Arial"/>
            </a:defRPr>
          </a:pPr>
          <a:endParaRPr lang="uk-UA"/>
        </a:p>
      </c:txPr>
    </c:legend>
    <c:plotVisOnly val="1"/>
    <c:dispBlanksAs val="zero"/>
    <c:showDLblsOverMax val="1"/>
  </c:chart>
  <c:spPr>
    <a:noFill/>
    <a:ln w="0">
      <a:noFill/>
    </a:ln>
  </c:spPr>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title>
      <c:tx>
        <c:rich>
          <a:bodyPr rot="0"/>
          <a:lstStyle/>
          <a:p>
            <a:pPr>
              <a:defRPr lang="uk-UA" sz="1100" b="0" strike="noStrike" spc="-1">
                <a:solidFill>
                  <a:srgbClr val="000000"/>
                </a:solidFill>
                <a:latin typeface="Arial"/>
              </a:defRPr>
            </a:pPr>
            <a:r>
              <a:rPr lang="uk-UA" sz="1100" b="0" strike="noStrike" spc="-1">
                <a:solidFill>
                  <a:srgbClr val="000000"/>
                </a:solidFill>
                <a:latin typeface="Arial"/>
              </a:rPr>
              <a:t>Водовідведення</a:t>
            </a:r>
          </a:p>
        </c:rich>
      </c:tx>
      <c:overlay val="0"/>
      <c:spPr>
        <a:noFill/>
        <a:ln w="0">
          <a:noFill/>
        </a:ln>
      </c:spPr>
    </c:title>
    <c:autoTitleDeleted val="0"/>
    <c:plotArea>
      <c:layout>
        <c:manualLayout>
          <c:layoutTarget val="inner"/>
          <c:xMode val="edge"/>
          <c:yMode val="edge"/>
          <c:x val="0.18993750000000001"/>
          <c:y val="0.22611111111111101"/>
          <c:w val="0.3490625"/>
          <c:h val="0.64633333333333298"/>
        </c:manualLayout>
      </c:layout>
      <c:pieChart>
        <c:varyColors val="1"/>
        <c:ser>
          <c:idx val="0"/>
          <c:order val="0"/>
          <c:tx>
            <c:strRef>
              <c:f>label 0</c:f>
              <c:strCache>
                <c:ptCount val="1"/>
                <c:pt idx="0">
                  <c:v>Серія1</c:v>
                </c:pt>
              </c:strCache>
            </c:strRef>
          </c:tx>
          <c:spPr>
            <a:solidFill>
              <a:srgbClr val="32CD32"/>
            </a:solidFill>
            <a:ln w="0">
              <a:noFill/>
            </a:ln>
          </c:spPr>
          <c:dPt>
            <c:idx val="0"/>
            <c:bubble3D val="0"/>
            <c:spPr>
              <a:solidFill>
                <a:srgbClr val="004586"/>
              </a:solidFill>
              <a:ln w="0">
                <a:noFill/>
              </a:ln>
            </c:spPr>
          </c:dPt>
          <c:dPt>
            <c:idx val="1"/>
            <c:bubble3D val="0"/>
            <c:spPr>
              <a:solidFill>
                <a:srgbClr val="FF420E"/>
              </a:solidFill>
              <a:ln w="0">
                <a:noFill/>
              </a:ln>
            </c:spPr>
          </c:dPt>
          <c:dPt>
            <c:idx val="2"/>
            <c:bubble3D val="0"/>
            <c:spPr>
              <a:solidFill>
                <a:srgbClr val="FFD320"/>
              </a:solidFill>
              <a:ln w="0">
                <a:noFill/>
              </a:ln>
            </c:spPr>
          </c:dPt>
          <c:dLbls>
            <c:txPr>
              <a:bodyPr wrap="none"/>
              <a:lstStyle/>
              <a:p>
                <a:pPr>
                  <a:defRPr sz="1100" b="0" strike="noStrike" spc="-1">
                    <a:solidFill>
                      <a:srgbClr val="000000"/>
                    </a:solidFill>
                    <a:latin typeface="Arial"/>
                  </a:defRPr>
                </a:pPr>
                <a:endParaRPr lang="uk-UA"/>
              </a:p>
            </c:txPr>
            <c:dLblPos val="bestFit"/>
            <c:showLegendKey val="0"/>
            <c:showVal val="0"/>
            <c:showCatName val="0"/>
            <c:showSerName val="0"/>
            <c:showPercent val="1"/>
            <c:showBubbleSize val="1"/>
            <c:separator> </c:separator>
            <c:showLeaderLines val="1"/>
          </c:dLbls>
          <c:cat>
            <c:strRef>
              <c:f>categories</c:f>
              <c:strCache>
                <c:ptCount val="3"/>
                <c:pt idx="0">
                  <c:v>Населення</c:v>
                </c:pt>
                <c:pt idx="1">
                  <c:v>Бюджет</c:v>
                </c:pt>
                <c:pt idx="2">
                  <c:v>Промислові та інші підприємства</c:v>
                </c:pt>
              </c:strCache>
            </c:strRef>
          </c:cat>
          <c:val>
            <c:numRef>
              <c:f>0</c:f>
              <c:numCache>
                <c:formatCode>General</c:formatCode>
                <c:ptCount val="3"/>
                <c:pt idx="0">
                  <c:v>6444.9</c:v>
                </c:pt>
                <c:pt idx="1">
                  <c:v>957.2</c:v>
                </c:pt>
                <c:pt idx="2">
                  <c:v>1837.8</c:v>
                </c:pt>
              </c:numCache>
            </c:numRef>
          </c:val>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57462500000000005"/>
          <c:y val="0.24877777777777799"/>
          <c:w val="0.34895930995687202"/>
          <c:h val="0.75119457717524196"/>
        </c:manualLayout>
      </c:layout>
      <c:overlay val="0"/>
      <c:spPr>
        <a:noFill/>
        <a:ln w="0">
          <a:noFill/>
        </a:ln>
      </c:spPr>
      <c:txPr>
        <a:bodyPr/>
        <a:lstStyle/>
        <a:p>
          <a:pPr>
            <a:defRPr sz="1000" b="0" strike="noStrike" spc="-1">
              <a:solidFill>
                <a:srgbClr val="000000"/>
              </a:solidFill>
              <a:latin typeface="Arial"/>
            </a:defRPr>
          </a:pPr>
          <a:endParaRPr lang="uk-UA"/>
        </a:p>
      </c:txPr>
    </c:legend>
    <c:plotVisOnly val="1"/>
    <c:dispBlanksAs val="zero"/>
    <c:showDLblsOverMax val="1"/>
  </c:chart>
  <c:spPr>
    <a:noFill/>
    <a:ln w="0">
      <a:noFill/>
    </a:ln>
  </c:spPr>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autoTitleDeleted val="1"/>
    <c:plotArea>
      <c:layout/>
      <c:barChart>
        <c:barDir val="col"/>
        <c:grouping val="clustered"/>
        <c:varyColors val="0"/>
        <c:ser>
          <c:idx val="0"/>
          <c:order val="0"/>
          <c:tx>
            <c:strRef>
              <c:f>label 0</c:f>
              <c:strCache>
                <c:ptCount val="1"/>
                <c:pt idx="0">
                  <c:v>Водоспоживання</c:v>
                </c:pt>
              </c:strCache>
            </c:strRef>
          </c:tx>
          <c:spPr>
            <a:solidFill>
              <a:srgbClr val="004586"/>
            </a:solidFill>
            <a:ln w="0">
              <a:noFill/>
            </a:ln>
          </c:spPr>
          <c:invertIfNegative val="0"/>
          <c:dLbls>
            <c:txPr>
              <a:bodyPr wrap="none"/>
              <a:lstStyle/>
              <a:p>
                <a:pPr>
                  <a:defRPr sz="1000" b="0" strike="noStrike" spc="-1">
                    <a:solidFill>
                      <a:srgbClr val="000000"/>
                    </a:solidFill>
                    <a:latin typeface="Arial"/>
                  </a:defRPr>
                </a:pPr>
                <a:endParaRPr lang="uk-UA"/>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6"/>
                <c:pt idx="0">
                  <c:v>2007</c:v>
                </c:pt>
                <c:pt idx="1">
                  <c:v>2014</c:v>
                </c:pt>
                <c:pt idx="2">
                  <c:v>2016</c:v>
                </c:pt>
                <c:pt idx="3">
                  <c:v>2018</c:v>
                </c:pt>
                <c:pt idx="4">
                  <c:v>2020</c:v>
                </c:pt>
                <c:pt idx="5">
                  <c:v>2022</c:v>
                </c:pt>
              </c:strCache>
            </c:strRef>
          </c:cat>
          <c:val>
            <c:numRef>
              <c:f>0</c:f>
              <c:numCache>
                <c:formatCode>General</c:formatCode>
                <c:ptCount val="6"/>
                <c:pt idx="0">
                  <c:v>14762</c:v>
                </c:pt>
                <c:pt idx="1">
                  <c:v>11624.5</c:v>
                </c:pt>
                <c:pt idx="2">
                  <c:v>10625.8</c:v>
                </c:pt>
                <c:pt idx="3">
                  <c:v>11448.5</c:v>
                </c:pt>
                <c:pt idx="4">
                  <c:v>11435.6</c:v>
                </c:pt>
                <c:pt idx="5">
                  <c:v>9993</c:v>
                </c:pt>
              </c:numCache>
            </c:numRef>
          </c:val>
        </c:ser>
        <c:ser>
          <c:idx val="1"/>
          <c:order val="1"/>
          <c:tx>
            <c:strRef>
              <c:f>label 1</c:f>
              <c:strCache>
                <c:ptCount val="1"/>
                <c:pt idx="0">
                  <c:v>Водовідведення</c:v>
                </c:pt>
              </c:strCache>
            </c:strRef>
          </c:tx>
          <c:spPr>
            <a:solidFill>
              <a:srgbClr val="FFD320"/>
            </a:solidFill>
            <a:ln w="0">
              <a:noFill/>
            </a:ln>
          </c:spPr>
          <c:invertIfNegative val="0"/>
          <c:dLbls>
            <c:txPr>
              <a:bodyPr wrap="none"/>
              <a:lstStyle/>
              <a:p>
                <a:pPr>
                  <a:defRPr sz="1000" b="0" strike="noStrike" spc="-1">
                    <a:solidFill>
                      <a:srgbClr val="000000"/>
                    </a:solidFill>
                    <a:latin typeface="Arial"/>
                  </a:defRPr>
                </a:pPr>
                <a:endParaRPr lang="uk-UA"/>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6"/>
                <c:pt idx="0">
                  <c:v>2007</c:v>
                </c:pt>
                <c:pt idx="1">
                  <c:v>2014</c:v>
                </c:pt>
                <c:pt idx="2">
                  <c:v>2016</c:v>
                </c:pt>
                <c:pt idx="3">
                  <c:v>2018</c:v>
                </c:pt>
                <c:pt idx="4">
                  <c:v>2020</c:v>
                </c:pt>
                <c:pt idx="5">
                  <c:v>2022</c:v>
                </c:pt>
              </c:strCache>
            </c:strRef>
          </c:cat>
          <c:val>
            <c:numRef>
              <c:f>1</c:f>
              <c:numCache>
                <c:formatCode>General</c:formatCode>
                <c:ptCount val="6"/>
                <c:pt idx="0">
                  <c:v>15228</c:v>
                </c:pt>
                <c:pt idx="1">
                  <c:v>11141</c:v>
                </c:pt>
                <c:pt idx="2">
                  <c:v>10214.200000000001</c:v>
                </c:pt>
                <c:pt idx="3">
                  <c:v>10293.1</c:v>
                </c:pt>
                <c:pt idx="4">
                  <c:v>10367.4</c:v>
                </c:pt>
                <c:pt idx="5">
                  <c:v>9239.9</c:v>
                </c:pt>
              </c:numCache>
            </c:numRef>
          </c:val>
        </c:ser>
        <c:dLbls>
          <c:showLegendKey val="0"/>
          <c:showVal val="0"/>
          <c:showCatName val="0"/>
          <c:showSerName val="0"/>
          <c:showPercent val="0"/>
          <c:showBubbleSize val="0"/>
        </c:dLbls>
        <c:gapWidth val="100"/>
        <c:axId val="210593664"/>
        <c:axId val="210595200"/>
      </c:barChart>
      <c:catAx>
        <c:axId val="210593664"/>
        <c:scaling>
          <c:orientation val="minMax"/>
        </c:scaling>
        <c:delete val="0"/>
        <c:axPos val="b"/>
        <c:numFmt formatCode="[$-422]dd/mm/yyyy" sourceLinked="0"/>
        <c:majorTickMark val="out"/>
        <c:minorTickMark val="none"/>
        <c:tickLblPos val="nextTo"/>
        <c:spPr>
          <a:ln w="0">
            <a:solidFill>
              <a:srgbClr val="B3B3B3"/>
            </a:solidFill>
          </a:ln>
        </c:spPr>
        <c:txPr>
          <a:bodyPr/>
          <a:lstStyle/>
          <a:p>
            <a:pPr>
              <a:defRPr sz="1000" b="0" strike="noStrike" spc="-1">
                <a:solidFill>
                  <a:srgbClr val="000000"/>
                </a:solidFill>
                <a:latin typeface="Arial"/>
              </a:defRPr>
            </a:pPr>
            <a:endParaRPr lang="uk-UA"/>
          </a:p>
        </c:txPr>
        <c:crossAx val="210595200"/>
        <c:crosses val="autoZero"/>
        <c:auto val="1"/>
        <c:lblAlgn val="ctr"/>
        <c:lblOffset val="100"/>
        <c:noMultiLvlLbl val="0"/>
      </c:catAx>
      <c:valAx>
        <c:axId val="210595200"/>
        <c:scaling>
          <c:orientation val="minMax"/>
        </c:scaling>
        <c:delete val="0"/>
        <c:axPos val="l"/>
        <c:majorGridlines>
          <c:spPr>
            <a:ln w="0">
              <a:solidFill>
                <a:srgbClr val="B3B3B3"/>
              </a:solidFill>
            </a:ln>
          </c:spPr>
        </c:majorGridlines>
        <c:numFmt formatCode="General" sourceLinked="0"/>
        <c:majorTickMark val="out"/>
        <c:minorTickMark val="none"/>
        <c:tickLblPos val="nextTo"/>
        <c:spPr>
          <a:ln w="0">
            <a:solidFill>
              <a:srgbClr val="B3B3B3"/>
            </a:solidFill>
          </a:ln>
        </c:spPr>
        <c:txPr>
          <a:bodyPr/>
          <a:lstStyle/>
          <a:p>
            <a:pPr>
              <a:defRPr sz="1000" b="0" strike="noStrike" spc="-1">
                <a:solidFill>
                  <a:srgbClr val="000000"/>
                </a:solidFill>
                <a:latin typeface="Arial"/>
              </a:defRPr>
            </a:pPr>
            <a:endParaRPr lang="uk-UA"/>
          </a:p>
        </c:txPr>
        <c:crossAx val="210593664"/>
        <c:crosses val="autoZero"/>
        <c:crossBetween val="between"/>
      </c:valAx>
      <c:spPr>
        <a:noFill/>
        <a:ln w="0">
          <a:solidFill>
            <a:srgbClr val="B3B3B3"/>
          </a:solidFill>
        </a:ln>
      </c:spPr>
    </c:plotArea>
    <c:legend>
      <c:legendPos val="b"/>
      <c:overlay val="0"/>
      <c:spPr>
        <a:noFill/>
        <a:ln w="0">
          <a:noFill/>
        </a:ln>
      </c:spPr>
      <c:txPr>
        <a:bodyPr/>
        <a:lstStyle/>
        <a:p>
          <a:pPr>
            <a:defRPr sz="1000" b="0" strike="noStrike" spc="-1">
              <a:solidFill>
                <a:srgbClr val="000000"/>
              </a:solidFill>
              <a:latin typeface="Arial"/>
            </a:defRPr>
          </a:pPr>
          <a:endParaRPr lang="uk-UA"/>
        </a:p>
      </c:txPr>
    </c:legend>
    <c:plotVisOnly val="1"/>
    <c:dispBlanksAs val="gap"/>
    <c:showDLblsOverMax val="1"/>
  </c:chart>
  <c:spPr>
    <a:noFill/>
    <a:ln w="0">
      <a:noFill/>
    </a:ln>
  </c:spPr>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autoTitleDeleted val="1"/>
    <c:plotArea>
      <c:layout/>
      <c:barChart>
        <c:barDir val="col"/>
        <c:grouping val="clustered"/>
        <c:varyColors val="0"/>
        <c:ser>
          <c:idx val="0"/>
          <c:order val="0"/>
          <c:tx>
            <c:strRef>
              <c:f>label 0</c:f>
              <c:strCache>
                <c:ptCount val="1"/>
                <c:pt idx="0">
                  <c:v>Чисельність зайнятого населення,  осіб</c:v>
                </c:pt>
              </c:strCache>
            </c:strRef>
          </c:tx>
          <c:spPr>
            <a:solidFill>
              <a:srgbClr val="6D60D0"/>
            </a:solidFill>
            <a:ln w="0">
              <a:noFill/>
            </a:ln>
          </c:spPr>
          <c:invertIfNegative val="0"/>
          <c:dLbls>
            <c:numFmt formatCode="#" sourceLinked="0"/>
            <c:txPr>
              <a:bodyPr wrap="square"/>
              <a:lstStyle/>
              <a:p>
                <a:pPr>
                  <a:defRPr sz="900" b="1" strike="noStrike" spc="-1">
                    <a:solidFill>
                      <a:srgbClr val="404040"/>
                    </a:solidFill>
                    <a:latin typeface="Calibri"/>
                  </a:defRPr>
                </a:pPr>
                <a:endParaRPr lang="uk-UA"/>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7"/>
                <c:pt idx="0">
                  <c:v>2016</c:v>
                </c:pt>
                <c:pt idx="1">
                  <c:v>2017</c:v>
                </c:pt>
                <c:pt idx="2">
                  <c:v>2018</c:v>
                </c:pt>
                <c:pt idx="3">
                  <c:v>2019</c:v>
                </c:pt>
                <c:pt idx="4">
                  <c:v>2020</c:v>
                </c:pt>
                <c:pt idx="5">
                  <c:v>2021</c:v>
                </c:pt>
                <c:pt idx="6">
                  <c:v>2022</c:v>
                </c:pt>
              </c:strCache>
            </c:strRef>
          </c:cat>
          <c:val>
            <c:numRef>
              <c:f>0</c:f>
              <c:numCache>
                <c:formatCode>General</c:formatCode>
                <c:ptCount val="7"/>
                <c:pt idx="0">
                  <c:v>70500</c:v>
                </c:pt>
                <c:pt idx="1">
                  <c:v>71800</c:v>
                </c:pt>
                <c:pt idx="2">
                  <c:v>75900</c:v>
                </c:pt>
                <c:pt idx="3">
                  <c:v>80100</c:v>
                </c:pt>
                <c:pt idx="4">
                  <c:v>72100</c:v>
                </c:pt>
                <c:pt idx="5">
                  <c:v>70800</c:v>
                </c:pt>
              </c:numCache>
            </c:numRef>
          </c:val>
        </c:ser>
        <c:ser>
          <c:idx val="1"/>
          <c:order val="1"/>
          <c:tx>
            <c:strRef>
              <c:f>label 1</c:f>
              <c:strCache>
                <c:ptCount val="1"/>
                <c:pt idx="0">
                  <c:v>Чисельність зареєстрованих безробітних, осіб</c:v>
                </c:pt>
              </c:strCache>
            </c:strRef>
          </c:tx>
          <c:spPr>
            <a:solidFill>
              <a:srgbClr val="FB6623"/>
            </a:solidFill>
            <a:ln w="0">
              <a:noFill/>
            </a:ln>
          </c:spPr>
          <c:invertIfNegative val="0"/>
          <c:dLbls>
            <c:numFmt formatCode="General" sourceLinked="0"/>
            <c:txPr>
              <a:bodyPr rot="-5400000" wrap="square"/>
              <a:lstStyle/>
              <a:p>
                <a:pPr>
                  <a:defRPr sz="900" b="1" strike="noStrike" spc="-1">
                    <a:solidFill>
                      <a:srgbClr val="404040"/>
                    </a:solidFill>
                    <a:latin typeface="Calibri"/>
                  </a:defRPr>
                </a:pPr>
                <a:endParaRPr lang="uk-UA"/>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7"/>
                <c:pt idx="0">
                  <c:v>2016</c:v>
                </c:pt>
                <c:pt idx="1">
                  <c:v>2017</c:v>
                </c:pt>
                <c:pt idx="2">
                  <c:v>2018</c:v>
                </c:pt>
                <c:pt idx="3">
                  <c:v>2019</c:v>
                </c:pt>
                <c:pt idx="4">
                  <c:v>2020</c:v>
                </c:pt>
                <c:pt idx="5">
                  <c:v>2021</c:v>
                </c:pt>
                <c:pt idx="6">
                  <c:v>2022</c:v>
                </c:pt>
              </c:strCache>
            </c:strRef>
          </c:cat>
          <c:val>
            <c:numRef>
              <c:f>1</c:f>
              <c:numCache>
                <c:formatCode>General</c:formatCode>
                <c:ptCount val="7"/>
                <c:pt idx="0">
                  <c:v>7252</c:v>
                </c:pt>
                <c:pt idx="1">
                  <c:v>5875</c:v>
                </c:pt>
                <c:pt idx="2">
                  <c:v>5865</c:v>
                </c:pt>
                <c:pt idx="3">
                  <c:v>5907</c:v>
                </c:pt>
                <c:pt idx="4">
                  <c:v>8356</c:v>
                </c:pt>
                <c:pt idx="5">
                  <c:v>7686</c:v>
                </c:pt>
                <c:pt idx="6">
                  <c:v>5223</c:v>
                </c:pt>
              </c:numCache>
            </c:numRef>
          </c:val>
        </c:ser>
        <c:ser>
          <c:idx val="2"/>
          <c:order val="2"/>
          <c:tx>
            <c:strRef>
              <c:f>label 2</c:f>
              <c:strCache>
                <c:ptCount val="1"/>
                <c:pt idx="0">
                  <c:v>Потреба підприємств у працівниках, вакансії, одиниць</c:v>
                </c:pt>
              </c:strCache>
            </c:strRef>
          </c:tx>
          <c:spPr>
            <a:solidFill>
              <a:srgbClr val="00B050"/>
            </a:solidFill>
            <a:ln w="0">
              <a:noFill/>
            </a:ln>
          </c:spPr>
          <c:invertIfNegative val="0"/>
          <c:dPt>
            <c:idx val="0"/>
            <c:invertIfNegative val="0"/>
            <c:bubble3D val="0"/>
          </c:dPt>
          <c:dPt>
            <c:idx val="1"/>
            <c:invertIfNegative val="0"/>
            <c:bubble3D val="0"/>
          </c:dPt>
          <c:dPt>
            <c:idx val="2"/>
            <c:invertIfNegative val="0"/>
            <c:bubble3D val="0"/>
          </c:dPt>
          <c:dPt>
            <c:idx val="3"/>
            <c:invertIfNegative val="0"/>
            <c:bubble3D val="0"/>
          </c:dPt>
          <c:dPt>
            <c:idx val="4"/>
            <c:invertIfNegative val="0"/>
            <c:bubble3D val="0"/>
          </c:dPt>
          <c:dLbls>
            <c:dLbl>
              <c:idx val="0"/>
              <c:layout>
                <c:manualLayout>
                  <c:x val="2.5695931477516101E-2"/>
                  <c:y val="-2.8860028860028902E-2"/>
                </c:manualLayout>
              </c:layout>
              <c:dLblPos val="outEnd"/>
              <c:showLegendKey val="0"/>
              <c:showVal val="1"/>
              <c:showCatName val="0"/>
              <c:showSerName val="0"/>
              <c:showPercent val="0"/>
              <c:showBubbleSize val="1"/>
              <c:separator>; </c:separator>
            </c:dLbl>
            <c:dLbl>
              <c:idx val="1"/>
              <c:layout>
                <c:manualLayout>
                  <c:x val="2.1413276231263399E-2"/>
                  <c:y val="8.6580086580086806E-3"/>
                </c:manualLayout>
              </c:layout>
              <c:dLblPos val="outEnd"/>
              <c:showLegendKey val="0"/>
              <c:showVal val="1"/>
              <c:showCatName val="0"/>
              <c:showSerName val="0"/>
              <c:showPercent val="0"/>
              <c:showBubbleSize val="1"/>
              <c:separator>; </c:separator>
            </c:dLbl>
            <c:dLbl>
              <c:idx val="2"/>
              <c:layout>
                <c:manualLayout>
                  <c:x val="2.8551034975017701E-2"/>
                  <c:y val="-1.7316017316017399E-2"/>
                </c:manualLayout>
              </c:layout>
              <c:dLblPos val="outEnd"/>
              <c:showLegendKey val="0"/>
              <c:showVal val="1"/>
              <c:showCatName val="0"/>
              <c:showSerName val="0"/>
              <c:showPercent val="0"/>
              <c:showBubbleSize val="1"/>
              <c:separator>; </c:separator>
            </c:dLbl>
            <c:dLbl>
              <c:idx val="3"/>
              <c:layout>
                <c:manualLayout>
                  <c:x val="3.7116345467523203E-2"/>
                  <c:y val="1.1544011544011501E-2"/>
                </c:manualLayout>
              </c:layout>
              <c:dLblPos val="outEnd"/>
              <c:showLegendKey val="0"/>
              <c:showVal val="1"/>
              <c:showCatName val="0"/>
              <c:showSerName val="0"/>
              <c:showPercent val="0"/>
              <c:showBubbleSize val="1"/>
              <c:separator>; </c:separator>
            </c:dLbl>
            <c:dLbl>
              <c:idx val="4"/>
              <c:layout>
                <c:manualLayout>
                  <c:x val="1.2847965738758E-2"/>
                  <c:y val="-2.5974025974026101E-2"/>
                </c:manualLayout>
              </c:layout>
              <c:dLblPos val="outEnd"/>
              <c:showLegendKey val="0"/>
              <c:showVal val="1"/>
              <c:showCatName val="0"/>
              <c:showSerName val="0"/>
              <c:showPercent val="0"/>
              <c:showBubbleSize val="1"/>
              <c:separator>; </c:separator>
            </c:dLbl>
            <c:numFmt formatCode="General" sourceLinked="0"/>
            <c:txPr>
              <a:bodyPr rot="-5400000" wrap="square"/>
              <a:lstStyle/>
              <a:p>
                <a:pPr>
                  <a:defRPr sz="900" b="1" strike="noStrike" spc="-1">
                    <a:solidFill>
                      <a:srgbClr val="404040"/>
                    </a:solidFill>
                    <a:latin typeface="Calibri"/>
                  </a:defRPr>
                </a:pPr>
                <a:endParaRPr lang="uk-UA"/>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7"/>
                <c:pt idx="0">
                  <c:v>2016</c:v>
                </c:pt>
                <c:pt idx="1">
                  <c:v>2017</c:v>
                </c:pt>
                <c:pt idx="2">
                  <c:v>2018</c:v>
                </c:pt>
                <c:pt idx="3">
                  <c:v>2019</c:v>
                </c:pt>
                <c:pt idx="4">
                  <c:v>2020</c:v>
                </c:pt>
                <c:pt idx="5">
                  <c:v>2021</c:v>
                </c:pt>
                <c:pt idx="6">
                  <c:v>2022</c:v>
                </c:pt>
              </c:strCache>
            </c:strRef>
          </c:cat>
          <c:val>
            <c:numRef>
              <c:f>2</c:f>
              <c:numCache>
                <c:formatCode>General</c:formatCode>
                <c:ptCount val="7"/>
                <c:pt idx="0">
                  <c:v>10543</c:v>
                </c:pt>
                <c:pt idx="1">
                  <c:v>12131</c:v>
                </c:pt>
                <c:pt idx="2">
                  <c:v>14759</c:v>
                </c:pt>
                <c:pt idx="3">
                  <c:v>14854</c:v>
                </c:pt>
                <c:pt idx="4">
                  <c:v>8212</c:v>
                </c:pt>
                <c:pt idx="5">
                  <c:v>7899</c:v>
                </c:pt>
                <c:pt idx="6">
                  <c:v>5156</c:v>
                </c:pt>
              </c:numCache>
            </c:numRef>
          </c:val>
        </c:ser>
        <c:dLbls>
          <c:showLegendKey val="0"/>
          <c:showVal val="0"/>
          <c:showCatName val="0"/>
          <c:showSerName val="0"/>
          <c:showPercent val="0"/>
          <c:showBubbleSize val="0"/>
        </c:dLbls>
        <c:gapWidth val="219"/>
        <c:overlap val="-27"/>
        <c:axId val="206936320"/>
        <c:axId val="207388672"/>
      </c:barChart>
      <c:catAx>
        <c:axId val="206936320"/>
        <c:scaling>
          <c:orientation val="minMax"/>
        </c:scaling>
        <c:delete val="0"/>
        <c:axPos val="b"/>
        <c:majorGridlines>
          <c:spPr>
            <a:ln w="0">
              <a:solidFill>
                <a:srgbClr val="B3B3B3"/>
              </a:solidFill>
            </a:ln>
          </c:spPr>
        </c:majorGridlines>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207388672"/>
        <c:crosses val="autoZero"/>
        <c:auto val="1"/>
        <c:lblAlgn val="ctr"/>
        <c:lblOffset val="100"/>
        <c:noMultiLvlLbl val="0"/>
      </c:catAx>
      <c:valAx>
        <c:axId val="207388672"/>
        <c:scaling>
          <c:orientation val="minMax"/>
          <c:max val="90000"/>
          <c:min val="0"/>
        </c:scaling>
        <c:delete val="0"/>
        <c:axPos val="l"/>
        <c:majorGridlines>
          <c:spPr>
            <a:ln w="0">
              <a:solidFill>
                <a:srgbClr val="B3B3B3"/>
              </a:solidFill>
            </a:ln>
          </c:spPr>
        </c:majorGridlines>
        <c:numFmt formatCode="#" sourceLinked="0"/>
        <c:majorTickMark val="none"/>
        <c:minorTickMark val="none"/>
        <c:tickLblPos val="nextTo"/>
        <c:spPr>
          <a:ln w="6480">
            <a:noFill/>
          </a:ln>
        </c:spPr>
        <c:txPr>
          <a:bodyPr/>
          <a:lstStyle/>
          <a:p>
            <a:pPr>
              <a:defRPr sz="1000" b="0" strike="noStrike" spc="-1">
                <a:solidFill>
                  <a:srgbClr val="595959"/>
                </a:solidFill>
                <a:latin typeface="Calibri"/>
              </a:defRPr>
            </a:pPr>
            <a:endParaRPr lang="uk-UA"/>
          </a:p>
        </c:txPr>
        <c:crossAx val="206936320"/>
        <c:crossesAt val="1"/>
        <c:crossBetween val="between"/>
        <c:majorUnit val="10000"/>
      </c:valAx>
      <c:spPr>
        <a:noFill/>
        <a:ln w="0">
          <a:noFill/>
        </a:ln>
      </c:spPr>
    </c:plotArea>
    <c:legend>
      <c:legendPos val="b"/>
      <c:overlay val="0"/>
      <c:spPr>
        <a:noFill/>
        <a:ln w="0">
          <a:noFill/>
        </a:ln>
      </c:spPr>
      <c:txPr>
        <a:bodyPr/>
        <a:lstStyle/>
        <a:p>
          <a:pPr>
            <a:defRPr sz="1000" b="0" strike="noStrike" spc="-1">
              <a:solidFill>
                <a:srgbClr val="595959"/>
              </a:solidFill>
              <a:latin typeface="Calibri"/>
            </a:defRPr>
          </a:pPr>
          <a:endParaRPr lang="uk-UA"/>
        </a:p>
      </c:txPr>
    </c:legend>
    <c:plotVisOnly val="1"/>
    <c:dispBlanksAs val="gap"/>
    <c:showDLblsOverMax val="1"/>
  </c:chart>
  <c:spPr>
    <a:noFill/>
    <a:ln w="9360">
      <a:solidFill>
        <a:srgbClr val="D9D9D9"/>
      </a:solidFill>
      <a:round/>
    </a:ln>
  </c:spPr>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autoTitleDeleted val="1"/>
    <c:plotArea>
      <c:layout/>
      <c:barChart>
        <c:barDir val="col"/>
        <c:grouping val="clustered"/>
        <c:varyColors val="0"/>
        <c:ser>
          <c:idx val="0"/>
          <c:order val="0"/>
          <c:tx>
            <c:strRef>
              <c:f>label 0</c:f>
              <c:strCache>
                <c:ptCount val="1"/>
                <c:pt idx="0">
                  <c:v>Водоспоживання</c:v>
                </c:pt>
              </c:strCache>
            </c:strRef>
          </c:tx>
          <c:spPr>
            <a:solidFill>
              <a:srgbClr val="004586"/>
            </a:solidFill>
            <a:ln w="0">
              <a:noFill/>
            </a:ln>
          </c:spPr>
          <c:invertIfNegative val="0"/>
          <c:dLbls>
            <c:txPr>
              <a:bodyPr wrap="none"/>
              <a:lstStyle/>
              <a:p>
                <a:pPr>
                  <a:defRPr sz="1000" b="0" strike="noStrike" spc="-1">
                    <a:solidFill>
                      <a:srgbClr val="000000"/>
                    </a:solidFill>
                    <a:latin typeface="Arial"/>
                  </a:defRPr>
                </a:pPr>
                <a:endParaRPr lang="uk-UA"/>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2007</c:v>
                </c:pt>
                <c:pt idx="1">
                  <c:v>2020</c:v>
                </c:pt>
                <c:pt idx="2">
                  <c:v>2022</c:v>
                </c:pt>
              </c:strCache>
            </c:strRef>
          </c:cat>
          <c:val>
            <c:numRef>
              <c:f>0</c:f>
              <c:numCache>
                <c:formatCode>General</c:formatCode>
                <c:ptCount val="3"/>
                <c:pt idx="0">
                  <c:v>82325</c:v>
                </c:pt>
                <c:pt idx="1">
                  <c:v>90152</c:v>
                </c:pt>
                <c:pt idx="2">
                  <c:v>97835</c:v>
                </c:pt>
              </c:numCache>
            </c:numRef>
          </c:val>
        </c:ser>
        <c:ser>
          <c:idx val="1"/>
          <c:order val="1"/>
          <c:tx>
            <c:strRef>
              <c:f>label 1</c:f>
              <c:strCache>
                <c:ptCount val="1"/>
                <c:pt idx="0">
                  <c:v>Водовідведення</c:v>
                </c:pt>
              </c:strCache>
            </c:strRef>
          </c:tx>
          <c:spPr>
            <a:solidFill>
              <a:srgbClr val="FFD320"/>
            </a:solidFill>
            <a:ln w="0">
              <a:noFill/>
            </a:ln>
          </c:spPr>
          <c:invertIfNegative val="0"/>
          <c:dLbls>
            <c:txPr>
              <a:bodyPr wrap="none"/>
              <a:lstStyle/>
              <a:p>
                <a:pPr>
                  <a:defRPr sz="1000" b="0" strike="noStrike" spc="-1">
                    <a:solidFill>
                      <a:srgbClr val="000000"/>
                    </a:solidFill>
                    <a:latin typeface="Arial"/>
                  </a:defRPr>
                </a:pPr>
                <a:endParaRPr lang="uk-UA"/>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2007</c:v>
                </c:pt>
                <c:pt idx="1">
                  <c:v>2020</c:v>
                </c:pt>
                <c:pt idx="2">
                  <c:v>2022</c:v>
                </c:pt>
              </c:strCache>
            </c:strRef>
          </c:cat>
          <c:val>
            <c:numRef>
              <c:f>1</c:f>
              <c:numCache>
                <c:formatCode>General</c:formatCode>
                <c:ptCount val="3"/>
                <c:pt idx="0">
                  <c:v>70969</c:v>
                </c:pt>
                <c:pt idx="1">
                  <c:v>78081</c:v>
                </c:pt>
                <c:pt idx="2">
                  <c:v>85201</c:v>
                </c:pt>
              </c:numCache>
            </c:numRef>
          </c:val>
        </c:ser>
        <c:dLbls>
          <c:showLegendKey val="0"/>
          <c:showVal val="0"/>
          <c:showCatName val="0"/>
          <c:showSerName val="0"/>
          <c:showPercent val="0"/>
          <c:showBubbleSize val="0"/>
        </c:dLbls>
        <c:gapWidth val="100"/>
        <c:axId val="210629376"/>
        <c:axId val="210630912"/>
      </c:barChart>
      <c:catAx>
        <c:axId val="210629376"/>
        <c:scaling>
          <c:orientation val="minMax"/>
        </c:scaling>
        <c:delete val="0"/>
        <c:axPos val="b"/>
        <c:numFmt formatCode="[$-422]dd/mm/yyyy" sourceLinked="0"/>
        <c:majorTickMark val="out"/>
        <c:minorTickMark val="none"/>
        <c:tickLblPos val="nextTo"/>
        <c:spPr>
          <a:ln w="0">
            <a:solidFill>
              <a:srgbClr val="B3B3B3"/>
            </a:solidFill>
          </a:ln>
        </c:spPr>
        <c:txPr>
          <a:bodyPr/>
          <a:lstStyle/>
          <a:p>
            <a:pPr>
              <a:defRPr sz="1000" b="0" strike="noStrike" spc="-1">
                <a:solidFill>
                  <a:srgbClr val="000000"/>
                </a:solidFill>
                <a:latin typeface="Arial"/>
              </a:defRPr>
            </a:pPr>
            <a:endParaRPr lang="uk-UA"/>
          </a:p>
        </c:txPr>
        <c:crossAx val="210630912"/>
        <c:crosses val="autoZero"/>
        <c:auto val="1"/>
        <c:lblAlgn val="ctr"/>
        <c:lblOffset val="100"/>
        <c:noMultiLvlLbl val="0"/>
      </c:catAx>
      <c:valAx>
        <c:axId val="210630912"/>
        <c:scaling>
          <c:orientation val="minMax"/>
        </c:scaling>
        <c:delete val="0"/>
        <c:axPos val="l"/>
        <c:majorGridlines>
          <c:spPr>
            <a:ln w="0">
              <a:solidFill>
                <a:srgbClr val="B3B3B3"/>
              </a:solidFill>
            </a:ln>
          </c:spPr>
        </c:majorGridlines>
        <c:numFmt formatCode="General" sourceLinked="0"/>
        <c:majorTickMark val="out"/>
        <c:minorTickMark val="none"/>
        <c:tickLblPos val="nextTo"/>
        <c:spPr>
          <a:ln w="0">
            <a:solidFill>
              <a:srgbClr val="B3B3B3"/>
            </a:solidFill>
          </a:ln>
        </c:spPr>
        <c:txPr>
          <a:bodyPr/>
          <a:lstStyle/>
          <a:p>
            <a:pPr>
              <a:defRPr sz="1000" b="0" strike="noStrike" spc="-1">
                <a:solidFill>
                  <a:srgbClr val="000000"/>
                </a:solidFill>
                <a:latin typeface="Arial"/>
              </a:defRPr>
            </a:pPr>
            <a:endParaRPr lang="uk-UA"/>
          </a:p>
        </c:txPr>
        <c:crossAx val="210629376"/>
        <c:crosses val="autoZero"/>
        <c:crossBetween val="between"/>
      </c:valAx>
      <c:spPr>
        <a:noFill/>
        <a:ln w="0">
          <a:solidFill>
            <a:srgbClr val="B3B3B3"/>
          </a:solidFill>
        </a:ln>
      </c:spPr>
    </c:plotArea>
    <c:legend>
      <c:legendPos val="b"/>
      <c:overlay val="0"/>
      <c:spPr>
        <a:noFill/>
        <a:ln w="0">
          <a:noFill/>
        </a:ln>
      </c:spPr>
      <c:txPr>
        <a:bodyPr/>
        <a:lstStyle/>
        <a:p>
          <a:pPr>
            <a:defRPr sz="1000" b="0" strike="noStrike" spc="-1">
              <a:solidFill>
                <a:srgbClr val="000000"/>
              </a:solidFill>
              <a:latin typeface="Arial"/>
            </a:defRPr>
          </a:pPr>
          <a:endParaRPr lang="uk-UA"/>
        </a:p>
      </c:txPr>
    </c:legend>
    <c:plotVisOnly val="1"/>
    <c:dispBlanksAs val="gap"/>
    <c:showDLblsOverMax val="1"/>
  </c:chart>
  <c:spPr>
    <a:noFill/>
    <a:ln w="0">
      <a:noFill/>
    </a:ln>
  </c:spPr>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autoTitleDeleted val="1"/>
    <c:plotArea>
      <c:layout/>
      <c:barChart>
        <c:barDir val="col"/>
        <c:grouping val="clustered"/>
        <c:varyColors val="0"/>
        <c:ser>
          <c:idx val="0"/>
          <c:order val="0"/>
          <c:tx>
            <c:strRef>
              <c:f>label 0</c:f>
              <c:strCache>
                <c:ptCount val="1"/>
                <c:pt idx="0">
                  <c:v>Теплова енергія, Гкал</c:v>
                </c:pt>
              </c:strCache>
            </c:strRef>
          </c:tx>
          <c:spPr>
            <a:solidFill>
              <a:srgbClr val="004586"/>
            </a:solidFill>
            <a:ln w="0">
              <a:noFill/>
            </a:ln>
          </c:spPr>
          <c:invertIfNegative val="0"/>
          <c:dLbls>
            <c:txPr>
              <a:bodyPr wrap="none"/>
              <a:lstStyle/>
              <a:p>
                <a:pPr>
                  <a:defRPr sz="1000" b="0" strike="noStrike" spc="-1">
                    <a:solidFill>
                      <a:srgbClr val="000000"/>
                    </a:solidFill>
                    <a:latin typeface="Arial"/>
                  </a:defRPr>
                </a:pPr>
                <a:endParaRPr lang="uk-UA"/>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0"/>
                <c:pt idx="0">
                  <c:v>2007</c:v>
                </c:pt>
                <c:pt idx="1">
                  <c:v>2014</c:v>
                </c:pt>
                <c:pt idx="2">
                  <c:v>2015</c:v>
                </c:pt>
                <c:pt idx="3">
                  <c:v>2016</c:v>
                </c:pt>
                <c:pt idx="4">
                  <c:v>2017</c:v>
                </c:pt>
                <c:pt idx="5">
                  <c:v>2018</c:v>
                </c:pt>
                <c:pt idx="6">
                  <c:v>2019</c:v>
                </c:pt>
                <c:pt idx="7">
                  <c:v>2020</c:v>
                </c:pt>
                <c:pt idx="8">
                  <c:v>2021</c:v>
                </c:pt>
                <c:pt idx="9">
                  <c:v>2022</c:v>
                </c:pt>
              </c:strCache>
            </c:strRef>
          </c:cat>
          <c:val>
            <c:numRef>
              <c:f>0</c:f>
              <c:numCache>
                <c:formatCode>General</c:formatCode>
                <c:ptCount val="10"/>
                <c:pt idx="0">
                  <c:v>85100</c:v>
                </c:pt>
                <c:pt idx="1">
                  <c:v>54764</c:v>
                </c:pt>
                <c:pt idx="2">
                  <c:v>50190</c:v>
                </c:pt>
                <c:pt idx="3">
                  <c:v>54735</c:v>
                </c:pt>
                <c:pt idx="4">
                  <c:v>54937</c:v>
                </c:pt>
                <c:pt idx="5">
                  <c:v>53505</c:v>
                </c:pt>
                <c:pt idx="6">
                  <c:v>46881</c:v>
                </c:pt>
                <c:pt idx="7">
                  <c:v>49168</c:v>
                </c:pt>
                <c:pt idx="8">
                  <c:v>42576</c:v>
                </c:pt>
                <c:pt idx="9">
                  <c:v>41650</c:v>
                </c:pt>
              </c:numCache>
            </c:numRef>
          </c:val>
        </c:ser>
        <c:dLbls>
          <c:showLegendKey val="0"/>
          <c:showVal val="0"/>
          <c:showCatName val="0"/>
          <c:showSerName val="0"/>
          <c:showPercent val="0"/>
          <c:showBubbleSize val="0"/>
        </c:dLbls>
        <c:gapWidth val="100"/>
        <c:axId val="210651392"/>
        <c:axId val="210661376"/>
      </c:barChart>
      <c:catAx>
        <c:axId val="210651392"/>
        <c:scaling>
          <c:orientation val="minMax"/>
        </c:scaling>
        <c:delete val="0"/>
        <c:axPos val="b"/>
        <c:numFmt formatCode="[$-422]dd/mm/yyyy" sourceLinked="0"/>
        <c:majorTickMark val="out"/>
        <c:minorTickMark val="none"/>
        <c:tickLblPos val="nextTo"/>
        <c:spPr>
          <a:ln w="0">
            <a:solidFill>
              <a:srgbClr val="B3B3B3"/>
            </a:solidFill>
          </a:ln>
        </c:spPr>
        <c:txPr>
          <a:bodyPr rot="-3000000"/>
          <a:lstStyle/>
          <a:p>
            <a:pPr>
              <a:defRPr sz="1000" b="0" strike="noStrike" spc="-1">
                <a:solidFill>
                  <a:srgbClr val="000000"/>
                </a:solidFill>
                <a:latin typeface="Arial"/>
              </a:defRPr>
            </a:pPr>
            <a:endParaRPr lang="uk-UA"/>
          </a:p>
        </c:txPr>
        <c:crossAx val="210661376"/>
        <c:crosses val="autoZero"/>
        <c:auto val="1"/>
        <c:lblAlgn val="ctr"/>
        <c:lblOffset val="100"/>
        <c:noMultiLvlLbl val="0"/>
      </c:catAx>
      <c:valAx>
        <c:axId val="210661376"/>
        <c:scaling>
          <c:orientation val="minMax"/>
        </c:scaling>
        <c:delete val="0"/>
        <c:axPos val="l"/>
        <c:majorGridlines>
          <c:spPr>
            <a:ln w="0">
              <a:solidFill>
                <a:srgbClr val="B3B3B3"/>
              </a:solidFill>
            </a:ln>
          </c:spPr>
        </c:majorGridlines>
        <c:numFmt formatCode="General" sourceLinked="0"/>
        <c:majorTickMark val="out"/>
        <c:minorTickMark val="none"/>
        <c:tickLblPos val="nextTo"/>
        <c:spPr>
          <a:ln w="0">
            <a:solidFill>
              <a:srgbClr val="B3B3B3"/>
            </a:solidFill>
          </a:ln>
        </c:spPr>
        <c:txPr>
          <a:bodyPr/>
          <a:lstStyle/>
          <a:p>
            <a:pPr>
              <a:defRPr sz="1000" b="0" strike="noStrike" spc="-1">
                <a:solidFill>
                  <a:srgbClr val="000000"/>
                </a:solidFill>
                <a:latin typeface="Arial"/>
              </a:defRPr>
            </a:pPr>
            <a:endParaRPr lang="uk-UA"/>
          </a:p>
        </c:txPr>
        <c:crossAx val="210651392"/>
        <c:crosses val="autoZero"/>
        <c:crossBetween val="between"/>
      </c:valAx>
      <c:spPr>
        <a:noFill/>
        <a:ln w="0">
          <a:solidFill>
            <a:srgbClr val="B3B3B3"/>
          </a:solidFill>
        </a:ln>
      </c:spPr>
    </c:plotArea>
    <c:legend>
      <c:legendPos val="b"/>
      <c:overlay val="0"/>
      <c:spPr>
        <a:noFill/>
        <a:ln w="0">
          <a:noFill/>
        </a:ln>
      </c:spPr>
      <c:txPr>
        <a:bodyPr/>
        <a:lstStyle/>
        <a:p>
          <a:pPr>
            <a:defRPr sz="1000" b="0" strike="noStrike" spc="-1">
              <a:solidFill>
                <a:srgbClr val="000000"/>
              </a:solidFill>
              <a:latin typeface="Arial"/>
            </a:defRPr>
          </a:pPr>
          <a:endParaRPr lang="uk-UA"/>
        </a:p>
      </c:txPr>
    </c:legend>
    <c:plotVisOnly val="1"/>
    <c:dispBlanksAs val="gap"/>
    <c:showDLblsOverMax val="1"/>
  </c:chart>
  <c:spPr>
    <a:noFill/>
    <a:ln w="0">
      <a:noFill/>
    </a:ln>
  </c:spPr>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autoTitleDeleted val="1"/>
    <c:plotArea>
      <c:layout/>
      <c:barChart>
        <c:barDir val="col"/>
        <c:grouping val="clustered"/>
        <c:varyColors val="0"/>
        <c:ser>
          <c:idx val="0"/>
          <c:order val="0"/>
          <c:tx>
            <c:strRef>
              <c:f>label 0</c:f>
              <c:strCache>
                <c:ptCount val="1"/>
                <c:pt idx="0">
                  <c:v>Електроенергія, тис. МВт.год</c:v>
                </c:pt>
              </c:strCache>
            </c:strRef>
          </c:tx>
          <c:spPr>
            <a:solidFill>
              <a:srgbClr val="004586"/>
            </a:solidFill>
            <a:ln w="0">
              <a:noFill/>
            </a:ln>
          </c:spPr>
          <c:invertIfNegative val="0"/>
          <c:dLbls>
            <c:txPr>
              <a:bodyPr wrap="none"/>
              <a:lstStyle/>
              <a:p>
                <a:pPr>
                  <a:defRPr sz="1000" b="0" strike="noStrike" spc="-1">
                    <a:solidFill>
                      <a:srgbClr val="000000"/>
                    </a:solidFill>
                    <a:latin typeface="Arial"/>
                  </a:defRPr>
                </a:pPr>
                <a:endParaRPr lang="uk-UA"/>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1"/>
                <c:pt idx="0">
                  <c:v>2007</c:v>
                </c:pt>
                <c:pt idx="1">
                  <c:v>2008</c:v>
                </c:pt>
                <c:pt idx="2">
                  <c:v>2009</c:v>
                </c:pt>
                <c:pt idx="3">
                  <c:v>2010</c:v>
                </c:pt>
                <c:pt idx="4">
                  <c:v>2011</c:v>
                </c:pt>
                <c:pt idx="5">
                  <c:v>2012</c:v>
                </c:pt>
                <c:pt idx="6">
                  <c:v>2013</c:v>
                </c:pt>
                <c:pt idx="7">
                  <c:v>2014</c:v>
                </c:pt>
                <c:pt idx="8">
                  <c:v>2020</c:v>
                </c:pt>
                <c:pt idx="9">
                  <c:v>2021</c:v>
                </c:pt>
                <c:pt idx="10">
                  <c:v>2022</c:v>
                </c:pt>
              </c:strCache>
            </c:strRef>
          </c:cat>
          <c:val>
            <c:numRef>
              <c:f>0</c:f>
              <c:numCache>
                <c:formatCode>General</c:formatCode>
                <c:ptCount val="11"/>
                <c:pt idx="0">
                  <c:v>25.492000000000001</c:v>
                </c:pt>
                <c:pt idx="1">
                  <c:v>25.423999999999999</c:v>
                </c:pt>
                <c:pt idx="2">
                  <c:v>24.373999999999999</c:v>
                </c:pt>
                <c:pt idx="3">
                  <c:v>25.488</c:v>
                </c:pt>
                <c:pt idx="4">
                  <c:v>25.423999999999999</c:v>
                </c:pt>
                <c:pt idx="5">
                  <c:v>24.373999999999999</c:v>
                </c:pt>
                <c:pt idx="6">
                  <c:v>25.488</c:v>
                </c:pt>
                <c:pt idx="7">
                  <c:v>25.423999999999999</c:v>
                </c:pt>
                <c:pt idx="8">
                  <c:v>25.006</c:v>
                </c:pt>
                <c:pt idx="9">
                  <c:v>30.954999999999998</c:v>
                </c:pt>
                <c:pt idx="10">
                  <c:v>29.762</c:v>
                </c:pt>
              </c:numCache>
            </c:numRef>
          </c:val>
        </c:ser>
        <c:dLbls>
          <c:showLegendKey val="0"/>
          <c:showVal val="0"/>
          <c:showCatName val="0"/>
          <c:showSerName val="0"/>
          <c:showPercent val="0"/>
          <c:showBubbleSize val="0"/>
        </c:dLbls>
        <c:gapWidth val="100"/>
        <c:axId val="210677120"/>
        <c:axId val="210691200"/>
      </c:barChart>
      <c:catAx>
        <c:axId val="210677120"/>
        <c:scaling>
          <c:orientation val="minMax"/>
        </c:scaling>
        <c:delete val="0"/>
        <c:axPos val="b"/>
        <c:numFmt formatCode="[$-422]dd/mm/yyyy" sourceLinked="0"/>
        <c:majorTickMark val="out"/>
        <c:minorTickMark val="none"/>
        <c:tickLblPos val="nextTo"/>
        <c:spPr>
          <a:ln w="0">
            <a:solidFill>
              <a:srgbClr val="B3B3B3"/>
            </a:solidFill>
          </a:ln>
        </c:spPr>
        <c:txPr>
          <a:bodyPr rot="-3000000"/>
          <a:lstStyle/>
          <a:p>
            <a:pPr>
              <a:defRPr sz="1000" b="0" strike="noStrike" spc="-1">
                <a:solidFill>
                  <a:srgbClr val="000000"/>
                </a:solidFill>
                <a:latin typeface="Arial"/>
              </a:defRPr>
            </a:pPr>
            <a:endParaRPr lang="uk-UA"/>
          </a:p>
        </c:txPr>
        <c:crossAx val="210691200"/>
        <c:crosses val="autoZero"/>
        <c:auto val="1"/>
        <c:lblAlgn val="ctr"/>
        <c:lblOffset val="100"/>
        <c:noMultiLvlLbl val="0"/>
      </c:catAx>
      <c:valAx>
        <c:axId val="210691200"/>
        <c:scaling>
          <c:orientation val="minMax"/>
        </c:scaling>
        <c:delete val="0"/>
        <c:axPos val="l"/>
        <c:majorGridlines>
          <c:spPr>
            <a:ln w="0">
              <a:solidFill>
                <a:srgbClr val="B3B3B3"/>
              </a:solidFill>
            </a:ln>
          </c:spPr>
        </c:majorGridlines>
        <c:numFmt formatCode="General" sourceLinked="0"/>
        <c:majorTickMark val="out"/>
        <c:minorTickMark val="none"/>
        <c:tickLblPos val="nextTo"/>
        <c:spPr>
          <a:ln w="0">
            <a:solidFill>
              <a:srgbClr val="B3B3B3"/>
            </a:solidFill>
          </a:ln>
        </c:spPr>
        <c:txPr>
          <a:bodyPr/>
          <a:lstStyle/>
          <a:p>
            <a:pPr>
              <a:defRPr sz="1000" b="0" strike="noStrike" spc="-1">
                <a:solidFill>
                  <a:srgbClr val="000000"/>
                </a:solidFill>
                <a:latin typeface="Arial"/>
              </a:defRPr>
            </a:pPr>
            <a:endParaRPr lang="uk-UA"/>
          </a:p>
        </c:txPr>
        <c:crossAx val="210677120"/>
        <c:crosses val="autoZero"/>
        <c:crossBetween val="between"/>
      </c:valAx>
      <c:spPr>
        <a:noFill/>
        <a:ln w="0">
          <a:solidFill>
            <a:srgbClr val="B3B3B3"/>
          </a:solidFill>
        </a:ln>
      </c:spPr>
    </c:plotArea>
    <c:legend>
      <c:legendPos val="b"/>
      <c:overlay val="0"/>
      <c:spPr>
        <a:noFill/>
        <a:ln w="0">
          <a:noFill/>
        </a:ln>
      </c:spPr>
      <c:txPr>
        <a:bodyPr/>
        <a:lstStyle/>
        <a:p>
          <a:pPr>
            <a:defRPr sz="1000" b="0" strike="noStrike" spc="-1">
              <a:solidFill>
                <a:srgbClr val="000000"/>
              </a:solidFill>
              <a:latin typeface="Arial"/>
            </a:defRPr>
          </a:pPr>
          <a:endParaRPr lang="uk-UA"/>
        </a:p>
      </c:txPr>
    </c:legend>
    <c:plotVisOnly val="1"/>
    <c:dispBlanksAs val="gap"/>
    <c:showDLblsOverMax val="1"/>
  </c:chart>
  <c:spPr>
    <a:noFill/>
    <a:ln w="0">
      <a:noFill/>
    </a:ln>
  </c:spPr>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autoTitleDeleted val="1"/>
    <c:plotArea>
      <c:layout>
        <c:manualLayout>
          <c:layoutTarget val="inner"/>
          <c:xMode val="edge"/>
          <c:yMode val="edge"/>
          <c:x val="0.2228125"/>
          <c:y val="4.3666666666666701E-2"/>
          <c:w val="0.7568125"/>
          <c:h val="0.66577777777777802"/>
        </c:manualLayout>
      </c:layout>
      <c:barChart>
        <c:barDir val="col"/>
        <c:grouping val="stacked"/>
        <c:varyColors val="0"/>
        <c:ser>
          <c:idx val="0"/>
          <c:order val="0"/>
          <c:tx>
            <c:strRef>
              <c:f>label 0</c:f>
              <c:strCache>
                <c:ptCount val="1"/>
                <c:pt idx="0">
                  <c:v>Теплова енергія, тис. Гкал</c:v>
                </c:pt>
              </c:strCache>
            </c:strRef>
          </c:tx>
          <c:spPr>
            <a:solidFill>
              <a:srgbClr val="004586"/>
            </a:solidFill>
            <a:ln w="0">
              <a:noFill/>
            </a:ln>
          </c:spPr>
          <c:invertIfNegative val="0"/>
          <c:dLbls>
            <c:txPr>
              <a:bodyPr wrap="none"/>
              <a:lstStyle/>
              <a:p>
                <a:pPr>
                  <a:defRPr sz="1000" b="0" strike="noStrike" spc="-1">
                    <a:solidFill>
                      <a:srgbClr val="000000"/>
                    </a:solidFill>
                    <a:latin typeface="Arial"/>
                  </a:defRPr>
                </a:pPr>
                <a:endParaRPr lang="uk-UA"/>
              </a:p>
            </c:txPr>
            <c:dLblPos val="ct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2007</c:v>
                </c:pt>
                <c:pt idx="1">
                  <c:v>2020</c:v>
                </c:pt>
                <c:pt idx="2">
                  <c:v>2022</c:v>
                </c:pt>
              </c:strCache>
            </c:strRef>
          </c:cat>
          <c:val>
            <c:numRef>
              <c:f>0</c:f>
              <c:numCache>
                <c:formatCode>General</c:formatCode>
                <c:ptCount val="3"/>
                <c:pt idx="0">
                  <c:v>85.1</c:v>
                </c:pt>
                <c:pt idx="1">
                  <c:v>49.17</c:v>
                </c:pt>
                <c:pt idx="2">
                  <c:v>41.65</c:v>
                </c:pt>
              </c:numCache>
            </c:numRef>
          </c:val>
        </c:ser>
        <c:ser>
          <c:idx val="1"/>
          <c:order val="1"/>
          <c:tx>
            <c:strRef>
              <c:f>label 1</c:f>
              <c:strCache>
                <c:ptCount val="1"/>
                <c:pt idx="0">
                  <c:v>Е/е, тис. МВт.год</c:v>
                </c:pt>
              </c:strCache>
            </c:strRef>
          </c:tx>
          <c:spPr>
            <a:solidFill>
              <a:srgbClr val="FF420E"/>
            </a:solidFill>
            <a:ln w="0">
              <a:noFill/>
            </a:ln>
          </c:spPr>
          <c:invertIfNegative val="0"/>
          <c:dLbls>
            <c:txPr>
              <a:bodyPr wrap="none"/>
              <a:lstStyle/>
              <a:p>
                <a:pPr>
                  <a:defRPr sz="1000" b="0" strike="noStrike" spc="-1">
                    <a:solidFill>
                      <a:srgbClr val="000000"/>
                    </a:solidFill>
                    <a:latin typeface="Arial"/>
                  </a:defRPr>
                </a:pPr>
                <a:endParaRPr lang="uk-UA"/>
              </a:p>
            </c:txPr>
            <c:dLblPos val="ct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2007</c:v>
                </c:pt>
                <c:pt idx="1">
                  <c:v>2020</c:v>
                </c:pt>
                <c:pt idx="2">
                  <c:v>2022</c:v>
                </c:pt>
              </c:strCache>
            </c:strRef>
          </c:cat>
          <c:val>
            <c:numRef>
              <c:f>1</c:f>
              <c:numCache>
                <c:formatCode>General</c:formatCode>
                <c:ptCount val="3"/>
                <c:pt idx="0">
                  <c:v>24.34</c:v>
                </c:pt>
                <c:pt idx="1">
                  <c:v>25.006</c:v>
                </c:pt>
                <c:pt idx="2">
                  <c:v>29.762</c:v>
                </c:pt>
              </c:numCache>
            </c:numRef>
          </c:val>
        </c:ser>
        <c:ser>
          <c:idx val="2"/>
          <c:order val="2"/>
          <c:tx>
            <c:strRef>
              <c:f>label 2</c:f>
              <c:strCache>
                <c:ptCount val="1"/>
                <c:pt idx="0">
                  <c:v>Природний газ, тис. м3</c:v>
                </c:pt>
              </c:strCache>
            </c:strRef>
          </c:tx>
          <c:spPr>
            <a:solidFill>
              <a:srgbClr val="FFD320"/>
            </a:solidFill>
            <a:ln w="0">
              <a:noFill/>
            </a:ln>
          </c:spPr>
          <c:invertIfNegative val="0"/>
          <c:dLbls>
            <c:txPr>
              <a:bodyPr wrap="none"/>
              <a:lstStyle/>
              <a:p>
                <a:pPr>
                  <a:defRPr sz="1000" b="0" strike="noStrike" spc="-1">
                    <a:solidFill>
                      <a:srgbClr val="000000"/>
                    </a:solidFill>
                    <a:latin typeface="Arial"/>
                  </a:defRPr>
                </a:pPr>
                <a:endParaRPr lang="uk-UA"/>
              </a:p>
            </c:txPr>
            <c:dLblPos val="ct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2007</c:v>
                </c:pt>
                <c:pt idx="1">
                  <c:v>2020</c:v>
                </c:pt>
                <c:pt idx="2">
                  <c:v>2022</c:v>
                </c:pt>
              </c:strCache>
            </c:strRef>
          </c:cat>
          <c:val>
            <c:numRef>
              <c:f>2</c:f>
              <c:numCache>
                <c:formatCode>General</c:formatCode>
                <c:ptCount val="3"/>
                <c:pt idx="0">
                  <c:v>4.1280000000000001</c:v>
                </c:pt>
                <c:pt idx="1">
                  <c:v>2.88</c:v>
                </c:pt>
                <c:pt idx="2">
                  <c:v>3.1019999999999999</c:v>
                </c:pt>
              </c:numCache>
            </c:numRef>
          </c:val>
        </c:ser>
        <c:dLbls>
          <c:showLegendKey val="0"/>
          <c:showVal val="0"/>
          <c:showCatName val="0"/>
          <c:showSerName val="0"/>
          <c:showPercent val="0"/>
          <c:showBubbleSize val="0"/>
        </c:dLbls>
        <c:gapWidth val="100"/>
        <c:overlap val="100"/>
        <c:axId val="210750848"/>
        <c:axId val="210760832"/>
      </c:barChart>
      <c:catAx>
        <c:axId val="210750848"/>
        <c:scaling>
          <c:orientation val="minMax"/>
        </c:scaling>
        <c:delete val="0"/>
        <c:axPos val="b"/>
        <c:numFmt formatCode="[$-422]dd/mm/yyyy" sourceLinked="0"/>
        <c:majorTickMark val="out"/>
        <c:minorTickMark val="none"/>
        <c:tickLblPos val="nextTo"/>
        <c:spPr>
          <a:ln w="0">
            <a:solidFill>
              <a:srgbClr val="B3B3B3"/>
            </a:solidFill>
          </a:ln>
        </c:spPr>
        <c:txPr>
          <a:bodyPr/>
          <a:lstStyle/>
          <a:p>
            <a:pPr>
              <a:defRPr sz="1000" b="0" strike="noStrike" spc="-1">
                <a:solidFill>
                  <a:srgbClr val="000000"/>
                </a:solidFill>
                <a:latin typeface="Arial"/>
              </a:defRPr>
            </a:pPr>
            <a:endParaRPr lang="uk-UA"/>
          </a:p>
        </c:txPr>
        <c:crossAx val="210760832"/>
        <c:crosses val="autoZero"/>
        <c:auto val="1"/>
        <c:lblAlgn val="ctr"/>
        <c:lblOffset val="100"/>
        <c:noMultiLvlLbl val="0"/>
      </c:catAx>
      <c:valAx>
        <c:axId val="210760832"/>
        <c:scaling>
          <c:orientation val="minMax"/>
        </c:scaling>
        <c:delete val="0"/>
        <c:axPos val="l"/>
        <c:majorGridlines>
          <c:spPr>
            <a:ln w="0">
              <a:solidFill>
                <a:srgbClr val="B3B3B3"/>
              </a:solidFill>
            </a:ln>
          </c:spPr>
        </c:majorGridlines>
        <c:numFmt formatCode="General" sourceLinked="0"/>
        <c:majorTickMark val="out"/>
        <c:minorTickMark val="none"/>
        <c:tickLblPos val="nextTo"/>
        <c:spPr>
          <a:ln w="0">
            <a:solidFill>
              <a:srgbClr val="B3B3B3"/>
            </a:solidFill>
          </a:ln>
        </c:spPr>
        <c:txPr>
          <a:bodyPr/>
          <a:lstStyle/>
          <a:p>
            <a:pPr>
              <a:defRPr sz="1000" b="0" strike="noStrike" spc="-1">
                <a:solidFill>
                  <a:srgbClr val="000000"/>
                </a:solidFill>
                <a:latin typeface="Arial"/>
              </a:defRPr>
            </a:pPr>
            <a:endParaRPr lang="uk-UA"/>
          </a:p>
        </c:txPr>
        <c:crossAx val="210750848"/>
        <c:crosses val="autoZero"/>
        <c:crossBetween val="between"/>
      </c:valAx>
      <c:spPr>
        <a:noFill/>
        <a:ln w="0">
          <a:solidFill>
            <a:srgbClr val="B3B3B3"/>
          </a:solidFill>
        </a:ln>
      </c:spPr>
    </c:plotArea>
    <c:legend>
      <c:legendPos val="b"/>
      <c:layout>
        <c:manualLayout>
          <c:xMode val="edge"/>
          <c:yMode val="edge"/>
          <c:x val="9.6312499999999995E-2"/>
          <c:y val="0.80755555555555603"/>
          <c:w val="0.90355647227951796"/>
          <c:h val="0.19202133570396701"/>
        </c:manualLayout>
      </c:layout>
      <c:overlay val="0"/>
      <c:spPr>
        <a:noFill/>
        <a:ln w="0">
          <a:noFill/>
        </a:ln>
      </c:spPr>
      <c:txPr>
        <a:bodyPr/>
        <a:lstStyle/>
        <a:p>
          <a:pPr>
            <a:defRPr sz="900" b="0" strike="noStrike" spc="-1">
              <a:solidFill>
                <a:srgbClr val="000000"/>
              </a:solidFill>
              <a:latin typeface="Arial"/>
            </a:defRPr>
          </a:pPr>
          <a:endParaRPr lang="uk-UA"/>
        </a:p>
      </c:txPr>
    </c:legend>
    <c:plotVisOnly val="1"/>
    <c:dispBlanksAs val="gap"/>
    <c:showDLblsOverMax val="1"/>
  </c:chart>
  <c:spPr>
    <a:noFill/>
    <a:ln w="0">
      <a:noFill/>
    </a:ln>
  </c:spPr>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autoTitleDeleted val="1"/>
    <c:plotArea>
      <c:layout/>
      <c:barChart>
        <c:barDir val="col"/>
        <c:grouping val="clustered"/>
        <c:varyColors val="0"/>
        <c:ser>
          <c:idx val="0"/>
          <c:order val="0"/>
          <c:tx>
            <c:strRef>
              <c:f>label 0</c:f>
              <c:strCache>
                <c:ptCount val="1"/>
                <c:pt idx="0">
                  <c:v>Теплова енергія, тис. Гкал</c:v>
                </c:pt>
              </c:strCache>
            </c:strRef>
          </c:tx>
          <c:spPr>
            <a:solidFill>
              <a:srgbClr val="FF0000"/>
            </a:solidFill>
            <a:ln w="0">
              <a:noFill/>
            </a:ln>
          </c:spPr>
          <c:invertIfNegative val="0"/>
          <c:dLbls>
            <c:txPr>
              <a:bodyPr wrap="none"/>
              <a:lstStyle/>
              <a:p>
                <a:pPr>
                  <a:defRPr sz="1000" b="0" strike="noStrike" spc="-1">
                    <a:solidFill>
                      <a:srgbClr val="000000"/>
                    </a:solidFill>
                    <a:latin typeface="Arial"/>
                  </a:defRPr>
                </a:pPr>
                <a:endParaRPr lang="uk-UA"/>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1"/>
                <c:pt idx="0">
                  <c:v>2007</c:v>
                </c:pt>
                <c:pt idx="1">
                  <c:v>2008</c:v>
                </c:pt>
                <c:pt idx="2">
                  <c:v>2009</c:v>
                </c:pt>
                <c:pt idx="3">
                  <c:v>2010</c:v>
                </c:pt>
                <c:pt idx="4">
                  <c:v>2011</c:v>
                </c:pt>
                <c:pt idx="5">
                  <c:v>2012</c:v>
                </c:pt>
                <c:pt idx="6">
                  <c:v>2013</c:v>
                </c:pt>
                <c:pt idx="7">
                  <c:v>2014</c:v>
                </c:pt>
                <c:pt idx="8">
                  <c:v>2020</c:v>
                </c:pt>
                <c:pt idx="9">
                  <c:v>2021</c:v>
                </c:pt>
                <c:pt idx="10">
                  <c:v>2022</c:v>
                </c:pt>
              </c:strCache>
            </c:strRef>
          </c:cat>
          <c:val>
            <c:numRef>
              <c:f>0</c:f>
              <c:numCache>
                <c:formatCode>General</c:formatCode>
                <c:ptCount val="11"/>
                <c:pt idx="0">
                  <c:v>485.38</c:v>
                </c:pt>
                <c:pt idx="1">
                  <c:v>309.39999999999998</c:v>
                </c:pt>
                <c:pt idx="2">
                  <c:v>283.8</c:v>
                </c:pt>
                <c:pt idx="3">
                  <c:v>265.89999999999998</c:v>
                </c:pt>
                <c:pt idx="4">
                  <c:v>348.9</c:v>
                </c:pt>
                <c:pt idx="5">
                  <c:v>290.5</c:v>
                </c:pt>
                <c:pt idx="6">
                  <c:v>255.7</c:v>
                </c:pt>
                <c:pt idx="7">
                  <c:v>416.96</c:v>
                </c:pt>
                <c:pt idx="8">
                  <c:v>309.75</c:v>
                </c:pt>
                <c:pt idx="9">
                  <c:v>318.95</c:v>
                </c:pt>
                <c:pt idx="10">
                  <c:v>258.85000000000002</c:v>
                </c:pt>
              </c:numCache>
            </c:numRef>
          </c:val>
        </c:ser>
        <c:dLbls>
          <c:showLegendKey val="0"/>
          <c:showVal val="0"/>
          <c:showCatName val="0"/>
          <c:showSerName val="0"/>
          <c:showPercent val="0"/>
          <c:showBubbleSize val="0"/>
        </c:dLbls>
        <c:gapWidth val="100"/>
        <c:axId val="210847616"/>
        <c:axId val="210849152"/>
      </c:barChart>
      <c:catAx>
        <c:axId val="210847616"/>
        <c:scaling>
          <c:orientation val="minMax"/>
        </c:scaling>
        <c:delete val="0"/>
        <c:axPos val="b"/>
        <c:numFmt formatCode="[$-422]dd/mm/yyyy" sourceLinked="0"/>
        <c:majorTickMark val="out"/>
        <c:minorTickMark val="none"/>
        <c:tickLblPos val="nextTo"/>
        <c:spPr>
          <a:ln w="0">
            <a:solidFill>
              <a:srgbClr val="B3B3B3"/>
            </a:solidFill>
          </a:ln>
        </c:spPr>
        <c:txPr>
          <a:bodyPr rot="-3000000"/>
          <a:lstStyle/>
          <a:p>
            <a:pPr>
              <a:defRPr sz="1000" b="0" strike="noStrike" spc="-1">
                <a:solidFill>
                  <a:srgbClr val="000000"/>
                </a:solidFill>
                <a:latin typeface="Arial"/>
              </a:defRPr>
            </a:pPr>
            <a:endParaRPr lang="uk-UA"/>
          </a:p>
        </c:txPr>
        <c:crossAx val="210849152"/>
        <c:crosses val="autoZero"/>
        <c:auto val="1"/>
        <c:lblAlgn val="ctr"/>
        <c:lblOffset val="100"/>
        <c:noMultiLvlLbl val="0"/>
      </c:catAx>
      <c:valAx>
        <c:axId val="210849152"/>
        <c:scaling>
          <c:orientation val="minMax"/>
        </c:scaling>
        <c:delete val="0"/>
        <c:axPos val="l"/>
        <c:majorGridlines>
          <c:spPr>
            <a:ln w="0">
              <a:solidFill>
                <a:srgbClr val="B3B3B3"/>
              </a:solidFill>
            </a:ln>
          </c:spPr>
        </c:majorGridlines>
        <c:numFmt formatCode="General" sourceLinked="0"/>
        <c:majorTickMark val="out"/>
        <c:minorTickMark val="none"/>
        <c:tickLblPos val="nextTo"/>
        <c:spPr>
          <a:ln w="0">
            <a:solidFill>
              <a:srgbClr val="B3B3B3"/>
            </a:solidFill>
          </a:ln>
        </c:spPr>
        <c:txPr>
          <a:bodyPr/>
          <a:lstStyle/>
          <a:p>
            <a:pPr>
              <a:defRPr sz="1000" b="0" strike="noStrike" spc="-1">
                <a:solidFill>
                  <a:srgbClr val="000000"/>
                </a:solidFill>
                <a:latin typeface="Arial"/>
              </a:defRPr>
            </a:pPr>
            <a:endParaRPr lang="uk-UA"/>
          </a:p>
        </c:txPr>
        <c:crossAx val="210847616"/>
        <c:crosses val="autoZero"/>
        <c:crossBetween val="between"/>
      </c:valAx>
      <c:spPr>
        <a:noFill/>
        <a:ln w="0">
          <a:solidFill>
            <a:srgbClr val="B3B3B3"/>
          </a:solidFill>
        </a:ln>
      </c:spPr>
    </c:plotArea>
    <c:legend>
      <c:legendPos val="b"/>
      <c:overlay val="0"/>
      <c:spPr>
        <a:noFill/>
        <a:ln w="0">
          <a:noFill/>
        </a:ln>
      </c:spPr>
      <c:txPr>
        <a:bodyPr/>
        <a:lstStyle/>
        <a:p>
          <a:pPr>
            <a:defRPr sz="1000" b="0" strike="noStrike" spc="-1">
              <a:solidFill>
                <a:srgbClr val="000000"/>
              </a:solidFill>
              <a:latin typeface="Arial"/>
            </a:defRPr>
          </a:pPr>
          <a:endParaRPr lang="uk-UA"/>
        </a:p>
      </c:txPr>
    </c:legend>
    <c:plotVisOnly val="1"/>
    <c:dispBlanksAs val="gap"/>
    <c:showDLblsOverMax val="1"/>
  </c:chart>
  <c:spPr>
    <a:noFill/>
    <a:ln w="0">
      <a:noFill/>
    </a:ln>
  </c:spPr>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autoTitleDeleted val="1"/>
    <c:plotArea>
      <c:layout/>
      <c:barChart>
        <c:barDir val="col"/>
        <c:grouping val="clustered"/>
        <c:varyColors val="0"/>
        <c:ser>
          <c:idx val="0"/>
          <c:order val="0"/>
          <c:tx>
            <c:strRef>
              <c:f>label 0</c:f>
              <c:strCache>
                <c:ptCount val="1"/>
                <c:pt idx="0">
                  <c:v>Газопостачання, тис. м3</c:v>
                </c:pt>
              </c:strCache>
            </c:strRef>
          </c:tx>
          <c:spPr>
            <a:solidFill>
              <a:srgbClr val="FFD700"/>
            </a:solidFill>
            <a:ln w="0">
              <a:noFill/>
            </a:ln>
          </c:spPr>
          <c:invertIfNegative val="0"/>
          <c:dLbls>
            <c:txPr>
              <a:bodyPr wrap="none"/>
              <a:lstStyle/>
              <a:p>
                <a:pPr>
                  <a:defRPr sz="1000" b="0" strike="noStrike" spc="-1">
                    <a:solidFill>
                      <a:srgbClr val="000000"/>
                    </a:solidFill>
                    <a:latin typeface="Arial"/>
                  </a:defRPr>
                </a:pPr>
                <a:endParaRPr lang="uk-UA"/>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1"/>
                <c:pt idx="0">
                  <c:v>2007</c:v>
                </c:pt>
                <c:pt idx="1">
                  <c:v>2008</c:v>
                </c:pt>
                <c:pt idx="2">
                  <c:v>2009</c:v>
                </c:pt>
                <c:pt idx="3">
                  <c:v>2010</c:v>
                </c:pt>
                <c:pt idx="4">
                  <c:v>2011</c:v>
                </c:pt>
                <c:pt idx="5">
                  <c:v>2012</c:v>
                </c:pt>
                <c:pt idx="6">
                  <c:v>2013</c:v>
                </c:pt>
                <c:pt idx="7">
                  <c:v>2014</c:v>
                </c:pt>
                <c:pt idx="8">
                  <c:v>2020</c:v>
                </c:pt>
                <c:pt idx="9">
                  <c:v>2021</c:v>
                </c:pt>
                <c:pt idx="10">
                  <c:v>2022</c:v>
                </c:pt>
              </c:strCache>
            </c:strRef>
          </c:cat>
          <c:val>
            <c:numRef>
              <c:f>0</c:f>
              <c:numCache>
                <c:formatCode>General</c:formatCode>
                <c:ptCount val="11"/>
                <c:pt idx="0">
                  <c:v>63465.1</c:v>
                </c:pt>
                <c:pt idx="1">
                  <c:v>64747.6</c:v>
                </c:pt>
                <c:pt idx="2">
                  <c:v>62023.5</c:v>
                </c:pt>
                <c:pt idx="3">
                  <c:v>65498.1</c:v>
                </c:pt>
                <c:pt idx="4">
                  <c:v>66636</c:v>
                </c:pt>
                <c:pt idx="5">
                  <c:v>68247.7</c:v>
                </c:pt>
                <c:pt idx="6">
                  <c:v>62381.1</c:v>
                </c:pt>
                <c:pt idx="7">
                  <c:v>62702</c:v>
                </c:pt>
                <c:pt idx="8">
                  <c:v>67640</c:v>
                </c:pt>
                <c:pt idx="9">
                  <c:v>70326.5</c:v>
                </c:pt>
                <c:pt idx="10">
                  <c:v>69999.3</c:v>
                </c:pt>
              </c:numCache>
            </c:numRef>
          </c:val>
        </c:ser>
        <c:dLbls>
          <c:showLegendKey val="0"/>
          <c:showVal val="0"/>
          <c:showCatName val="0"/>
          <c:showSerName val="0"/>
          <c:showPercent val="0"/>
          <c:showBubbleSize val="0"/>
        </c:dLbls>
        <c:gapWidth val="100"/>
        <c:axId val="210872960"/>
        <c:axId val="211120512"/>
      </c:barChart>
      <c:catAx>
        <c:axId val="210872960"/>
        <c:scaling>
          <c:orientation val="minMax"/>
        </c:scaling>
        <c:delete val="0"/>
        <c:axPos val="b"/>
        <c:numFmt formatCode="[$-422]dd/mm/yyyy" sourceLinked="0"/>
        <c:majorTickMark val="out"/>
        <c:minorTickMark val="none"/>
        <c:tickLblPos val="nextTo"/>
        <c:spPr>
          <a:ln w="0">
            <a:solidFill>
              <a:srgbClr val="B3B3B3"/>
            </a:solidFill>
          </a:ln>
        </c:spPr>
        <c:txPr>
          <a:bodyPr rot="-3000000"/>
          <a:lstStyle/>
          <a:p>
            <a:pPr>
              <a:defRPr sz="1000" b="0" strike="noStrike" spc="-1">
                <a:solidFill>
                  <a:srgbClr val="000000"/>
                </a:solidFill>
                <a:latin typeface="Arial"/>
              </a:defRPr>
            </a:pPr>
            <a:endParaRPr lang="uk-UA"/>
          </a:p>
        </c:txPr>
        <c:crossAx val="211120512"/>
        <c:crosses val="autoZero"/>
        <c:auto val="1"/>
        <c:lblAlgn val="ctr"/>
        <c:lblOffset val="100"/>
        <c:noMultiLvlLbl val="0"/>
      </c:catAx>
      <c:valAx>
        <c:axId val="211120512"/>
        <c:scaling>
          <c:orientation val="minMax"/>
          <c:min val="0"/>
        </c:scaling>
        <c:delete val="0"/>
        <c:axPos val="l"/>
        <c:majorGridlines>
          <c:spPr>
            <a:ln w="0">
              <a:solidFill>
                <a:srgbClr val="B3B3B3"/>
              </a:solidFill>
            </a:ln>
          </c:spPr>
        </c:majorGridlines>
        <c:numFmt formatCode="General" sourceLinked="0"/>
        <c:majorTickMark val="out"/>
        <c:minorTickMark val="none"/>
        <c:tickLblPos val="nextTo"/>
        <c:spPr>
          <a:ln w="0">
            <a:solidFill>
              <a:srgbClr val="B3B3B3"/>
            </a:solidFill>
          </a:ln>
        </c:spPr>
        <c:txPr>
          <a:bodyPr/>
          <a:lstStyle/>
          <a:p>
            <a:pPr>
              <a:defRPr sz="1000" b="0" strike="noStrike" spc="-1">
                <a:solidFill>
                  <a:srgbClr val="000000"/>
                </a:solidFill>
                <a:latin typeface="Arial"/>
              </a:defRPr>
            </a:pPr>
            <a:endParaRPr lang="uk-UA"/>
          </a:p>
        </c:txPr>
        <c:crossAx val="210872960"/>
        <c:crossesAt val="1"/>
        <c:crossBetween val="between"/>
      </c:valAx>
      <c:spPr>
        <a:noFill/>
        <a:ln w="0">
          <a:solidFill>
            <a:srgbClr val="B3B3B3"/>
          </a:solidFill>
        </a:ln>
      </c:spPr>
    </c:plotArea>
    <c:legend>
      <c:legendPos val="b"/>
      <c:overlay val="0"/>
      <c:spPr>
        <a:noFill/>
        <a:ln w="0">
          <a:noFill/>
        </a:ln>
      </c:spPr>
      <c:txPr>
        <a:bodyPr/>
        <a:lstStyle/>
        <a:p>
          <a:pPr>
            <a:defRPr sz="1000" b="0" strike="noStrike" spc="-1">
              <a:solidFill>
                <a:srgbClr val="000000"/>
              </a:solidFill>
              <a:latin typeface="Arial"/>
            </a:defRPr>
          </a:pPr>
          <a:endParaRPr lang="uk-UA"/>
        </a:p>
      </c:txPr>
    </c:legend>
    <c:plotVisOnly val="1"/>
    <c:dispBlanksAs val="gap"/>
    <c:showDLblsOverMax val="1"/>
  </c:chart>
  <c:spPr>
    <a:noFill/>
    <a:ln w="0">
      <a:noFill/>
    </a:ln>
  </c:spPr>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autoTitleDeleted val="1"/>
    <c:plotArea>
      <c:layout/>
      <c:barChart>
        <c:barDir val="col"/>
        <c:grouping val="clustered"/>
        <c:varyColors val="0"/>
        <c:ser>
          <c:idx val="0"/>
          <c:order val="0"/>
          <c:tx>
            <c:strRef>
              <c:f>label 0</c:f>
              <c:strCache>
                <c:ptCount val="1"/>
                <c:pt idx="0">
                  <c:v>Електропостчання, тис. МВт. год</c:v>
                </c:pt>
              </c:strCache>
            </c:strRef>
          </c:tx>
          <c:spPr>
            <a:solidFill>
              <a:srgbClr val="32CD32"/>
            </a:solidFill>
            <a:ln w="0">
              <a:noFill/>
            </a:ln>
          </c:spPr>
          <c:invertIfNegative val="0"/>
          <c:dLbls>
            <c:txPr>
              <a:bodyPr wrap="none"/>
              <a:lstStyle/>
              <a:p>
                <a:pPr>
                  <a:defRPr sz="1000" b="0" strike="noStrike" spc="-1">
                    <a:solidFill>
                      <a:srgbClr val="000000"/>
                    </a:solidFill>
                    <a:latin typeface="Arial"/>
                  </a:defRPr>
                </a:pPr>
                <a:endParaRPr lang="uk-UA"/>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1"/>
                <c:pt idx="0">
                  <c:v>2007</c:v>
                </c:pt>
                <c:pt idx="1">
                  <c:v>2008</c:v>
                </c:pt>
                <c:pt idx="2">
                  <c:v>2009</c:v>
                </c:pt>
                <c:pt idx="3">
                  <c:v>2010</c:v>
                </c:pt>
                <c:pt idx="4">
                  <c:v>2011</c:v>
                </c:pt>
                <c:pt idx="5">
                  <c:v>2012</c:v>
                </c:pt>
                <c:pt idx="6">
                  <c:v>2013</c:v>
                </c:pt>
                <c:pt idx="7">
                  <c:v>2014</c:v>
                </c:pt>
                <c:pt idx="8">
                  <c:v>2020</c:v>
                </c:pt>
                <c:pt idx="9">
                  <c:v>2021</c:v>
                </c:pt>
                <c:pt idx="10">
                  <c:v>2022</c:v>
                </c:pt>
              </c:strCache>
            </c:strRef>
          </c:cat>
          <c:val>
            <c:numRef>
              <c:f>0</c:f>
              <c:numCache>
                <c:formatCode>General</c:formatCode>
                <c:ptCount val="11"/>
                <c:pt idx="0">
                  <c:v>94.478999999999999</c:v>
                </c:pt>
                <c:pt idx="1">
                  <c:v>100.14700000000001</c:v>
                </c:pt>
                <c:pt idx="2">
                  <c:v>105.41500000000001</c:v>
                </c:pt>
                <c:pt idx="3">
                  <c:v>114.999</c:v>
                </c:pt>
                <c:pt idx="4">
                  <c:v>117.23399999999999</c:v>
                </c:pt>
                <c:pt idx="5">
                  <c:v>127.34699999999999</c:v>
                </c:pt>
                <c:pt idx="6">
                  <c:v>127.38</c:v>
                </c:pt>
                <c:pt idx="7">
                  <c:v>133.31200000000001</c:v>
                </c:pt>
                <c:pt idx="8">
                  <c:v>215.333</c:v>
                </c:pt>
                <c:pt idx="9">
                  <c:v>233.59100000000001</c:v>
                </c:pt>
                <c:pt idx="10">
                  <c:v>228.839</c:v>
                </c:pt>
              </c:numCache>
            </c:numRef>
          </c:val>
        </c:ser>
        <c:dLbls>
          <c:showLegendKey val="0"/>
          <c:showVal val="0"/>
          <c:showCatName val="0"/>
          <c:showSerName val="0"/>
          <c:showPercent val="0"/>
          <c:showBubbleSize val="0"/>
        </c:dLbls>
        <c:gapWidth val="100"/>
        <c:axId val="211132800"/>
        <c:axId val="211134336"/>
      </c:barChart>
      <c:catAx>
        <c:axId val="211132800"/>
        <c:scaling>
          <c:orientation val="minMax"/>
        </c:scaling>
        <c:delete val="0"/>
        <c:axPos val="b"/>
        <c:numFmt formatCode="[$-422]dd/mm/yyyy" sourceLinked="0"/>
        <c:majorTickMark val="out"/>
        <c:minorTickMark val="none"/>
        <c:tickLblPos val="nextTo"/>
        <c:spPr>
          <a:ln w="0">
            <a:solidFill>
              <a:srgbClr val="B3B3B3"/>
            </a:solidFill>
          </a:ln>
        </c:spPr>
        <c:txPr>
          <a:bodyPr rot="-3000000"/>
          <a:lstStyle/>
          <a:p>
            <a:pPr>
              <a:defRPr sz="1000" b="0" strike="noStrike" spc="-1">
                <a:solidFill>
                  <a:srgbClr val="000000"/>
                </a:solidFill>
                <a:latin typeface="Arial"/>
              </a:defRPr>
            </a:pPr>
            <a:endParaRPr lang="uk-UA"/>
          </a:p>
        </c:txPr>
        <c:crossAx val="211134336"/>
        <c:crosses val="autoZero"/>
        <c:auto val="1"/>
        <c:lblAlgn val="ctr"/>
        <c:lblOffset val="100"/>
        <c:noMultiLvlLbl val="0"/>
      </c:catAx>
      <c:valAx>
        <c:axId val="211134336"/>
        <c:scaling>
          <c:orientation val="minMax"/>
        </c:scaling>
        <c:delete val="0"/>
        <c:axPos val="l"/>
        <c:majorGridlines>
          <c:spPr>
            <a:ln w="0">
              <a:solidFill>
                <a:srgbClr val="B3B3B3"/>
              </a:solidFill>
            </a:ln>
          </c:spPr>
        </c:majorGridlines>
        <c:numFmt formatCode="General" sourceLinked="0"/>
        <c:majorTickMark val="out"/>
        <c:minorTickMark val="none"/>
        <c:tickLblPos val="nextTo"/>
        <c:spPr>
          <a:ln w="0">
            <a:solidFill>
              <a:srgbClr val="B3B3B3"/>
            </a:solidFill>
          </a:ln>
        </c:spPr>
        <c:txPr>
          <a:bodyPr/>
          <a:lstStyle/>
          <a:p>
            <a:pPr>
              <a:defRPr sz="1000" b="0" strike="noStrike" spc="-1">
                <a:solidFill>
                  <a:srgbClr val="000000"/>
                </a:solidFill>
                <a:latin typeface="Arial"/>
              </a:defRPr>
            </a:pPr>
            <a:endParaRPr lang="uk-UA"/>
          </a:p>
        </c:txPr>
        <c:crossAx val="211132800"/>
        <c:crosses val="autoZero"/>
        <c:crossBetween val="between"/>
      </c:valAx>
      <c:spPr>
        <a:noFill/>
        <a:ln w="0">
          <a:solidFill>
            <a:srgbClr val="B3B3B3"/>
          </a:solidFill>
        </a:ln>
      </c:spPr>
    </c:plotArea>
    <c:legend>
      <c:legendPos val="b"/>
      <c:overlay val="0"/>
      <c:spPr>
        <a:noFill/>
        <a:ln w="0">
          <a:noFill/>
        </a:ln>
      </c:spPr>
      <c:txPr>
        <a:bodyPr/>
        <a:lstStyle/>
        <a:p>
          <a:pPr>
            <a:defRPr sz="1000" b="0" strike="noStrike" spc="-1">
              <a:solidFill>
                <a:srgbClr val="000000"/>
              </a:solidFill>
              <a:latin typeface="Arial"/>
            </a:defRPr>
          </a:pPr>
          <a:endParaRPr lang="uk-UA"/>
        </a:p>
      </c:txPr>
    </c:legend>
    <c:plotVisOnly val="1"/>
    <c:dispBlanksAs val="gap"/>
    <c:showDLblsOverMax val="1"/>
  </c:chart>
  <c:spPr>
    <a:noFill/>
    <a:ln w="0">
      <a:noFill/>
    </a:ln>
  </c:spPr>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autoTitleDeleted val="1"/>
    <c:plotArea>
      <c:layout>
        <c:manualLayout>
          <c:layoutTarget val="inner"/>
          <c:xMode val="edge"/>
          <c:yMode val="edge"/>
          <c:x val="9.8250000000000004E-2"/>
          <c:y val="4.8666666666666698E-2"/>
          <c:w val="0.86168750000000005"/>
          <c:h val="0.71411111111111103"/>
        </c:manualLayout>
      </c:layout>
      <c:lineChart>
        <c:grouping val="standard"/>
        <c:varyColors val="0"/>
        <c:ser>
          <c:idx val="0"/>
          <c:order val="0"/>
          <c:tx>
            <c:strRef>
              <c:f>label 0</c:f>
              <c:strCache>
                <c:ptCount val="1"/>
                <c:pt idx="0">
                  <c:v>Витрати е/е, тис. кВт.год</c:v>
                </c:pt>
              </c:strCache>
            </c:strRef>
          </c:tx>
          <c:spPr>
            <a:ln w="28800">
              <a:solidFill>
                <a:srgbClr val="4F81BD"/>
              </a:solidFill>
              <a:round/>
            </a:ln>
          </c:spPr>
          <c:marker>
            <c:symbol val="square"/>
            <c:size val="8"/>
            <c:spPr>
              <a:solidFill>
                <a:srgbClr val="4F81BD"/>
              </a:solidFill>
            </c:spPr>
          </c:marker>
          <c:dPt>
            <c:idx val="0"/>
            <c:bubble3D val="0"/>
          </c:dPt>
          <c:dPt>
            <c:idx val="1"/>
            <c:bubble3D val="0"/>
          </c:dPt>
          <c:dPt>
            <c:idx val="2"/>
            <c:bubble3D val="0"/>
          </c:dPt>
          <c:dPt>
            <c:idx val="3"/>
            <c:bubble3D val="0"/>
          </c:dPt>
          <c:dPt>
            <c:idx val="4"/>
            <c:bubble3D val="0"/>
          </c:dPt>
          <c:dPt>
            <c:idx val="6"/>
            <c:bubble3D val="0"/>
          </c:dPt>
          <c:dPt>
            <c:idx val="8"/>
            <c:bubble3D val="0"/>
          </c:dPt>
          <c:dPt>
            <c:idx val="10"/>
            <c:bubble3D val="0"/>
          </c:dPt>
          <c:dPt>
            <c:idx val="12"/>
            <c:bubble3D val="0"/>
          </c:dPt>
          <c:dPt>
            <c:idx val="15"/>
            <c:bubble3D val="0"/>
          </c:dPt>
          <c:dLbls>
            <c:dLbl>
              <c:idx val="0"/>
              <c:layout>
                <c:manualLayout>
                  <c:x val="4.22425952045134E-2"/>
                  <c:y val="3.8506792170285302E-3"/>
                </c:manualLayout>
              </c:layout>
              <c:dLblPos val="t"/>
              <c:showLegendKey val="0"/>
              <c:showVal val="1"/>
              <c:showCatName val="0"/>
              <c:showSerName val="0"/>
              <c:showPercent val="0"/>
              <c:showBubbleSize val="1"/>
              <c:separator>; </c:separator>
            </c:dLbl>
            <c:dLbl>
              <c:idx val="1"/>
              <c:layout>
                <c:manualLayout>
                  <c:x val="1.16938247028612E-2"/>
                  <c:y val="0.16572278352683401"/>
                </c:manualLayout>
              </c:layout>
              <c:dLblPos val="t"/>
              <c:showLegendKey val="0"/>
              <c:showVal val="1"/>
              <c:showCatName val="0"/>
              <c:showSerName val="0"/>
              <c:showPercent val="0"/>
              <c:showBubbleSize val="1"/>
              <c:separator>; </c:separator>
            </c:dLbl>
            <c:dLbl>
              <c:idx val="2"/>
              <c:layout>
                <c:manualLayout>
                  <c:x val="2.4306942605483901E-2"/>
                  <c:y val="0.14420283075731399"/>
                </c:manualLayout>
              </c:layout>
              <c:dLblPos val="t"/>
              <c:showLegendKey val="0"/>
              <c:showVal val="1"/>
              <c:showCatName val="0"/>
              <c:showSerName val="0"/>
              <c:showPercent val="0"/>
              <c:showBubbleSize val="1"/>
              <c:separator>; </c:separator>
            </c:dLbl>
            <c:dLbl>
              <c:idx val="3"/>
              <c:layout>
                <c:manualLayout>
                  <c:x val="2.4682651622003299E-3"/>
                  <c:y val="-5.6690555139586899E-3"/>
                </c:manualLayout>
              </c:layout>
              <c:dLblPos val="t"/>
              <c:showLegendKey val="0"/>
              <c:showVal val="1"/>
              <c:showCatName val="0"/>
              <c:showSerName val="0"/>
              <c:showPercent val="0"/>
              <c:showBubbleSize val="1"/>
              <c:separator>; </c:separator>
            </c:dLbl>
            <c:dLbl>
              <c:idx val="4"/>
              <c:layout>
                <c:manualLayout>
                  <c:x val="7.8811078585904193E-3"/>
                  <c:y val="0.15028021688076301"/>
                </c:manualLayout>
              </c:layout>
              <c:dLblPos val="t"/>
              <c:showLegendKey val="0"/>
              <c:showVal val="1"/>
              <c:showCatName val="0"/>
              <c:showSerName val="0"/>
              <c:showPercent val="0"/>
              <c:showBubbleSize val="1"/>
              <c:separator>; </c:separator>
            </c:dLbl>
            <c:dLbl>
              <c:idx val="6"/>
              <c:layout>
                <c:manualLayout>
                  <c:x val="1.19816711971524E-2"/>
                  <c:y val="0.14552624027428099"/>
                </c:manualLayout>
              </c:layout>
              <c:dLblPos val="t"/>
              <c:showLegendKey val="0"/>
              <c:showVal val="1"/>
              <c:showCatName val="0"/>
              <c:showSerName val="0"/>
              <c:showPercent val="0"/>
              <c:showBubbleSize val="1"/>
              <c:separator>; </c:separator>
            </c:dLbl>
            <c:dLbl>
              <c:idx val="8"/>
              <c:layout>
                <c:manualLayout>
                  <c:x val="2.4042434014714999E-4"/>
                  <c:y val="0.15397634188942699"/>
                </c:manualLayout>
              </c:layout>
              <c:dLblPos val="t"/>
              <c:showLegendKey val="0"/>
              <c:showVal val="1"/>
              <c:showCatName val="0"/>
              <c:showSerName val="0"/>
              <c:showPercent val="0"/>
              <c:showBubbleSize val="1"/>
              <c:separator>; </c:separator>
            </c:dLbl>
            <c:dLbl>
              <c:idx val="10"/>
              <c:layout>
                <c:manualLayout>
                  <c:x val="5.68917109631606E-3"/>
                  <c:y val="0.175630521726201"/>
                </c:manualLayout>
              </c:layout>
              <c:dLblPos val="t"/>
              <c:showLegendKey val="0"/>
              <c:showVal val="1"/>
              <c:showCatName val="0"/>
              <c:showSerName val="0"/>
              <c:showPercent val="0"/>
              <c:showBubbleSize val="1"/>
              <c:separator>; </c:separator>
            </c:dLbl>
            <c:dLbl>
              <c:idx val="12"/>
              <c:layout>
                <c:manualLayout>
                  <c:x val="3.9780830143361099E-3"/>
                  <c:y val="0.15964539740338601"/>
                </c:manualLayout>
              </c:layout>
              <c:dLblPos val="t"/>
              <c:showLegendKey val="0"/>
              <c:showVal val="1"/>
              <c:showCatName val="0"/>
              <c:showSerName val="0"/>
              <c:showPercent val="0"/>
              <c:showBubbleSize val="1"/>
              <c:separator>; </c:separator>
            </c:dLbl>
            <c:dLbl>
              <c:idx val="15"/>
              <c:layout>
                <c:manualLayout>
                  <c:x val="-3.78508082833318E-3"/>
                  <c:y val="0.164232233779214"/>
                </c:manualLayout>
              </c:layout>
              <c:dLblPos val="t"/>
              <c:showLegendKey val="0"/>
              <c:showVal val="1"/>
              <c:showCatName val="0"/>
              <c:showSerName val="0"/>
              <c:showPercent val="0"/>
              <c:showBubbleSize val="1"/>
              <c:separator>; </c:separator>
            </c:dLbl>
            <c:numFmt formatCode="General" sourceLinked="0"/>
            <c:txPr>
              <a:bodyPr wrap="square"/>
              <a:lstStyle/>
              <a:p>
                <a:pPr>
                  <a:defRPr sz="1000" b="0" strike="noStrike" spc="-1">
                    <a:solidFill>
                      <a:srgbClr val="000000"/>
                    </a:solidFill>
                    <a:latin typeface="Calibri"/>
                  </a:defRPr>
                </a:pPr>
                <a:endParaRPr lang="uk-UA"/>
              </a:p>
            </c:txPr>
            <c:dLblPos val="t"/>
            <c:showLegendKey val="0"/>
            <c:showVal val="1"/>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strCache>
            </c:strRef>
          </c:cat>
          <c:val>
            <c:numRef>
              <c:f>0</c:f>
              <c:numCache>
                <c:formatCode>General</c:formatCode>
                <c:ptCount val="16"/>
                <c:pt idx="0">
                  <c:v>2975</c:v>
                </c:pt>
                <c:pt idx="1">
                  <c:v>2327</c:v>
                </c:pt>
                <c:pt idx="2">
                  <c:v>2604</c:v>
                </c:pt>
                <c:pt idx="3">
                  <c:v>3647</c:v>
                </c:pt>
                <c:pt idx="4">
                  <c:v>2598</c:v>
                </c:pt>
                <c:pt idx="5">
                  <c:v>3033</c:v>
                </c:pt>
                <c:pt idx="6">
                  <c:v>3139</c:v>
                </c:pt>
                <c:pt idx="7">
                  <c:v>3207</c:v>
                </c:pt>
                <c:pt idx="8">
                  <c:v>3255</c:v>
                </c:pt>
                <c:pt idx="9">
                  <c:v>3173</c:v>
                </c:pt>
                <c:pt idx="10">
                  <c:v>3508</c:v>
                </c:pt>
                <c:pt idx="11">
                  <c:v>3465</c:v>
                </c:pt>
                <c:pt idx="12">
                  <c:v>3619</c:v>
                </c:pt>
                <c:pt idx="13">
                  <c:v>3936</c:v>
                </c:pt>
                <c:pt idx="14">
                  <c:v>4820</c:v>
                </c:pt>
                <c:pt idx="15">
                  <c:v>3528</c:v>
                </c:pt>
              </c:numCache>
            </c:numRef>
          </c:val>
          <c:smooth val="0"/>
        </c:ser>
        <c:dLbls>
          <c:showLegendKey val="0"/>
          <c:showVal val="0"/>
          <c:showCatName val="0"/>
          <c:showSerName val="0"/>
          <c:showPercent val="0"/>
          <c:showBubbleSize val="0"/>
        </c:dLbls>
        <c:hiLowLines>
          <c:spPr>
            <a:ln w="0">
              <a:noFill/>
            </a:ln>
          </c:spPr>
        </c:hiLowLines>
        <c:marker val="1"/>
        <c:smooth val="0"/>
        <c:axId val="211179776"/>
        <c:axId val="211197952"/>
      </c:lineChart>
      <c:catAx>
        <c:axId val="211179776"/>
        <c:scaling>
          <c:orientation val="minMax"/>
        </c:scaling>
        <c:delete val="0"/>
        <c:axPos val="b"/>
        <c:numFmt formatCode="General" sourceLinked="0"/>
        <c:majorTickMark val="out"/>
        <c:minorTickMark val="none"/>
        <c:tickLblPos val="nextTo"/>
        <c:spPr>
          <a:ln w="9360">
            <a:solidFill>
              <a:srgbClr val="878787"/>
            </a:solidFill>
            <a:round/>
          </a:ln>
        </c:spPr>
        <c:txPr>
          <a:bodyPr rot="-3000000"/>
          <a:lstStyle/>
          <a:p>
            <a:pPr>
              <a:defRPr sz="900" b="0" strike="noStrike" spc="-1">
                <a:solidFill>
                  <a:srgbClr val="000000"/>
                </a:solidFill>
                <a:latin typeface="Calibri"/>
              </a:defRPr>
            </a:pPr>
            <a:endParaRPr lang="uk-UA"/>
          </a:p>
        </c:txPr>
        <c:crossAx val="211197952"/>
        <c:crosses val="autoZero"/>
        <c:auto val="1"/>
        <c:lblAlgn val="ctr"/>
        <c:lblOffset val="100"/>
        <c:noMultiLvlLbl val="0"/>
      </c:catAx>
      <c:valAx>
        <c:axId val="211197952"/>
        <c:scaling>
          <c:orientation val="minMax"/>
        </c:scaling>
        <c:delete val="0"/>
        <c:axPos val="l"/>
        <c:majorGridlines>
          <c:spPr>
            <a:ln w="9360">
              <a:solidFill>
                <a:srgbClr val="878787"/>
              </a:solidFill>
              <a:round/>
            </a:ln>
          </c:spPr>
        </c:majorGridlines>
        <c:numFmt formatCode="General" sourceLinked="0"/>
        <c:majorTickMark val="out"/>
        <c:minorTickMark val="none"/>
        <c:tickLblPos val="nextTo"/>
        <c:spPr>
          <a:ln w="9360">
            <a:solidFill>
              <a:srgbClr val="878787"/>
            </a:solidFill>
            <a:round/>
          </a:ln>
        </c:spPr>
        <c:txPr>
          <a:bodyPr/>
          <a:lstStyle/>
          <a:p>
            <a:pPr>
              <a:defRPr sz="1000" b="0" strike="noStrike" spc="-1">
                <a:solidFill>
                  <a:srgbClr val="000000"/>
                </a:solidFill>
                <a:latin typeface="Calibri"/>
              </a:defRPr>
            </a:pPr>
            <a:endParaRPr lang="uk-UA"/>
          </a:p>
        </c:txPr>
        <c:crossAx val="211179776"/>
        <c:crossesAt val="1"/>
        <c:crossBetween val="midCat"/>
      </c:valAx>
      <c:spPr>
        <a:noFill/>
        <a:ln w="0">
          <a:noFill/>
        </a:ln>
      </c:spPr>
    </c:plotArea>
    <c:legend>
      <c:legendPos val="b"/>
      <c:layout>
        <c:manualLayout>
          <c:xMode val="edge"/>
          <c:yMode val="edge"/>
          <c:x val="0.15075"/>
          <c:y val="0.90955555555555601"/>
          <c:w val="0.70223138946184105"/>
          <c:h val="8.1009001000111103E-2"/>
        </c:manualLayout>
      </c:layout>
      <c:overlay val="1"/>
      <c:spPr>
        <a:noFill/>
        <a:ln w="0">
          <a:noFill/>
        </a:ln>
      </c:spPr>
      <c:txPr>
        <a:bodyPr/>
        <a:lstStyle/>
        <a:p>
          <a:pPr>
            <a:defRPr sz="900" b="0" strike="noStrike" spc="-1">
              <a:solidFill>
                <a:srgbClr val="000000"/>
              </a:solidFill>
              <a:latin typeface="Calibri"/>
            </a:defRPr>
          </a:pPr>
          <a:endParaRPr lang="uk-UA"/>
        </a:p>
      </c:txPr>
    </c:legend>
    <c:plotVisOnly val="1"/>
    <c:dispBlanksAs val="gap"/>
    <c:showDLblsOverMax val="1"/>
  </c:chart>
  <c:spPr>
    <a:solidFill>
      <a:srgbClr val="FFFFFF"/>
    </a:solidFill>
    <a:ln w="9360">
      <a:solidFill>
        <a:srgbClr val="D9D9D9"/>
      </a:solidFill>
      <a:round/>
    </a:ln>
  </c:spPr>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title>
      <c:tx>
        <c:rich>
          <a:bodyPr rot="0"/>
          <a:lstStyle/>
          <a:p>
            <a:pPr>
              <a:defRPr lang="uk-UA" sz="1300" b="0" strike="noStrike" spc="-1">
                <a:solidFill>
                  <a:srgbClr val="000000"/>
                </a:solidFill>
                <a:latin typeface="Arial"/>
              </a:defRPr>
            </a:pPr>
            <a:r>
              <a:rPr lang="uk-UA" sz="1300" b="0" strike="noStrike" spc="-1">
                <a:solidFill>
                  <a:srgbClr val="000000"/>
                </a:solidFill>
                <a:latin typeface="Arial"/>
              </a:rPr>
              <a:t>2022 рік</a:t>
            </a:r>
          </a:p>
        </c:rich>
      </c:tx>
      <c:layout>
        <c:manualLayout>
          <c:xMode val="edge"/>
          <c:yMode val="edge"/>
          <c:x val="0.73275000000000001"/>
          <c:y val="0.85377777777777797"/>
        </c:manualLayout>
      </c:layout>
      <c:overlay val="0"/>
      <c:spPr>
        <a:noFill/>
        <a:ln w="0">
          <a:noFill/>
        </a:ln>
      </c:spPr>
    </c:title>
    <c:autoTitleDeleted val="0"/>
    <c:plotArea>
      <c:layout/>
      <c:pieChart>
        <c:varyColors val="1"/>
        <c:ser>
          <c:idx val="0"/>
          <c:order val="0"/>
          <c:tx>
            <c:strRef>
              <c:f>label 0</c:f>
              <c:strCache>
                <c:ptCount val="1"/>
                <c:pt idx="0">
                  <c:v>Серія1</c:v>
                </c:pt>
              </c:strCache>
            </c:strRef>
          </c:tx>
          <c:spPr>
            <a:solidFill>
              <a:srgbClr val="4F81BD"/>
            </a:solidFill>
            <a:ln w="0">
              <a:noFill/>
            </a:ln>
          </c:spPr>
          <c:dPt>
            <c:idx val="0"/>
            <c:bubble3D val="0"/>
          </c:dPt>
          <c:dPt>
            <c:idx val="1"/>
            <c:bubble3D val="0"/>
            <c:spPr>
              <a:solidFill>
                <a:srgbClr val="C0504D"/>
              </a:solidFill>
              <a:ln w="0">
                <a:noFill/>
              </a:ln>
            </c:spPr>
          </c:dPt>
          <c:dPt>
            <c:idx val="2"/>
            <c:bubble3D val="0"/>
            <c:spPr>
              <a:solidFill>
                <a:srgbClr val="9BBB59"/>
              </a:solidFill>
              <a:ln w="0">
                <a:noFill/>
              </a:ln>
            </c:spPr>
          </c:dPt>
          <c:dPt>
            <c:idx val="3"/>
            <c:bubble3D val="0"/>
            <c:spPr>
              <a:solidFill>
                <a:srgbClr val="8064A2"/>
              </a:solidFill>
              <a:ln w="0">
                <a:noFill/>
              </a:ln>
            </c:spPr>
          </c:dPt>
          <c:dLbls>
            <c:txPr>
              <a:bodyPr wrap="square"/>
              <a:lstStyle/>
              <a:p>
                <a:pPr>
                  <a:defRPr sz="1100" b="0" strike="noStrike" spc="-1">
                    <a:solidFill>
                      <a:srgbClr val="000000"/>
                    </a:solidFill>
                    <a:latin typeface="Calibri"/>
                  </a:defRPr>
                </a:pPr>
                <a:endParaRPr lang="uk-UA"/>
              </a:p>
            </c:txPr>
            <c:dLblPos val="outEnd"/>
            <c:showLegendKey val="0"/>
            <c:showVal val="0"/>
            <c:showCatName val="0"/>
            <c:showSerName val="0"/>
            <c:showPercent val="1"/>
            <c:showBubbleSize val="1"/>
            <c:separator>
</c:separator>
            <c:showLeaderLines val="1"/>
          </c:dLbls>
          <c:cat>
            <c:strRef>
              <c:f>categories</c:f>
              <c:strCache>
                <c:ptCount val="4"/>
                <c:pt idx="0">
                  <c:v>Лампи розжарювання</c:v>
                </c:pt>
                <c:pt idx="1">
                  <c:v>Ртутні лампи</c:v>
                </c:pt>
                <c:pt idx="2">
                  <c:v>Натрієві лампи</c:v>
                </c:pt>
                <c:pt idx="3">
                  <c:v>LED</c:v>
                </c:pt>
              </c:strCache>
            </c:strRef>
          </c:cat>
          <c:val>
            <c:numRef>
              <c:f>0</c:f>
              <c:numCache>
                <c:formatCode>General</c:formatCode>
                <c:ptCount val="4"/>
                <c:pt idx="0">
                  <c:v>4</c:v>
                </c:pt>
                <c:pt idx="1">
                  <c:v>17</c:v>
                </c:pt>
                <c:pt idx="2">
                  <c:v>43</c:v>
                </c:pt>
                <c:pt idx="3">
                  <c:v>36</c:v>
                </c:pt>
              </c:numCache>
            </c:numRef>
          </c:val>
        </c:ser>
        <c:ser>
          <c:idx val="1"/>
          <c:order val="1"/>
          <c:tx>
            <c:strRef>
              <c:f>label 1</c:f>
              <c:strCache>
                <c:ptCount val="1"/>
                <c:pt idx="0">
                  <c:v>Серія2</c:v>
                </c:pt>
              </c:strCache>
            </c:strRef>
          </c:tx>
          <c:spPr>
            <a:solidFill>
              <a:srgbClr val="C0504D"/>
            </a:solidFill>
            <a:ln w="0">
              <a:noFill/>
            </a:ln>
          </c:spPr>
          <c:dPt>
            <c:idx val="0"/>
            <c:bubble3D val="0"/>
            <c:spPr>
              <a:solidFill>
                <a:srgbClr val="4F81BD"/>
              </a:solidFill>
              <a:ln w="0">
                <a:noFill/>
              </a:ln>
            </c:spPr>
          </c:dPt>
          <c:dPt>
            <c:idx val="1"/>
            <c:bubble3D val="0"/>
          </c:dPt>
          <c:dPt>
            <c:idx val="2"/>
            <c:bubble3D val="0"/>
            <c:spPr>
              <a:solidFill>
                <a:srgbClr val="9BBB59"/>
              </a:solidFill>
              <a:ln w="0">
                <a:noFill/>
              </a:ln>
            </c:spPr>
          </c:dPt>
          <c:dPt>
            <c:idx val="3"/>
            <c:bubble3D val="0"/>
            <c:spPr>
              <a:solidFill>
                <a:srgbClr val="8064A2"/>
              </a:solidFill>
              <a:ln w="0">
                <a:noFill/>
              </a:ln>
            </c:spPr>
          </c:dPt>
          <c:dLbls>
            <c:txPr>
              <a:bodyPr wrap="square"/>
              <a:lstStyle/>
              <a:p>
                <a:pPr>
                  <a:defRPr sz="1000" b="0" strike="noStrike" spc="-1">
                    <a:solidFill>
                      <a:srgbClr val="000000"/>
                    </a:solidFill>
                    <a:latin typeface="Calibri"/>
                  </a:defRPr>
                </a:pPr>
                <a:endParaRPr lang="uk-UA"/>
              </a:p>
            </c:txPr>
            <c:dLblPos val="bestFit"/>
            <c:showLegendKey val="0"/>
            <c:showVal val="0"/>
            <c:showCatName val="0"/>
            <c:showSerName val="0"/>
            <c:showPercent val="0"/>
            <c:showBubbleSize val="1"/>
            <c:separator>; </c:separator>
            <c:showLeaderLines val="1"/>
          </c:dLbls>
          <c:cat>
            <c:strRef>
              <c:f>categories</c:f>
              <c:strCache>
                <c:ptCount val="4"/>
                <c:pt idx="0">
                  <c:v>Лампи розжарювання</c:v>
                </c:pt>
                <c:pt idx="1">
                  <c:v>Ртутні лампи</c:v>
                </c:pt>
                <c:pt idx="2">
                  <c:v>Натрієві лампи</c:v>
                </c:pt>
                <c:pt idx="3">
                  <c:v>LED</c:v>
                </c:pt>
              </c:strCache>
            </c:strRef>
          </c:cat>
          <c:val>
            <c:numRef>
              <c:f>1</c:f>
              <c:numCache>
                <c:formatCode>General</c:formatCode>
                <c:ptCount val="4"/>
                <c:pt idx="0">
                  <c:v>442</c:v>
                </c:pt>
                <c:pt idx="1">
                  <c:v>2048</c:v>
                </c:pt>
                <c:pt idx="2">
                  <c:v>5158</c:v>
                </c:pt>
                <c:pt idx="3">
                  <c:v>4362</c:v>
                </c:pt>
              </c:numCache>
            </c:numRef>
          </c:val>
        </c:ser>
        <c:dLbls>
          <c:showLegendKey val="0"/>
          <c:showVal val="0"/>
          <c:showCatName val="0"/>
          <c:showSerName val="0"/>
          <c:showPercent val="0"/>
          <c:showBubbleSize val="0"/>
          <c:showLeaderLines val="1"/>
        </c:dLbls>
        <c:firstSliceAng val="0"/>
      </c:pieChart>
      <c:spPr>
        <a:noFill/>
        <a:ln w="25560">
          <a:noFill/>
        </a:ln>
      </c:spPr>
    </c:plotArea>
    <c:legend>
      <c:legendPos val="r"/>
      <c:layout>
        <c:manualLayout>
          <c:xMode val="edge"/>
          <c:yMode val="edge"/>
          <c:x val="0.64106249999999998"/>
          <c:y val="0.110555555555556"/>
          <c:w val="0.31289455590974402"/>
          <c:h val="0.76252916990776798"/>
        </c:manualLayout>
      </c:layout>
      <c:overlay val="0"/>
      <c:spPr>
        <a:noFill/>
        <a:ln w="0">
          <a:noFill/>
        </a:ln>
      </c:spPr>
      <c:txPr>
        <a:bodyPr/>
        <a:lstStyle/>
        <a:p>
          <a:pPr>
            <a:defRPr sz="1100" b="0" strike="noStrike" spc="-1">
              <a:solidFill>
                <a:srgbClr val="000000"/>
              </a:solidFill>
              <a:latin typeface="Calibri"/>
            </a:defRPr>
          </a:pPr>
          <a:endParaRPr lang="uk-UA"/>
        </a:p>
      </c:txPr>
    </c:legend>
    <c:plotVisOnly val="1"/>
    <c:dispBlanksAs val="zero"/>
    <c:showDLblsOverMax val="1"/>
  </c:chart>
  <c:spPr>
    <a:solidFill>
      <a:srgbClr val="FFFFFF"/>
    </a:solidFill>
    <a:ln w="9360">
      <a:solidFill>
        <a:srgbClr val="808080"/>
      </a:solidFill>
      <a:round/>
    </a:ln>
  </c:spPr>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autoTitleDeleted val="1"/>
    <c:plotArea>
      <c:layout/>
      <c:barChart>
        <c:barDir val="col"/>
        <c:grouping val="clustered"/>
        <c:varyColors val="0"/>
        <c:ser>
          <c:idx val="0"/>
          <c:order val="0"/>
          <c:tx>
            <c:strRef>
              <c:f>label 0</c:f>
              <c:strCache>
                <c:ptCount val="1"/>
                <c:pt idx="0">
                  <c:v>теплова енергія, Гкал</c:v>
                </c:pt>
              </c:strCache>
            </c:strRef>
          </c:tx>
          <c:spPr>
            <a:solidFill>
              <a:srgbClr val="004586"/>
            </a:solidFill>
            <a:ln w="0">
              <a:noFill/>
            </a:ln>
          </c:spPr>
          <c:invertIfNegative val="0"/>
          <c:dLbls>
            <c:txPr>
              <a:bodyPr wrap="none"/>
              <a:lstStyle/>
              <a:p>
                <a:pPr>
                  <a:defRPr sz="1000" b="0" strike="noStrike" spc="-1">
                    <a:solidFill>
                      <a:srgbClr val="000000"/>
                    </a:solidFill>
                    <a:latin typeface="Arial"/>
                  </a:defRPr>
                </a:pPr>
                <a:endParaRPr lang="uk-UA"/>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2007</c:v>
                </c:pt>
                <c:pt idx="1">
                  <c:v>2020</c:v>
                </c:pt>
                <c:pt idx="2">
                  <c:v>2020</c:v>
                </c:pt>
              </c:strCache>
            </c:strRef>
          </c:cat>
          <c:val>
            <c:numRef>
              <c:f>0</c:f>
              <c:numCache>
                <c:formatCode>General</c:formatCode>
                <c:ptCount val="3"/>
                <c:pt idx="0">
                  <c:v>47770</c:v>
                </c:pt>
                <c:pt idx="1">
                  <c:v>10424</c:v>
                </c:pt>
                <c:pt idx="2">
                  <c:v>8130</c:v>
                </c:pt>
              </c:numCache>
            </c:numRef>
          </c:val>
        </c:ser>
        <c:ser>
          <c:idx val="1"/>
          <c:order val="1"/>
          <c:tx>
            <c:strRef>
              <c:f>label 1</c:f>
              <c:strCache>
                <c:ptCount val="1"/>
                <c:pt idx="0">
                  <c:v>Е/е, МВт.год</c:v>
                </c:pt>
              </c:strCache>
            </c:strRef>
          </c:tx>
          <c:spPr>
            <a:solidFill>
              <a:srgbClr val="FF420E"/>
            </a:solidFill>
            <a:ln w="0">
              <a:noFill/>
            </a:ln>
          </c:spPr>
          <c:invertIfNegative val="0"/>
          <c:dLbls>
            <c:txPr>
              <a:bodyPr wrap="none"/>
              <a:lstStyle/>
              <a:p>
                <a:pPr>
                  <a:defRPr sz="1000" b="0" strike="noStrike" spc="-1">
                    <a:solidFill>
                      <a:srgbClr val="000000"/>
                    </a:solidFill>
                    <a:latin typeface="Arial"/>
                  </a:defRPr>
                </a:pPr>
                <a:endParaRPr lang="uk-UA"/>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2007</c:v>
                </c:pt>
                <c:pt idx="1">
                  <c:v>2020</c:v>
                </c:pt>
                <c:pt idx="2">
                  <c:v>2020</c:v>
                </c:pt>
              </c:strCache>
            </c:strRef>
          </c:cat>
          <c:val>
            <c:numRef>
              <c:f>1</c:f>
              <c:numCache>
                <c:formatCode>General</c:formatCode>
                <c:ptCount val="3"/>
                <c:pt idx="0">
                  <c:v>248067</c:v>
                </c:pt>
                <c:pt idx="1">
                  <c:v>318766</c:v>
                </c:pt>
                <c:pt idx="2">
                  <c:v>306496</c:v>
                </c:pt>
              </c:numCache>
            </c:numRef>
          </c:val>
        </c:ser>
        <c:ser>
          <c:idx val="2"/>
          <c:order val="2"/>
          <c:tx>
            <c:strRef>
              <c:f>label 2</c:f>
              <c:strCache>
                <c:ptCount val="1"/>
                <c:pt idx="0">
                  <c:v>Природний газ, МВт.год</c:v>
                </c:pt>
              </c:strCache>
            </c:strRef>
          </c:tx>
          <c:spPr>
            <a:solidFill>
              <a:srgbClr val="FFD320"/>
            </a:solidFill>
            <a:ln w="0">
              <a:noFill/>
            </a:ln>
          </c:spPr>
          <c:invertIfNegative val="0"/>
          <c:dLbls>
            <c:txPr>
              <a:bodyPr wrap="none"/>
              <a:lstStyle/>
              <a:p>
                <a:pPr>
                  <a:defRPr sz="1000" b="0" strike="noStrike" spc="-1">
                    <a:solidFill>
                      <a:srgbClr val="000000"/>
                    </a:solidFill>
                    <a:latin typeface="Arial"/>
                  </a:defRPr>
                </a:pPr>
                <a:endParaRPr lang="uk-UA"/>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2007</c:v>
                </c:pt>
                <c:pt idx="1">
                  <c:v>2020</c:v>
                </c:pt>
                <c:pt idx="2">
                  <c:v>2020</c:v>
                </c:pt>
              </c:strCache>
            </c:strRef>
          </c:cat>
          <c:val>
            <c:numRef>
              <c:f>2</c:f>
              <c:numCache>
                <c:formatCode>General</c:formatCode>
                <c:ptCount val="3"/>
                <c:pt idx="0">
                  <c:v>75683.320000000007</c:v>
                </c:pt>
                <c:pt idx="1">
                  <c:v>22254.87</c:v>
                </c:pt>
                <c:pt idx="2">
                  <c:v>3.7</c:v>
                </c:pt>
              </c:numCache>
            </c:numRef>
          </c:val>
        </c:ser>
        <c:dLbls>
          <c:showLegendKey val="0"/>
          <c:showVal val="0"/>
          <c:showCatName val="0"/>
          <c:showSerName val="0"/>
          <c:showPercent val="0"/>
          <c:showBubbleSize val="0"/>
        </c:dLbls>
        <c:gapWidth val="100"/>
        <c:axId val="211268352"/>
        <c:axId val="211269888"/>
      </c:barChart>
      <c:catAx>
        <c:axId val="211268352"/>
        <c:scaling>
          <c:orientation val="minMax"/>
        </c:scaling>
        <c:delete val="0"/>
        <c:axPos val="b"/>
        <c:numFmt formatCode="[$-422]dd/mm/yyyy" sourceLinked="0"/>
        <c:majorTickMark val="out"/>
        <c:minorTickMark val="none"/>
        <c:tickLblPos val="nextTo"/>
        <c:spPr>
          <a:ln w="0">
            <a:solidFill>
              <a:srgbClr val="B3B3B3"/>
            </a:solidFill>
          </a:ln>
        </c:spPr>
        <c:txPr>
          <a:bodyPr/>
          <a:lstStyle/>
          <a:p>
            <a:pPr>
              <a:defRPr sz="900" b="0" strike="noStrike" spc="-1">
                <a:solidFill>
                  <a:srgbClr val="000000"/>
                </a:solidFill>
                <a:latin typeface="Arial"/>
              </a:defRPr>
            </a:pPr>
            <a:endParaRPr lang="uk-UA"/>
          </a:p>
        </c:txPr>
        <c:crossAx val="211269888"/>
        <c:crosses val="autoZero"/>
        <c:auto val="1"/>
        <c:lblAlgn val="ctr"/>
        <c:lblOffset val="100"/>
        <c:noMultiLvlLbl val="0"/>
      </c:catAx>
      <c:valAx>
        <c:axId val="211269888"/>
        <c:scaling>
          <c:orientation val="minMax"/>
        </c:scaling>
        <c:delete val="0"/>
        <c:axPos val="l"/>
        <c:majorGridlines>
          <c:spPr>
            <a:ln w="0">
              <a:solidFill>
                <a:srgbClr val="B3B3B3"/>
              </a:solidFill>
            </a:ln>
          </c:spPr>
        </c:majorGridlines>
        <c:numFmt formatCode="General" sourceLinked="0"/>
        <c:majorTickMark val="out"/>
        <c:minorTickMark val="none"/>
        <c:tickLblPos val="nextTo"/>
        <c:spPr>
          <a:ln w="0">
            <a:solidFill>
              <a:srgbClr val="B3B3B3"/>
            </a:solidFill>
          </a:ln>
        </c:spPr>
        <c:txPr>
          <a:bodyPr/>
          <a:lstStyle/>
          <a:p>
            <a:pPr>
              <a:defRPr sz="900" b="0" strike="noStrike" spc="-1">
                <a:solidFill>
                  <a:srgbClr val="000000"/>
                </a:solidFill>
                <a:latin typeface="Arial"/>
              </a:defRPr>
            </a:pPr>
            <a:endParaRPr lang="uk-UA"/>
          </a:p>
        </c:txPr>
        <c:crossAx val="211268352"/>
        <c:crossesAt val="1"/>
        <c:crossBetween val="between"/>
      </c:valAx>
      <c:spPr>
        <a:noFill/>
        <a:ln w="0">
          <a:solidFill>
            <a:srgbClr val="B3B3B3"/>
          </a:solidFill>
        </a:ln>
      </c:spPr>
    </c:plotArea>
    <c:legend>
      <c:legendPos val="b"/>
      <c:overlay val="0"/>
      <c:spPr>
        <a:noFill/>
        <a:ln w="0">
          <a:noFill/>
        </a:ln>
      </c:spPr>
      <c:txPr>
        <a:bodyPr/>
        <a:lstStyle/>
        <a:p>
          <a:pPr>
            <a:defRPr sz="900" b="0" strike="noStrike" spc="-1">
              <a:solidFill>
                <a:srgbClr val="000000"/>
              </a:solidFill>
              <a:latin typeface="Arial"/>
            </a:defRPr>
          </a:pPr>
          <a:endParaRPr lang="uk-UA"/>
        </a:p>
      </c:txPr>
    </c:legend>
    <c:plotVisOnly val="1"/>
    <c:dispBlanksAs val="gap"/>
    <c:showDLblsOverMax val="1"/>
  </c:chart>
  <c:spPr>
    <a:noFill/>
    <a:ln w="0">
      <a:noFill/>
    </a:ln>
  </c:spPr>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autoTitleDeleted val="1"/>
    <c:plotArea>
      <c:layout>
        <c:manualLayout>
          <c:layoutTarget val="inner"/>
          <c:xMode val="edge"/>
          <c:yMode val="edge"/>
          <c:x val="0.107"/>
          <c:y val="4.1555555555555602E-2"/>
          <c:w val="0.84775"/>
          <c:h val="0.77933333333333299"/>
        </c:manualLayout>
      </c:layout>
      <c:lineChart>
        <c:grouping val="standard"/>
        <c:varyColors val="0"/>
        <c:ser>
          <c:idx val="0"/>
          <c:order val="0"/>
          <c:tx>
            <c:strRef>
              <c:f>label 0</c:f>
              <c:strCache>
                <c:ptCount val="1"/>
                <c:pt idx="0">
                  <c:v>Кількість СПД, од.</c:v>
                </c:pt>
              </c:strCache>
            </c:strRef>
          </c:tx>
          <c:spPr>
            <a:ln w="28800">
              <a:solidFill>
                <a:srgbClr val="4F81BD"/>
              </a:solidFill>
              <a:round/>
            </a:ln>
          </c:spPr>
          <c:marker>
            <c:symbol val="square"/>
            <c:size val="8"/>
            <c:spPr>
              <a:solidFill>
                <a:srgbClr val="4F81BD"/>
              </a:solidFill>
            </c:spPr>
          </c:marker>
          <c:dPt>
            <c:idx val="0"/>
            <c:bubble3D val="0"/>
          </c:dPt>
          <c:dPt>
            <c:idx val="3"/>
            <c:bubble3D val="0"/>
          </c:dPt>
          <c:dLbls>
            <c:dLbl>
              <c:idx val="0"/>
              <c:layout>
                <c:manualLayout>
                  <c:x val="4.22425952045134E-2"/>
                  <c:y val="3.8506792170285302E-3"/>
                </c:manualLayout>
              </c:layout>
              <c:dLblPos val="t"/>
              <c:showLegendKey val="0"/>
              <c:showVal val="1"/>
              <c:showCatName val="0"/>
              <c:showSerName val="0"/>
              <c:showPercent val="0"/>
              <c:showBubbleSize val="1"/>
              <c:separator>; </c:separator>
            </c:dLbl>
            <c:dLbl>
              <c:idx val="3"/>
              <c:layout>
                <c:manualLayout>
                  <c:x val="-1.24118476727785E-2"/>
                  <c:y val="-3.3800406460584E-2"/>
                </c:manualLayout>
              </c:layout>
              <c:dLblPos val="t"/>
              <c:showLegendKey val="0"/>
              <c:showVal val="1"/>
              <c:showCatName val="0"/>
              <c:showSerName val="0"/>
              <c:showPercent val="0"/>
              <c:showBubbleSize val="1"/>
              <c:separator>; </c:separator>
            </c:dLbl>
            <c:numFmt formatCode="General" sourceLinked="0"/>
            <c:txPr>
              <a:bodyPr wrap="square"/>
              <a:lstStyle/>
              <a:p>
                <a:pPr>
                  <a:defRPr sz="1000" b="1" strike="noStrike" spc="-1">
                    <a:solidFill>
                      <a:srgbClr val="0000FF"/>
                    </a:solidFill>
                    <a:latin typeface="Calibri"/>
                  </a:defRPr>
                </a:pPr>
                <a:endParaRPr lang="uk-UA"/>
              </a:p>
            </c:txPr>
            <c:dLblPos val="t"/>
            <c:showLegendKey val="0"/>
            <c:showVal val="1"/>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7"/>
                <c:pt idx="0">
                  <c:v>2016</c:v>
                </c:pt>
                <c:pt idx="1">
                  <c:v>2017</c:v>
                </c:pt>
                <c:pt idx="2">
                  <c:v>2018</c:v>
                </c:pt>
                <c:pt idx="3">
                  <c:v>2019</c:v>
                </c:pt>
                <c:pt idx="4">
                  <c:v>2020</c:v>
                </c:pt>
                <c:pt idx="5">
                  <c:v>2021</c:v>
                </c:pt>
                <c:pt idx="6">
                  <c:v>2022</c:v>
                </c:pt>
              </c:strCache>
            </c:strRef>
          </c:cat>
          <c:val>
            <c:numRef>
              <c:f>0</c:f>
              <c:numCache>
                <c:formatCode>General</c:formatCode>
                <c:ptCount val="7"/>
                <c:pt idx="0">
                  <c:v>15657</c:v>
                </c:pt>
                <c:pt idx="1">
                  <c:v>14469</c:v>
                </c:pt>
                <c:pt idx="2">
                  <c:v>12992</c:v>
                </c:pt>
                <c:pt idx="3">
                  <c:v>14050</c:v>
                </c:pt>
                <c:pt idx="4">
                  <c:v>25158</c:v>
                </c:pt>
                <c:pt idx="5">
                  <c:v>27444</c:v>
                </c:pt>
                <c:pt idx="6">
                  <c:v>28502</c:v>
                </c:pt>
              </c:numCache>
            </c:numRef>
          </c:val>
          <c:smooth val="0"/>
        </c:ser>
        <c:ser>
          <c:idx val="1"/>
          <c:order val="1"/>
          <c:tx>
            <c:strRef>
              <c:f>label 1</c:f>
              <c:strCache>
                <c:ptCount val="1"/>
                <c:pt idx="0">
                  <c:v>Кількість ЮО, од.</c:v>
                </c:pt>
              </c:strCache>
            </c:strRef>
          </c:tx>
          <c:spPr>
            <a:ln w="28800">
              <a:solidFill>
                <a:srgbClr val="FF420E"/>
              </a:solidFill>
              <a:round/>
            </a:ln>
          </c:spPr>
          <c:marker>
            <c:symbol val="diamond"/>
            <c:size val="8"/>
            <c:spPr>
              <a:solidFill>
                <a:srgbClr val="FF420E"/>
              </a:solidFill>
            </c:spPr>
          </c:marker>
          <c:dPt>
            <c:idx val="0"/>
            <c:bubble3D val="0"/>
          </c:dPt>
          <c:dPt>
            <c:idx val="1"/>
            <c:bubble3D val="0"/>
          </c:dPt>
          <c:dPt>
            <c:idx val="2"/>
            <c:bubble3D val="0"/>
          </c:dPt>
          <c:dPt>
            <c:idx val="4"/>
            <c:bubble3D val="0"/>
          </c:dPt>
          <c:dPt>
            <c:idx val="5"/>
            <c:bubble3D val="0"/>
          </c:dPt>
          <c:dPt>
            <c:idx val="6"/>
            <c:bubble3D val="0"/>
          </c:dPt>
          <c:dLbls>
            <c:dLbl>
              <c:idx val="0"/>
              <c:layout>
                <c:manualLayout>
                  <c:x val="9.8730606488011304E-3"/>
                  <c:y val="-6.0113381110279203E-2"/>
                </c:manualLayout>
              </c:layout>
              <c:dLblPos val="r"/>
              <c:showLegendKey val="0"/>
              <c:showVal val="1"/>
              <c:showCatName val="0"/>
              <c:showSerName val="0"/>
              <c:showPercent val="0"/>
              <c:showBubbleSize val="1"/>
              <c:separator> </c:separator>
            </c:dLbl>
            <c:dLbl>
              <c:idx val="1"/>
              <c:layout>
                <c:manualLayout>
                  <c:x val="-1.4950634696755999E-2"/>
                  <c:y val="3.7544122366028401E-2"/>
                </c:manualLayout>
              </c:layout>
              <c:dLblPos val="r"/>
              <c:showLegendKey val="0"/>
              <c:showVal val="1"/>
              <c:showCatName val="0"/>
              <c:showSerName val="0"/>
              <c:showPercent val="0"/>
              <c:showBubbleSize val="1"/>
              <c:separator> </c:separator>
            </c:dLbl>
            <c:dLbl>
              <c:idx val="2"/>
              <c:layout>
                <c:manualLayout>
                  <c:x val="2.46826516220028E-3"/>
                  <c:y val="4.8882233393945901E-2"/>
                </c:manualLayout>
              </c:layout>
              <c:dLblPos val="r"/>
              <c:showLegendKey val="0"/>
              <c:showVal val="1"/>
              <c:showCatName val="0"/>
              <c:showSerName val="0"/>
              <c:showPercent val="0"/>
              <c:showBubbleSize val="1"/>
              <c:separator> </c:separator>
            </c:dLbl>
            <c:dLbl>
              <c:idx val="4"/>
              <c:layout>
                <c:manualLayout>
                  <c:x val="-2.9760225669957702E-2"/>
                  <c:y val="7.1344528826612505E-2"/>
                </c:manualLayout>
              </c:layout>
              <c:dLblPos val="r"/>
              <c:showLegendKey val="0"/>
              <c:showVal val="1"/>
              <c:showCatName val="0"/>
              <c:showSerName val="0"/>
              <c:showPercent val="0"/>
              <c:showBubbleSize val="1"/>
              <c:separator> </c:separator>
            </c:dLbl>
            <c:dLbl>
              <c:idx val="5"/>
              <c:layout>
                <c:manualLayout>
                  <c:x val="-3.7235543018335801E-2"/>
                  <c:y val="5.2625949299390302E-2"/>
                </c:manualLayout>
              </c:layout>
              <c:dLblPos val="r"/>
              <c:showLegendKey val="0"/>
              <c:showVal val="1"/>
              <c:showCatName val="0"/>
              <c:showSerName val="0"/>
              <c:showPercent val="0"/>
              <c:showBubbleSize val="1"/>
              <c:separator> </c:separator>
            </c:dLbl>
            <c:dLbl>
              <c:idx val="6"/>
              <c:layout>
                <c:manualLayout>
                  <c:x val="-8.5074133945177398E-3"/>
                  <c:y val="7.0684949428050495E-2"/>
                </c:manualLayout>
              </c:layout>
              <c:dLblPos val="r"/>
              <c:showLegendKey val="0"/>
              <c:showVal val="1"/>
              <c:showCatName val="0"/>
              <c:showSerName val="0"/>
              <c:showPercent val="0"/>
              <c:showBubbleSize val="1"/>
              <c:separator> </c:separator>
            </c:dLbl>
            <c:numFmt formatCode="General" sourceLinked="0"/>
            <c:txPr>
              <a:bodyPr wrap="none"/>
              <a:lstStyle/>
              <a:p>
                <a:pPr>
                  <a:defRPr sz="1000" b="0" strike="noStrike" spc="-1">
                    <a:solidFill>
                      <a:srgbClr val="000000"/>
                    </a:solidFill>
                    <a:latin typeface="Calibri"/>
                  </a:defRPr>
                </a:pPr>
                <a:endParaRPr lang="uk-UA"/>
              </a:p>
            </c:txPr>
            <c:dLblPos val="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7"/>
                <c:pt idx="0">
                  <c:v>2016</c:v>
                </c:pt>
                <c:pt idx="1">
                  <c:v>2017</c:v>
                </c:pt>
                <c:pt idx="2">
                  <c:v>2018</c:v>
                </c:pt>
                <c:pt idx="3">
                  <c:v>2019</c:v>
                </c:pt>
                <c:pt idx="4">
                  <c:v>2020</c:v>
                </c:pt>
                <c:pt idx="5">
                  <c:v>2021</c:v>
                </c:pt>
                <c:pt idx="6">
                  <c:v>2022</c:v>
                </c:pt>
              </c:strCache>
            </c:strRef>
          </c:cat>
          <c:val>
            <c:numRef>
              <c:f>1</c:f>
              <c:numCache>
                <c:formatCode>General</c:formatCode>
                <c:ptCount val="7"/>
                <c:pt idx="0">
                  <c:v>2470</c:v>
                </c:pt>
                <c:pt idx="1">
                  <c:v>2745</c:v>
                </c:pt>
                <c:pt idx="2">
                  <c:v>2849</c:v>
                </c:pt>
                <c:pt idx="3">
                  <c:v>3094</c:v>
                </c:pt>
                <c:pt idx="4">
                  <c:v>12336</c:v>
                </c:pt>
                <c:pt idx="5">
                  <c:v>12919</c:v>
                </c:pt>
                <c:pt idx="6">
                  <c:v>13431</c:v>
                </c:pt>
              </c:numCache>
            </c:numRef>
          </c:val>
          <c:smooth val="0"/>
        </c:ser>
        <c:ser>
          <c:idx val="2"/>
          <c:order val="2"/>
          <c:tx>
            <c:strRef>
              <c:f>label 2</c:f>
              <c:strCache>
                <c:ptCount val="1"/>
                <c:pt idx="0">
                  <c:v>Кількість ФОП, од.</c:v>
                </c:pt>
              </c:strCache>
            </c:strRef>
          </c:tx>
          <c:spPr>
            <a:ln w="28800">
              <a:solidFill>
                <a:srgbClr val="FFD320"/>
              </a:solidFill>
              <a:round/>
            </a:ln>
          </c:spPr>
          <c:marker>
            <c:symbol val="triangle"/>
            <c:size val="8"/>
            <c:spPr>
              <a:solidFill>
                <a:srgbClr val="FFD320"/>
              </a:solidFill>
            </c:spPr>
          </c:marker>
          <c:dPt>
            <c:idx val="0"/>
            <c:bubble3D val="0"/>
          </c:dPt>
          <c:dPt>
            <c:idx val="1"/>
            <c:bubble3D val="0"/>
          </c:dPt>
          <c:dPt>
            <c:idx val="2"/>
            <c:bubble3D val="0"/>
          </c:dPt>
          <c:dPt>
            <c:idx val="3"/>
            <c:bubble3D val="0"/>
          </c:dPt>
          <c:dLbls>
            <c:dLbl>
              <c:idx val="0"/>
              <c:layout>
                <c:manualLayout>
                  <c:x val="4.9757608402908701E-2"/>
                  <c:y val="0.106353269723063"/>
                </c:manualLayout>
              </c:layout>
              <c:dLblPos val="t"/>
              <c:showLegendKey val="0"/>
              <c:showVal val="1"/>
              <c:showCatName val="0"/>
              <c:showSerName val="0"/>
              <c:showPercent val="0"/>
              <c:showBubbleSize val="1"/>
              <c:separator> </c:separator>
            </c:dLbl>
            <c:dLbl>
              <c:idx val="1"/>
              <c:layout>
                <c:manualLayout>
                  <c:x val="0"/>
                  <c:y val="0.11414940656271801"/>
                </c:manualLayout>
              </c:layout>
              <c:dLblPos val="t"/>
              <c:showLegendKey val="0"/>
              <c:showVal val="1"/>
              <c:showCatName val="0"/>
              <c:showSerName val="0"/>
              <c:showPercent val="0"/>
              <c:showBubbleSize val="1"/>
              <c:separator> </c:separator>
            </c:dLbl>
            <c:dLbl>
              <c:idx val="2"/>
              <c:layout>
                <c:manualLayout>
                  <c:x val="0"/>
                  <c:y val="0.114731207819409"/>
                </c:manualLayout>
              </c:layout>
              <c:dLblPos val="t"/>
              <c:showLegendKey val="0"/>
              <c:showVal val="1"/>
              <c:showCatName val="0"/>
              <c:showSerName val="0"/>
              <c:showPercent val="0"/>
              <c:showBubbleSize val="1"/>
              <c:separator> </c:separator>
            </c:dLbl>
            <c:dLbl>
              <c:idx val="3"/>
              <c:layout>
                <c:manualLayout>
                  <c:x val="0"/>
                  <c:y val="9.4020750882447296E-2"/>
                </c:manualLayout>
              </c:layout>
              <c:dLblPos val="t"/>
              <c:showLegendKey val="0"/>
              <c:showVal val="1"/>
              <c:showCatName val="0"/>
              <c:showSerName val="0"/>
              <c:showPercent val="0"/>
              <c:showBubbleSize val="1"/>
              <c:separator> </c:separator>
            </c:dLbl>
            <c:numFmt formatCode="General" sourceLinked="0"/>
            <c:txPr>
              <a:bodyPr wrap="none"/>
              <a:lstStyle/>
              <a:p>
                <a:pPr>
                  <a:defRPr sz="1000" b="0" strike="noStrike" spc="-1">
                    <a:solidFill>
                      <a:srgbClr val="FE7F00"/>
                    </a:solidFill>
                    <a:latin typeface="Calibri"/>
                  </a:defRPr>
                </a:pPr>
                <a:endParaRPr lang="uk-UA"/>
              </a:p>
            </c:txPr>
            <c:dLblPos val="t"/>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7"/>
                <c:pt idx="0">
                  <c:v>2016</c:v>
                </c:pt>
                <c:pt idx="1">
                  <c:v>2017</c:v>
                </c:pt>
                <c:pt idx="2">
                  <c:v>2018</c:v>
                </c:pt>
                <c:pt idx="3">
                  <c:v>2019</c:v>
                </c:pt>
                <c:pt idx="4">
                  <c:v>2020</c:v>
                </c:pt>
                <c:pt idx="5">
                  <c:v>2021</c:v>
                </c:pt>
                <c:pt idx="6">
                  <c:v>2022</c:v>
                </c:pt>
              </c:strCache>
            </c:strRef>
          </c:cat>
          <c:val>
            <c:numRef>
              <c:f>2</c:f>
              <c:numCache>
                <c:formatCode>General</c:formatCode>
                <c:ptCount val="7"/>
                <c:pt idx="0">
                  <c:v>13187</c:v>
                </c:pt>
                <c:pt idx="1">
                  <c:v>11724</c:v>
                </c:pt>
                <c:pt idx="2">
                  <c:v>10143</c:v>
                </c:pt>
                <c:pt idx="3">
                  <c:v>10956</c:v>
                </c:pt>
                <c:pt idx="4">
                  <c:v>12822</c:v>
                </c:pt>
                <c:pt idx="5">
                  <c:v>14525</c:v>
                </c:pt>
                <c:pt idx="6">
                  <c:v>15071</c:v>
                </c:pt>
              </c:numCache>
            </c:numRef>
          </c:val>
          <c:smooth val="0"/>
        </c:ser>
        <c:dLbls>
          <c:showLegendKey val="0"/>
          <c:showVal val="0"/>
          <c:showCatName val="0"/>
          <c:showSerName val="0"/>
          <c:showPercent val="0"/>
          <c:showBubbleSize val="0"/>
        </c:dLbls>
        <c:hiLowLines>
          <c:spPr>
            <a:ln w="0">
              <a:noFill/>
            </a:ln>
          </c:spPr>
        </c:hiLowLines>
        <c:marker val="1"/>
        <c:smooth val="0"/>
        <c:axId val="211574784"/>
        <c:axId val="211576320"/>
      </c:lineChart>
      <c:catAx>
        <c:axId val="211574784"/>
        <c:scaling>
          <c:orientation val="minMax"/>
        </c:scaling>
        <c:delete val="0"/>
        <c:axPos val="b"/>
        <c:majorGridlines>
          <c:spPr>
            <a:ln w="0">
              <a:solidFill>
                <a:srgbClr val="B3B3B3"/>
              </a:solidFill>
            </a:ln>
          </c:spPr>
        </c:majorGridlines>
        <c:numFmt formatCode="General" sourceLinked="0"/>
        <c:majorTickMark val="out"/>
        <c:minorTickMark val="none"/>
        <c:tickLblPos val="nextTo"/>
        <c:spPr>
          <a:ln w="9360">
            <a:solidFill>
              <a:srgbClr val="878787"/>
            </a:solidFill>
            <a:round/>
          </a:ln>
        </c:spPr>
        <c:txPr>
          <a:bodyPr/>
          <a:lstStyle/>
          <a:p>
            <a:pPr>
              <a:defRPr sz="1000" b="0" strike="noStrike" spc="-1">
                <a:solidFill>
                  <a:srgbClr val="000000"/>
                </a:solidFill>
                <a:latin typeface="Calibri"/>
              </a:defRPr>
            </a:pPr>
            <a:endParaRPr lang="uk-UA"/>
          </a:p>
        </c:txPr>
        <c:crossAx val="211576320"/>
        <c:crosses val="autoZero"/>
        <c:auto val="1"/>
        <c:lblAlgn val="ctr"/>
        <c:lblOffset val="100"/>
        <c:noMultiLvlLbl val="0"/>
      </c:catAx>
      <c:valAx>
        <c:axId val="211576320"/>
        <c:scaling>
          <c:orientation val="minMax"/>
        </c:scaling>
        <c:delete val="0"/>
        <c:axPos val="l"/>
        <c:majorGridlines>
          <c:spPr>
            <a:ln w="9360">
              <a:solidFill>
                <a:srgbClr val="878787"/>
              </a:solidFill>
              <a:round/>
            </a:ln>
          </c:spPr>
        </c:majorGridlines>
        <c:numFmt formatCode="General" sourceLinked="0"/>
        <c:majorTickMark val="out"/>
        <c:minorTickMark val="none"/>
        <c:tickLblPos val="nextTo"/>
        <c:spPr>
          <a:ln w="9360">
            <a:solidFill>
              <a:srgbClr val="878787"/>
            </a:solidFill>
            <a:round/>
          </a:ln>
        </c:spPr>
        <c:txPr>
          <a:bodyPr/>
          <a:lstStyle/>
          <a:p>
            <a:pPr>
              <a:defRPr sz="1000" b="0" strike="noStrike" spc="-1">
                <a:solidFill>
                  <a:srgbClr val="000000"/>
                </a:solidFill>
                <a:latin typeface="Calibri"/>
              </a:defRPr>
            </a:pPr>
            <a:endParaRPr lang="uk-UA"/>
          </a:p>
        </c:txPr>
        <c:crossAx val="211574784"/>
        <c:crossesAt val="1"/>
        <c:crossBetween val="midCat"/>
      </c:valAx>
      <c:spPr>
        <a:noFill/>
        <a:ln w="0">
          <a:noFill/>
        </a:ln>
      </c:spPr>
    </c:plotArea>
    <c:legend>
      <c:legendPos val="b"/>
      <c:layout>
        <c:manualLayout>
          <c:xMode val="edge"/>
          <c:yMode val="edge"/>
          <c:x val="0.05"/>
          <c:y val="0.91466666666666696"/>
          <c:w val="0.89999374960935097"/>
          <c:h val="7.9786642960328905E-2"/>
        </c:manualLayout>
      </c:layout>
      <c:overlay val="0"/>
      <c:spPr>
        <a:noFill/>
        <a:ln w="0">
          <a:noFill/>
        </a:ln>
      </c:spPr>
      <c:txPr>
        <a:bodyPr/>
        <a:lstStyle/>
        <a:p>
          <a:pPr>
            <a:defRPr sz="800" b="0" strike="noStrike" spc="-1">
              <a:solidFill>
                <a:srgbClr val="000000"/>
              </a:solidFill>
              <a:latin typeface="Calibri"/>
            </a:defRPr>
          </a:pPr>
          <a:endParaRPr lang="uk-UA"/>
        </a:p>
      </c:txPr>
    </c:legend>
    <c:plotVisOnly val="1"/>
    <c:dispBlanksAs val="gap"/>
    <c:showDLblsOverMax val="1"/>
  </c:chart>
  <c:spPr>
    <a:solidFill>
      <a:srgbClr val="FFFFFF"/>
    </a:solidFill>
    <a:ln w="9360">
      <a:solidFill>
        <a:srgbClr val="D9D9D9"/>
      </a:solidFill>
      <a:round/>
    </a:ln>
  </c:spPr>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autoTitleDeleted val="1"/>
    <c:plotArea>
      <c:layout>
        <c:manualLayout>
          <c:layoutTarget val="inner"/>
          <c:xMode val="edge"/>
          <c:yMode val="edge"/>
          <c:x val="0.105"/>
          <c:y val="0.29744444444444401"/>
          <c:w val="0.27918749999999998"/>
          <c:h val="0.47677777777777802"/>
        </c:manualLayout>
      </c:layout>
      <c:pieChart>
        <c:varyColors val="1"/>
        <c:ser>
          <c:idx val="0"/>
          <c:order val="0"/>
          <c:tx>
            <c:strRef>
              <c:f>label 0</c:f>
              <c:strCache>
                <c:ptCount val="1"/>
                <c:pt idx="0">
                  <c:v>Стовпець 1</c:v>
                </c:pt>
              </c:strCache>
            </c:strRef>
          </c:tx>
          <c:spPr>
            <a:solidFill>
              <a:srgbClr val="004586"/>
            </a:solidFill>
            <a:ln w="0">
              <a:noFill/>
            </a:ln>
          </c:spPr>
          <c:dPt>
            <c:idx val="0"/>
            <c:bubble3D val="0"/>
            <c:spPr>
              <a:solidFill>
                <a:srgbClr val="4F81BD"/>
              </a:solidFill>
              <a:ln w="0">
                <a:noFill/>
              </a:ln>
            </c:spPr>
          </c:dPt>
          <c:dPt>
            <c:idx val="1"/>
            <c:bubble3D val="0"/>
            <c:spPr>
              <a:solidFill>
                <a:srgbClr val="FF420E"/>
              </a:solidFill>
              <a:ln w="0">
                <a:noFill/>
              </a:ln>
            </c:spPr>
          </c:dPt>
          <c:dPt>
            <c:idx val="2"/>
            <c:bubble3D val="0"/>
            <c:spPr>
              <a:solidFill>
                <a:srgbClr val="FFD320"/>
              </a:solidFill>
              <a:ln w="0">
                <a:noFill/>
              </a:ln>
            </c:spPr>
          </c:dPt>
          <c:dLbls>
            <c:numFmt formatCode="General" sourceLinked="0"/>
            <c:txPr>
              <a:bodyPr wrap="none"/>
              <a:lstStyle/>
              <a:p>
                <a:pPr>
                  <a:defRPr sz="1000" b="0" strike="noStrike" spc="-1">
                    <a:solidFill>
                      <a:srgbClr val="000000"/>
                    </a:solidFill>
                    <a:latin typeface="Arial"/>
                  </a:defRPr>
                </a:pPr>
                <a:endParaRPr lang="uk-UA"/>
              </a:p>
            </c:txPr>
            <c:dLblPos val="bestFit"/>
            <c:showLegendKey val="0"/>
            <c:showVal val="1"/>
            <c:showCatName val="0"/>
            <c:showSerName val="0"/>
            <c:showPercent val="0"/>
            <c:showBubbleSize val="1"/>
            <c:separator> </c:separator>
            <c:showLeaderLines val="1"/>
          </c:dLbls>
          <c:cat>
            <c:strRef>
              <c:f>categories</c:f>
              <c:strCache>
                <c:ptCount val="3"/>
                <c:pt idx="0">
                  <c:v>Теплова енергія, МВт.год</c:v>
                </c:pt>
                <c:pt idx="1">
                  <c:v>Електроенергія, МВт.год</c:v>
                </c:pt>
                <c:pt idx="2">
                  <c:v>Природний газ, МВт.год</c:v>
                </c:pt>
              </c:strCache>
            </c:strRef>
          </c:cat>
          <c:val>
            <c:numRef>
              <c:f>0</c:f>
              <c:numCache>
                <c:formatCode>General</c:formatCode>
                <c:ptCount val="3"/>
                <c:pt idx="0">
                  <c:v>55557</c:v>
                </c:pt>
                <c:pt idx="1">
                  <c:v>248067</c:v>
                </c:pt>
                <c:pt idx="2">
                  <c:v>798459</c:v>
                </c:pt>
              </c:numCache>
            </c:numRef>
          </c:val>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52681250000000002"/>
          <c:y val="0.27988888888888902"/>
          <c:w val="0.45240327520469997"/>
          <c:h val="0.533503722635848"/>
        </c:manualLayout>
      </c:layout>
      <c:overlay val="0"/>
      <c:spPr>
        <a:noFill/>
        <a:ln w="0">
          <a:noFill/>
        </a:ln>
      </c:spPr>
      <c:txPr>
        <a:bodyPr/>
        <a:lstStyle/>
        <a:p>
          <a:pPr>
            <a:defRPr sz="1000" b="0" strike="noStrike" spc="-1">
              <a:solidFill>
                <a:srgbClr val="000000"/>
              </a:solidFill>
              <a:latin typeface="Arial"/>
            </a:defRPr>
          </a:pPr>
          <a:endParaRPr lang="uk-UA"/>
        </a:p>
      </c:txPr>
    </c:legend>
    <c:plotVisOnly val="1"/>
    <c:dispBlanksAs val="zero"/>
    <c:showDLblsOverMax val="1"/>
  </c:chart>
  <c:spPr>
    <a:noFill/>
    <a:ln w="0">
      <a:noFill/>
    </a:ln>
  </c:spPr>
  <c:userShapes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autoTitleDeleted val="1"/>
    <c:plotArea>
      <c:layout>
        <c:manualLayout>
          <c:layoutTarget val="inner"/>
          <c:xMode val="edge"/>
          <c:yMode val="edge"/>
          <c:x val="0.1903125"/>
          <c:y val="0.29955555555555602"/>
          <c:w val="0.25062499999999999"/>
          <c:h val="0.43777777777777799"/>
        </c:manualLayout>
      </c:layout>
      <c:pieChart>
        <c:varyColors val="1"/>
        <c:ser>
          <c:idx val="0"/>
          <c:order val="0"/>
          <c:tx>
            <c:strRef>
              <c:f>label 0</c:f>
              <c:strCache>
                <c:ptCount val="1"/>
                <c:pt idx="0">
                  <c:v>Стовпець 1</c:v>
                </c:pt>
              </c:strCache>
            </c:strRef>
          </c:tx>
          <c:spPr>
            <a:solidFill>
              <a:srgbClr val="004586"/>
            </a:solidFill>
            <a:ln w="0">
              <a:noFill/>
            </a:ln>
          </c:spPr>
          <c:dPt>
            <c:idx val="0"/>
            <c:bubble3D val="0"/>
            <c:spPr>
              <a:solidFill>
                <a:srgbClr val="4F81BD"/>
              </a:solidFill>
              <a:ln w="0">
                <a:noFill/>
              </a:ln>
            </c:spPr>
          </c:dPt>
          <c:dPt>
            <c:idx val="1"/>
            <c:bubble3D val="0"/>
            <c:spPr>
              <a:solidFill>
                <a:srgbClr val="FF420E"/>
              </a:solidFill>
              <a:ln w="0">
                <a:noFill/>
              </a:ln>
            </c:spPr>
          </c:dPt>
          <c:dPt>
            <c:idx val="2"/>
            <c:bubble3D val="0"/>
            <c:spPr>
              <a:solidFill>
                <a:srgbClr val="FFD320"/>
              </a:solidFill>
              <a:ln w="0">
                <a:noFill/>
              </a:ln>
            </c:spPr>
          </c:dPt>
          <c:dLbls>
            <c:numFmt formatCode="General" sourceLinked="0"/>
            <c:txPr>
              <a:bodyPr wrap="none"/>
              <a:lstStyle/>
              <a:p>
                <a:pPr>
                  <a:defRPr sz="1000" b="0" strike="noStrike" spc="-1">
                    <a:solidFill>
                      <a:srgbClr val="000000"/>
                    </a:solidFill>
                    <a:latin typeface="Arial"/>
                  </a:defRPr>
                </a:pPr>
                <a:endParaRPr lang="uk-UA"/>
              </a:p>
            </c:txPr>
            <c:dLblPos val="bestFit"/>
            <c:showLegendKey val="0"/>
            <c:showVal val="1"/>
            <c:showCatName val="0"/>
            <c:showSerName val="0"/>
            <c:showPercent val="0"/>
            <c:showBubbleSize val="1"/>
            <c:separator> </c:separator>
            <c:showLeaderLines val="1"/>
          </c:dLbls>
          <c:cat>
            <c:strRef>
              <c:f>categories</c:f>
              <c:strCache>
                <c:ptCount val="3"/>
                <c:pt idx="0">
                  <c:v>Теплова енергія, МВт.год</c:v>
                </c:pt>
                <c:pt idx="1">
                  <c:v>Електроенергія, МВт.год</c:v>
                </c:pt>
                <c:pt idx="2">
                  <c:v>Природний газ, МВт.год</c:v>
                </c:pt>
              </c:strCache>
            </c:strRef>
          </c:cat>
          <c:val>
            <c:numRef>
              <c:f>0</c:f>
              <c:numCache>
                <c:formatCode>General</c:formatCode>
                <c:ptCount val="3"/>
                <c:pt idx="0">
                  <c:v>9455</c:v>
                </c:pt>
                <c:pt idx="1">
                  <c:v>306496</c:v>
                </c:pt>
                <c:pt idx="2">
                  <c:v>149340</c:v>
                </c:pt>
              </c:numCache>
            </c:numRef>
          </c:val>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57999999999999996"/>
          <c:y val="0.24788888888888899"/>
          <c:w val="0.41483842740171301"/>
          <c:h val="0.57239693299255501"/>
        </c:manualLayout>
      </c:layout>
      <c:overlay val="0"/>
      <c:spPr>
        <a:noFill/>
        <a:ln w="0">
          <a:noFill/>
        </a:ln>
      </c:spPr>
      <c:txPr>
        <a:bodyPr/>
        <a:lstStyle/>
        <a:p>
          <a:pPr>
            <a:defRPr sz="1000" b="0" strike="noStrike" spc="-1">
              <a:solidFill>
                <a:srgbClr val="000000"/>
              </a:solidFill>
              <a:latin typeface="Arial"/>
            </a:defRPr>
          </a:pPr>
          <a:endParaRPr lang="uk-UA"/>
        </a:p>
      </c:txPr>
    </c:legend>
    <c:plotVisOnly val="1"/>
    <c:dispBlanksAs val="zero"/>
    <c:showDLblsOverMax val="1"/>
  </c:chart>
  <c:spPr>
    <a:noFill/>
    <a:ln w="0">
      <a:noFill/>
    </a:ln>
  </c:spPr>
  <c:userShapes r:id="rId1"/>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autoTitleDeleted val="1"/>
    <c:plotArea>
      <c:layout>
        <c:manualLayout>
          <c:layoutTarget val="inner"/>
          <c:xMode val="edge"/>
          <c:yMode val="edge"/>
          <c:x val="0.1060625"/>
          <c:y val="0.21677777777777801"/>
          <c:w val="0.44524999999999998"/>
          <c:h val="0.62988888888888905"/>
        </c:manualLayout>
      </c:layout>
      <c:pieChart>
        <c:varyColors val="1"/>
        <c:ser>
          <c:idx val="0"/>
          <c:order val="0"/>
          <c:tx>
            <c:strRef>
              <c:f>label 0</c:f>
              <c:strCache>
                <c:ptCount val="1"/>
                <c:pt idx="0">
                  <c:v>Серія1</c:v>
                </c:pt>
              </c:strCache>
            </c:strRef>
          </c:tx>
          <c:spPr>
            <a:solidFill>
              <a:srgbClr val="579D1C"/>
            </a:solidFill>
            <a:ln w="0">
              <a:noFill/>
            </a:ln>
          </c:spPr>
          <c:dPt>
            <c:idx val="0"/>
            <c:bubble3D val="0"/>
            <c:spPr>
              <a:solidFill>
                <a:srgbClr val="004586"/>
              </a:solidFill>
              <a:ln w="0">
                <a:noFill/>
              </a:ln>
            </c:spPr>
          </c:dPt>
          <c:dPt>
            <c:idx val="1"/>
            <c:bubble3D val="0"/>
            <c:spPr>
              <a:solidFill>
                <a:srgbClr val="FF420E"/>
              </a:solidFill>
              <a:ln w="0">
                <a:noFill/>
              </a:ln>
            </c:spPr>
          </c:dPt>
          <c:dPt>
            <c:idx val="2"/>
            <c:bubble3D val="0"/>
            <c:spPr>
              <a:solidFill>
                <a:srgbClr val="FFD320"/>
              </a:solidFill>
              <a:ln w="0">
                <a:noFill/>
              </a:ln>
            </c:spPr>
          </c:dPt>
          <c:dPt>
            <c:idx val="3"/>
            <c:bubble3D val="0"/>
            <c:spPr>
              <a:solidFill>
                <a:srgbClr val="8064A2"/>
              </a:solidFill>
              <a:ln w="0">
                <a:noFill/>
              </a:ln>
            </c:spPr>
          </c:dPt>
          <c:dLbls>
            <c:txPr>
              <a:bodyPr wrap="none"/>
              <a:lstStyle/>
              <a:p>
                <a:pPr>
                  <a:defRPr sz="1100" b="0" strike="noStrike" spc="-1">
                    <a:solidFill>
                      <a:srgbClr val="000000"/>
                    </a:solidFill>
                    <a:latin typeface="Arial"/>
                  </a:defRPr>
                </a:pPr>
                <a:endParaRPr lang="uk-UA"/>
              </a:p>
            </c:txPr>
            <c:dLblPos val="outEnd"/>
            <c:showLegendKey val="0"/>
            <c:showVal val="0"/>
            <c:showCatName val="0"/>
            <c:showSerName val="0"/>
            <c:showPercent val="1"/>
            <c:showBubbleSize val="1"/>
            <c:separator> </c:separator>
            <c:showLeaderLines val="1"/>
          </c:dLbls>
          <c:cat>
            <c:strRef>
              <c:f>categories</c:f>
              <c:strCache>
                <c:ptCount val="4"/>
                <c:pt idx="0">
                  <c:v>Бензин, МВт.год</c:v>
                </c:pt>
                <c:pt idx="1">
                  <c:v>Дизель, МВт.год</c:v>
                </c:pt>
                <c:pt idx="2">
                  <c:v>Скраплений газ, МВт.год</c:v>
                </c:pt>
                <c:pt idx="3">
                  <c:v>Стиснений газ, МВт.год</c:v>
                </c:pt>
              </c:strCache>
            </c:strRef>
          </c:cat>
          <c:val>
            <c:numRef>
              <c:f>0</c:f>
              <c:numCache>
                <c:formatCode>General</c:formatCode>
                <c:ptCount val="4"/>
                <c:pt idx="0">
                  <c:v>3439.8</c:v>
                </c:pt>
                <c:pt idx="1">
                  <c:v>7165.2</c:v>
                </c:pt>
                <c:pt idx="2">
                  <c:v>555.79999999999995</c:v>
                </c:pt>
                <c:pt idx="3">
                  <c:v>266.5</c:v>
                </c:pt>
              </c:numCache>
            </c:numRef>
          </c:val>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54100000000000004"/>
          <c:y val="0.27777777777777801"/>
          <c:w val="0.317707356709794"/>
          <c:h val="0.62562506945216101"/>
        </c:manualLayout>
      </c:layout>
      <c:overlay val="0"/>
      <c:spPr>
        <a:noFill/>
        <a:ln w="0">
          <a:noFill/>
        </a:ln>
      </c:spPr>
      <c:txPr>
        <a:bodyPr/>
        <a:lstStyle/>
        <a:p>
          <a:pPr>
            <a:defRPr sz="1000" b="0" strike="noStrike" spc="-1">
              <a:solidFill>
                <a:srgbClr val="000000"/>
              </a:solidFill>
              <a:latin typeface="Arial"/>
            </a:defRPr>
          </a:pPr>
          <a:endParaRPr lang="uk-UA"/>
        </a:p>
      </c:txPr>
    </c:legend>
    <c:plotVisOnly val="1"/>
    <c:dispBlanksAs val="zero"/>
    <c:showDLblsOverMax val="1"/>
  </c:chart>
  <c:spPr>
    <a:noFill/>
    <a:ln w="0">
      <a:noFill/>
    </a:ln>
  </c:spPr>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autoTitleDeleted val="1"/>
    <c:plotArea>
      <c:layout/>
      <c:barChart>
        <c:barDir val="col"/>
        <c:grouping val="clustered"/>
        <c:varyColors val="0"/>
        <c:ser>
          <c:idx val="0"/>
          <c:order val="0"/>
          <c:tx>
            <c:strRef>
              <c:f>label 0</c:f>
              <c:strCache>
                <c:ptCount val="1"/>
                <c:pt idx="0">
                  <c:v>Електроенергія</c:v>
                </c:pt>
              </c:strCache>
            </c:strRef>
          </c:tx>
          <c:spPr>
            <a:solidFill>
              <a:srgbClr val="004586"/>
            </a:solidFill>
            <a:ln w="0">
              <a:noFill/>
            </a:ln>
          </c:spPr>
          <c:invertIfNegative val="0"/>
          <c:dLbls>
            <c:txPr>
              <a:bodyPr wrap="none"/>
              <a:lstStyle/>
              <a:p>
                <a:pPr>
                  <a:defRPr sz="1000" b="0" strike="noStrike" spc="-1">
                    <a:solidFill>
                      <a:srgbClr val="000000"/>
                    </a:solidFill>
                    <a:latin typeface="Arial"/>
                  </a:defRPr>
                </a:pPr>
                <a:endParaRPr lang="uk-UA"/>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2007</c:v>
                </c:pt>
                <c:pt idx="1">
                  <c:v>2020</c:v>
                </c:pt>
                <c:pt idx="2">
                  <c:v>2022</c:v>
                </c:pt>
              </c:strCache>
            </c:strRef>
          </c:cat>
          <c:val>
            <c:numRef>
              <c:f>0</c:f>
              <c:numCache>
                <c:formatCode>General</c:formatCode>
                <c:ptCount val="3"/>
                <c:pt idx="0">
                  <c:v>8944.8779999999897</c:v>
                </c:pt>
                <c:pt idx="1">
                  <c:v>5272.8090000000002</c:v>
                </c:pt>
                <c:pt idx="2">
                  <c:v>4680.1130000000003</c:v>
                </c:pt>
              </c:numCache>
            </c:numRef>
          </c:val>
        </c:ser>
        <c:ser>
          <c:idx val="1"/>
          <c:order val="1"/>
          <c:tx>
            <c:strRef>
              <c:f>label 1</c:f>
              <c:strCache>
                <c:ptCount val="1"/>
                <c:pt idx="0">
                  <c:v>Дизельне пальне</c:v>
                </c:pt>
              </c:strCache>
            </c:strRef>
          </c:tx>
          <c:spPr>
            <a:solidFill>
              <a:srgbClr val="FF420E"/>
            </a:solidFill>
            <a:ln w="0">
              <a:noFill/>
            </a:ln>
          </c:spPr>
          <c:invertIfNegative val="0"/>
          <c:dLbls>
            <c:txPr>
              <a:bodyPr wrap="none"/>
              <a:lstStyle/>
              <a:p>
                <a:pPr>
                  <a:defRPr sz="1000" b="0" strike="noStrike" spc="-1">
                    <a:solidFill>
                      <a:srgbClr val="000000"/>
                    </a:solidFill>
                    <a:latin typeface="Arial"/>
                  </a:defRPr>
                </a:pPr>
                <a:endParaRPr lang="uk-UA"/>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2007</c:v>
                </c:pt>
                <c:pt idx="1">
                  <c:v>2020</c:v>
                </c:pt>
                <c:pt idx="2">
                  <c:v>2022</c:v>
                </c:pt>
              </c:strCache>
            </c:strRef>
          </c:cat>
          <c:val>
            <c:numRef>
              <c:f>1</c:f>
              <c:numCache>
                <c:formatCode>General</c:formatCode>
                <c:ptCount val="3"/>
                <c:pt idx="0">
                  <c:v>38476.300000000003</c:v>
                </c:pt>
                <c:pt idx="1">
                  <c:v>23596.799999999999</c:v>
                </c:pt>
                <c:pt idx="2">
                  <c:v>22351.4</c:v>
                </c:pt>
              </c:numCache>
            </c:numRef>
          </c:val>
        </c:ser>
        <c:dLbls>
          <c:showLegendKey val="0"/>
          <c:showVal val="0"/>
          <c:showCatName val="0"/>
          <c:showSerName val="0"/>
          <c:showPercent val="0"/>
          <c:showBubbleSize val="0"/>
        </c:dLbls>
        <c:gapWidth val="100"/>
        <c:axId val="211511936"/>
        <c:axId val="211517824"/>
      </c:barChart>
      <c:catAx>
        <c:axId val="211511936"/>
        <c:scaling>
          <c:orientation val="minMax"/>
        </c:scaling>
        <c:delete val="0"/>
        <c:axPos val="b"/>
        <c:numFmt formatCode="[$-422]dd/mm/yyyy" sourceLinked="0"/>
        <c:majorTickMark val="out"/>
        <c:minorTickMark val="none"/>
        <c:tickLblPos val="nextTo"/>
        <c:spPr>
          <a:ln w="0">
            <a:solidFill>
              <a:srgbClr val="B3B3B3"/>
            </a:solidFill>
          </a:ln>
        </c:spPr>
        <c:txPr>
          <a:bodyPr/>
          <a:lstStyle/>
          <a:p>
            <a:pPr>
              <a:defRPr sz="1000" b="0" strike="noStrike" spc="-1">
                <a:solidFill>
                  <a:srgbClr val="000000"/>
                </a:solidFill>
                <a:latin typeface="Arial"/>
              </a:defRPr>
            </a:pPr>
            <a:endParaRPr lang="uk-UA"/>
          </a:p>
        </c:txPr>
        <c:crossAx val="211517824"/>
        <c:crosses val="autoZero"/>
        <c:auto val="1"/>
        <c:lblAlgn val="ctr"/>
        <c:lblOffset val="100"/>
        <c:noMultiLvlLbl val="0"/>
      </c:catAx>
      <c:valAx>
        <c:axId val="211517824"/>
        <c:scaling>
          <c:orientation val="minMax"/>
        </c:scaling>
        <c:delete val="0"/>
        <c:axPos val="l"/>
        <c:majorGridlines>
          <c:spPr>
            <a:ln w="0">
              <a:solidFill>
                <a:srgbClr val="B3B3B3"/>
              </a:solidFill>
            </a:ln>
          </c:spPr>
        </c:majorGridlines>
        <c:numFmt formatCode="General" sourceLinked="0"/>
        <c:majorTickMark val="out"/>
        <c:minorTickMark val="none"/>
        <c:tickLblPos val="nextTo"/>
        <c:spPr>
          <a:ln w="0">
            <a:solidFill>
              <a:srgbClr val="B3B3B3"/>
            </a:solidFill>
          </a:ln>
        </c:spPr>
        <c:txPr>
          <a:bodyPr/>
          <a:lstStyle/>
          <a:p>
            <a:pPr>
              <a:defRPr sz="1000" b="0" strike="noStrike" spc="-1">
                <a:solidFill>
                  <a:srgbClr val="000000"/>
                </a:solidFill>
                <a:latin typeface="Arial"/>
              </a:defRPr>
            </a:pPr>
            <a:endParaRPr lang="uk-UA"/>
          </a:p>
        </c:txPr>
        <c:crossAx val="211511936"/>
        <c:crosses val="autoZero"/>
        <c:crossBetween val="between"/>
      </c:valAx>
      <c:spPr>
        <a:noFill/>
        <a:ln w="0">
          <a:solidFill>
            <a:srgbClr val="B3B3B3"/>
          </a:solidFill>
        </a:ln>
      </c:spPr>
    </c:plotArea>
    <c:legend>
      <c:legendPos val="b"/>
      <c:overlay val="0"/>
      <c:spPr>
        <a:noFill/>
        <a:ln w="0">
          <a:noFill/>
        </a:ln>
      </c:spPr>
      <c:txPr>
        <a:bodyPr/>
        <a:lstStyle/>
        <a:p>
          <a:pPr>
            <a:defRPr sz="1000" b="0" strike="noStrike" spc="-1">
              <a:solidFill>
                <a:srgbClr val="000000"/>
              </a:solidFill>
              <a:latin typeface="Arial"/>
            </a:defRPr>
          </a:pPr>
          <a:endParaRPr lang="uk-UA"/>
        </a:p>
      </c:txPr>
    </c:legend>
    <c:plotVisOnly val="1"/>
    <c:dispBlanksAs val="gap"/>
    <c:showDLblsOverMax val="1"/>
  </c:chart>
  <c:spPr>
    <a:noFill/>
    <a:ln w="0">
      <a:noFill/>
    </a:ln>
  </c:spPr>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autoTitleDeleted val="1"/>
    <c:plotArea>
      <c:layout/>
      <c:pieChart>
        <c:varyColors val="1"/>
        <c:ser>
          <c:idx val="0"/>
          <c:order val="0"/>
          <c:tx>
            <c:strRef>
              <c:f>label 0</c:f>
              <c:strCache>
                <c:ptCount val="1"/>
                <c:pt idx="0">
                  <c:v>2013-2020</c:v>
                </c:pt>
              </c:strCache>
            </c:strRef>
          </c:tx>
          <c:spPr>
            <a:solidFill>
              <a:srgbClr val="004586"/>
            </a:solidFill>
            <a:ln w="0">
              <a:noFill/>
            </a:ln>
          </c:spPr>
          <c:dPt>
            <c:idx val="0"/>
            <c:bubble3D val="0"/>
            <c:spPr>
              <a:solidFill>
                <a:srgbClr val="4F81BD"/>
              </a:solidFill>
              <a:ln w="0">
                <a:noFill/>
              </a:ln>
            </c:spPr>
          </c:dPt>
          <c:dPt>
            <c:idx val="1"/>
            <c:bubble3D val="0"/>
            <c:spPr>
              <a:solidFill>
                <a:srgbClr val="FF420E"/>
              </a:solidFill>
              <a:ln w="0">
                <a:noFill/>
              </a:ln>
            </c:spPr>
          </c:dPt>
          <c:dPt>
            <c:idx val="2"/>
            <c:bubble3D val="0"/>
            <c:spPr>
              <a:solidFill>
                <a:srgbClr val="FFD320"/>
              </a:solidFill>
              <a:ln w="0">
                <a:noFill/>
              </a:ln>
            </c:spPr>
          </c:dPt>
          <c:dPt>
            <c:idx val="3"/>
            <c:bubble3D val="0"/>
            <c:spPr>
              <a:solidFill>
                <a:srgbClr val="579D1C"/>
              </a:solidFill>
              <a:ln w="0">
                <a:noFill/>
              </a:ln>
            </c:spPr>
          </c:dPt>
          <c:dPt>
            <c:idx val="4"/>
            <c:bubble3D val="0"/>
            <c:spPr>
              <a:solidFill>
                <a:srgbClr val="7E0021"/>
              </a:solidFill>
              <a:ln w="0">
                <a:noFill/>
              </a:ln>
            </c:spPr>
          </c:dPt>
          <c:dLbls>
            <c:txPr>
              <a:bodyPr wrap="none"/>
              <a:lstStyle/>
              <a:p>
                <a:pPr>
                  <a:defRPr sz="1000" b="0" strike="noStrike" spc="-1">
                    <a:solidFill>
                      <a:srgbClr val="000000"/>
                    </a:solidFill>
                    <a:latin typeface="Arial"/>
                  </a:defRPr>
                </a:pPr>
                <a:endParaRPr lang="uk-UA"/>
              </a:p>
            </c:txPr>
            <c:dLblPos val="bestFit"/>
            <c:showLegendKey val="0"/>
            <c:showVal val="0"/>
            <c:showCatName val="0"/>
            <c:showSerName val="0"/>
            <c:showPercent val="1"/>
            <c:showBubbleSize val="1"/>
            <c:separator> </c:separator>
            <c:showLeaderLines val="1"/>
          </c:dLbls>
          <c:cat>
            <c:strRef>
              <c:f>categories</c:f>
              <c:strCache>
                <c:ptCount val="5"/>
                <c:pt idx="0">
                  <c:v>Мотоцикли</c:v>
                </c:pt>
                <c:pt idx="1">
                  <c:v>Л/а</c:v>
                </c:pt>
                <c:pt idx="2">
                  <c:v>В/а</c:v>
                </c:pt>
                <c:pt idx="3">
                  <c:v>Автобуси</c:v>
                </c:pt>
                <c:pt idx="4">
                  <c:v>Спецтраспорт</c:v>
                </c:pt>
              </c:strCache>
            </c:strRef>
          </c:cat>
          <c:val>
            <c:numRef>
              <c:f>0</c:f>
              <c:numCache>
                <c:formatCode>General</c:formatCode>
                <c:ptCount val="5"/>
                <c:pt idx="0">
                  <c:v>4026</c:v>
                </c:pt>
                <c:pt idx="1">
                  <c:v>69537</c:v>
                </c:pt>
                <c:pt idx="2">
                  <c:v>6832</c:v>
                </c:pt>
                <c:pt idx="3">
                  <c:v>1226</c:v>
                </c:pt>
                <c:pt idx="4">
                  <c:v>467</c:v>
                </c:pt>
              </c:numCache>
            </c:numRef>
          </c:val>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675875"/>
          <c:y val="0.135777777777778"/>
          <c:w val="0.29726857928620498"/>
          <c:h val="0.60328925436159597"/>
        </c:manualLayout>
      </c:layout>
      <c:overlay val="0"/>
      <c:spPr>
        <a:noFill/>
        <a:ln w="0">
          <a:noFill/>
        </a:ln>
      </c:spPr>
      <c:txPr>
        <a:bodyPr/>
        <a:lstStyle/>
        <a:p>
          <a:pPr>
            <a:defRPr sz="1000" b="0" strike="noStrike" spc="-1">
              <a:solidFill>
                <a:srgbClr val="000000"/>
              </a:solidFill>
              <a:latin typeface="Arial"/>
            </a:defRPr>
          </a:pPr>
          <a:endParaRPr lang="uk-UA"/>
        </a:p>
      </c:txPr>
    </c:legend>
    <c:plotVisOnly val="1"/>
    <c:dispBlanksAs val="zero"/>
    <c:showDLblsOverMax val="1"/>
  </c:chart>
  <c:spPr>
    <a:noFill/>
    <a:ln w="0">
      <a:noFill/>
    </a:ln>
  </c:spPr>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autoTitleDeleted val="1"/>
    <c:plotArea>
      <c:layout/>
      <c:barChart>
        <c:barDir val="col"/>
        <c:grouping val="clustered"/>
        <c:varyColors val="0"/>
        <c:ser>
          <c:idx val="0"/>
          <c:order val="0"/>
          <c:tx>
            <c:strRef>
              <c:f>label 0</c:f>
              <c:strCache>
                <c:ptCount val="1"/>
                <c:pt idx="0">
                  <c:v>Е/е</c:v>
                </c:pt>
              </c:strCache>
            </c:strRef>
          </c:tx>
          <c:spPr>
            <a:solidFill>
              <a:srgbClr val="004586"/>
            </a:solidFill>
            <a:ln w="0">
              <a:noFill/>
            </a:ln>
          </c:spPr>
          <c:invertIfNegative val="0"/>
          <c:dLbls>
            <c:txPr>
              <a:bodyPr wrap="none"/>
              <a:lstStyle/>
              <a:p>
                <a:pPr>
                  <a:defRPr sz="1000" b="0" strike="noStrike" spc="-1">
                    <a:solidFill>
                      <a:srgbClr val="000000"/>
                    </a:solidFill>
                    <a:latin typeface="Arial"/>
                  </a:defRPr>
                </a:pPr>
                <a:endParaRPr lang="uk-UA"/>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2"/>
                <c:pt idx="0">
                  <c:v>2007</c:v>
                </c:pt>
                <c:pt idx="1">
                  <c:v>2020</c:v>
                </c:pt>
              </c:strCache>
            </c:strRef>
          </c:cat>
          <c:val>
            <c:numRef>
              <c:f>0</c:f>
              <c:numCache>
                <c:formatCode>General</c:formatCode>
                <c:ptCount val="2"/>
                <c:pt idx="0">
                  <c:v>0</c:v>
                </c:pt>
                <c:pt idx="1">
                  <c:v>833.79200000000003</c:v>
                </c:pt>
              </c:numCache>
            </c:numRef>
          </c:val>
        </c:ser>
        <c:ser>
          <c:idx val="1"/>
          <c:order val="1"/>
          <c:tx>
            <c:strRef>
              <c:f>label 1</c:f>
              <c:strCache>
                <c:ptCount val="1"/>
                <c:pt idx="0">
                  <c:v>Бензин</c:v>
                </c:pt>
              </c:strCache>
            </c:strRef>
          </c:tx>
          <c:spPr>
            <a:solidFill>
              <a:srgbClr val="FF420E"/>
            </a:solidFill>
            <a:ln w="0">
              <a:noFill/>
            </a:ln>
          </c:spPr>
          <c:invertIfNegative val="0"/>
          <c:dLbls>
            <c:txPr>
              <a:bodyPr wrap="none"/>
              <a:lstStyle/>
              <a:p>
                <a:pPr>
                  <a:defRPr sz="1000" b="0" strike="noStrike" spc="-1">
                    <a:solidFill>
                      <a:srgbClr val="000000"/>
                    </a:solidFill>
                    <a:latin typeface="Arial"/>
                  </a:defRPr>
                </a:pPr>
                <a:endParaRPr lang="uk-UA"/>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2"/>
                <c:pt idx="0">
                  <c:v>2007</c:v>
                </c:pt>
                <c:pt idx="1">
                  <c:v>2020</c:v>
                </c:pt>
              </c:strCache>
            </c:strRef>
          </c:cat>
          <c:val>
            <c:numRef>
              <c:f>1</c:f>
              <c:numCache>
                <c:formatCode>General</c:formatCode>
                <c:ptCount val="2"/>
                <c:pt idx="0">
                  <c:v>100979.43</c:v>
                </c:pt>
                <c:pt idx="1">
                  <c:v>87795.19</c:v>
                </c:pt>
              </c:numCache>
            </c:numRef>
          </c:val>
        </c:ser>
        <c:ser>
          <c:idx val="2"/>
          <c:order val="2"/>
          <c:tx>
            <c:strRef>
              <c:f>label 2</c:f>
              <c:strCache>
                <c:ptCount val="1"/>
                <c:pt idx="0">
                  <c:v>Дизель</c:v>
                </c:pt>
              </c:strCache>
            </c:strRef>
          </c:tx>
          <c:spPr>
            <a:solidFill>
              <a:srgbClr val="FFD320"/>
            </a:solidFill>
            <a:ln w="0">
              <a:noFill/>
            </a:ln>
          </c:spPr>
          <c:invertIfNegative val="0"/>
          <c:dLbls>
            <c:txPr>
              <a:bodyPr wrap="none"/>
              <a:lstStyle/>
              <a:p>
                <a:pPr>
                  <a:defRPr sz="1000" b="0" strike="noStrike" spc="-1">
                    <a:solidFill>
                      <a:srgbClr val="000000"/>
                    </a:solidFill>
                    <a:latin typeface="Arial"/>
                  </a:defRPr>
                </a:pPr>
                <a:endParaRPr lang="uk-UA"/>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2"/>
                <c:pt idx="0">
                  <c:v>2007</c:v>
                </c:pt>
                <c:pt idx="1">
                  <c:v>2020</c:v>
                </c:pt>
              </c:strCache>
            </c:strRef>
          </c:cat>
          <c:val>
            <c:numRef>
              <c:f>2</c:f>
              <c:numCache>
                <c:formatCode>General</c:formatCode>
                <c:ptCount val="2"/>
                <c:pt idx="0">
                  <c:v>118887.19</c:v>
                </c:pt>
                <c:pt idx="1">
                  <c:v>101463.8</c:v>
                </c:pt>
              </c:numCache>
            </c:numRef>
          </c:val>
        </c:ser>
        <c:ser>
          <c:idx val="3"/>
          <c:order val="3"/>
          <c:tx>
            <c:strRef>
              <c:f>label 3</c:f>
              <c:strCache>
                <c:ptCount val="1"/>
                <c:pt idx="0">
                  <c:v>Зріджений газ</c:v>
                </c:pt>
              </c:strCache>
            </c:strRef>
          </c:tx>
          <c:spPr>
            <a:solidFill>
              <a:srgbClr val="579D1C"/>
            </a:solidFill>
            <a:ln w="0">
              <a:noFill/>
            </a:ln>
          </c:spPr>
          <c:invertIfNegative val="0"/>
          <c:dLbls>
            <c:txPr>
              <a:bodyPr wrap="none"/>
              <a:lstStyle/>
              <a:p>
                <a:pPr>
                  <a:defRPr sz="1000" b="0" strike="noStrike" spc="-1">
                    <a:solidFill>
                      <a:srgbClr val="000000"/>
                    </a:solidFill>
                    <a:latin typeface="Arial"/>
                  </a:defRPr>
                </a:pPr>
                <a:endParaRPr lang="uk-UA"/>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2"/>
                <c:pt idx="0">
                  <c:v>2007</c:v>
                </c:pt>
                <c:pt idx="1">
                  <c:v>2020</c:v>
                </c:pt>
              </c:strCache>
            </c:strRef>
          </c:cat>
          <c:val>
            <c:numRef>
              <c:f>3</c:f>
              <c:numCache>
                <c:formatCode>General</c:formatCode>
                <c:ptCount val="2"/>
                <c:pt idx="0">
                  <c:v>9979.4500000000007</c:v>
                </c:pt>
                <c:pt idx="1">
                  <c:v>8912.19</c:v>
                </c:pt>
              </c:numCache>
            </c:numRef>
          </c:val>
        </c:ser>
        <c:ser>
          <c:idx val="4"/>
          <c:order val="4"/>
          <c:tx>
            <c:strRef>
              <c:f>label 4</c:f>
              <c:strCache>
                <c:ptCount val="1"/>
                <c:pt idx="0">
                  <c:v>Стиснений газ</c:v>
                </c:pt>
              </c:strCache>
            </c:strRef>
          </c:tx>
          <c:spPr>
            <a:solidFill>
              <a:srgbClr val="7E0021"/>
            </a:solidFill>
            <a:ln w="0">
              <a:noFill/>
            </a:ln>
          </c:spPr>
          <c:invertIfNegative val="0"/>
          <c:dLbls>
            <c:txPr>
              <a:bodyPr wrap="none"/>
              <a:lstStyle/>
              <a:p>
                <a:pPr>
                  <a:defRPr sz="1000" b="0" strike="noStrike" spc="-1">
                    <a:solidFill>
                      <a:srgbClr val="000000"/>
                    </a:solidFill>
                    <a:latin typeface="Arial"/>
                  </a:defRPr>
                </a:pPr>
                <a:endParaRPr lang="uk-UA"/>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2"/>
                <c:pt idx="0">
                  <c:v>2007</c:v>
                </c:pt>
                <c:pt idx="1">
                  <c:v>2020</c:v>
                </c:pt>
              </c:strCache>
            </c:strRef>
          </c:cat>
          <c:val>
            <c:numRef>
              <c:f>4</c:f>
              <c:numCache>
                <c:formatCode>General</c:formatCode>
                <c:ptCount val="2"/>
                <c:pt idx="0">
                  <c:v>159390</c:v>
                </c:pt>
                <c:pt idx="1">
                  <c:v>237456.6</c:v>
                </c:pt>
              </c:numCache>
            </c:numRef>
          </c:val>
        </c:ser>
        <c:dLbls>
          <c:showLegendKey val="0"/>
          <c:showVal val="0"/>
          <c:showCatName val="0"/>
          <c:showSerName val="0"/>
          <c:showPercent val="0"/>
          <c:showBubbleSize val="0"/>
        </c:dLbls>
        <c:gapWidth val="100"/>
        <c:axId val="211600896"/>
        <c:axId val="211602432"/>
      </c:barChart>
      <c:catAx>
        <c:axId val="211600896"/>
        <c:scaling>
          <c:orientation val="minMax"/>
        </c:scaling>
        <c:delete val="0"/>
        <c:axPos val="b"/>
        <c:numFmt formatCode="[$-422]dd/mm/yyyy" sourceLinked="0"/>
        <c:majorTickMark val="out"/>
        <c:minorTickMark val="none"/>
        <c:tickLblPos val="nextTo"/>
        <c:spPr>
          <a:ln w="0">
            <a:solidFill>
              <a:srgbClr val="B3B3B3"/>
            </a:solidFill>
          </a:ln>
        </c:spPr>
        <c:txPr>
          <a:bodyPr/>
          <a:lstStyle/>
          <a:p>
            <a:pPr>
              <a:defRPr sz="1000" b="0" strike="noStrike" spc="-1">
                <a:solidFill>
                  <a:srgbClr val="000000"/>
                </a:solidFill>
                <a:latin typeface="Arial"/>
              </a:defRPr>
            </a:pPr>
            <a:endParaRPr lang="uk-UA"/>
          </a:p>
        </c:txPr>
        <c:crossAx val="211602432"/>
        <c:crosses val="autoZero"/>
        <c:auto val="1"/>
        <c:lblAlgn val="ctr"/>
        <c:lblOffset val="100"/>
        <c:noMultiLvlLbl val="0"/>
      </c:catAx>
      <c:valAx>
        <c:axId val="211602432"/>
        <c:scaling>
          <c:orientation val="minMax"/>
        </c:scaling>
        <c:delete val="0"/>
        <c:axPos val="l"/>
        <c:majorGridlines>
          <c:spPr>
            <a:ln w="0">
              <a:solidFill>
                <a:srgbClr val="B3B3B3"/>
              </a:solidFill>
            </a:ln>
          </c:spPr>
        </c:majorGridlines>
        <c:numFmt formatCode="General" sourceLinked="0"/>
        <c:majorTickMark val="out"/>
        <c:minorTickMark val="none"/>
        <c:tickLblPos val="nextTo"/>
        <c:spPr>
          <a:ln w="0">
            <a:solidFill>
              <a:srgbClr val="B3B3B3"/>
            </a:solidFill>
          </a:ln>
        </c:spPr>
        <c:txPr>
          <a:bodyPr/>
          <a:lstStyle/>
          <a:p>
            <a:pPr>
              <a:defRPr sz="1000" b="0" strike="noStrike" spc="-1">
                <a:solidFill>
                  <a:srgbClr val="000000"/>
                </a:solidFill>
                <a:latin typeface="Arial"/>
              </a:defRPr>
            </a:pPr>
            <a:endParaRPr lang="uk-UA"/>
          </a:p>
        </c:txPr>
        <c:crossAx val="211600896"/>
        <c:crosses val="autoZero"/>
        <c:crossBetween val="between"/>
      </c:valAx>
      <c:spPr>
        <a:noFill/>
        <a:ln w="0">
          <a:solidFill>
            <a:srgbClr val="B3B3B3"/>
          </a:solidFill>
        </a:ln>
      </c:spPr>
    </c:plotArea>
    <c:legend>
      <c:legendPos val="b"/>
      <c:overlay val="0"/>
      <c:spPr>
        <a:noFill/>
        <a:ln w="0">
          <a:noFill/>
        </a:ln>
      </c:spPr>
      <c:txPr>
        <a:bodyPr/>
        <a:lstStyle/>
        <a:p>
          <a:pPr>
            <a:defRPr sz="1000" b="0" strike="noStrike" spc="-1">
              <a:solidFill>
                <a:srgbClr val="000000"/>
              </a:solidFill>
              <a:latin typeface="Arial"/>
            </a:defRPr>
          </a:pPr>
          <a:endParaRPr lang="uk-UA"/>
        </a:p>
      </c:txPr>
    </c:legend>
    <c:plotVisOnly val="1"/>
    <c:dispBlanksAs val="gap"/>
    <c:showDLblsOverMax val="1"/>
  </c:chart>
  <c:spPr>
    <a:noFill/>
    <a:ln w="0">
      <a:noFill/>
    </a:ln>
  </c:spPr>
</c:chartSpace>
</file>

<file path=word/charts/chart36.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title>
      <c:tx>
        <c:rich>
          <a:bodyPr rot="0"/>
          <a:lstStyle/>
          <a:p>
            <a:pPr>
              <a:defRPr lang="uk-UA" sz="1300" b="0" strike="noStrike" spc="-1">
                <a:solidFill>
                  <a:srgbClr val="000000"/>
                </a:solidFill>
                <a:latin typeface="Arial"/>
              </a:defRPr>
            </a:pPr>
            <a:r>
              <a:rPr lang="uk-UA" sz="1300" b="0" strike="noStrike" spc="-1">
                <a:solidFill>
                  <a:srgbClr val="000000"/>
                </a:solidFill>
                <a:latin typeface="Arial"/>
              </a:rPr>
              <a:t>2020</a:t>
            </a:r>
          </a:p>
        </c:rich>
      </c:tx>
      <c:overlay val="0"/>
      <c:spPr>
        <a:noFill/>
        <a:ln w="0">
          <a:noFill/>
        </a:ln>
      </c:spPr>
    </c:title>
    <c:autoTitleDeleted val="0"/>
    <c:plotArea>
      <c:layout>
        <c:manualLayout>
          <c:layoutTarget val="inner"/>
          <c:xMode val="edge"/>
          <c:yMode val="edge"/>
          <c:x val="0.10150000000000001"/>
          <c:y val="0.33500000000000002"/>
          <c:w val="0.3686875"/>
          <c:h val="0.498"/>
        </c:manualLayout>
      </c:layout>
      <c:pieChart>
        <c:varyColors val="1"/>
        <c:ser>
          <c:idx val="0"/>
          <c:order val="0"/>
          <c:tx>
            <c:strRef>
              <c:f>label 0</c:f>
              <c:strCache>
                <c:ptCount val="1"/>
                <c:pt idx="0">
                  <c:v>2020</c:v>
                </c:pt>
              </c:strCache>
            </c:strRef>
          </c:tx>
          <c:spPr>
            <a:solidFill>
              <a:srgbClr val="004586"/>
            </a:solidFill>
            <a:ln w="0">
              <a:noFill/>
            </a:ln>
          </c:spPr>
          <c:dPt>
            <c:idx val="0"/>
            <c:bubble3D val="0"/>
            <c:spPr>
              <a:solidFill>
                <a:srgbClr val="4F81BD"/>
              </a:solidFill>
              <a:ln w="0">
                <a:noFill/>
              </a:ln>
            </c:spPr>
          </c:dPt>
          <c:dPt>
            <c:idx val="1"/>
            <c:bubble3D val="0"/>
            <c:spPr>
              <a:solidFill>
                <a:srgbClr val="FF420E"/>
              </a:solidFill>
              <a:ln w="0">
                <a:noFill/>
              </a:ln>
            </c:spPr>
          </c:dPt>
          <c:dPt>
            <c:idx val="2"/>
            <c:bubble3D val="0"/>
            <c:spPr>
              <a:solidFill>
                <a:srgbClr val="FFD320"/>
              </a:solidFill>
              <a:ln w="0">
                <a:noFill/>
              </a:ln>
            </c:spPr>
          </c:dPt>
          <c:dPt>
            <c:idx val="3"/>
            <c:bubble3D val="0"/>
            <c:spPr>
              <a:solidFill>
                <a:srgbClr val="579D1C"/>
              </a:solidFill>
              <a:ln w="0">
                <a:noFill/>
              </a:ln>
            </c:spPr>
          </c:dPt>
          <c:dPt>
            <c:idx val="4"/>
            <c:bubble3D val="0"/>
            <c:spPr>
              <a:solidFill>
                <a:srgbClr val="7E0021"/>
              </a:solidFill>
              <a:ln w="0">
                <a:noFill/>
              </a:ln>
            </c:spPr>
          </c:dPt>
          <c:dLbls>
            <c:txPr>
              <a:bodyPr wrap="none"/>
              <a:lstStyle/>
              <a:p>
                <a:pPr>
                  <a:defRPr sz="1000" b="0" strike="noStrike" spc="-1">
                    <a:solidFill>
                      <a:srgbClr val="000000"/>
                    </a:solidFill>
                    <a:latin typeface="Arial"/>
                  </a:defRPr>
                </a:pPr>
                <a:endParaRPr lang="uk-UA"/>
              </a:p>
            </c:txPr>
            <c:dLblPos val="bestFit"/>
            <c:showLegendKey val="0"/>
            <c:showVal val="0"/>
            <c:showCatName val="0"/>
            <c:showSerName val="0"/>
            <c:showPercent val="1"/>
            <c:showBubbleSize val="1"/>
            <c:separator> </c:separator>
            <c:showLeaderLines val="1"/>
          </c:dLbls>
          <c:cat>
            <c:strRef>
              <c:f>categories</c:f>
              <c:strCache>
                <c:ptCount val="5"/>
                <c:pt idx="0">
                  <c:v>Е\е</c:v>
                </c:pt>
                <c:pt idx="1">
                  <c:v>Бензин</c:v>
                </c:pt>
                <c:pt idx="2">
                  <c:v>Дизель</c:v>
                </c:pt>
                <c:pt idx="3">
                  <c:v>Зріджений газ</c:v>
                </c:pt>
                <c:pt idx="4">
                  <c:v>Стиснений газ</c:v>
                </c:pt>
              </c:strCache>
            </c:strRef>
          </c:cat>
          <c:val>
            <c:numRef>
              <c:f>0</c:f>
              <c:numCache>
                <c:formatCode>General</c:formatCode>
                <c:ptCount val="5"/>
                <c:pt idx="0">
                  <c:v>833.79200000000003</c:v>
                </c:pt>
                <c:pt idx="1">
                  <c:v>87795.19</c:v>
                </c:pt>
                <c:pt idx="2">
                  <c:v>101463.8</c:v>
                </c:pt>
                <c:pt idx="3">
                  <c:v>8912.19</c:v>
                </c:pt>
                <c:pt idx="4">
                  <c:v>237456.6</c:v>
                </c:pt>
              </c:numCache>
            </c:numRef>
          </c:val>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53818750000000004"/>
          <c:y val="0.27088888888888901"/>
          <c:w val="0.43265204075254698"/>
          <c:h val="0.61917990887876395"/>
        </c:manualLayout>
      </c:layout>
      <c:overlay val="0"/>
      <c:spPr>
        <a:noFill/>
        <a:ln w="0">
          <a:noFill/>
        </a:ln>
      </c:spPr>
      <c:txPr>
        <a:bodyPr/>
        <a:lstStyle/>
        <a:p>
          <a:pPr>
            <a:defRPr sz="1000" b="0" strike="noStrike" spc="-1">
              <a:solidFill>
                <a:srgbClr val="000000"/>
              </a:solidFill>
              <a:latin typeface="Arial"/>
            </a:defRPr>
          </a:pPr>
          <a:endParaRPr lang="uk-UA"/>
        </a:p>
      </c:txPr>
    </c:legend>
    <c:plotVisOnly val="1"/>
    <c:dispBlanksAs val="zero"/>
    <c:showDLblsOverMax val="1"/>
  </c:chart>
  <c:spPr>
    <a:noFill/>
    <a:ln w="0">
      <a:noFill/>
    </a:ln>
  </c:spPr>
</c:chartSpace>
</file>

<file path=word/charts/chart37.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title>
      <c:tx>
        <c:rich>
          <a:bodyPr rot="0"/>
          <a:lstStyle/>
          <a:p>
            <a:pPr>
              <a:defRPr lang="uk-UA" sz="1300" b="0" strike="noStrike" spc="-1">
                <a:solidFill>
                  <a:srgbClr val="000000"/>
                </a:solidFill>
                <a:latin typeface="Arial"/>
              </a:defRPr>
            </a:pPr>
            <a:r>
              <a:rPr lang="uk-UA" sz="1300" b="0" strike="noStrike" spc="-1">
                <a:solidFill>
                  <a:srgbClr val="000000"/>
                </a:solidFill>
                <a:latin typeface="Arial"/>
              </a:rPr>
              <a:t>2007</a:t>
            </a:r>
          </a:p>
        </c:rich>
      </c:tx>
      <c:overlay val="0"/>
      <c:spPr>
        <a:noFill/>
        <a:ln w="0">
          <a:noFill/>
        </a:ln>
      </c:spPr>
    </c:title>
    <c:autoTitleDeleted val="0"/>
    <c:plotArea>
      <c:layout>
        <c:manualLayout>
          <c:layoutTarget val="inner"/>
          <c:xMode val="edge"/>
          <c:yMode val="edge"/>
          <c:x val="9.8062499999999997E-2"/>
          <c:y val="0.31255555555555598"/>
          <c:w val="0.378"/>
          <c:h val="0.54155555555555601"/>
        </c:manualLayout>
      </c:layout>
      <c:pieChart>
        <c:varyColors val="1"/>
        <c:ser>
          <c:idx val="0"/>
          <c:order val="0"/>
          <c:tx>
            <c:strRef>
              <c:f>label 0</c:f>
              <c:strCache>
                <c:ptCount val="1"/>
                <c:pt idx="0">
                  <c:v>2007</c:v>
                </c:pt>
              </c:strCache>
            </c:strRef>
          </c:tx>
          <c:spPr>
            <a:solidFill>
              <a:srgbClr val="004586"/>
            </a:solidFill>
            <a:ln w="0">
              <a:noFill/>
            </a:ln>
          </c:spPr>
          <c:dPt>
            <c:idx val="0"/>
            <c:bubble3D val="0"/>
            <c:spPr>
              <a:solidFill>
                <a:srgbClr val="4F81BD"/>
              </a:solidFill>
              <a:ln w="0">
                <a:noFill/>
              </a:ln>
            </c:spPr>
          </c:dPt>
          <c:dPt>
            <c:idx val="1"/>
            <c:bubble3D val="0"/>
            <c:spPr>
              <a:solidFill>
                <a:srgbClr val="FF420E"/>
              </a:solidFill>
              <a:ln w="0">
                <a:noFill/>
              </a:ln>
            </c:spPr>
          </c:dPt>
          <c:dPt>
            <c:idx val="2"/>
            <c:bubble3D val="0"/>
            <c:spPr>
              <a:solidFill>
                <a:srgbClr val="FFD320"/>
              </a:solidFill>
              <a:ln w="0">
                <a:noFill/>
              </a:ln>
            </c:spPr>
          </c:dPt>
          <c:dPt>
            <c:idx val="3"/>
            <c:bubble3D val="0"/>
            <c:spPr>
              <a:solidFill>
                <a:srgbClr val="579D1C"/>
              </a:solidFill>
              <a:ln w="0">
                <a:noFill/>
              </a:ln>
            </c:spPr>
          </c:dPt>
          <c:dPt>
            <c:idx val="4"/>
            <c:bubble3D val="0"/>
            <c:spPr>
              <a:solidFill>
                <a:srgbClr val="7E0021"/>
              </a:solidFill>
              <a:ln w="0">
                <a:noFill/>
              </a:ln>
            </c:spPr>
          </c:dPt>
          <c:dLbls>
            <c:txPr>
              <a:bodyPr wrap="none"/>
              <a:lstStyle/>
              <a:p>
                <a:pPr>
                  <a:defRPr sz="1000" b="0" strike="noStrike" spc="-1">
                    <a:solidFill>
                      <a:srgbClr val="000000"/>
                    </a:solidFill>
                    <a:latin typeface="Arial"/>
                  </a:defRPr>
                </a:pPr>
                <a:endParaRPr lang="uk-UA"/>
              </a:p>
            </c:txPr>
            <c:dLblPos val="bestFit"/>
            <c:showLegendKey val="0"/>
            <c:showVal val="0"/>
            <c:showCatName val="0"/>
            <c:showSerName val="0"/>
            <c:showPercent val="1"/>
            <c:showBubbleSize val="1"/>
            <c:separator> </c:separator>
            <c:showLeaderLines val="1"/>
          </c:dLbls>
          <c:cat>
            <c:strRef>
              <c:f>categories</c:f>
              <c:strCache>
                <c:ptCount val="5"/>
                <c:pt idx="0">
                  <c:v>Е\е</c:v>
                </c:pt>
                <c:pt idx="1">
                  <c:v>Бензин</c:v>
                </c:pt>
                <c:pt idx="2">
                  <c:v>Дизель</c:v>
                </c:pt>
                <c:pt idx="3">
                  <c:v>Зріджений газ</c:v>
                </c:pt>
                <c:pt idx="4">
                  <c:v>Стиснений газ</c:v>
                </c:pt>
              </c:strCache>
            </c:strRef>
          </c:cat>
          <c:val>
            <c:numRef>
              <c:f>0</c:f>
              <c:numCache>
                <c:formatCode>General</c:formatCode>
                <c:ptCount val="5"/>
                <c:pt idx="0">
                  <c:v>0</c:v>
                </c:pt>
                <c:pt idx="1">
                  <c:v>100979.43</c:v>
                </c:pt>
                <c:pt idx="2">
                  <c:v>118887.19</c:v>
                </c:pt>
                <c:pt idx="3">
                  <c:v>9979.4500000000007</c:v>
                </c:pt>
                <c:pt idx="4">
                  <c:v>159390</c:v>
                </c:pt>
              </c:numCache>
            </c:numRef>
          </c:val>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49587500000000001"/>
          <c:y val="0.29966666666666703"/>
          <c:w val="0.47234202137633602"/>
          <c:h val="0.65785087231914696"/>
        </c:manualLayout>
      </c:layout>
      <c:overlay val="0"/>
      <c:spPr>
        <a:noFill/>
        <a:ln w="0">
          <a:noFill/>
        </a:ln>
      </c:spPr>
      <c:txPr>
        <a:bodyPr/>
        <a:lstStyle/>
        <a:p>
          <a:pPr>
            <a:defRPr sz="1000" b="0" strike="noStrike" spc="-1">
              <a:solidFill>
                <a:srgbClr val="000000"/>
              </a:solidFill>
              <a:latin typeface="Arial"/>
            </a:defRPr>
          </a:pPr>
          <a:endParaRPr lang="uk-UA"/>
        </a:p>
      </c:txPr>
    </c:legend>
    <c:plotVisOnly val="1"/>
    <c:dispBlanksAs val="zero"/>
    <c:showDLblsOverMax val="1"/>
  </c:chart>
  <c:spPr>
    <a:noFill/>
    <a:ln w="0">
      <a:noFill/>
    </a:ln>
  </c:spPr>
</c:chartSpace>
</file>

<file path=word/charts/chart38.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autoTitleDeleted val="1"/>
    <c:plotArea>
      <c:layout/>
      <c:barChart>
        <c:barDir val="col"/>
        <c:grouping val="clustered"/>
        <c:varyColors val="0"/>
        <c:ser>
          <c:idx val="0"/>
          <c:order val="0"/>
          <c:tx>
            <c:strRef>
              <c:f>label 0</c:f>
              <c:strCache>
                <c:ptCount val="1"/>
                <c:pt idx="0">
                  <c:v>Муніципальні будівлі, обладнання/об’єкти</c:v>
                </c:pt>
              </c:strCache>
            </c:strRef>
          </c:tx>
          <c:spPr>
            <a:solidFill>
              <a:srgbClr val="4F81BD"/>
            </a:solidFill>
            <a:ln w="0">
              <a:noFill/>
            </a:ln>
          </c:spPr>
          <c:invertIfNegative val="0"/>
          <c:dLbls>
            <c:txPr>
              <a:bodyPr wrap="square"/>
              <a:lstStyle/>
              <a:p>
                <a:pPr>
                  <a:defRPr sz="1000" b="0" strike="noStrike" spc="-1">
                    <a:solidFill>
                      <a:srgbClr val="000000"/>
                    </a:solidFill>
                    <a:latin typeface="Calibri"/>
                  </a:defRPr>
                </a:pPr>
                <a:endParaRPr lang="uk-UA"/>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2"/>
                <c:pt idx="0">
                  <c:v>2007</c:v>
                </c:pt>
                <c:pt idx="1">
                  <c:v>2020</c:v>
                </c:pt>
              </c:strCache>
            </c:strRef>
          </c:cat>
          <c:val>
            <c:numRef>
              <c:f>0</c:f>
              <c:numCache>
                <c:formatCode>General</c:formatCode>
                <c:ptCount val="2"/>
                <c:pt idx="0">
                  <c:v>113425.1764352</c:v>
                </c:pt>
                <c:pt idx="1">
                  <c:v>53174.842053120003</c:v>
                </c:pt>
              </c:numCache>
            </c:numRef>
          </c:val>
        </c:ser>
        <c:ser>
          <c:idx val="1"/>
          <c:order val="1"/>
          <c:tx>
            <c:strRef>
              <c:f>label 1</c:f>
              <c:strCache>
                <c:ptCount val="1"/>
                <c:pt idx="0">
                  <c:v>Муніципальне освітлення</c:v>
                </c:pt>
              </c:strCache>
            </c:strRef>
          </c:tx>
          <c:spPr>
            <a:solidFill>
              <a:srgbClr val="C0504D"/>
            </a:solidFill>
            <a:ln w="0">
              <a:noFill/>
            </a:ln>
          </c:spPr>
          <c:invertIfNegative val="0"/>
          <c:dLbls>
            <c:txPr>
              <a:bodyPr wrap="square"/>
              <a:lstStyle/>
              <a:p>
                <a:pPr>
                  <a:defRPr sz="1000" b="0" strike="noStrike" spc="-1">
                    <a:solidFill>
                      <a:srgbClr val="000000"/>
                    </a:solidFill>
                    <a:latin typeface="Calibri"/>
                  </a:defRPr>
                </a:pPr>
                <a:endParaRPr lang="uk-UA"/>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2"/>
                <c:pt idx="0">
                  <c:v>2007</c:v>
                </c:pt>
                <c:pt idx="1">
                  <c:v>2020</c:v>
                </c:pt>
              </c:strCache>
            </c:strRef>
          </c:cat>
          <c:val>
            <c:numRef>
              <c:f>1</c:f>
              <c:numCache>
                <c:formatCode>General</c:formatCode>
                <c:ptCount val="2"/>
                <c:pt idx="0">
                  <c:v>2071.04</c:v>
                </c:pt>
                <c:pt idx="1">
                  <c:v>2548.48</c:v>
                </c:pt>
              </c:numCache>
            </c:numRef>
          </c:val>
        </c:ser>
        <c:ser>
          <c:idx val="2"/>
          <c:order val="2"/>
          <c:tx>
            <c:strRef>
              <c:f>label 2</c:f>
              <c:strCache>
                <c:ptCount val="1"/>
                <c:pt idx="0">
                  <c:v>Третинні будівлі, обладнання/об’єкти</c:v>
                </c:pt>
              </c:strCache>
            </c:strRef>
          </c:tx>
          <c:spPr>
            <a:solidFill>
              <a:srgbClr val="9BBB59"/>
            </a:solidFill>
            <a:ln w="0">
              <a:noFill/>
            </a:ln>
          </c:spPr>
          <c:invertIfNegative val="0"/>
          <c:dLbls>
            <c:txPr>
              <a:bodyPr wrap="square"/>
              <a:lstStyle/>
              <a:p>
                <a:pPr>
                  <a:defRPr sz="1000" b="0" strike="noStrike" spc="-1">
                    <a:solidFill>
                      <a:srgbClr val="000000"/>
                    </a:solidFill>
                    <a:latin typeface="Calibri"/>
                  </a:defRPr>
                </a:pPr>
                <a:endParaRPr lang="uk-UA"/>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2"/>
                <c:pt idx="0">
                  <c:v>2007</c:v>
                </c:pt>
                <c:pt idx="1">
                  <c:v>2020</c:v>
                </c:pt>
              </c:strCache>
            </c:strRef>
          </c:cat>
          <c:val>
            <c:numRef>
              <c:f>2</c:f>
              <c:numCache>
                <c:formatCode>General</c:formatCode>
                <c:ptCount val="2"/>
                <c:pt idx="0">
                  <c:v>98307.524103999996</c:v>
                </c:pt>
                <c:pt idx="1">
                  <c:v>71812.862635440004</c:v>
                </c:pt>
              </c:numCache>
            </c:numRef>
          </c:val>
        </c:ser>
        <c:ser>
          <c:idx val="3"/>
          <c:order val="3"/>
          <c:tx>
            <c:strRef>
              <c:f>label 3</c:f>
              <c:strCache>
                <c:ptCount val="1"/>
                <c:pt idx="0">
                  <c:v>Житлові будинки</c:v>
                </c:pt>
              </c:strCache>
            </c:strRef>
          </c:tx>
          <c:spPr>
            <a:solidFill>
              <a:srgbClr val="8064A2"/>
            </a:solidFill>
            <a:ln w="0">
              <a:noFill/>
            </a:ln>
          </c:spPr>
          <c:invertIfNegative val="0"/>
          <c:dLbls>
            <c:txPr>
              <a:bodyPr wrap="square"/>
              <a:lstStyle/>
              <a:p>
                <a:pPr>
                  <a:defRPr sz="1000" b="0" strike="noStrike" spc="-1">
                    <a:solidFill>
                      <a:srgbClr val="000000"/>
                    </a:solidFill>
                    <a:latin typeface="Calibri"/>
                  </a:defRPr>
                </a:pPr>
                <a:endParaRPr lang="uk-UA"/>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2"/>
                <c:pt idx="0">
                  <c:v>2007</c:v>
                </c:pt>
                <c:pt idx="1">
                  <c:v>2020</c:v>
                </c:pt>
              </c:strCache>
            </c:strRef>
          </c:cat>
          <c:val>
            <c:numRef>
              <c:f>3</c:f>
              <c:numCache>
                <c:formatCode>General</c:formatCode>
                <c:ptCount val="2"/>
                <c:pt idx="0">
                  <c:v>377499.53234799998</c:v>
                </c:pt>
                <c:pt idx="1">
                  <c:v>369345.80151000002</c:v>
                </c:pt>
              </c:numCache>
            </c:numRef>
          </c:val>
        </c:ser>
        <c:ser>
          <c:idx val="4"/>
          <c:order val="4"/>
          <c:tx>
            <c:strRef>
              <c:f>label 4</c:f>
              <c:strCache>
                <c:ptCount val="1"/>
                <c:pt idx="0">
                  <c:v>Транспорт</c:v>
                </c:pt>
              </c:strCache>
            </c:strRef>
          </c:tx>
          <c:spPr>
            <a:solidFill>
              <a:srgbClr val="4BACC6"/>
            </a:solidFill>
            <a:ln w="0">
              <a:noFill/>
            </a:ln>
          </c:spPr>
          <c:invertIfNegative val="0"/>
          <c:dLbls>
            <c:txPr>
              <a:bodyPr wrap="square"/>
              <a:lstStyle/>
              <a:p>
                <a:pPr>
                  <a:defRPr sz="1000" b="0" strike="noStrike" spc="-1">
                    <a:solidFill>
                      <a:srgbClr val="000000"/>
                    </a:solidFill>
                    <a:latin typeface="Calibri"/>
                  </a:defRPr>
                </a:pPr>
                <a:endParaRPr lang="uk-UA"/>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2"/>
                <c:pt idx="0">
                  <c:v>2007</c:v>
                </c:pt>
                <c:pt idx="1">
                  <c:v>2020</c:v>
                </c:pt>
              </c:strCache>
            </c:strRef>
          </c:cat>
          <c:val>
            <c:numRef>
              <c:f>4</c:f>
              <c:numCache>
                <c:formatCode>General</c:formatCode>
                <c:ptCount val="2"/>
                <c:pt idx="0">
                  <c:v>118964.42993548</c:v>
                </c:pt>
                <c:pt idx="1">
                  <c:v>119684.81849455999</c:v>
                </c:pt>
              </c:numCache>
            </c:numRef>
          </c:val>
        </c:ser>
        <c:dLbls>
          <c:showLegendKey val="0"/>
          <c:showVal val="0"/>
          <c:showCatName val="0"/>
          <c:showSerName val="0"/>
          <c:showPercent val="0"/>
          <c:showBubbleSize val="0"/>
        </c:dLbls>
        <c:gapWidth val="219"/>
        <c:overlap val="-27"/>
        <c:axId val="211940864"/>
        <c:axId val="211942400"/>
      </c:barChart>
      <c:catAx>
        <c:axId val="211940864"/>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uk-UA"/>
          </a:p>
        </c:txPr>
        <c:crossAx val="211942400"/>
        <c:crosses val="autoZero"/>
        <c:auto val="1"/>
        <c:lblAlgn val="ctr"/>
        <c:lblOffset val="100"/>
        <c:noMultiLvlLbl val="0"/>
      </c:catAx>
      <c:valAx>
        <c:axId val="211942400"/>
        <c:scaling>
          <c:orientation val="minMax"/>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libri"/>
              </a:defRPr>
            </a:pPr>
            <a:endParaRPr lang="uk-UA"/>
          </a:p>
        </c:txPr>
        <c:crossAx val="211940864"/>
        <c:crosses val="autoZero"/>
        <c:crossBetween val="between"/>
      </c:valAx>
      <c:spPr>
        <a:noFill/>
        <a:ln w="0">
          <a:noFill/>
        </a:ln>
      </c:spPr>
    </c:plotArea>
    <c:legend>
      <c:legendPos val="r"/>
      <c:overlay val="0"/>
      <c:spPr>
        <a:noFill/>
        <a:ln w="0">
          <a:noFill/>
        </a:ln>
      </c:spPr>
      <c:txPr>
        <a:bodyPr/>
        <a:lstStyle/>
        <a:p>
          <a:pPr>
            <a:defRPr sz="900" b="0" strike="noStrike" spc="-1">
              <a:solidFill>
                <a:srgbClr val="595959"/>
              </a:solidFill>
              <a:latin typeface="Calibri"/>
            </a:defRPr>
          </a:pPr>
          <a:endParaRPr lang="uk-UA"/>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autoTitleDeleted val="1"/>
    <c:plotArea>
      <c:layout>
        <c:manualLayout>
          <c:layoutTarget val="inner"/>
          <c:xMode val="edge"/>
          <c:yMode val="edge"/>
          <c:x val="5.9812499999999998E-2"/>
          <c:y val="2.2444444444444399E-2"/>
          <c:w val="0.90475000000000005"/>
          <c:h val="0.67400000000000004"/>
        </c:manualLayout>
      </c:layout>
      <c:lineChart>
        <c:grouping val="standard"/>
        <c:varyColors val="0"/>
        <c:ser>
          <c:idx val="0"/>
          <c:order val="0"/>
          <c:tx>
            <c:strRef>
              <c:f>label 0</c:f>
              <c:strCache>
                <c:ptCount val="1"/>
                <c:pt idx="0">
                  <c:v>Кліматичні норми 1970-1990 роки</c:v>
                </c:pt>
              </c:strCache>
            </c:strRef>
          </c:tx>
          <c:spPr>
            <a:ln w="28800">
              <a:solidFill>
                <a:srgbClr val="158466"/>
              </a:solidFill>
              <a:round/>
            </a:ln>
          </c:spPr>
          <c:marker>
            <c:symbol val="diamond"/>
            <c:size val="8"/>
            <c:spPr>
              <a:solidFill>
                <a:srgbClr val="158466"/>
              </a:solidFill>
            </c:spPr>
          </c:marker>
          <c:dLbls>
            <c:txPr>
              <a:bodyPr wrap="none"/>
              <a:lstStyle/>
              <a:p>
                <a:pPr>
                  <a:defRPr sz="1000" b="0" strike="noStrike" spc="-1">
                    <a:solidFill>
                      <a:srgbClr val="000000"/>
                    </a:solidFill>
                    <a:latin typeface="Arial"/>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53"/>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pt idx="19">
                  <c:v>1989</c:v>
                </c:pt>
                <c:pt idx="20">
                  <c:v>1990</c:v>
                </c:pt>
                <c:pt idx="21">
                  <c:v>1991</c:v>
                </c:pt>
                <c:pt idx="22">
                  <c:v>1992</c:v>
                </c:pt>
                <c:pt idx="23">
                  <c:v>1993</c:v>
                </c:pt>
                <c:pt idx="24">
                  <c:v>1994</c:v>
                </c:pt>
                <c:pt idx="25">
                  <c:v>1995</c:v>
                </c:pt>
                <c:pt idx="26">
                  <c:v>1996</c:v>
                </c:pt>
                <c:pt idx="27">
                  <c:v>1997</c:v>
                </c:pt>
                <c:pt idx="28">
                  <c:v>1998</c:v>
                </c:pt>
                <c:pt idx="29">
                  <c:v>1999</c:v>
                </c:pt>
                <c:pt idx="30">
                  <c:v>2000</c:v>
                </c:pt>
                <c:pt idx="31">
                  <c:v>2001</c:v>
                </c:pt>
                <c:pt idx="32">
                  <c:v>2002</c:v>
                </c:pt>
                <c:pt idx="33">
                  <c:v>2003</c:v>
                </c:pt>
                <c:pt idx="34">
                  <c:v>2004</c:v>
                </c:pt>
                <c:pt idx="35">
                  <c:v>2005</c:v>
                </c:pt>
                <c:pt idx="36">
                  <c:v>2006</c:v>
                </c:pt>
                <c:pt idx="37">
                  <c:v>2007</c:v>
                </c:pt>
                <c:pt idx="38">
                  <c:v>2008</c:v>
                </c:pt>
                <c:pt idx="39">
                  <c:v>2009</c:v>
                </c:pt>
                <c:pt idx="40">
                  <c:v>2010</c:v>
                </c:pt>
                <c:pt idx="41">
                  <c:v>2011</c:v>
                </c:pt>
                <c:pt idx="42">
                  <c:v>2012</c:v>
                </c:pt>
                <c:pt idx="43">
                  <c:v>2013</c:v>
                </c:pt>
                <c:pt idx="44">
                  <c:v>2014</c:v>
                </c:pt>
                <c:pt idx="45">
                  <c:v>2015</c:v>
                </c:pt>
                <c:pt idx="46">
                  <c:v>2016</c:v>
                </c:pt>
                <c:pt idx="47">
                  <c:v>2017</c:v>
                </c:pt>
                <c:pt idx="48">
                  <c:v>2018</c:v>
                </c:pt>
                <c:pt idx="49">
                  <c:v>2019</c:v>
                </c:pt>
                <c:pt idx="50">
                  <c:v>2020</c:v>
                </c:pt>
                <c:pt idx="51">
                  <c:v>2021</c:v>
                </c:pt>
                <c:pt idx="52">
                  <c:v>2022</c:v>
                </c:pt>
              </c:strCache>
            </c:strRef>
          </c:cat>
          <c:val>
            <c:numRef>
              <c:f>0</c:f>
              <c:numCache>
                <c:formatCode>General</c:formatCode>
                <c:ptCount val="53"/>
                <c:pt idx="0">
                  <c:v>6.8</c:v>
                </c:pt>
                <c:pt idx="1">
                  <c:v>6.8</c:v>
                </c:pt>
                <c:pt idx="2">
                  <c:v>6.8</c:v>
                </c:pt>
                <c:pt idx="3">
                  <c:v>6.8</c:v>
                </c:pt>
                <c:pt idx="4">
                  <c:v>6.8</c:v>
                </c:pt>
                <c:pt idx="5">
                  <c:v>6.8</c:v>
                </c:pt>
                <c:pt idx="6">
                  <c:v>6.8</c:v>
                </c:pt>
                <c:pt idx="7">
                  <c:v>6.8</c:v>
                </c:pt>
                <c:pt idx="8">
                  <c:v>6.8</c:v>
                </c:pt>
                <c:pt idx="9">
                  <c:v>6.8</c:v>
                </c:pt>
                <c:pt idx="10">
                  <c:v>6.8</c:v>
                </c:pt>
                <c:pt idx="11">
                  <c:v>6.8</c:v>
                </c:pt>
                <c:pt idx="12">
                  <c:v>6.8</c:v>
                </c:pt>
                <c:pt idx="13">
                  <c:v>6.8</c:v>
                </c:pt>
                <c:pt idx="14">
                  <c:v>6.8</c:v>
                </c:pt>
                <c:pt idx="15">
                  <c:v>6.8</c:v>
                </c:pt>
                <c:pt idx="16">
                  <c:v>6.8</c:v>
                </c:pt>
                <c:pt idx="17">
                  <c:v>6.8</c:v>
                </c:pt>
                <c:pt idx="18">
                  <c:v>6.8</c:v>
                </c:pt>
                <c:pt idx="19">
                  <c:v>6.8</c:v>
                </c:pt>
                <c:pt idx="20">
                  <c:v>6.8</c:v>
                </c:pt>
              </c:numCache>
            </c:numRef>
          </c:val>
          <c:smooth val="0"/>
        </c:ser>
        <c:ser>
          <c:idx val="1"/>
          <c:order val="1"/>
          <c:tx>
            <c:strRef>
              <c:f>label 1</c:f>
              <c:strCache>
                <c:ptCount val="1"/>
                <c:pt idx="0">
                  <c:v>Середньорічна температура повітря, °C</c:v>
                </c:pt>
              </c:strCache>
            </c:strRef>
          </c:tx>
          <c:spPr>
            <a:ln w="18360">
              <a:solidFill>
                <a:srgbClr val="FF0000"/>
              </a:solidFill>
              <a:round/>
            </a:ln>
          </c:spPr>
          <c:dLbls>
            <c:txPr>
              <a:bodyPr wrap="none"/>
              <a:lstStyle/>
              <a:p>
                <a:pPr>
                  <a:defRPr sz="1000" b="0" strike="noStrike" spc="-1">
                    <a:solidFill>
                      <a:srgbClr val="000000"/>
                    </a:solidFill>
                    <a:latin typeface="Arial"/>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53"/>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pt idx="19">
                  <c:v>1989</c:v>
                </c:pt>
                <c:pt idx="20">
                  <c:v>1990</c:v>
                </c:pt>
                <c:pt idx="21">
                  <c:v>1991</c:v>
                </c:pt>
                <c:pt idx="22">
                  <c:v>1992</c:v>
                </c:pt>
                <c:pt idx="23">
                  <c:v>1993</c:v>
                </c:pt>
                <c:pt idx="24">
                  <c:v>1994</c:v>
                </c:pt>
                <c:pt idx="25">
                  <c:v>1995</c:v>
                </c:pt>
                <c:pt idx="26">
                  <c:v>1996</c:v>
                </c:pt>
                <c:pt idx="27">
                  <c:v>1997</c:v>
                </c:pt>
                <c:pt idx="28">
                  <c:v>1998</c:v>
                </c:pt>
                <c:pt idx="29">
                  <c:v>1999</c:v>
                </c:pt>
                <c:pt idx="30">
                  <c:v>2000</c:v>
                </c:pt>
                <c:pt idx="31">
                  <c:v>2001</c:v>
                </c:pt>
                <c:pt idx="32">
                  <c:v>2002</c:v>
                </c:pt>
                <c:pt idx="33">
                  <c:v>2003</c:v>
                </c:pt>
                <c:pt idx="34">
                  <c:v>2004</c:v>
                </c:pt>
                <c:pt idx="35">
                  <c:v>2005</c:v>
                </c:pt>
                <c:pt idx="36">
                  <c:v>2006</c:v>
                </c:pt>
                <c:pt idx="37">
                  <c:v>2007</c:v>
                </c:pt>
                <c:pt idx="38">
                  <c:v>2008</c:v>
                </c:pt>
                <c:pt idx="39">
                  <c:v>2009</c:v>
                </c:pt>
                <c:pt idx="40">
                  <c:v>2010</c:v>
                </c:pt>
                <c:pt idx="41">
                  <c:v>2011</c:v>
                </c:pt>
                <c:pt idx="42">
                  <c:v>2012</c:v>
                </c:pt>
                <c:pt idx="43">
                  <c:v>2013</c:v>
                </c:pt>
                <c:pt idx="44">
                  <c:v>2014</c:v>
                </c:pt>
                <c:pt idx="45">
                  <c:v>2015</c:v>
                </c:pt>
                <c:pt idx="46">
                  <c:v>2016</c:v>
                </c:pt>
                <c:pt idx="47">
                  <c:v>2017</c:v>
                </c:pt>
                <c:pt idx="48">
                  <c:v>2018</c:v>
                </c:pt>
                <c:pt idx="49">
                  <c:v>2019</c:v>
                </c:pt>
                <c:pt idx="50">
                  <c:v>2020</c:v>
                </c:pt>
                <c:pt idx="51">
                  <c:v>2021</c:v>
                </c:pt>
                <c:pt idx="52">
                  <c:v>2022</c:v>
                </c:pt>
              </c:strCache>
            </c:strRef>
          </c:cat>
          <c:val>
            <c:numRef>
              <c:f>1</c:f>
              <c:numCache>
                <c:formatCode>General</c:formatCode>
                <c:ptCount val="53"/>
                <c:pt idx="0">
                  <c:v>7</c:v>
                </c:pt>
                <c:pt idx="1">
                  <c:v>7.4</c:v>
                </c:pt>
                <c:pt idx="2">
                  <c:v>7.6</c:v>
                </c:pt>
                <c:pt idx="3">
                  <c:v>7.5</c:v>
                </c:pt>
                <c:pt idx="4">
                  <c:v>7.9</c:v>
                </c:pt>
                <c:pt idx="5">
                  <c:v>8.9</c:v>
                </c:pt>
                <c:pt idx="6">
                  <c:v>6.5</c:v>
                </c:pt>
                <c:pt idx="7">
                  <c:v>7.9</c:v>
                </c:pt>
                <c:pt idx="8">
                  <c:v>6.7</c:v>
                </c:pt>
                <c:pt idx="9">
                  <c:v>7.4</c:v>
                </c:pt>
                <c:pt idx="10">
                  <c:v>6.2</c:v>
                </c:pt>
                <c:pt idx="11">
                  <c:v>7.8</c:v>
                </c:pt>
                <c:pt idx="12">
                  <c:v>8.1999999999999993</c:v>
                </c:pt>
                <c:pt idx="13">
                  <c:v>8.8000000000000007</c:v>
                </c:pt>
                <c:pt idx="14">
                  <c:v>7.3</c:v>
                </c:pt>
                <c:pt idx="15">
                  <c:v>5.8</c:v>
                </c:pt>
                <c:pt idx="16">
                  <c:v>7</c:v>
                </c:pt>
                <c:pt idx="17">
                  <c:v>5.6</c:v>
                </c:pt>
                <c:pt idx="18">
                  <c:v>7.1</c:v>
                </c:pt>
                <c:pt idx="19">
                  <c:v>8.6999999999999993</c:v>
                </c:pt>
                <c:pt idx="20">
                  <c:v>8.5</c:v>
                </c:pt>
                <c:pt idx="21">
                  <c:v>7.4</c:v>
                </c:pt>
                <c:pt idx="22">
                  <c:v>7.9</c:v>
                </c:pt>
                <c:pt idx="23">
                  <c:v>6.8</c:v>
                </c:pt>
                <c:pt idx="24">
                  <c:v>8.4</c:v>
                </c:pt>
                <c:pt idx="25">
                  <c:v>7.7</c:v>
                </c:pt>
                <c:pt idx="26">
                  <c:v>6.3</c:v>
                </c:pt>
                <c:pt idx="27">
                  <c:v>7.6</c:v>
                </c:pt>
                <c:pt idx="28">
                  <c:v>7.6</c:v>
                </c:pt>
                <c:pt idx="29">
                  <c:v>8.6999999999999993</c:v>
                </c:pt>
                <c:pt idx="30">
                  <c:v>9.1999999999999993</c:v>
                </c:pt>
                <c:pt idx="31">
                  <c:v>8.1</c:v>
                </c:pt>
                <c:pt idx="32">
                  <c:v>8.8000000000000007</c:v>
                </c:pt>
                <c:pt idx="33">
                  <c:v>7.9</c:v>
                </c:pt>
                <c:pt idx="34">
                  <c:v>8</c:v>
                </c:pt>
                <c:pt idx="35">
                  <c:v>8</c:v>
                </c:pt>
                <c:pt idx="36">
                  <c:v>9.6999999999999993</c:v>
                </c:pt>
                <c:pt idx="37">
                  <c:v>9</c:v>
                </c:pt>
                <c:pt idx="38">
                  <c:v>9.1999999999999993</c:v>
                </c:pt>
                <c:pt idx="39">
                  <c:v>8.5</c:v>
                </c:pt>
                <c:pt idx="40">
                  <c:v>8.1999999999999993</c:v>
                </c:pt>
                <c:pt idx="41">
                  <c:v>8.6</c:v>
                </c:pt>
                <c:pt idx="42">
                  <c:v>8.3000000000000007</c:v>
                </c:pt>
                <c:pt idx="43">
                  <c:v>8.6999999999999993</c:v>
                </c:pt>
                <c:pt idx="44">
                  <c:v>9.3000000000000007</c:v>
                </c:pt>
                <c:pt idx="45">
                  <c:v>9.9</c:v>
                </c:pt>
                <c:pt idx="46">
                  <c:v>9.3000000000000007</c:v>
                </c:pt>
                <c:pt idx="47">
                  <c:v>9.1</c:v>
                </c:pt>
                <c:pt idx="48">
                  <c:v>9.6</c:v>
                </c:pt>
                <c:pt idx="49">
                  <c:v>10.3</c:v>
                </c:pt>
                <c:pt idx="50">
                  <c:v>10.199999999999999</c:v>
                </c:pt>
                <c:pt idx="51">
                  <c:v>8.5</c:v>
                </c:pt>
                <c:pt idx="52">
                  <c:v>9.4</c:v>
                </c:pt>
              </c:numCache>
            </c:numRef>
          </c:val>
          <c:smooth val="0"/>
        </c:ser>
        <c:dLbls>
          <c:showLegendKey val="0"/>
          <c:showVal val="0"/>
          <c:showCatName val="0"/>
          <c:showSerName val="0"/>
          <c:showPercent val="0"/>
          <c:showBubbleSize val="0"/>
        </c:dLbls>
        <c:hiLowLines>
          <c:spPr>
            <a:ln w="0">
              <a:noFill/>
            </a:ln>
          </c:spPr>
        </c:hiLowLines>
        <c:marker val="1"/>
        <c:smooth val="0"/>
        <c:axId val="212083456"/>
        <c:axId val="212084992"/>
      </c:lineChart>
      <c:catAx>
        <c:axId val="212083456"/>
        <c:scaling>
          <c:orientation val="minMax"/>
        </c:scaling>
        <c:delete val="0"/>
        <c:axPos val="b"/>
        <c:numFmt formatCode="[$-422]dd/mm/yyyy" sourceLinked="0"/>
        <c:majorTickMark val="out"/>
        <c:minorTickMark val="none"/>
        <c:tickLblPos val="nextTo"/>
        <c:spPr>
          <a:ln w="0">
            <a:solidFill>
              <a:srgbClr val="B3B3B3"/>
            </a:solidFill>
          </a:ln>
        </c:spPr>
        <c:txPr>
          <a:bodyPr rot="-3000000"/>
          <a:lstStyle/>
          <a:p>
            <a:pPr>
              <a:defRPr sz="800" b="0" strike="noStrike" spc="-1">
                <a:solidFill>
                  <a:srgbClr val="000000"/>
                </a:solidFill>
                <a:latin typeface="Arial"/>
              </a:defRPr>
            </a:pPr>
            <a:endParaRPr lang="uk-UA"/>
          </a:p>
        </c:txPr>
        <c:crossAx val="212084992"/>
        <c:crosses val="autoZero"/>
        <c:auto val="1"/>
        <c:lblAlgn val="ctr"/>
        <c:lblOffset val="100"/>
        <c:noMultiLvlLbl val="0"/>
      </c:catAx>
      <c:valAx>
        <c:axId val="212084992"/>
        <c:scaling>
          <c:orientation val="minMax"/>
        </c:scaling>
        <c:delete val="0"/>
        <c:axPos val="l"/>
        <c:majorGridlines>
          <c:spPr>
            <a:ln w="0">
              <a:solidFill>
                <a:srgbClr val="B3B3B3"/>
              </a:solidFill>
            </a:ln>
          </c:spPr>
        </c:majorGridlines>
        <c:numFmt formatCode="General" sourceLinked="0"/>
        <c:majorTickMark val="out"/>
        <c:minorTickMark val="none"/>
        <c:tickLblPos val="nextTo"/>
        <c:spPr>
          <a:ln w="0">
            <a:solidFill>
              <a:srgbClr val="B3B3B3"/>
            </a:solidFill>
          </a:ln>
        </c:spPr>
        <c:txPr>
          <a:bodyPr/>
          <a:lstStyle/>
          <a:p>
            <a:pPr>
              <a:defRPr sz="1000" b="0" strike="noStrike" spc="-1">
                <a:solidFill>
                  <a:srgbClr val="000000"/>
                </a:solidFill>
                <a:latin typeface="Arial"/>
              </a:defRPr>
            </a:pPr>
            <a:endParaRPr lang="uk-UA"/>
          </a:p>
        </c:txPr>
        <c:crossAx val="212083456"/>
        <c:crosses val="autoZero"/>
        <c:crossBetween val="midCat"/>
      </c:valAx>
      <c:spPr>
        <a:noFill/>
        <a:ln w="0">
          <a:solidFill>
            <a:srgbClr val="B3B3B3"/>
          </a:solidFill>
          <a:prstDash val="sysDot"/>
        </a:ln>
      </c:spPr>
    </c:plotArea>
    <c:legend>
      <c:legendPos val="b"/>
      <c:layout>
        <c:manualLayout>
          <c:xMode val="edge"/>
          <c:yMode val="edge"/>
          <c:x val="3.5000000000000003E-2"/>
          <c:y val="0.86144444444444501"/>
          <c:w val="0.96487280455028401"/>
          <c:h val="0.13834870541171199"/>
        </c:manualLayout>
      </c:layout>
      <c:overlay val="0"/>
      <c:spPr>
        <a:noFill/>
        <a:ln w="0">
          <a:noFill/>
        </a:ln>
      </c:spPr>
      <c:txPr>
        <a:bodyPr/>
        <a:lstStyle/>
        <a:p>
          <a:pPr>
            <a:defRPr sz="800" b="0" strike="noStrike" spc="-1">
              <a:solidFill>
                <a:srgbClr val="000000"/>
              </a:solidFill>
              <a:latin typeface="Arial"/>
            </a:defRPr>
          </a:pPr>
          <a:endParaRPr lang="uk-UA"/>
        </a:p>
      </c:txPr>
    </c:legend>
    <c:plotVisOnly val="1"/>
    <c:dispBlanksAs val="gap"/>
    <c:showDLblsOverMax val="1"/>
  </c:chart>
  <c:spPr>
    <a:noFill/>
    <a:ln w="0">
      <a:noFill/>
    </a:ln>
  </c:spPr>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autoTitleDeleted val="1"/>
    <c:plotArea>
      <c:layout/>
      <c:barChart>
        <c:barDir val="col"/>
        <c:grouping val="clustered"/>
        <c:varyColors val="0"/>
        <c:ser>
          <c:idx val="0"/>
          <c:order val="0"/>
          <c:tx>
            <c:strRef>
              <c:f>label 0</c:f>
              <c:strCache>
                <c:ptCount val="1"/>
                <c:pt idx="0">
                  <c:v>Доходи бюджету громади</c:v>
                </c:pt>
              </c:strCache>
            </c:strRef>
          </c:tx>
          <c:spPr>
            <a:solidFill>
              <a:srgbClr val="4F81BD"/>
            </a:solidFill>
            <a:ln w="0">
              <a:noFill/>
            </a:ln>
          </c:spPr>
          <c:invertIfNegative val="0"/>
          <c:dLbls>
            <c:txPr>
              <a:bodyPr wrap="square"/>
              <a:lstStyle/>
              <a:p>
                <a:pPr>
                  <a:defRPr sz="1000" b="0" strike="noStrike" spc="-1">
                    <a:solidFill>
                      <a:srgbClr val="000000"/>
                    </a:solidFill>
                    <a:latin typeface="Calibri"/>
                  </a:defRPr>
                </a:pPr>
                <a:endParaRPr lang="uk-UA"/>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2"/>
                <c:pt idx="0">
                  <c:v>2007</c:v>
                </c:pt>
                <c:pt idx="1">
                  <c:v>2012</c:v>
                </c:pt>
                <c:pt idx="2">
                  <c:v>2013</c:v>
                </c:pt>
                <c:pt idx="3">
                  <c:v>2014</c:v>
                </c:pt>
                <c:pt idx="4">
                  <c:v>2015</c:v>
                </c:pt>
                <c:pt idx="5">
                  <c:v>2016</c:v>
                </c:pt>
                <c:pt idx="6">
                  <c:v>2017</c:v>
                </c:pt>
                <c:pt idx="7">
                  <c:v>2018</c:v>
                </c:pt>
                <c:pt idx="8">
                  <c:v>2019</c:v>
                </c:pt>
                <c:pt idx="9">
                  <c:v>2020</c:v>
                </c:pt>
                <c:pt idx="10">
                  <c:v>2021</c:v>
                </c:pt>
                <c:pt idx="11">
                  <c:v>2022</c:v>
                </c:pt>
              </c:strCache>
            </c:strRef>
          </c:cat>
          <c:val>
            <c:numRef>
              <c:f>0</c:f>
              <c:numCache>
                <c:formatCode>General</c:formatCode>
                <c:ptCount val="12"/>
                <c:pt idx="0">
                  <c:v>409.7</c:v>
                </c:pt>
                <c:pt idx="1">
                  <c:v>936.1</c:v>
                </c:pt>
                <c:pt idx="2">
                  <c:v>863.6</c:v>
                </c:pt>
                <c:pt idx="3">
                  <c:v>1095</c:v>
                </c:pt>
                <c:pt idx="4">
                  <c:v>1308.9000000000001</c:v>
                </c:pt>
                <c:pt idx="5">
                  <c:v>1744.8</c:v>
                </c:pt>
                <c:pt idx="6">
                  <c:v>2344.6999999999998</c:v>
                </c:pt>
                <c:pt idx="7">
                  <c:v>2654.6</c:v>
                </c:pt>
                <c:pt idx="8">
                  <c:v>2546.5</c:v>
                </c:pt>
                <c:pt idx="9">
                  <c:v>2229.1</c:v>
                </c:pt>
                <c:pt idx="10">
                  <c:v>2859.2</c:v>
                </c:pt>
                <c:pt idx="11">
                  <c:v>3121.8</c:v>
                </c:pt>
              </c:numCache>
            </c:numRef>
          </c:val>
        </c:ser>
        <c:ser>
          <c:idx val="1"/>
          <c:order val="1"/>
          <c:tx>
            <c:strRef>
              <c:f>label 1</c:f>
              <c:strCache>
                <c:ptCount val="1"/>
                <c:pt idx="0">
                  <c:v>Доходи загального фонду бюджету громади</c:v>
                </c:pt>
              </c:strCache>
            </c:strRef>
          </c:tx>
          <c:spPr>
            <a:solidFill>
              <a:srgbClr val="C0504D"/>
            </a:solidFill>
            <a:ln w="0">
              <a:noFill/>
            </a:ln>
          </c:spPr>
          <c:invertIfNegative val="0"/>
          <c:dLbls>
            <c:txPr>
              <a:bodyPr wrap="square"/>
              <a:lstStyle/>
              <a:p>
                <a:pPr>
                  <a:defRPr sz="1000" b="0" strike="noStrike" spc="-1">
                    <a:solidFill>
                      <a:srgbClr val="000000"/>
                    </a:solidFill>
                    <a:latin typeface="Calibri"/>
                  </a:defRPr>
                </a:pPr>
                <a:endParaRPr lang="uk-UA"/>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2"/>
                <c:pt idx="0">
                  <c:v>2007</c:v>
                </c:pt>
                <c:pt idx="1">
                  <c:v>2012</c:v>
                </c:pt>
                <c:pt idx="2">
                  <c:v>2013</c:v>
                </c:pt>
                <c:pt idx="3">
                  <c:v>2014</c:v>
                </c:pt>
                <c:pt idx="4">
                  <c:v>2015</c:v>
                </c:pt>
                <c:pt idx="5">
                  <c:v>2016</c:v>
                </c:pt>
                <c:pt idx="6">
                  <c:v>2017</c:v>
                </c:pt>
                <c:pt idx="7">
                  <c:v>2018</c:v>
                </c:pt>
                <c:pt idx="8">
                  <c:v>2019</c:v>
                </c:pt>
                <c:pt idx="9">
                  <c:v>2020</c:v>
                </c:pt>
                <c:pt idx="10">
                  <c:v>2021</c:v>
                </c:pt>
                <c:pt idx="11">
                  <c:v>2022</c:v>
                </c:pt>
              </c:strCache>
            </c:strRef>
          </c:cat>
          <c:val>
            <c:numRef>
              <c:f>1</c:f>
              <c:numCache>
                <c:formatCode>General</c:formatCode>
                <c:ptCount val="12"/>
                <c:pt idx="0">
                  <c:v>328.3</c:v>
                </c:pt>
                <c:pt idx="1">
                  <c:v>808.4</c:v>
                </c:pt>
                <c:pt idx="2">
                  <c:v>743.7</c:v>
                </c:pt>
                <c:pt idx="3">
                  <c:v>797.4</c:v>
                </c:pt>
                <c:pt idx="4">
                  <c:v>1226.3</c:v>
                </c:pt>
                <c:pt idx="5">
                  <c:v>1660.3</c:v>
                </c:pt>
                <c:pt idx="6">
                  <c:v>2239.5</c:v>
                </c:pt>
                <c:pt idx="7">
                  <c:v>2538.1999999999998</c:v>
                </c:pt>
                <c:pt idx="8">
                  <c:v>2443.6</c:v>
                </c:pt>
                <c:pt idx="9">
                  <c:v>2069.4</c:v>
                </c:pt>
                <c:pt idx="10">
                  <c:v>2602.4</c:v>
                </c:pt>
                <c:pt idx="11">
                  <c:v>3012.4</c:v>
                </c:pt>
              </c:numCache>
            </c:numRef>
          </c:val>
        </c:ser>
        <c:ser>
          <c:idx val="2"/>
          <c:order val="2"/>
          <c:tx>
            <c:strRef>
              <c:f>label 2</c:f>
              <c:strCache>
                <c:ptCount val="1"/>
                <c:pt idx="0">
                  <c:v>Доходи спеціального фонду буюджету громади</c:v>
                </c:pt>
              </c:strCache>
            </c:strRef>
          </c:tx>
          <c:spPr>
            <a:solidFill>
              <a:srgbClr val="9BBB59"/>
            </a:solidFill>
            <a:ln w="0">
              <a:noFill/>
            </a:ln>
          </c:spPr>
          <c:invertIfNegative val="0"/>
          <c:dLbls>
            <c:txPr>
              <a:bodyPr wrap="square"/>
              <a:lstStyle/>
              <a:p>
                <a:pPr>
                  <a:defRPr sz="1000" b="0" strike="noStrike" spc="-1">
                    <a:solidFill>
                      <a:srgbClr val="000000"/>
                    </a:solidFill>
                    <a:latin typeface="Calibri"/>
                  </a:defRPr>
                </a:pPr>
                <a:endParaRPr lang="uk-UA"/>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2"/>
                <c:pt idx="0">
                  <c:v>2007</c:v>
                </c:pt>
                <c:pt idx="1">
                  <c:v>2012</c:v>
                </c:pt>
                <c:pt idx="2">
                  <c:v>2013</c:v>
                </c:pt>
                <c:pt idx="3">
                  <c:v>2014</c:v>
                </c:pt>
                <c:pt idx="4">
                  <c:v>2015</c:v>
                </c:pt>
                <c:pt idx="5">
                  <c:v>2016</c:v>
                </c:pt>
                <c:pt idx="6">
                  <c:v>2017</c:v>
                </c:pt>
                <c:pt idx="7">
                  <c:v>2018</c:v>
                </c:pt>
                <c:pt idx="8">
                  <c:v>2019</c:v>
                </c:pt>
                <c:pt idx="9">
                  <c:v>2020</c:v>
                </c:pt>
                <c:pt idx="10">
                  <c:v>2021</c:v>
                </c:pt>
                <c:pt idx="11">
                  <c:v>2022</c:v>
                </c:pt>
              </c:strCache>
            </c:strRef>
          </c:cat>
          <c:val>
            <c:numRef>
              <c:f>2</c:f>
              <c:numCache>
                <c:formatCode>General</c:formatCode>
                <c:ptCount val="12"/>
                <c:pt idx="0">
                  <c:v>81.400000000000006</c:v>
                </c:pt>
                <c:pt idx="1">
                  <c:v>127.6</c:v>
                </c:pt>
                <c:pt idx="2">
                  <c:v>119.9</c:v>
                </c:pt>
                <c:pt idx="3">
                  <c:v>297.60000000000002</c:v>
                </c:pt>
                <c:pt idx="4">
                  <c:v>82.6</c:v>
                </c:pt>
                <c:pt idx="5">
                  <c:v>84.5</c:v>
                </c:pt>
                <c:pt idx="6">
                  <c:v>105.2</c:v>
                </c:pt>
                <c:pt idx="7">
                  <c:v>116.4</c:v>
                </c:pt>
                <c:pt idx="8">
                  <c:v>102.9</c:v>
                </c:pt>
                <c:pt idx="9">
                  <c:v>159.69999999999999</c:v>
                </c:pt>
                <c:pt idx="10">
                  <c:v>256.7</c:v>
                </c:pt>
                <c:pt idx="11">
                  <c:v>109.4</c:v>
                </c:pt>
              </c:numCache>
            </c:numRef>
          </c:val>
        </c:ser>
        <c:dLbls>
          <c:showLegendKey val="0"/>
          <c:showVal val="0"/>
          <c:showCatName val="0"/>
          <c:showSerName val="0"/>
          <c:showPercent val="0"/>
          <c:showBubbleSize val="0"/>
        </c:dLbls>
        <c:gapWidth val="150"/>
        <c:axId val="286846976"/>
        <c:axId val="286848512"/>
      </c:barChart>
      <c:lineChart>
        <c:grouping val="standard"/>
        <c:varyColors val="0"/>
        <c:ser>
          <c:idx val="3"/>
          <c:order val="3"/>
          <c:tx>
            <c:strRef>
              <c:f>label 3</c:f>
              <c:strCache>
                <c:ptCount val="1"/>
                <c:pt idx="0">
                  <c:v>Інфляційне зростання </c:v>
                </c:pt>
              </c:strCache>
            </c:strRef>
          </c:tx>
          <c:spPr>
            <a:ln w="28440">
              <a:solidFill>
                <a:srgbClr val="7D5FA0"/>
              </a:solidFill>
              <a:round/>
            </a:ln>
          </c:spPr>
          <c:marker>
            <c:symbol val="none"/>
          </c:marker>
          <c:dLbls>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2"/>
                <c:pt idx="0">
                  <c:v>2007</c:v>
                </c:pt>
                <c:pt idx="1">
                  <c:v>2012</c:v>
                </c:pt>
                <c:pt idx="2">
                  <c:v>2013</c:v>
                </c:pt>
                <c:pt idx="3">
                  <c:v>2014</c:v>
                </c:pt>
                <c:pt idx="4">
                  <c:v>2015</c:v>
                </c:pt>
                <c:pt idx="5">
                  <c:v>2016</c:v>
                </c:pt>
                <c:pt idx="6">
                  <c:v>2017</c:v>
                </c:pt>
                <c:pt idx="7">
                  <c:v>2018</c:v>
                </c:pt>
                <c:pt idx="8">
                  <c:v>2019</c:v>
                </c:pt>
                <c:pt idx="9">
                  <c:v>2020</c:v>
                </c:pt>
                <c:pt idx="10">
                  <c:v>2021</c:v>
                </c:pt>
                <c:pt idx="11">
                  <c:v>2022</c:v>
                </c:pt>
              </c:strCache>
            </c:strRef>
          </c:cat>
          <c:val>
            <c:numRef>
              <c:f>3</c:f>
              <c:numCache>
                <c:formatCode>General</c:formatCode>
                <c:ptCount val="12"/>
                <c:pt idx="0">
                  <c:v>1</c:v>
                </c:pt>
                <c:pt idx="1">
                  <c:v>1</c:v>
                </c:pt>
                <c:pt idx="2">
                  <c:v>1</c:v>
                </c:pt>
                <c:pt idx="3">
                  <c:v>1.3</c:v>
                </c:pt>
                <c:pt idx="4">
                  <c:v>1.8</c:v>
                </c:pt>
                <c:pt idx="5">
                  <c:v>2</c:v>
                </c:pt>
                <c:pt idx="6">
                  <c:v>2.2999999999999998</c:v>
                </c:pt>
                <c:pt idx="7">
                  <c:v>2.5</c:v>
                </c:pt>
                <c:pt idx="8">
                  <c:v>2.6</c:v>
                </c:pt>
                <c:pt idx="9">
                  <c:v>2.8</c:v>
                </c:pt>
                <c:pt idx="10">
                  <c:v>3</c:v>
                </c:pt>
                <c:pt idx="11">
                  <c:v>3.8</c:v>
                </c:pt>
              </c:numCache>
            </c:numRef>
          </c:val>
          <c:smooth val="0"/>
        </c:ser>
        <c:dLbls>
          <c:showLegendKey val="0"/>
          <c:showVal val="0"/>
          <c:showCatName val="0"/>
          <c:showSerName val="0"/>
          <c:showPercent val="0"/>
          <c:showBubbleSize val="0"/>
        </c:dLbls>
        <c:hiLowLines>
          <c:spPr>
            <a:ln w="0">
              <a:noFill/>
            </a:ln>
          </c:spPr>
        </c:hiLowLines>
        <c:marker val="1"/>
        <c:smooth val="0"/>
        <c:axId val="160538624"/>
        <c:axId val="160540160"/>
      </c:lineChart>
      <c:catAx>
        <c:axId val="286846976"/>
        <c:scaling>
          <c:orientation val="minMax"/>
        </c:scaling>
        <c:delete val="0"/>
        <c:axPos val="b"/>
        <c:majorGridlines>
          <c:spPr>
            <a:ln w="0">
              <a:solidFill>
                <a:srgbClr val="B3B3B3"/>
              </a:solidFill>
            </a:ln>
          </c:spPr>
        </c:majorGridlines>
        <c:numFmt formatCode="General" sourceLinked="0"/>
        <c:majorTickMark val="out"/>
        <c:minorTickMark val="none"/>
        <c:tickLblPos val="nextTo"/>
        <c:spPr>
          <a:ln w="9360">
            <a:solidFill>
              <a:srgbClr val="878787"/>
            </a:solidFill>
            <a:round/>
          </a:ln>
        </c:spPr>
        <c:txPr>
          <a:bodyPr rot="-3000000"/>
          <a:lstStyle/>
          <a:p>
            <a:pPr>
              <a:defRPr sz="1000" b="0" strike="noStrike" spc="-1">
                <a:solidFill>
                  <a:srgbClr val="000000"/>
                </a:solidFill>
                <a:latin typeface="Calibri"/>
              </a:defRPr>
            </a:pPr>
            <a:endParaRPr lang="uk-UA"/>
          </a:p>
        </c:txPr>
        <c:crossAx val="286848512"/>
        <c:crosses val="autoZero"/>
        <c:auto val="1"/>
        <c:lblAlgn val="ctr"/>
        <c:lblOffset val="100"/>
        <c:noMultiLvlLbl val="0"/>
      </c:catAx>
      <c:valAx>
        <c:axId val="286848512"/>
        <c:scaling>
          <c:orientation val="minMax"/>
        </c:scaling>
        <c:delete val="0"/>
        <c:axPos val="l"/>
        <c:majorGridlines>
          <c:spPr>
            <a:ln w="9360">
              <a:solidFill>
                <a:srgbClr val="878787"/>
              </a:solidFill>
              <a:round/>
            </a:ln>
          </c:spPr>
        </c:majorGridlines>
        <c:title>
          <c:tx>
            <c:rich>
              <a:bodyPr rot="-5400000"/>
              <a:lstStyle/>
              <a:p>
                <a:pPr>
                  <a:defRPr lang="uk-UA" sz="900" b="0" strike="noStrike" spc="-1">
                    <a:solidFill>
                      <a:srgbClr val="000000"/>
                    </a:solidFill>
                    <a:latin typeface="Calibri"/>
                  </a:defRPr>
                </a:pPr>
                <a:r>
                  <a:rPr lang="uk-UA" sz="900" b="0" strike="noStrike" spc="-1">
                    <a:solidFill>
                      <a:srgbClr val="000000"/>
                    </a:solidFill>
                    <a:latin typeface="Calibri"/>
                  </a:rPr>
                  <a:t>млн грн</a:t>
                </a:r>
              </a:p>
            </c:rich>
          </c:tx>
          <c:layout>
            <c:manualLayout>
              <c:xMode val="edge"/>
              <c:yMode val="edge"/>
              <c:x val="3.0437499999999999E-2"/>
              <c:y val="0.15377777777777801"/>
            </c:manualLayout>
          </c:layout>
          <c:overlay val="0"/>
          <c:spPr>
            <a:noFill/>
            <a:ln w="0">
              <a:noFill/>
            </a:ln>
          </c:spPr>
        </c:title>
        <c:numFmt formatCode="General" sourceLinked="0"/>
        <c:majorTickMark val="out"/>
        <c:minorTickMark val="none"/>
        <c:tickLblPos val="nextTo"/>
        <c:spPr>
          <a:ln w="9360">
            <a:solidFill>
              <a:srgbClr val="878787"/>
            </a:solidFill>
            <a:round/>
          </a:ln>
        </c:spPr>
        <c:txPr>
          <a:bodyPr/>
          <a:lstStyle/>
          <a:p>
            <a:pPr>
              <a:defRPr sz="1000" b="0" strike="noStrike" spc="-1">
                <a:solidFill>
                  <a:srgbClr val="000000"/>
                </a:solidFill>
                <a:latin typeface="Calibri"/>
              </a:defRPr>
            </a:pPr>
            <a:endParaRPr lang="uk-UA"/>
          </a:p>
        </c:txPr>
        <c:crossAx val="286846976"/>
        <c:crosses val="autoZero"/>
        <c:crossBetween val="between"/>
      </c:valAx>
      <c:catAx>
        <c:axId val="160538624"/>
        <c:scaling>
          <c:orientation val="minMax"/>
        </c:scaling>
        <c:delete val="1"/>
        <c:axPos val="b"/>
        <c:numFmt formatCode="[$-422]dd/mm/yyyy" sourceLinked="1"/>
        <c:majorTickMark val="out"/>
        <c:minorTickMark val="none"/>
        <c:tickLblPos val="none"/>
        <c:crossAx val="160540160"/>
        <c:crosses val="autoZero"/>
        <c:auto val="1"/>
        <c:lblAlgn val="ctr"/>
        <c:lblOffset val="100"/>
        <c:noMultiLvlLbl val="0"/>
      </c:catAx>
      <c:valAx>
        <c:axId val="160540160"/>
        <c:scaling>
          <c:orientation val="minMax"/>
        </c:scaling>
        <c:delete val="0"/>
        <c:axPos val="r"/>
        <c:title>
          <c:tx>
            <c:rich>
              <a:bodyPr rot="0"/>
              <a:lstStyle/>
              <a:p>
                <a:pPr>
                  <a:defRPr lang="uk-UA" sz="900" b="0" strike="noStrike" spc="-1">
                    <a:solidFill>
                      <a:srgbClr val="000000"/>
                    </a:solidFill>
                    <a:latin typeface="Calibri"/>
                  </a:defRPr>
                </a:pPr>
                <a:r>
                  <a:rPr lang="uk-UA" sz="900" b="0" strike="noStrike" spc="-1">
                    <a:solidFill>
                      <a:srgbClr val="000000"/>
                    </a:solidFill>
                    <a:latin typeface="Calibri"/>
                  </a:rPr>
                  <a:t> %</a:t>
                </a:r>
              </a:p>
            </c:rich>
          </c:tx>
          <c:layout>
            <c:manualLayout>
              <c:xMode val="edge"/>
              <c:yMode val="edge"/>
              <c:x val="0.94806250000000003"/>
              <c:y val="0.317"/>
            </c:manualLayout>
          </c:layout>
          <c:overlay val="0"/>
          <c:spPr>
            <a:noFill/>
            <a:ln w="0">
              <a:noFill/>
            </a:ln>
          </c:spPr>
        </c:title>
        <c:numFmt formatCode="General" sourceLinked="0"/>
        <c:majorTickMark val="out"/>
        <c:minorTickMark val="none"/>
        <c:tickLblPos val="nextTo"/>
        <c:spPr>
          <a:ln w="9360">
            <a:solidFill>
              <a:srgbClr val="878787"/>
            </a:solidFill>
            <a:round/>
          </a:ln>
        </c:spPr>
        <c:txPr>
          <a:bodyPr/>
          <a:lstStyle/>
          <a:p>
            <a:pPr>
              <a:defRPr sz="1000" b="0" strike="noStrike" spc="-1">
                <a:solidFill>
                  <a:srgbClr val="000000"/>
                </a:solidFill>
                <a:latin typeface="Calibri"/>
              </a:defRPr>
            </a:pPr>
            <a:endParaRPr lang="uk-UA"/>
          </a:p>
        </c:txPr>
        <c:crossAx val="160538624"/>
        <c:crosses val="max"/>
        <c:crossBetween val="between"/>
      </c:valAx>
      <c:spPr>
        <a:noFill/>
        <a:ln w="0">
          <a:noFill/>
        </a:ln>
      </c:spPr>
    </c:plotArea>
    <c:legend>
      <c:legendPos val="b"/>
      <c:overlay val="0"/>
      <c:spPr>
        <a:noFill/>
        <a:ln w="0">
          <a:noFill/>
        </a:ln>
      </c:spPr>
      <c:txPr>
        <a:bodyPr/>
        <a:lstStyle/>
        <a:p>
          <a:pPr>
            <a:defRPr sz="1000" b="0" strike="noStrike" spc="-1">
              <a:solidFill>
                <a:srgbClr val="000000"/>
              </a:solidFill>
              <a:latin typeface="Calibri"/>
            </a:defRPr>
          </a:pPr>
          <a:endParaRPr lang="uk-UA"/>
        </a:p>
      </c:txPr>
    </c:legend>
    <c:plotVisOnly val="1"/>
    <c:dispBlanksAs val="gap"/>
    <c:showDLblsOverMax val="1"/>
  </c:chart>
  <c:spPr>
    <a:solidFill>
      <a:srgbClr val="FFFFFF"/>
    </a:solidFill>
    <a:ln w="9360">
      <a:solidFill>
        <a:srgbClr val="D9D9D9"/>
      </a:solidFill>
      <a:round/>
    </a:ln>
  </c:spPr>
</c:chartSpace>
</file>

<file path=word/charts/chart40.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autoTitleDeleted val="1"/>
    <c:plotArea>
      <c:layout>
        <c:manualLayout>
          <c:layoutTarget val="inner"/>
          <c:xMode val="edge"/>
          <c:yMode val="edge"/>
          <c:x val="6.5312499999999996E-2"/>
          <c:y val="3.1333333333333303E-2"/>
          <c:w val="0.88537500000000002"/>
          <c:h val="0.58699999999999997"/>
        </c:manualLayout>
      </c:layout>
      <c:lineChart>
        <c:grouping val="standard"/>
        <c:varyColors val="0"/>
        <c:ser>
          <c:idx val="0"/>
          <c:order val="0"/>
          <c:tx>
            <c:strRef>
              <c:f>label 0</c:f>
              <c:strCache>
                <c:ptCount val="1"/>
                <c:pt idx="0">
                  <c:v>Кількість днів на рік з максимальною температурою повітря вище +30 °С</c:v>
                </c:pt>
              </c:strCache>
            </c:strRef>
          </c:tx>
          <c:spPr>
            <a:ln w="28800">
              <a:solidFill>
                <a:srgbClr val="F79646"/>
              </a:solidFill>
              <a:round/>
            </a:ln>
          </c:spPr>
          <c:marker>
            <c:symbol val="square"/>
            <c:size val="8"/>
            <c:spPr>
              <a:solidFill>
                <a:srgbClr val="F79646"/>
              </a:solidFill>
            </c:spPr>
          </c:marker>
          <c:dLbls>
            <c:txPr>
              <a:bodyPr wrap="none"/>
              <a:lstStyle/>
              <a:p>
                <a:pPr>
                  <a:defRPr sz="1000" b="0" strike="noStrike" spc="-1">
                    <a:solidFill>
                      <a:srgbClr val="000000"/>
                    </a:solidFill>
                    <a:latin typeface="Arial"/>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0</c:f>
              <c:numCache>
                <c:formatCode>General</c:formatCode>
                <c:ptCount val="23"/>
                <c:pt idx="0">
                  <c:v>13</c:v>
                </c:pt>
                <c:pt idx="1">
                  <c:v>15</c:v>
                </c:pt>
                <c:pt idx="2">
                  <c:v>14</c:v>
                </c:pt>
                <c:pt idx="3">
                  <c:v>15</c:v>
                </c:pt>
                <c:pt idx="4">
                  <c:v>10</c:v>
                </c:pt>
                <c:pt idx="5">
                  <c:v>7</c:v>
                </c:pt>
                <c:pt idx="6">
                  <c:v>12</c:v>
                </c:pt>
                <c:pt idx="7">
                  <c:v>17</c:v>
                </c:pt>
                <c:pt idx="8">
                  <c:v>10</c:v>
                </c:pt>
                <c:pt idx="9">
                  <c:v>8</c:v>
                </c:pt>
                <c:pt idx="10">
                  <c:v>24</c:v>
                </c:pt>
                <c:pt idx="11">
                  <c:v>15</c:v>
                </c:pt>
                <c:pt idx="12">
                  <c:v>29</c:v>
                </c:pt>
                <c:pt idx="13">
                  <c:v>14</c:v>
                </c:pt>
                <c:pt idx="14">
                  <c:v>11</c:v>
                </c:pt>
                <c:pt idx="15">
                  <c:v>28</c:v>
                </c:pt>
                <c:pt idx="16">
                  <c:v>33</c:v>
                </c:pt>
                <c:pt idx="17">
                  <c:v>17</c:v>
                </c:pt>
                <c:pt idx="18">
                  <c:v>17</c:v>
                </c:pt>
                <c:pt idx="19">
                  <c:v>25</c:v>
                </c:pt>
                <c:pt idx="20">
                  <c:v>8</c:v>
                </c:pt>
                <c:pt idx="21">
                  <c:v>23</c:v>
                </c:pt>
                <c:pt idx="22">
                  <c:v>20</c:v>
                </c:pt>
              </c:numCache>
            </c:numRef>
          </c:val>
          <c:smooth val="0"/>
        </c:ser>
        <c:dLbls>
          <c:showLegendKey val="0"/>
          <c:showVal val="0"/>
          <c:showCatName val="0"/>
          <c:showSerName val="0"/>
          <c:showPercent val="0"/>
          <c:showBubbleSize val="0"/>
        </c:dLbls>
        <c:hiLowLines>
          <c:spPr>
            <a:ln w="0">
              <a:noFill/>
            </a:ln>
          </c:spPr>
        </c:hiLowLines>
        <c:marker val="1"/>
        <c:smooth val="0"/>
        <c:axId val="212237312"/>
        <c:axId val="212239104"/>
      </c:lineChart>
      <c:catAx>
        <c:axId val="212237312"/>
        <c:scaling>
          <c:orientation val="minMax"/>
        </c:scaling>
        <c:delete val="0"/>
        <c:axPos val="b"/>
        <c:numFmt formatCode="[$-422]dd/mm/yyyy" sourceLinked="0"/>
        <c:majorTickMark val="out"/>
        <c:minorTickMark val="none"/>
        <c:tickLblPos val="nextTo"/>
        <c:spPr>
          <a:ln w="0">
            <a:solidFill>
              <a:srgbClr val="B3B3B3"/>
            </a:solidFill>
          </a:ln>
        </c:spPr>
        <c:txPr>
          <a:bodyPr/>
          <a:lstStyle/>
          <a:p>
            <a:pPr>
              <a:defRPr sz="1000" b="0" strike="noStrike" spc="-1">
                <a:solidFill>
                  <a:srgbClr val="000000"/>
                </a:solidFill>
                <a:latin typeface="Arial"/>
              </a:defRPr>
            </a:pPr>
            <a:endParaRPr lang="uk-UA"/>
          </a:p>
        </c:txPr>
        <c:crossAx val="212239104"/>
        <c:crosses val="autoZero"/>
        <c:auto val="1"/>
        <c:lblAlgn val="ctr"/>
        <c:lblOffset val="100"/>
        <c:noMultiLvlLbl val="0"/>
      </c:catAx>
      <c:valAx>
        <c:axId val="212239104"/>
        <c:scaling>
          <c:orientation val="minMax"/>
        </c:scaling>
        <c:delete val="0"/>
        <c:axPos val="l"/>
        <c:majorGridlines>
          <c:spPr>
            <a:ln w="0">
              <a:solidFill>
                <a:srgbClr val="B3B3B3"/>
              </a:solidFill>
            </a:ln>
          </c:spPr>
        </c:majorGridlines>
        <c:numFmt formatCode="General" sourceLinked="0"/>
        <c:majorTickMark val="out"/>
        <c:minorTickMark val="none"/>
        <c:tickLblPos val="nextTo"/>
        <c:spPr>
          <a:ln w="0">
            <a:solidFill>
              <a:srgbClr val="B3B3B3"/>
            </a:solidFill>
          </a:ln>
        </c:spPr>
        <c:txPr>
          <a:bodyPr/>
          <a:lstStyle/>
          <a:p>
            <a:pPr>
              <a:defRPr sz="1000" b="0" strike="noStrike" spc="-1">
                <a:solidFill>
                  <a:srgbClr val="000000"/>
                </a:solidFill>
                <a:latin typeface="Arial"/>
              </a:defRPr>
            </a:pPr>
            <a:endParaRPr lang="uk-UA"/>
          </a:p>
        </c:txPr>
        <c:crossAx val="212237312"/>
        <c:crosses val="autoZero"/>
        <c:crossBetween val="midCat"/>
      </c:valAx>
      <c:spPr>
        <a:noFill/>
        <a:ln w="0">
          <a:solidFill>
            <a:srgbClr val="B3B3B3"/>
          </a:solidFill>
        </a:ln>
      </c:spPr>
    </c:plotArea>
    <c:legend>
      <c:legendPos val="b"/>
      <c:layout>
        <c:manualLayout>
          <c:xMode val="edge"/>
          <c:yMode val="edge"/>
          <c:x val="2.9125000000000002E-2"/>
          <c:y val="0.81255555555555603"/>
          <c:w val="0.95543471466966701"/>
          <c:h val="8.0342260251138997E-2"/>
        </c:manualLayout>
      </c:layout>
      <c:overlay val="0"/>
      <c:spPr>
        <a:noFill/>
        <a:ln w="0">
          <a:noFill/>
        </a:ln>
      </c:spPr>
      <c:txPr>
        <a:bodyPr/>
        <a:lstStyle/>
        <a:p>
          <a:pPr>
            <a:defRPr sz="800" b="0" strike="noStrike" spc="-1">
              <a:solidFill>
                <a:srgbClr val="000000"/>
              </a:solidFill>
              <a:latin typeface="Arial"/>
            </a:defRPr>
          </a:pPr>
          <a:endParaRPr lang="uk-UA"/>
        </a:p>
      </c:txPr>
    </c:legend>
    <c:plotVisOnly val="1"/>
    <c:dispBlanksAs val="gap"/>
    <c:showDLblsOverMax val="1"/>
  </c:chart>
  <c:spPr>
    <a:noFill/>
    <a:ln w="0">
      <a:noFill/>
    </a:ln>
  </c:spPr>
</c:chartSpace>
</file>

<file path=word/charts/chart41.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autoTitleDeleted val="1"/>
    <c:plotArea>
      <c:layout/>
      <c:lineChart>
        <c:grouping val="standard"/>
        <c:varyColors val="0"/>
        <c:ser>
          <c:idx val="0"/>
          <c:order val="0"/>
          <c:tx>
            <c:strRef>
              <c:f>label 0</c:f>
              <c:strCache>
                <c:ptCount val="1"/>
                <c:pt idx="0">
                  <c:v>Кількість днів на рік</c:v>
                </c:pt>
              </c:strCache>
            </c:strRef>
          </c:tx>
          <c:spPr>
            <a:ln w="28800">
              <a:solidFill>
                <a:srgbClr val="004586"/>
              </a:solidFill>
              <a:round/>
            </a:ln>
          </c:spPr>
          <c:marker>
            <c:symbol val="square"/>
            <c:size val="8"/>
            <c:spPr>
              <a:solidFill>
                <a:srgbClr val="004586"/>
              </a:solidFill>
            </c:spPr>
          </c:marker>
          <c:dLbls>
            <c:txPr>
              <a:bodyPr wrap="none"/>
              <a:lstStyle/>
              <a:p>
                <a:pPr>
                  <a:defRPr sz="1000" b="0" strike="noStrike" spc="-1">
                    <a:solidFill>
                      <a:srgbClr val="000000"/>
                    </a:solidFill>
                    <a:latin typeface="Arial"/>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0</c:f>
              <c:numCache>
                <c:formatCode>General</c:formatCode>
                <c:ptCount val="23"/>
                <c:pt idx="0">
                  <c:v>2</c:v>
                </c:pt>
                <c:pt idx="1">
                  <c:v>4</c:v>
                </c:pt>
                <c:pt idx="2">
                  <c:v>5</c:v>
                </c:pt>
                <c:pt idx="3">
                  <c:v>5</c:v>
                </c:pt>
                <c:pt idx="4">
                  <c:v>0</c:v>
                </c:pt>
                <c:pt idx="5">
                  <c:v>2</c:v>
                </c:pt>
                <c:pt idx="6">
                  <c:v>10</c:v>
                </c:pt>
                <c:pt idx="7">
                  <c:v>0</c:v>
                </c:pt>
                <c:pt idx="8">
                  <c:v>0</c:v>
                </c:pt>
                <c:pt idx="9">
                  <c:v>2</c:v>
                </c:pt>
                <c:pt idx="10">
                  <c:v>6</c:v>
                </c:pt>
                <c:pt idx="11">
                  <c:v>0</c:v>
                </c:pt>
                <c:pt idx="12">
                  <c:v>13</c:v>
                </c:pt>
                <c:pt idx="13">
                  <c:v>0</c:v>
                </c:pt>
                <c:pt idx="14">
                  <c:v>0</c:v>
                </c:pt>
                <c:pt idx="15">
                  <c:v>0</c:v>
                </c:pt>
                <c:pt idx="16">
                  <c:v>0</c:v>
                </c:pt>
                <c:pt idx="17">
                  <c:v>1</c:v>
                </c:pt>
                <c:pt idx="18">
                  <c:v>0</c:v>
                </c:pt>
                <c:pt idx="19">
                  <c:v>0</c:v>
                </c:pt>
                <c:pt idx="20">
                  <c:v>0</c:v>
                </c:pt>
                <c:pt idx="21">
                  <c:v>1</c:v>
                </c:pt>
                <c:pt idx="22">
                  <c:v>0</c:v>
                </c:pt>
              </c:numCache>
            </c:numRef>
          </c:val>
          <c:smooth val="0"/>
        </c:ser>
        <c:dLbls>
          <c:showLegendKey val="0"/>
          <c:showVal val="0"/>
          <c:showCatName val="0"/>
          <c:showSerName val="0"/>
          <c:showPercent val="0"/>
          <c:showBubbleSize val="0"/>
        </c:dLbls>
        <c:hiLowLines>
          <c:spPr>
            <a:ln w="0">
              <a:noFill/>
            </a:ln>
          </c:spPr>
        </c:hiLowLines>
        <c:marker val="1"/>
        <c:smooth val="0"/>
        <c:axId val="212534400"/>
        <c:axId val="212535936"/>
      </c:lineChart>
      <c:catAx>
        <c:axId val="212534400"/>
        <c:scaling>
          <c:orientation val="minMax"/>
        </c:scaling>
        <c:delete val="0"/>
        <c:axPos val="b"/>
        <c:numFmt formatCode="[$-422]dd/mm/yyyy" sourceLinked="0"/>
        <c:majorTickMark val="out"/>
        <c:minorTickMark val="none"/>
        <c:tickLblPos val="nextTo"/>
        <c:spPr>
          <a:ln w="0">
            <a:solidFill>
              <a:srgbClr val="B3B3B3"/>
            </a:solidFill>
          </a:ln>
        </c:spPr>
        <c:txPr>
          <a:bodyPr/>
          <a:lstStyle/>
          <a:p>
            <a:pPr>
              <a:defRPr sz="900" b="0" strike="noStrike" spc="-1">
                <a:solidFill>
                  <a:srgbClr val="000000"/>
                </a:solidFill>
                <a:latin typeface="Arial"/>
              </a:defRPr>
            </a:pPr>
            <a:endParaRPr lang="uk-UA"/>
          </a:p>
        </c:txPr>
        <c:crossAx val="212535936"/>
        <c:crosses val="autoZero"/>
        <c:auto val="1"/>
        <c:lblAlgn val="ctr"/>
        <c:lblOffset val="100"/>
        <c:noMultiLvlLbl val="0"/>
      </c:catAx>
      <c:valAx>
        <c:axId val="212535936"/>
        <c:scaling>
          <c:orientation val="minMax"/>
        </c:scaling>
        <c:delete val="0"/>
        <c:axPos val="l"/>
        <c:majorGridlines>
          <c:spPr>
            <a:ln w="0">
              <a:solidFill>
                <a:srgbClr val="B3B3B3"/>
              </a:solidFill>
            </a:ln>
          </c:spPr>
        </c:majorGridlines>
        <c:numFmt formatCode="General" sourceLinked="0"/>
        <c:majorTickMark val="out"/>
        <c:minorTickMark val="none"/>
        <c:tickLblPos val="nextTo"/>
        <c:spPr>
          <a:ln w="0">
            <a:solidFill>
              <a:srgbClr val="B3B3B3"/>
            </a:solidFill>
          </a:ln>
        </c:spPr>
        <c:txPr>
          <a:bodyPr/>
          <a:lstStyle/>
          <a:p>
            <a:pPr>
              <a:defRPr sz="1000" b="0" strike="noStrike" spc="-1">
                <a:solidFill>
                  <a:srgbClr val="000000"/>
                </a:solidFill>
                <a:latin typeface="Arial"/>
              </a:defRPr>
            </a:pPr>
            <a:endParaRPr lang="uk-UA"/>
          </a:p>
        </c:txPr>
        <c:crossAx val="212534400"/>
        <c:crosses val="autoZero"/>
        <c:crossBetween val="midCat"/>
      </c:valAx>
      <c:spPr>
        <a:noFill/>
        <a:ln w="0">
          <a:solidFill>
            <a:srgbClr val="B3B3B3"/>
          </a:solidFill>
        </a:ln>
      </c:spPr>
    </c:plotArea>
    <c:legend>
      <c:legendPos val="b"/>
      <c:overlay val="0"/>
      <c:spPr>
        <a:noFill/>
        <a:ln w="0">
          <a:noFill/>
        </a:ln>
      </c:spPr>
      <c:txPr>
        <a:bodyPr/>
        <a:lstStyle/>
        <a:p>
          <a:pPr>
            <a:defRPr sz="800" b="0" strike="noStrike" spc="-1">
              <a:solidFill>
                <a:srgbClr val="000000"/>
              </a:solidFill>
              <a:latin typeface="Arial"/>
            </a:defRPr>
          </a:pPr>
          <a:endParaRPr lang="uk-UA"/>
        </a:p>
      </c:txPr>
    </c:legend>
    <c:plotVisOnly val="1"/>
    <c:dispBlanksAs val="gap"/>
    <c:showDLblsOverMax val="1"/>
  </c:chart>
  <c:spPr>
    <a:noFill/>
    <a:ln w="0">
      <a:noFill/>
    </a:ln>
  </c:spPr>
</c:chartSpace>
</file>

<file path=word/charts/chart42.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autoTitleDeleted val="1"/>
    <c:plotArea>
      <c:layout/>
      <c:lineChart>
        <c:grouping val="standard"/>
        <c:varyColors val="0"/>
        <c:ser>
          <c:idx val="0"/>
          <c:order val="0"/>
          <c:tx>
            <c:strRef>
              <c:f>label 0</c:f>
              <c:strCache>
                <c:ptCount val="1"/>
                <c:pt idx="0">
                  <c:v>Річна кількість опадів, мм</c:v>
                </c:pt>
              </c:strCache>
            </c:strRef>
          </c:tx>
          <c:spPr>
            <a:ln w="28800">
              <a:solidFill>
                <a:srgbClr val="004586"/>
              </a:solidFill>
              <a:round/>
            </a:ln>
          </c:spPr>
          <c:marker>
            <c:symbol val="square"/>
            <c:size val="8"/>
            <c:spPr>
              <a:solidFill>
                <a:srgbClr val="004586"/>
              </a:solidFill>
            </c:spPr>
          </c:marker>
          <c:dLbls>
            <c:txPr>
              <a:bodyPr wrap="none"/>
              <a:lstStyle/>
              <a:p>
                <a:pPr>
                  <a:defRPr sz="1000" b="0" strike="noStrike" spc="-1">
                    <a:solidFill>
                      <a:srgbClr val="000000"/>
                    </a:solidFill>
                    <a:latin typeface="Arial"/>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0</c:f>
              <c:numCache>
                <c:formatCode>General</c:formatCode>
                <c:ptCount val="23"/>
                <c:pt idx="0">
                  <c:v>469</c:v>
                </c:pt>
                <c:pt idx="1">
                  <c:v>504</c:v>
                </c:pt>
                <c:pt idx="2">
                  <c:v>478</c:v>
                </c:pt>
                <c:pt idx="3">
                  <c:v>517</c:v>
                </c:pt>
                <c:pt idx="4">
                  <c:v>606</c:v>
                </c:pt>
                <c:pt idx="5">
                  <c:v>554</c:v>
                </c:pt>
                <c:pt idx="6">
                  <c:v>631</c:v>
                </c:pt>
                <c:pt idx="7">
                  <c:v>701</c:v>
                </c:pt>
                <c:pt idx="8">
                  <c:v>758</c:v>
                </c:pt>
                <c:pt idx="9">
                  <c:v>654</c:v>
                </c:pt>
                <c:pt idx="10">
                  <c:v>703</c:v>
                </c:pt>
                <c:pt idx="11">
                  <c:v>421</c:v>
                </c:pt>
                <c:pt idx="12">
                  <c:v>815</c:v>
                </c:pt>
                <c:pt idx="13">
                  <c:v>684</c:v>
                </c:pt>
                <c:pt idx="14">
                  <c:v>639</c:v>
                </c:pt>
                <c:pt idx="15">
                  <c:v>523</c:v>
                </c:pt>
                <c:pt idx="16">
                  <c:v>554</c:v>
                </c:pt>
                <c:pt idx="17">
                  <c:v>641</c:v>
                </c:pt>
                <c:pt idx="18">
                  <c:v>552</c:v>
                </c:pt>
                <c:pt idx="19">
                  <c:v>535</c:v>
                </c:pt>
                <c:pt idx="20">
                  <c:v>606</c:v>
                </c:pt>
                <c:pt idx="21">
                  <c:v>642</c:v>
                </c:pt>
                <c:pt idx="22">
                  <c:v>746</c:v>
                </c:pt>
              </c:numCache>
            </c:numRef>
          </c:val>
          <c:smooth val="0"/>
        </c:ser>
        <c:dLbls>
          <c:showLegendKey val="0"/>
          <c:showVal val="0"/>
          <c:showCatName val="0"/>
          <c:showSerName val="0"/>
          <c:showPercent val="0"/>
          <c:showBubbleSize val="0"/>
        </c:dLbls>
        <c:hiLowLines>
          <c:spPr>
            <a:ln w="0">
              <a:noFill/>
            </a:ln>
          </c:spPr>
        </c:hiLowLines>
        <c:marker val="1"/>
        <c:smooth val="0"/>
        <c:axId val="212560896"/>
        <c:axId val="212566784"/>
      </c:lineChart>
      <c:catAx>
        <c:axId val="212560896"/>
        <c:scaling>
          <c:orientation val="minMax"/>
        </c:scaling>
        <c:delete val="0"/>
        <c:axPos val="b"/>
        <c:numFmt formatCode="[$-422]dd/mm/yyyy" sourceLinked="0"/>
        <c:majorTickMark val="out"/>
        <c:minorTickMark val="none"/>
        <c:tickLblPos val="nextTo"/>
        <c:spPr>
          <a:ln w="0">
            <a:solidFill>
              <a:srgbClr val="B3B3B3"/>
            </a:solidFill>
          </a:ln>
        </c:spPr>
        <c:txPr>
          <a:bodyPr/>
          <a:lstStyle/>
          <a:p>
            <a:pPr>
              <a:defRPr sz="900" b="0" strike="noStrike" spc="-1">
                <a:solidFill>
                  <a:srgbClr val="000000"/>
                </a:solidFill>
                <a:latin typeface="Arial"/>
              </a:defRPr>
            </a:pPr>
            <a:endParaRPr lang="uk-UA"/>
          </a:p>
        </c:txPr>
        <c:crossAx val="212566784"/>
        <c:crosses val="autoZero"/>
        <c:auto val="1"/>
        <c:lblAlgn val="ctr"/>
        <c:lblOffset val="100"/>
        <c:noMultiLvlLbl val="0"/>
      </c:catAx>
      <c:valAx>
        <c:axId val="212566784"/>
        <c:scaling>
          <c:orientation val="minMax"/>
        </c:scaling>
        <c:delete val="0"/>
        <c:axPos val="l"/>
        <c:majorGridlines>
          <c:spPr>
            <a:ln w="0">
              <a:solidFill>
                <a:srgbClr val="B3B3B3"/>
              </a:solidFill>
            </a:ln>
          </c:spPr>
        </c:majorGridlines>
        <c:numFmt formatCode="General" sourceLinked="0"/>
        <c:majorTickMark val="out"/>
        <c:minorTickMark val="none"/>
        <c:tickLblPos val="nextTo"/>
        <c:spPr>
          <a:ln w="0">
            <a:solidFill>
              <a:srgbClr val="B3B3B3"/>
            </a:solidFill>
          </a:ln>
        </c:spPr>
        <c:txPr>
          <a:bodyPr/>
          <a:lstStyle/>
          <a:p>
            <a:pPr>
              <a:defRPr sz="1000" b="0" strike="noStrike" spc="-1">
                <a:solidFill>
                  <a:srgbClr val="000000"/>
                </a:solidFill>
                <a:latin typeface="Arial"/>
              </a:defRPr>
            </a:pPr>
            <a:endParaRPr lang="uk-UA"/>
          </a:p>
        </c:txPr>
        <c:crossAx val="212560896"/>
        <c:crosses val="autoZero"/>
        <c:crossBetween val="midCat"/>
      </c:valAx>
      <c:spPr>
        <a:noFill/>
        <a:ln w="0">
          <a:solidFill>
            <a:srgbClr val="B3B3B3"/>
          </a:solidFill>
        </a:ln>
      </c:spPr>
    </c:plotArea>
    <c:legend>
      <c:legendPos val="b"/>
      <c:overlay val="0"/>
      <c:spPr>
        <a:noFill/>
        <a:ln w="0">
          <a:noFill/>
        </a:ln>
      </c:spPr>
      <c:txPr>
        <a:bodyPr/>
        <a:lstStyle/>
        <a:p>
          <a:pPr>
            <a:defRPr sz="800" b="0" strike="noStrike" spc="-1">
              <a:solidFill>
                <a:srgbClr val="000000"/>
              </a:solidFill>
              <a:latin typeface="Arial"/>
            </a:defRPr>
          </a:pPr>
          <a:endParaRPr lang="uk-UA"/>
        </a:p>
      </c:txPr>
    </c:legend>
    <c:plotVisOnly val="1"/>
    <c:dispBlanksAs val="gap"/>
    <c:showDLblsOverMax val="1"/>
  </c:chart>
  <c:spPr>
    <a:noFill/>
    <a:ln w="0">
      <a:noFill/>
    </a:ln>
  </c:spPr>
</c:chartSpace>
</file>

<file path=word/charts/chart43.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autoTitleDeleted val="1"/>
    <c:plotArea>
      <c:layout/>
      <c:barChart>
        <c:barDir val="col"/>
        <c:grouping val="clustered"/>
        <c:varyColors val="0"/>
        <c:ser>
          <c:idx val="0"/>
          <c:order val="0"/>
          <c:tx>
            <c:strRef>
              <c:f>label 0</c:f>
              <c:strCache>
                <c:ptCount val="1"/>
                <c:pt idx="0">
                  <c:v>Всього захворіло</c:v>
                </c:pt>
              </c:strCache>
            </c:strRef>
          </c:tx>
          <c:spPr>
            <a:solidFill>
              <a:srgbClr val="004586"/>
            </a:solidFill>
            <a:ln w="0">
              <a:noFill/>
            </a:ln>
          </c:spPr>
          <c:invertIfNegative val="0"/>
          <c:dLbls>
            <c:txPr>
              <a:bodyPr wrap="none"/>
              <a:lstStyle/>
              <a:p>
                <a:pPr>
                  <a:defRPr sz="1000" b="0" strike="noStrike" spc="-1">
                    <a:solidFill>
                      <a:srgbClr val="000000"/>
                    </a:solidFill>
                    <a:latin typeface="Arial"/>
                  </a:defRPr>
                </a:pPr>
                <a:endParaRPr lang="uk-UA"/>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1"/>
                <c:pt idx="0">
                  <c:v>2012</c:v>
                </c:pt>
                <c:pt idx="1">
                  <c:v>2013</c:v>
                </c:pt>
                <c:pt idx="2">
                  <c:v>2014</c:v>
                </c:pt>
                <c:pt idx="3">
                  <c:v>2015</c:v>
                </c:pt>
                <c:pt idx="4">
                  <c:v>2016</c:v>
                </c:pt>
                <c:pt idx="5">
                  <c:v>2017</c:v>
                </c:pt>
                <c:pt idx="6">
                  <c:v>2018</c:v>
                </c:pt>
                <c:pt idx="7">
                  <c:v>2019</c:v>
                </c:pt>
                <c:pt idx="8">
                  <c:v>2020</c:v>
                </c:pt>
                <c:pt idx="9">
                  <c:v>2021</c:v>
                </c:pt>
                <c:pt idx="10">
                  <c:v>2022</c:v>
                </c:pt>
              </c:strCache>
            </c:strRef>
          </c:cat>
          <c:val>
            <c:numRef>
              <c:f>0</c:f>
              <c:numCache>
                <c:formatCode>General</c:formatCode>
                <c:ptCount val="11"/>
                <c:pt idx="0">
                  <c:v>415</c:v>
                </c:pt>
                <c:pt idx="1">
                  <c:v>435</c:v>
                </c:pt>
                <c:pt idx="2">
                  <c:v>383</c:v>
                </c:pt>
                <c:pt idx="3">
                  <c:v>728</c:v>
                </c:pt>
                <c:pt idx="4">
                  <c:v>578</c:v>
                </c:pt>
                <c:pt idx="5">
                  <c:v>635</c:v>
                </c:pt>
                <c:pt idx="6">
                  <c:v>800</c:v>
                </c:pt>
                <c:pt idx="7">
                  <c:v>788</c:v>
                </c:pt>
                <c:pt idx="8">
                  <c:v>278</c:v>
                </c:pt>
                <c:pt idx="9">
                  <c:v>319</c:v>
                </c:pt>
                <c:pt idx="10">
                  <c:v>524</c:v>
                </c:pt>
              </c:numCache>
            </c:numRef>
          </c:val>
        </c:ser>
        <c:ser>
          <c:idx val="1"/>
          <c:order val="1"/>
          <c:tx>
            <c:strRef>
              <c:f>label 1</c:f>
              <c:strCache>
                <c:ptCount val="1"/>
                <c:pt idx="0">
                  <c:v>в т.ч. діти</c:v>
                </c:pt>
              </c:strCache>
            </c:strRef>
          </c:tx>
          <c:spPr>
            <a:solidFill>
              <a:srgbClr val="FF420E"/>
            </a:solidFill>
            <a:ln w="0">
              <a:noFill/>
            </a:ln>
          </c:spPr>
          <c:invertIfNegative val="0"/>
          <c:dLbls>
            <c:txPr>
              <a:bodyPr wrap="none"/>
              <a:lstStyle/>
              <a:p>
                <a:pPr>
                  <a:defRPr sz="1000" b="0" strike="noStrike" spc="-1">
                    <a:solidFill>
                      <a:srgbClr val="000000"/>
                    </a:solidFill>
                    <a:latin typeface="Arial"/>
                  </a:defRPr>
                </a:pPr>
                <a:endParaRPr lang="uk-UA"/>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1"/>
                <c:pt idx="0">
                  <c:v>2012</c:v>
                </c:pt>
                <c:pt idx="1">
                  <c:v>2013</c:v>
                </c:pt>
                <c:pt idx="2">
                  <c:v>2014</c:v>
                </c:pt>
                <c:pt idx="3">
                  <c:v>2015</c:v>
                </c:pt>
                <c:pt idx="4">
                  <c:v>2016</c:v>
                </c:pt>
                <c:pt idx="5">
                  <c:v>2017</c:v>
                </c:pt>
                <c:pt idx="6">
                  <c:v>2018</c:v>
                </c:pt>
                <c:pt idx="7">
                  <c:v>2019</c:v>
                </c:pt>
                <c:pt idx="8">
                  <c:v>2020</c:v>
                </c:pt>
                <c:pt idx="9">
                  <c:v>2021</c:v>
                </c:pt>
                <c:pt idx="10">
                  <c:v>2022</c:v>
                </c:pt>
              </c:strCache>
            </c:strRef>
          </c:cat>
          <c:val>
            <c:numRef>
              <c:f>1</c:f>
              <c:numCache>
                <c:formatCode>General</c:formatCode>
                <c:ptCount val="11"/>
                <c:pt idx="0">
                  <c:v>331</c:v>
                </c:pt>
                <c:pt idx="1">
                  <c:v>341</c:v>
                </c:pt>
                <c:pt idx="2">
                  <c:v>301</c:v>
                </c:pt>
                <c:pt idx="3">
                  <c:v>587</c:v>
                </c:pt>
                <c:pt idx="4">
                  <c:v>466</c:v>
                </c:pt>
                <c:pt idx="5">
                  <c:v>490</c:v>
                </c:pt>
                <c:pt idx="6">
                  <c:v>572</c:v>
                </c:pt>
                <c:pt idx="7">
                  <c:v>531</c:v>
                </c:pt>
                <c:pt idx="8">
                  <c:v>215</c:v>
                </c:pt>
                <c:pt idx="9">
                  <c:v>240</c:v>
                </c:pt>
                <c:pt idx="10">
                  <c:v>399</c:v>
                </c:pt>
              </c:numCache>
            </c:numRef>
          </c:val>
        </c:ser>
        <c:dLbls>
          <c:showLegendKey val="0"/>
          <c:showVal val="0"/>
          <c:showCatName val="0"/>
          <c:showSerName val="0"/>
          <c:showPercent val="0"/>
          <c:showBubbleSize val="0"/>
        </c:dLbls>
        <c:gapWidth val="100"/>
        <c:axId val="212809216"/>
        <c:axId val="212810752"/>
      </c:barChart>
      <c:catAx>
        <c:axId val="212809216"/>
        <c:scaling>
          <c:orientation val="minMax"/>
        </c:scaling>
        <c:delete val="0"/>
        <c:axPos val="b"/>
        <c:numFmt formatCode="[$-422]dd/mm/yyyy" sourceLinked="0"/>
        <c:majorTickMark val="out"/>
        <c:minorTickMark val="none"/>
        <c:tickLblPos val="nextTo"/>
        <c:spPr>
          <a:ln w="0">
            <a:solidFill>
              <a:srgbClr val="B3B3B3"/>
            </a:solidFill>
          </a:ln>
        </c:spPr>
        <c:txPr>
          <a:bodyPr rot="-3000000"/>
          <a:lstStyle/>
          <a:p>
            <a:pPr>
              <a:defRPr sz="900" b="0" strike="noStrike" spc="-1">
                <a:solidFill>
                  <a:srgbClr val="000000"/>
                </a:solidFill>
                <a:latin typeface="Arial"/>
              </a:defRPr>
            </a:pPr>
            <a:endParaRPr lang="uk-UA"/>
          </a:p>
        </c:txPr>
        <c:crossAx val="212810752"/>
        <c:crosses val="autoZero"/>
        <c:auto val="1"/>
        <c:lblAlgn val="ctr"/>
        <c:lblOffset val="100"/>
        <c:noMultiLvlLbl val="0"/>
      </c:catAx>
      <c:valAx>
        <c:axId val="212810752"/>
        <c:scaling>
          <c:orientation val="minMax"/>
        </c:scaling>
        <c:delete val="0"/>
        <c:axPos val="l"/>
        <c:majorGridlines>
          <c:spPr>
            <a:ln w="0">
              <a:solidFill>
                <a:srgbClr val="B3B3B3"/>
              </a:solidFill>
            </a:ln>
          </c:spPr>
        </c:majorGridlines>
        <c:numFmt formatCode="General" sourceLinked="0"/>
        <c:majorTickMark val="out"/>
        <c:minorTickMark val="none"/>
        <c:tickLblPos val="nextTo"/>
        <c:spPr>
          <a:ln w="0">
            <a:solidFill>
              <a:srgbClr val="B3B3B3"/>
            </a:solidFill>
          </a:ln>
        </c:spPr>
        <c:txPr>
          <a:bodyPr/>
          <a:lstStyle/>
          <a:p>
            <a:pPr>
              <a:defRPr sz="1000" b="0" strike="noStrike" spc="-1">
                <a:solidFill>
                  <a:srgbClr val="000000"/>
                </a:solidFill>
                <a:latin typeface="Arial"/>
              </a:defRPr>
            </a:pPr>
            <a:endParaRPr lang="uk-UA"/>
          </a:p>
        </c:txPr>
        <c:crossAx val="212809216"/>
        <c:crosses val="autoZero"/>
        <c:crossBetween val="between"/>
      </c:valAx>
      <c:spPr>
        <a:noFill/>
        <a:ln w="0">
          <a:solidFill>
            <a:srgbClr val="B3B3B3"/>
          </a:solidFill>
        </a:ln>
      </c:spPr>
    </c:plotArea>
    <c:legend>
      <c:legendPos val="b"/>
      <c:overlay val="0"/>
      <c:spPr>
        <a:noFill/>
        <a:ln w="0">
          <a:noFill/>
        </a:ln>
      </c:spPr>
      <c:txPr>
        <a:bodyPr/>
        <a:lstStyle/>
        <a:p>
          <a:pPr>
            <a:defRPr sz="800" b="0" strike="noStrike" spc="-1">
              <a:solidFill>
                <a:srgbClr val="000000"/>
              </a:solidFill>
              <a:latin typeface="Arial"/>
            </a:defRPr>
          </a:pPr>
          <a:endParaRPr lang="uk-UA"/>
        </a:p>
      </c:txPr>
    </c:legend>
    <c:plotVisOnly val="1"/>
    <c:dispBlanksAs val="gap"/>
    <c:showDLblsOverMax val="1"/>
  </c:chart>
  <c:spPr>
    <a:noFill/>
    <a:ln w="0">
      <a:noFill/>
    </a:ln>
  </c:spPr>
</c:chartSpace>
</file>

<file path=word/charts/chart44.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title>
      <c:tx>
        <c:rich>
          <a:bodyPr rot="0"/>
          <a:lstStyle/>
          <a:p>
            <a:pPr>
              <a:defRPr lang="uk-UA" sz="1100" b="1" strike="noStrike" spc="-1">
                <a:solidFill>
                  <a:srgbClr val="000000"/>
                </a:solidFill>
                <a:latin typeface="Calibri"/>
              </a:defRPr>
            </a:pPr>
            <a:r>
              <a:rPr lang="uk-UA" sz="1100" b="1" strike="noStrike" spc="-1">
                <a:solidFill>
                  <a:srgbClr val="000000"/>
                </a:solidFill>
                <a:latin typeface="Calibri"/>
              </a:rPr>
              <a:t>Розподіл за типами опалення у будівлях населених пунктів громади</a:t>
            </a:r>
          </a:p>
        </c:rich>
      </c:tx>
      <c:overlay val="0"/>
      <c:spPr>
        <a:noFill/>
        <a:ln w="0">
          <a:noFill/>
        </a:ln>
      </c:spPr>
    </c:title>
    <c:autoTitleDeleted val="0"/>
    <c:plotArea>
      <c:layout/>
      <c:pieChart>
        <c:varyColors val="1"/>
        <c:ser>
          <c:idx val="0"/>
          <c:order val="0"/>
          <c:tx>
            <c:strRef>
              <c:f>label 0</c:f>
              <c:strCache>
                <c:ptCount val="1"/>
                <c:pt idx="0">
                  <c:v>Серія1</c:v>
                </c:pt>
              </c:strCache>
            </c:strRef>
          </c:tx>
          <c:spPr>
            <a:gradFill>
              <a:gsLst>
                <a:gs pos="0">
                  <a:srgbClr val="3A608D"/>
                </a:gs>
                <a:gs pos="80000">
                  <a:srgbClr val="4C7CB7"/>
                </a:gs>
                <a:gs pos="100000">
                  <a:srgbClr val="4C7DB7"/>
                </a:gs>
              </a:gsLst>
              <a:lin ang="16200000"/>
            </a:gradFill>
            <a:ln w="0">
              <a:noFill/>
            </a:ln>
          </c:spPr>
          <c:dPt>
            <c:idx val="0"/>
            <c:bubble3D val="0"/>
            <c:spPr>
              <a:solidFill>
                <a:srgbClr val="9BBB59"/>
              </a:solidFill>
              <a:ln w="0">
                <a:noFill/>
              </a:ln>
            </c:spPr>
          </c:dPt>
          <c:dPt>
            <c:idx val="1"/>
            <c:bubble3D val="0"/>
            <c:spPr>
              <a:solidFill>
                <a:srgbClr val="0070C0"/>
              </a:solidFill>
              <a:ln w="0">
                <a:noFill/>
              </a:ln>
            </c:spPr>
          </c:dPt>
          <c:dPt>
            <c:idx val="2"/>
            <c:bubble3D val="0"/>
            <c:spPr>
              <a:solidFill>
                <a:srgbClr val="FFFF00"/>
              </a:solidFill>
              <a:ln w="0">
                <a:noFill/>
              </a:ln>
            </c:spPr>
          </c:dPt>
          <c:dPt>
            <c:idx val="3"/>
            <c:bubble3D val="0"/>
            <c:spPr>
              <a:gradFill>
                <a:gsLst>
                  <a:gs pos="0">
                    <a:srgbClr val="5F4A78"/>
                  </a:gs>
                  <a:gs pos="80000">
                    <a:srgbClr val="7C609C"/>
                  </a:gs>
                  <a:gs pos="100000">
                    <a:srgbClr val="7C619D"/>
                  </a:gs>
                </a:gsLst>
                <a:lin ang="16200000"/>
              </a:gradFill>
              <a:ln w="0">
                <a:noFill/>
              </a:ln>
            </c:spPr>
          </c:dPt>
          <c:dLbls>
            <c:dLbl>
              <c:idx val="0"/>
              <c:dLblPos val="outEnd"/>
              <c:showLegendKey val="0"/>
              <c:showVal val="0"/>
              <c:showCatName val="0"/>
              <c:showSerName val="0"/>
              <c:showPercent val="1"/>
              <c:showBubbleSize val="1"/>
              <c:separator>
</c:separator>
            </c:dLbl>
            <c:dLbl>
              <c:idx val="1"/>
              <c:dLblPos val="outEnd"/>
              <c:showLegendKey val="0"/>
              <c:showVal val="0"/>
              <c:showCatName val="0"/>
              <c:showSerName val="0"/>
              <c:showPercent val="1"/>
              <c:showBubbleSize val="1"/>
              <c:separator>
</c:separator>
            </c:dLbl>
            <c:dLbl>
              <c:idx val="2"/>
              <c:dLblPos val="outEnd"/>
              <c:showLegendKey val="0"/>
              <c:showVal val="0"/>
              <c:showCatName val="0"/>
              <c:showSerName val="0"/>
              <c:showPercent val="1"/>
              <c:showBubbleSize val="1"/>
              <c:separator>
</c:separator>
            </c:dLbl>
            <c:dLbl>
              <c:idx val="3"/>
              <c:dLblPos val="outEnd"/>
              <c:showLegendKey val="0"/>
              <c:showVal val="0"/>
              <c:showCatName val="0"/>
              <c:showSerName val="0"/>
              <c:showPercent val="1"/>
              <c:showBubbleSize val="1"/>
              <c:separator>
</c:separator>
            </c:dLbl>
            <c:numFmt formatCode="0.0%" sourceLinked="0"/>
            <c:txPr>
              <a:bodyPr wrap="square"/>
              <a:lstStyle/>
              <a:p>
                <a:pPr>
                  <a:defRPr sz="1200" b="1" strike="noStrike" spc="-1">
                    <a:solidFill>
                      <a:srgbClr val="000000"/>
                    </a:solidFill>
                    <a:latin typeface="Calibri"/>
                  </a:defRPr>
                </a:pPr>
                <a:endParaRPr lang="uk-UA"/>
              </a:p>
            </c:txPr>
            <c:dLblPos val="bestFit"/>
            <c:showLegendKey val="0"/>
            <c:showVal val="0"/>
            <c:showCatName val="0"/>
            <c:showSerName val="0"/>
            <c:showPercent val="1"/>
            <c:showBubbleSize val="1"/>
            <c:separator>
</c:separator>
            <c:showLeaderLines val="1"/>
          </c:dLbls>
          <c:cat>
            <c:strRef>
              <c:f>categories</c:f>
              <c:strCache>
                <c:ptCount val="4"/>
                <c:pt idx="0">
                  <c:v>Дрова</c:v>
                </c:pt>
                <c:pt idx="1">
                  <c:v>Природний газ</c:v>
                </c:pt>
                <c:pt idx="2">
                  <c:v>Дрова + Газ</c:v>
                </c:pt>
                <c:pt idx="3">
                  <c:v>Електроенергія</c:v>
                </c:pt>
              </c:strCache>
            </c:strRef>
          </c:cat>
          <c:val>
            <c:numRef>
              <c:f>0</c:f>
              <c:numCache>
                <c:formatCode>General</c:formatCode>
                <c:ptCount val="4"/>
                <c:pt idx="0">
                  <c:v>4</c:v>
                </c:pt>
                <c:pt idx="1">
                  <c:v>19</c:v>
                </c:pt>
                <c:pt idx="2">
                  <c:v>3</c:v>
                </c:pt>
                <c:pt idx="3">
                  <c:v>1</c:v>
                </c:pt>
              </c:numCache>
            </c:numRef>
          </c:val>
        </c:ser>
        <c:dLbls>
          <c:showLegendKey val="0"/>
          <c:showVal val="0"/>
          <c:showCatName val="0"/>
          <c:showSerName val="0"/>
          <c:showPercent val="0"/>
          <c:showBubbleSize val="0"/>
          <c:showLeaderLines val="1"/>
        </c:dLbls>
        <c:firstSliceAng val="0"/>
      </c:pieChart>
      <c:spPr>
        <a:noFill/>
        <a:ln w="0">
          <a:noFill/>
        </a:ln>
      </c:spPr>
    </c:plotArea>
    <c:legend>
      <c:legendPos val="r"/>
      <c:overlay val="0"/>
      <c:spPr>
        <a:noFill/>
        <a:ln w="0">
          <a:noFill/>
        </a:ln>
      </c:spPr>
      <c:txPr>
        <a:bodyPr/>
        <a:lstStyle/>
        <a:p>
          <a:pPr>
            <a:defRPr sz="1000" b="0" strike="noStrike" spc="-1">
              <a:solidFill>
                <a:srgbClr val="000000"/>
              </a:solidFill>
              <a:latin typeface="Calibri"/>
            </a:defRPr>
          </a:pPr>
          <a:endParaRPr lang="uk-UA"/>
        </a:p>
      </c:txPr>
    </c:legend>
    <c:plotVisOnly val="1"/>
    <c:dispBlanksAs val="gap"/>
    <c:showDLblsOverMax val="1"/>
  </c:chart>
  <c:spPr>
    <a:solidFill>
      <a:srgbClr val="FFFFFF"/>
    </a:solidFill>
    <a:ln w="9360">
      <a:solidFill>
        <a:srgbClr val="D9D9D9"/>
      </a:solidFill>
      <a:round/>
    </a:ln>
  </c:spPr>
</c:chartSpace>
</file>

<file path=word/charts/chart45.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title>
      <c:tx>
        <c:rich>
          <a:bodyPr rot="0"/>
          <a:lstStyle/>
          <a:p>
            <a:pPr>
              <a:defRPr lang="ru-RU" sz="1100" b="1" strike="noStrike" spc="-1">
                <a:solidFill>
                  <a:srgbClr val="000000"/>
                </a:solidFill>
                <a:latin typeface="Calibri"/>
              </a:defRPr>
            </a:pPr>
            <a:r>
              <a:rPr lang="ru-RU" sz="1100" b="1" strike="noStrike" spc="-1">
                <a:solidFill>
                  <a:srgbClr val="000000"/>
                </a:solidFill>
                <a:latin typeface="Calibri"/>
              </a:rPr>
              <a:t>Розподіл за кількістю спожитих енергоресурсів при різних типах опалення</a:t>
            </a:r>
          </a:p>
        </c:rich>
      </c:tx>
      <c:overlay val="0"/>
      <c:spPr>
        <a:noFill/>
        <a:ln w="0">
          <a:noFill/>
        </a:ln>
      </c:spPr>
    </c:title>
    <c:autoTitleDeleted val="0"/>
    <c:plotArea>
      <c:layout/>
      <c:pieChart>
        <c:varyColors val="1"/>
        <c:ser>
          <c:idx val="0"/>
          <c:order val="0"/>
          <c:tx>
            <c:strRef>
              <c:f>label 0</c:f>
              <c:strCache>
                <c:ptCount val="1"/>
                <c:pt idx="0">
                  <c:v>Серія1</c:v>
                </c:pt>
              </c:strCache>
            </c:strRef>
          </c:tx>
          <c:spPr>
            <a:gradFill>
              <a:gsLst>
                <a:gs pos="0">
                  <a:srgbClr val="3A608D"/>
                </a:gs>
                <a:gs pos="80000">
                  <a:srgbClr val="4C7CB7"/>
                </a:gs>
                <a:gs pos="100000">
                  <a:srgbClr val="4C7DB7"/>
                </a:gs>
              </a:gsLst>
              <a:lin ang="16200000"/>
            </a:gradFill>
            <a:ln w="0">
              <a:noFill/>
            </a:ln>
          </c:spPr>
          <c:dPt>
            <c:idx val="0"/>
            <c:bubble3D val="0"/>
            <c:spPr>
              <a:solidFill>
                <a:srgbClr val="9BBB59"/>
              </a:solidFill>
              <a:ln w="0">
                <a:noFill/>
              </a:ln>
            </c:spPr>
          </c:dPt>
          <c:dPt>
            <c:idx val="1"/>
            <c:bubble3D val="0"/>
            <c:spPr>
              <a:solidFill>
                <a:srgbClr val="4F81BD"/>
              </a:solidFill>
              <a:ln w="0">
                <a:noFill/>
              </a:ln>
            </c:spPr>
          </c:dPt>
          <c:dPt>
            <c:idx val="2"/>
            <c:bubble3D val="0"/>
            <c:spPr>
              <a:solidFill>
                <a:srgbClr val="FFFF00"/>
              </a:solidFill>
              <a:ln w="0">
                <a:noFill/>
              </a:ln>
            </c:spPr>
          </c:dPt>
          <c:dPt>
            <c:idx val="3"/>
            <c:bubble3D val="0"/>
            <c:spPr>
              <a:gradFill>
                <a:gsLst>
                  <a:gs pos="0">
                    <a:srgbClr val="5F4A78"/>
                  </a:gs>
                  <a:gs pos="80000">
                    <a:srgbClr val="7C609C"/>
                  </a:gs>
                  <a:gs pos="100000">
                    <a:srgbClr val="7C619D"/>
                  </a:gs>
                </a:gsLst>
                <a:lin ang="16200000"/>
              </a:gradFill>
              <a:ln w="0">
                <a:noFill/>
              </a:ln>
            </c:spPr>
          </c:dPt>
          <c:dLbls>
            <c:txPr>
              <a:bodyPr wrap="square"/>
              <a:lstStyle/>
              <a:p>
                <a:pPr>
                  <a:defRPr sz="1000" b="1" strike="noStrike" spc="-1">
                    <a:solidFill>
                      <a:srgbClr val="000000"/>
                    </a:solidFill>
                    <a:latin typeface="Calibri"/>
                  </a:defRPr>
                </a:pPr>
                <a:endParaRPr lang="uk-UA"/>
              </a:p>
            </c:txPr>
            <c:dLblPos val="bestFit"/>
            <c:showLegendKey val="0"/>
            <c:showVal val="0"/>
            <c:showCatName val="0"/>
            <c:showSerName val="0"/>
            <c:showPercent val="1"/>
            <c:showBubbleSize val="1"/>
            <c:separator>
</c:separator>
            <c:showLeaderLines val="1"/>
          </c:dLbls>
          <c:cat>
            <c:strRef>
              <c:f>categories</c:f>
              <c:strCache>
                <c:ptCount val="4"/>
                <c:pt idx="0">
                  <c:v>Дрова</c:v>
                </c:pt>
                <c:pt idx="1">
                  <c:v>Природний газ</c:v>
                </c:pt>
                <c:pt idx="2">
                  <c:v>Дрова + Газ</c:v>
                </c:pt>
                <c:pt idx="3">
                  <c:v>Електроенергія</c:v>
                </c:pt>
              </c:strCache>
            </c:strRef>
          </c:cat>
          <c:val>
            <c:numRef>
              <c:f>0</c:f>
              <c:numCache>
                <c:formatCode>General</c:formatCode>
                <c:ptCount val="4"/>
                <c:pt idx="0">
                  <c:v>91.838490743999998</c:v>
                </c:pt>
                <c:pt idx="1">
                  <c:v>316.39643999999998</c:v>
                </c:pt>
                <c:pt idx="2">
                  <c:v>75.359283798000007</c:v>
                </c:pt>
                <c:pt idx="3">
                  <c:v>17.28</c:v>
                </c:pt>
              </c:numCache>
            </c:numRef>
          </c:val>
        </c:ser>
        <c:dLbls>
          <c:showLegendKey val="0"/>
          <c:showVal val="0"/>
          <c:showCatName val="0"/>
          <c:showSerName val="0"/>
          <c:showPercent val="0"/>
          <c:showBubbleSize val="0"/>
          <c:showLeaderLines val="1"/>
        </c:dLbls>
        <c:firstSliceAng val="0"/>
      </c:pieChart>
      <c:spPr>
        <a:noFill/>
        <a:ln w="0">
          <a:noFill/>
        </a:ln>
      </c:spPr>
    </c:plotArea>
    <c:legend>
      <c:legendPos val="r"/>
      <c:overlay val="0"/>
      <c:spPr>
        <a:noFill/>
        <a:ln w="0">
          <a:noFill/>
        </a:ln>
      </c:spPr>
      <c:txPr>
        <a:bodyPr/>
        <a:lstStyle/>
        <a:p>
          <a:pPr>
            <a:defRPr sz="1000" b="0" strike="noStrike" spc="-1">
              <a:solidFill>
                <a:srgbClr val="000000"/>
              </a:solidFill>
              <a:latin typeface="Calibri"/>
            </a:defRPr>
          </a:pPr>
          <a:endParaRPr lang="uk-UA"/>
        </a:p>
      </c:txPr>
    </c:legend>
    <c:plotVisOnly val="1"/>
    <c:dispBlanksAs val="gap"/>
    <c:showDLblsOverMax val="1"/>
  </c:chart>
  <c:spPr>
    <a:solidFill>
      <a:srgbClr val="FFFFFF"/>
    </a:solidFill>
    <a:ln w="9360">
      <a:solidFill>
        <a:srgbClr val="D9D9D9"/>
      </a:solidFill>
      <a:round/>
    </a:ln>
  </c:spPr>
</c:chartSpace>
</file>

<file path=word/charts/chart46.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title>
      <c:tx>
        <c:rich>
          <a:bodyPr rot="0"/>
          <a:lstStyle/>
          <a:p>
            <a:pPr>
              <a:defRPr lang="ru-RU" sz="1100" b="1" strike="noStrike" spc="-1">
                <a:solidFill>
                  <a:srgbClr val="000000"/>
                </a:solidFill>
                <a:latin typeface="Calibri"/>
              </a:defRPr>
            </a:pPr>
            <a:r>
              <a:rPr lang="ru-RU" sz="1100" b="1" strike="noStrike" spc="-1">
                <a:solidFill>
                  <a:srgbClr val="000000"/>
                </a:solidFill>
                <a:latin typeface="Calibri"/>
              </a:rPr>
              <a:t>Розподіл за типом спожитого енергоресурсу</a:t>
            </a:r>
          </a:p>
        </c:rich>
      </c:tx>
      <c:overlay val="0"/>
      <c:spPr>
        <a:noFill/>
        <a:ln w="0">
          <a:noFill/>
        </a:ln>
      </c:spPr>
    </c:title>
    <c:autoTitleDeleted val="0"/>
    <c:plotArea>
      <c:layout/>
      <c:pieChart>
        <c:varyColors val="1"/>
        <c:ser>
          <c:idx val="0"/>
          <c:order val="0"/>
          <c:tx>
            <c:strRef>
              <c:f>label 0</c:f>
              <c:strCache>
                <c:ptCount val="1"/>
                <c:pt idx="0">
                  <c:v>Серія1</c:v>
                </c:pt>
              </c:strCache>
            </c:strRef>
          </c:tx>
          <c:spPr>
            <a:gradFill>
              <a:gsLst>
                <a:gs pos="0">
                  <a:srgbClr val="3A608D"/>
                </a:gs>
                <a:gs pos="80000">
                  <a:srgbClr val="4C7CB7"/>
                </a:gs>
                <a:gs pos="100000">
                  <a:srgbClr val="4C7DB7"/>
                </a:gs>
              </a:gsLst>
              <a:lin ang="16200000"/>
            </a:gradFill>
            <a:ln w="0">
              <a:noFill/>
            </a:ln>
          </c:spPr>
          <c:dPt>
            <c:idx val="0"/>
            <c:bubble3D val="0"/>
            <c:spPr>
              <a:solidFill>
                <a:srgbClr val="9BBB59"/>
              </a:solidFill>
              <a:ln w="0">
                <a:noFill/>
              </a:ln>
            </c:spPr>
          </c:dPt>
          <c:dPt>
            <c:idx val="1"/>
            <c:bubble3D val="0"/>
            <c:spPr>
              <a:solidFill>
                <a:srgbClr val="4F81BD"/>
              </a:solidFill>
              <a:ln w="0">
                <a:noFill/>
              </a:ln>
            </c:spPr>
          </c:dPt>
          <c:dPt>
            <c:idx val="2"/>
            <c:bubble3D val="0"/>
            <c:spPr>
              <a:solidFill>
                <a:srgbClr val="FFFF00"/>
              </a:solidFill>
              <a:ln w="0">
                <a:noFill/>
              </a:ln>
            </c:spPr>
          </c:dPt>
          <c:dLbls>
            <c:dLbl>
              <c:idx val="0"/>
              <c:dLblPos val="outEnd"/>
              <c:showLegendKey val="0"/>
              <c:showVal val="0"/>
              <c:showCatName val="0"/>
              <c:showSerName val="0"/>
              <c:showPercent val="1"/>
              <c:showBubbleSize val="1"/>
              <c:separator>
</c:separator>
            </c:dLbl>
            <c:dLbl>
              <c:idx val="1"/>
              <c:dLblPos val="outEnd"/>
              <c:showLegendKey val="0"/>
              <c:showVal val="0"/>
              <c:showCatName val="0"/>
              <c:showSerName val="0"/>
              <c:showPercent val="1"/>
              <c:showBubbleSize val="1"/>
              <c:separator>
</c:separator>
            </c:dLbl>
            <c:numFmt formatCode="0.0%" sourceLinked="0"/>
            <c:txPr>
              <a:bodyPr wrap="square"/>
              <a:lstStyle/>
              <a:p>
                <a:pPr>
                  <a:defRPr sz="1200" b="1" strike="noStrike" spc="-1">
                    <a:solidFill>
                      <a:srgbClr val="000000"/>
                    </a:solidFill>
                    <a:latin typeface="Calibri"/>
                  </a:defRPr>
                </a:pPr>
                <a:endParaRPr lang="uk-UA"/>
              </a:p>
            </c:txPr>
            <c:dLblPos val="bestFit"/>
            <c:showLegendKey val="0"/>
            <c:showVal val="0"/>
            <c:showCatName val="0"/>
            <c:showSerName val="0"/>
            <c:showPercent val="1"/>
            <c:showBubbleSize val="1"/>
            <c:separator>
</c:separator>
            <c:showLeaderLines val="1"/>
          </c:dLbls>
          <c:cat>
            <c:strRef>
              <c:f>categories</c:f>
              <c:strCache>
                <c:ptCount val="3"/>
                <c:pt idx="0">
                  <c:v>Дрова</c:v>
                </c:pt>
                <c:pt idx="1">
                  <c:v>Природний газ</c:v>
                </c:pt>
                <c:pt idx="2">
                  <c:v>Електроенергія</c:v>
                </c:pt>
              </c:strCache>
            </c:strRef>
          </c:cat>
          <c:val>
            <c:numRef>
              <c:f>0</c:f>
              <c:numCache>
                <c:formatCode>General</c:formatCode>
                <c:ptCount val="3"/>
                <c:pt idx="0">
                  <c:v>139.84497454199999</c:v>
                </c:pt>
                <c:pt idx="1">
                  <c:v>343.74923999999999</c:v>
                </c:pt>
                <c:pt idx="2">
                  <c:v>17.28</c:v>
                </c:pt>
              </c:numCache>
            </c:numRef>
          </c:val>
        </c:ser>
        <c:dLbls>
          <c:showLegendKey val="0"/>
          <c:showVal val="0"/>
          <c:showCatName val="0"/>
          <c:showSerName val="0"/>
          <c:showPercent val="0"/>
          <c:showBubbleSize val="0"/>
          <c:showLeaderLines val="1"/>
        </c:dLbls>
        <c:firstSliceAng val="0"/>
      </c:pieChart>
      <c:spPr>
        <a:noFill/>
        <a:ln w="0">
          <a:noFill/>
        </a:ln>
      </c:spPr>
    </c:plotArea>
    <c:legend>
      <c:legendPos val="r"/>
      <c:overlay val="0"/>
      <c:spPr>
        <a:noFill/>
        <a:ln w="0">
          <a:noFill/>
        </a:ln>
      </c:spPr>
      <c:txPr>
        <a:bodyPr/>
        <a:lstStyle/>
        <a:p>
          <a:pPr>
            <a:defRPr sz="1000" b="0" strike="noStrike" spc="-1">
              <a:solidFill>
                <a:srgbClr val="000000"/>
              </a:solidFill>
              <a:latin typeface="Calibri"/>
            </a:defRPr>
          </a:pPr>
          <a:endParaRPr lang="uk-UA"/>
        </a:p>
      </c:txPr>
    </c:legend>
    <c:plotVisOnly val="1"/>
    <c:dispBlanksAs val="gap"/>
    <c:showDLblsOverMax val="1"/>
  </c:chart>
  <c:spPr>
    <a:solidFill>
      <a:srgbClr val="FFFFFF"/>
    </a:solidFill>
    <a:ln w="9360">
      <a:solidFill>
        <a:srgbClr val="D9D9D9"/>
      </a:solidFill>
      <a:round/>
    </a:ln>
  </c:spPr>
</c:chartSpace>
</file>

<file path=word/charts/chart47.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title>
      <c:tx>
        <c:rich>
          <a:bodyPr rot="0"/>
          <a:lstStyle/>
          <a:p>
            <a:pPr>
              <a:defRPr lang="ru-RU" sz="1100" b="1" strike="noStrike" spc="-1">
                <a:solidFill>
                  <a:srgbClr val="000000"/>
                </a:solidFill>
                <a:latin typeface="Calibri"/>
              </a:defRPr>
            </a:pPr>
            <a:r>
              <a:rPr lang="ru-RU" sz="1100" b="1" strike="noStrike" spc="-1">
                <a:solidFill>
                  <a:srgbClr val="000000"/>
                </a:solidFill>
                <a:latin typeface="Calibri"/>
              </a:rPr>
              <a:t>Тенденція щодо зміни споживання на опалення за останні 10 років</a:t>
            </a:r>
          </a:p>
        </c:rich>
      </c:tx>
      <c:overlay val="0"/>
      <c:spPr>
        <a:noFill/>
        <a:ln w="0">
          <a:noFill/>
        </a:ln>
      </c:spPr>
    </c:title>
    <c:autoTitleDeleted val="0"/>
    <c:plotArea>
      <c:layout/>
      <c:pieChart>
        <c:varyColors val="1"/>
        <c:ser>
          <c:idx val="0"/>
          <c:order val="0"/>
          <c:tx>
            <c:strRef>
              <c:f>label 0</c:f>
              <c:strCache>
                <c:ptCount val="1"/>
                <c:pt idx="0">
                  <c:v>Серія1</c:v>
                </c:pt>
              </c:strCache>
            </c:strRef>
          </c:tx>
          <c:spPr>
            <a:gradFill>
              <a:gsLst>
                <a:gs pos="0">
                  <a:srgbClr val="3A608D"/>
                </a:gs>
                <a:gs pos="80000">
                  <a:srgbClr val="4C7CB7"/>
                </a:gs>
                <a:gs pos="100000">
                  <a:srgbClr val="4C7DB7"/>
                </a:gs>
              </a:gsLst>
              <a:lin ang="16200000"/>
            </a:gradFill>
            <a:ln w="0">
              <a:noFill/>
            </a:ln>
          </c:spPr>
          <c:dPt>
            <c:idx val="0"/>
            <c:bubble3D val="0"/>
            <c:spPr>
              <a:solidFill>
                <a:srgbClr val="C0504D"/>
              </a:solidFill>
              <a:ln w="0">
                <a:noFill/>
              </a:ln>
            </c:spPr>
          </c:dPt>
          <c:dPt>
            <c:idx val="1"/>
            <c:bubble3D val="0"/>
            <c:spPr>
              <a:solidFill>
                <a:srgbClr val="92D050"/>
              </a:solidFill>
              <a:ln w="0">
                <a:noFill/>
              </a:ln>
            </c:spPr>
          </c:dPt>
          <c:dPt>
            <c:idx val="2"/>
            <c:bubble3D val="0"/>
            <c:spPr>
              <a:solidFill>
                <a:srgbClr val="93CDDD"/>
              </a:solidFill>
              <a:ln w="0">
                <a:noFill/>
              </a:ln>
            </c:spPr>
          </c:dPt>
          <c:dPt>
            <c:idx val="3"/>
            <c:bubble3D val="0"/>
            <c:spPr>
              <a:solidFill>
                <a:srgbClr val="9966FF"/>
              </a:solidFill>
              <a:ln w="0">
                <a:noFill/>
              </a:ln>
            </c:spPr>
          </c:dPt>
          <c:dLbls>
            <c:dLbl>
              <c:idx val="0"/>
              <c:dLblPos val="outEnd"/>
              <c:showLegendKey val="0"/>
              <c:showVal val="0"/>
              <c:showCatName val="0"/>
              <c:showSerName val="0"/>
              <c:showPercent val="1"/>
              <c:showBubbleSize val="1"/>
              <c:separator>
</c:separator>
            </c:dLbl>
            <c:dLbl>
              <c:idx val="1"/>
              <c:dLblPos val="outEnd"/>
              <c:showLegendKey val="0"/>
              <c:showVal val="0"/>
              <c:showCatName val="0"/>
              <c:showSerName val="0"/>
              <c:showPercent val="1"/>
              <c:showBubbleSize val="1"/>
              <c:separator>
</c:separator>
            </c:dLbl>
            <c:dLbl>
              <c:idx val="2"/>
              <c:dLblPos val="outEnd"/>
              <c:showLegendKey val="0"/>
              <c:showVal val="0"/>
              <c:showCatName val="0"/>
              <c:showSerName val="0"/>
              <c:showPercent val="1"/>
              <c:showBubbleSize val="1"/>
              <c:separator>
</c:separator>
            </c:dLbl>
            <c:dLbl>
              <c:idx val="3"/>
              <c:dLblPos val="outEnd"/>
              <c:showLegendKey val="0"/>
              <c:showVal val="0"/>
              <c:showCatName val="0"/>
              <c:showSerName val="0"/>
              <c:showPercent val="1"/>
              <c:showBubbleSize val="1"/>
              <c:separator>
</c:separator>
            </c:dLbl>
            <c:numFmt formatCode="0.0%" sourceLinked="0"/>
            <c:txPr>
              <a:bodyPr wrap="square"/>
              <a:lstStyle/>
              <a:p>
                <a:pPr>
                  <a:defRPr sz="1200" b="1" strike="noStrike" spc="-1">
                    <a:solidFill>
                      <a:srgbClr val="000000"/>
                    </a:solidFill>
                    <a:latin typeface="Calibri"/>
                  </a:defRPr>
                </a:pPr>
                <a:endParaRPr lang="uk-UA"/>
              </a:p>
            </c:txPr>
            <c:dLblPos val="bestFit"/>
            <c:showLegendKey val="0"/>
            <c:showVal val="0"/>
            <c:showCatName val="0"/>
            <c:showSerName val="0"/>
            <c:showPercent val="1"/>
            <c:showBubbleSize val="1"/>
            <c:separator>
</c:separator>
            <c:showLeaderLines val="1"/>
          </c:dLbls>
          <c:cat>
            <c:strRef>
              <c:f>categories</c:f>
              <c:strCache>
                <c:ptCount val="4"/>
                <c:pt idx="0">
                  <c:v>Збільшення</c:v>
                </c:pt>
                <c:pt idx="1">
                  <c:v>Зменшення</c:v>
                </c:pt>
                <c:pt idx="2">
                  <c:v>Без змін</c:v>
                </c:pt>
                <c:pt idx="3">
                  <c:v>Немає відповіді</c:v>
                </c:pt>
              </c:strCache>
            </c:strRef>
          </c:cat>
          <c:val>
            <c:numRef>
              <c:f>0</c:f>
              <c:numCache>
                <c:formatCode>General</c:formatCode>
                <c:ptCount val="4"/>
                <c:pt idx="0">
                  <c:v>0</c:v>
                </c:pt>
                <c:pt idx="1">
                  <c:v>16</c:v>
                </c:pt>
                <c:pt idx="2">
                  <c:v>4</c:v>
                </c:pt>
                <c:pt idx="3">
                  <c:v>7</c:v>
                </c:pt>
              </c:numCache>
            </c:numRef>
          </c:val>
        </c:ser>
        <c:dLbls>
          <c:showLegendKey val="0"/>
          <c:showVal val="0"/>
          <c:showCatName val="0"/>
          <c:showSerName val="0"/>
          <c:showPercent val="0"/>
          <c:showBubbleSize val="0"/>
          <c:showLeaderLines val="1"/>
        </c:dLbls>
        <c:firstSliceAng val="0"/>
      </c:pieChart>
      <c:spPr>
        <a:noFill/>
        <a:ln w="0">
          <a:noFill/>
        </a:ln>
      </c:spPr>
    </c:plotArea>
    <c:legend>
      <c:legendPos val="r"/>
      <c:overlay val="0"/>
      <c:spPr>
        <a:noFill/>
        <a:ln w="0">
          <a:noFill/>
        </a:ln>
      </c:spPr>
      <c:txPr>
        <a:bodyPr/>
        <a:lstStyle/>
        <a:p>
          <a:pPr>
            <a:defRPr sz="1000" b="0" strike="noStrike" spc="-1">
              <a:solidFill>
                <a:srgbClr val="000000"/>
              </a:solidFill>
              <a:latin typeface="Calibri"/>
            </a:defRPr>
          </a:pPr>
          <a:endParaRPr lang="uk-UA"/>
        </a:p>
      </c:txPr>
    </c:legend>
    <c:plotVisOnly val="1"/>
    <c:dispBlanksAs val="gap"/>
    <c:showDLblsOverMax val="1"/>
  </c:chart>
  <c:spPr>
    <a:solidFill>
      <a:srgbClr val="FFFFFF"/>
    </a:solidFill>
    <a:ln w="9360">
      <a:solidFill>
        <a:srgbClr val="D9D9D9"/>
      </a:solidFill>
      <a:round/>
    </a:ln>
  </c:spPr>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autoTitleDeleted val="1"/>
    <c:plotArea>
      <c:layout/>
      <c:pieChart>
        <c:varyColors val="1"/>
        <c:ser>
          <c:idx val="0"/>
          <c:order val="0"/>
          <c:tx>
            <c:strRef>
              <c:f>label 0</c:f>
              <c:strCache>
                <c:ptCount val="1"/>
                <c:pt idx="0">
                  <c:v>Серія1</c:v>
                </c:pt>
              </c:strCache>
            </c:strRef>
          </c:tx>
          <c:spPr>
            <a:solidFill>
              <a:srgbClr val="4F81BD"/>
            </a:solidFill>
            <a:ln w="0">
              <a:noFill/>
            </a:ln>
          </c:spPr>
          <c:dPt>
            <c:idx val="0"/>
            <c:bubble3D val="0"/>
          </c:dPt>
          <c:dPt>
            <c:idx val="1"/>
            <c:bubble3D val="0"/>
            <c:spPr>
              <a:solidFill>
                <a:srgbClr val="C0504D"/>
              </a:solidFill>
              <a:ln w="0">
                <a:noFill/>
              </a:ln>
            </c:spPr>
          </c:dPt>
          <c:dPt>
            <c:idx val="2"/>
            <c:bubble3D val="0"/>
            <c:spPr>
              <a:solidFill>
                <a:srgbClr val="9BBB59"/>
              </a:solidFill>
              <a:ln w="0">
                <a:noFill/>
              </a:ln>
            </c:spPr>
          </c:dPt>
          <c:dPt>
            <c:idx val="3"/>
            <c:bubble3D val="0"/>
            <c:spPr>
              <a:solidFill>
                <a:srgbClr val="8064A2"/>
              </a:solidFill>
              <a:ln w="0">
                <a:noFill/>
              </a:ln>
            </c:spPr>
          </c:dPt>
          <c:dPt>
            <c:idx val="4"/>
            <c:bubble3D val="0"/>
            <c:spPr>
              <a:solidFill>
                <a:srgbClr val="4BACC6"/>
              </a:solidFill>
              <a:ln w="0">
                <a:noFill/>
              </a:ln>
            </c:spPr>
          </c:dPt>
          <c:dLbls>
            <c:txPr>
              <a:bodyPr wrap="square"/>
              <a:lstStyle/>
              <a:p>
                <a:pPr>
                  <a:defRPr sz="1000" b="0" strike="noStrike" spc="-1">
                    <a:solidFill>
                      <a:srgbClr val="000000"/>
                    </a:solidFill>
                    <a:latin typeface="Calibri"/>
                  </a:defRPr>
                </a:pPr>
                <a:endParaRPr lang="uk-UA"/>
              </a:p>
            </c:txPr>
            <c:dLblPos val="outEnd"/>
            <c:showLegendKey val="0"/>
            <c:showVal val="0"/>
            <c:showCatName val="0"/>
            <c:showSerName val="0"/>
            <c:showPercent val="1"/>
            <c:showBubbleSize val="1"/>
            <c:separator>
</c:separator>
            <c:showLeaderLines val="1"/>
          </c:dLbls>
          <c:cat>
            <c:strRef>
              <c:f>categories</c:f>
              <c:strCache>
                <c:ptCount val="5"/>
                <c:pt idx="0">
                  <c:v>Податок з доходів фізичних осіб</c:v>
                </c:pt>
                <c:pt idx="1">
                  <c:v>Єдиний податок</c:v>
                </c:pt>
                <c:pt idx="2">
                  <c:v>Акцизний податок</c:v>
                </c:pt>
                <c:pt idx="3">
                  <c:v>Пдаток на майно</c:v>
                </c:pt>
                <c:pt idx="4">
                  <c:v>Інші доходи</c:v>
                </c:pt>
              </c:strCache>
            </c:strRef>
          </c:cat>
          <c:val>
            <c:numRef>
              <c:f>0</c:f>
              <c:numCache>
                <c:formatCode>General</c:formatCode>
                <c:ptCount val="5"/>
                <c:pt idx="0">
                  <c:v>69.3</c:v>
                </c:pt>
                <c:pt idx="1">
                  <c:v>13.5</c:v>
                </c:pt>
                <c:pt idx="2">
                  <c:v>6.2</c:v>
                </c:pt>
                <c:pt idx="3">
                  <c:v>8.1</c:v>
                </c:pt>
                <c:pt idx="4">
                  <c:v>2.9</c:v>
                </c:pt>
              </c:numCache>
            </c:numRef>
          </c:val>
        </c:ser>
        <c:ser>
          <c:idx val="1"/>
          <c:order val="1"/>
          <c:tx>
            <c:strRef>
              <c:f>label 1</c:f>
              <c:strCache>
                <c:ptCount val="1"/>
                <c:pt idx="0">
                  <c:v>Серія2</c:v>
                </c:pt>
              </c:strCache>
            </c:strRef>
          </c:tx>
          <c:spPr>
            <a:solidFill>
              <a:srgbClr val="C0504D"/>
            </a:solidFill>
            <a:ln w="0">
              <a:noFill/>
            </a:ln>
          </c:spPr>
          <c:dPt>
            <c:idx val="0"/>
            <c:bubble3D val="0"/>
            <c:spPr>
              <a:solidFill>
                <a:srgbClr val="4F81BD"/>
              </a:solidFill>
              <a:ln w="0">
                <a:noFill/>
              </a:ln>
            </c:spPr>
          </c:dPt>
          <c:dPt>
            <c:idx val="1"/>
            <c:bubble3D val="0"/>
          </c:dPt>
          <c:dPt>
            <c:idx val="2"/>
            <c:bubble3D val="0"/>
            <c:spPr>
              <a:solidFill>
                <a:srgbClr val="9BBB59"/>
              </a:solidFill>
              <a:ln w="0">
                <a:noFill/>
              </a:ln>
            </c:spPr>
          </c:dPt>
          <c:dPt>
            <c:idx val="3"/>
            <c:bubble3D val="0"/>
            <c:spPr>
              <a:solidFill>
                <a:srgbClr val="8064A2"/>
              </a:solidFill>
              <a:ln w="0">
                <a:noFill/>
              </a:ln>
            </c:spPr>
          </c:dPt>
          <c:dPt>
            <c:idx val="4"/>
            <c:bubble3D val="0"/>
            <c:spPr>
              <a:solidFill>
                <a:srgbClr val="4BACC6"/>
              </a:solidFill>
              <a:ln w="0">
                <a:noFill/>
              </a:ln>
            </c:spPr>
          </c:dPt>
          <c:dLbls>
            <c:txPr>
              <a:bodyPr wrap="square"/>
              <a:lstStyle/>
              <a:p>
                <a:pPr>
                  <a:defRPr sz="1000" b="0" strike="noStrike" spc="-1">
                    <a:solidFill>
                      <a:srgbClr val="000000"/>
                    </a:solidFill>
                    <a:latin typeface="Calibri"/>
                  </a:defRPr>
                </a:pPr>
                <a:endParaRPr lang="uk-UA"/>
              </a:p>
            </c:txPr>
            <c:dLblPos val="bestFit"/>
            <c:showLegendKey val="0"/>
            <c:showVal val="0"/>
            <c:showCatName val="0"/>
            <c:showSerName val="0"/>
            <c:showPercent val="0"/>
            <c:showBubbleSize val="1"/>
            <c:separator>; </c:separator>
            <c:showLeaderLines val="1"/>
          </c:dLbls>
          <c:cat>
            <c:strRef>
              <c:f>categories</c:f>
              <c:strCache>
                <c:ptCount val="5"/>
                <c:pt idx="0">
                  <c:v>Податок з доходів фізичних осіб</c:v>
                </c:pt>
                <c:pt idx="1">
                  <c:v>Єдиний податок</c:v>
                </c:pt>
                <c:pt idx="2">
                  <c:v>Акцизний податок</c:v>
                </c:pt>
                <c:pt idx="3">
                  <c:v>Пдаток на майно</c:v>
                </c:pt>
                <c:pt idx="4">
                  <c:v>Інші доходи</c:v>
                </c:pt>
              </c:strCache>
            </c:strRef>
          </c:cat>
          <c:val>
            <c:numRef>
              <c:f>1</c:f>
              <c:numCache>
                <c:formatCode>General</c:formatCode>
                <c:ptCount val="5"/>
                <c:pt idx="0">
                  <c:v>1693.6</c:v>
                </c:pt>
                <c:pt idx="1">
                  <c:v>330.4</c:v>
                </c:pt>
                <c:pt idx="2">
                  <c:v>150.5</c:v>
                </c:pt>
                <c:pt idx="3">
                  <c:v>199.1</c:v>
                </c:pt>
                <c:pt idx="4">
                  <c:v>71.599999999999994</c:v>
                </c:pt>
              </c:numCache>
            </c:numRef>
          </c:val>
        </c:ser>
        <c:dLbls>
          <c:showLegendKey val="0"/>
          <c:showVal val="0"/>
          <c:showCatName val="0"/>
          <c:showSerName val="0"/>
          <c:showPercent val="0"/>
          <c:showBubbleSize val="0"/>
          <c:showLeaderLines val="1"/>
        </c:dLbls>
        <c:firstSliceAng val="0"/>
      </c:pieChart>
      <c:spPr>
        <a:noFill/>
        <a:ln w="25560">
          <a:noFill/>
        </a:ln>
      </c:spPr>
    </c:plotArea>
    <c:legend>
      <c:legendPos val="r"/>
      <c:layout>
        <c:manualLayout>
          <c:xMode val="edge"/>
          <c:yMode val="edge"/>
          <c:x val="0.62649999999999995"/>
          <c:y val="0.111"/>
          <c:w val="0.32783298956184798"/>
          <c:h val="0.82231359039893304"/>
        </c:manualLayout>
      </c:layout>
      <c:overlay val="0"/>
      <c:spPr>
        <a:noFill/>
        <a:ln w="0">
          <a:noFill/>
        </a:ln>
      </c:spPr>
      <c:txPr>
        <a:bodyPr/>
        <a:lstStyle/>
        <a:p>
          <a:pPr>
            <a:defRPr sz="1000" b="0" strike="noStrike" spc="-1">
              <a:solidFill>
                <a:srgbClr val="000000"/>
              </a:solidFill>
              <a:latin typeface="Calibri"/>
            </a:defRPr>
          </a:pPr>
          <a:endParaRPr lang="uk-UA"/>
        </a:p>
      </c:txPr>
    </c:legend>
    <c:plotVisOnly val="1"/>
    <c:dispBlanksAs val="zero"/>
    <c:showDLblsOverMax val="1"/>
  </c:chart>
  <c:spPr>
    <a:solidFill>
      <a:srgbClr val="FFFFFF"/>
    </a:solidFill>
    <a:ln w="9360">
      <a:solidFill>
        <a:srgbClr val="808080"/>
      </a:solidFill>
      <a:round/>
    </a:ln>
  </c:spPr>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autoTitleDeleted val="1"/>
    <c:plotArea>
      <c:layout>
        <c:manualLayout>
          <c:layoutTarget val="inner"/>
          <c:xMode val="edge"/>
          <c:yMode val="edge"/>
          <c:x val="0.15918750000000001"/>
          <c:y val="4.4666666666666702E-2"/>
          <c:w val="0.7391875"/>
          <c:h val="0.580666666666667"/>
        </c:manualLayout>
      </c:layout>
      <c:barChart>
        <c:barDir val="col"/>
        <c:grouping val="clustered"/>
        <c:varyColors val="0"/>
        <c:ser>
          <c:idx val="0"/>
          <c:order val="0"/>
          <c:tx>
            <c:strRef>
              <c:f>label 0</c:f>
              <c:strCache>
                <c:ptCount val="1"/>
                <c:pt idx="0">
                  <c:v>Видатки бюджету громади</c:v>
                </c:pt>
              </c:strCache>
            </c:strRef>
          </c:tx>
          <c:spPr>
            <a:solidFill>
              <a:srgbClr val="4F81BD"/>
            </a:solidFill>
            <a:ln w="0">
              <a:noFill/>
            </a:ln>
          </c:spPr>
          <c:invertIfNegative val="0"/>
          <c:dLbls>
            <c:txPr>
              <a:bodyPr wrap="square"/>
              <a:lstStyle/>
              <a:p>
                <a:pPr>
                  <a:defRPr sz="1000" b="0" strike="noStrike" spc="-1">
                    <a:solidFill>
                      <a:srgbClr val="000000"/>
                    </a:solidFill>
                    <a:latin typeface="Calibri"/>
                  </a:defRPr>
                </a:pPr>
                <a:endParaRPr lang="uk-UA"/>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2"/>
                <c:pt idx="0">
                  <c:v>2007</c:v>
                </c:pt>
                <c:pt idx="1">
                  <c:v>2012</c:v>
                </c:pt>
                <c:pt idx="2">
                  <c:v>2013</c:v>
                </c:pt>
                <c:pt idx="3">
                  <c:v>2014</c:v>
                </c:pt>
                <c:pt idx="4">
                  <c:v>2015</c:v>
                </c:pt>
                <c:pt idx="5">
                  <c:v>2016</c:v>
                </c:pt>
                <c:pt idx="6">
                  <c:v>2017</c:v>
                </c:pt>
                <c:pt idx="7">
                  <c:v>2018</c:v>
                </c:pt>
                <c:pt idx="8">
                  <c:v>2019</c:v>
                </c:pt>
                <c:pt idx="9">
                  <c:v>2020</c:v>
                </c:pt>
                <c:pt idx="10">
                  <c:v>2021</c:v>
                </c:pt>
                <c:pt idx="11">
                  <c:v>2022</c:v>
                </c:pt>
              </c:strCache>
            </c:strRef>
          </c:cat>
          <c:val>
            <c:numRef>
              <c:f>0</c:f>
              <c:numCache>
                <c:formatCode>General</c:formatCode>
                <c:ptCount val="12"/>
                <c:pt idx="0">
                  <c:v>339</c:v>
                </c:pt>
                <c:pt idx="1">
                  <c:v>900.7</c:v>
                </c:pt>
                <c:pt idx="2">
                  <c:v>879.5</c:v>
                </c:pt>
                <c:pt idx="3">
                  <c:v>1085.3</c:v>
                </c:pt>
                <c:pt idx="4">
                  <c:v>1317.2</c:v>
                </c:pt>
                <c:pt idx="5">
                  <c:v>1669.7</c:v>
                </c:pt>
                <c:pt idx="6">
                  <c:v>2372.1</c:v>
                </c:pt>
                <c:pt idx="7">
                  <c:v>2684.6</c:v>
                </c:pt>
                <c:pt idx="8">
                  <c:v>2564.6999999999998</c:v>
                </c:pt>
                <c:pt idx="9">
                  <c:v>2356.8000000000002</c:v>
                </c:pt>
                <c:pt idx="10">
                  <c:v>2851</c:v>
                </c:pt>
                <c:pt idx="11">
                  <c:v>2629.2</c:v>
                </c:pt>
              </c:numCache>
            </c:numRef>
          </c:val>
        </c:ser>
        <c:ser>
          <c:idx val="1"/>
          <c:order val="1"/>
          <c:tx>
            <c:strRef>
              <c:f>label 1</c:f>
              <c:strCache>
                <c:ptCount val="1"/>
                <c:pt idx="0">
                  <c:v>Видатки загального фонду бюджету громиади</c:v>
                </c:pt>
              </c:strCache>
            </c:strRef>
          </c:tx>
          <c:spPr>
            <a:solidFill>
              <a:srgbClr val="C0504D"/>
            </a:solidFill>
            <a:ln w="0">
              <a:noFill/>
            </a:ln>
          </c:spPr>
          <c:invertIfNegative val="0"/>
          <c:dLbls>
            <c:txPr>
              <a:bodyPr wrap="square"/>
              <a:lstStyle/>
              <a:p>
                <a:pPr>
                  <a:defRPr sz="1000" b="0" strike="noStrike" spc="-1">
                    <a:solidFill>
                      <a:srgbClr val="000000"/>
                    </a:solidFill>
                    <a:latin typeface="Calibri"/>
                  </a:defRPr>
                </a:pPr>
                <a:endParaRPr lang="uk-UA"/>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2"/>
                <c:pt idx="0">
                  <c:v>2007</c:v>
                </c:pt>
                <c:pt idx="1">
                  <c:v>2012</c:v>
                </c:pt>
                <c:pt idx="2">
                  <c:v>2013</c:v>
                </c:pt>
                <c:pt idx="3">
                  <c:v>2014</c:v>
                </c:pt>
                <c:pt idx="4">
                  <c:v>2015</c:v>
                </c:pt>
                <c:pt idx="5">
                  <c:v>2016</c:v>
                </c:pt>
                <c:pt idx="6">
                  <c:v>2017</c:v>
                </c:pt>
                <c:pt idx="7">
                  <c:v>2018</c:v>
                </c:pt>
                <c:pt idx="8">
                  <c:v>2019</c:v>
                </c:pt>
                <c:pt idx="9">
                  <c:v>2020</c:v>
                </c:pt>
                <c:pt idx="10">
                  <c:v>2021</c:v>
                </c:pt>
                <c:pt idx="11">
                  <c:v>2022</c:v>
                </c:pt>
              </c:strCache>
            </c:strRef>
          </c:cat>
          <c:val>
            <c:numRef>
              <c:f>1</c:f>
              <c:numCache>
                <c:formatCode>General</c:formatCode>
                <c:ptCount val="12"/>
                <c:pt idx="0">
                  <c:v>276</c:v>
                </c:pt>
                <c:pt idx="1">
                  <c:v>793.7</c:v>
                </c:pt>
                <c:pt idx="2">
                  <c:v>763</c:v>
                </c:pt>
                <c:pt idx="3">
                  <c:v>794.3</c:v>
                </c:pt>
                <c:pt idx="4">
                  <c:v>1041.3</c:v>
                </c:pt>
                <c:pt idx="5">
                  <c:v>1382.2</c:v>
                </c:pt>
                <c:pt idx="6">
                  <c:v>2061.3000000000002</c:v>
                </c:pt>
                <c:pt idx="7">
                  <c:v>2346.9</c:v>
                </c:pt>
                <c:pt idx="8">
                  <c:v>2235.1999999999998</c:v>
                </c:pt>
                <c:pt idx="9">
                  <c:v>1808.5</c:v>
                </c:pt>
                <c:pt idx="10">
                  <c:v>2211.6</c:v>
                </c:pt>
                <c:pt idx="11">
                  <c:v>2381.6999999999998</c:v>
                </c:pt>
              </c:numCache>
            </c:numRef>
          </c:val>
        </c:ser>
        <c:ser>
          <c:idx val="2"/>
          <c:order val="2"/>
          <c:tx>
            <c:strRef>
              <c:f>label 2</c:f>
              <c:strCache>
                <c:ptCount val="1"/>
                <c:pt idx="0">
                  <c:v>Видатки спеціального фонду буюджету громади</c:v>
                </c:pt>
              </c:strCache>
            </c:strRef>
          </c:tx>
          <c:spPr>
            <a:solidFill>
              <a:srgbClr val="579D1C"/>
            </a:solidFill>
            <a:ln w="0">
              <a:noFill/>
            </a:ln>
          </c:spPr>
          <c:invertIfNegative val="0"/>
          <c:dLbls>
            <c:txPr>
              <a:bodyPr wrap="none"/>
              <a:lstStyle/>
              <a:p>
                <a:pPr>
                  <a:defRPr sz="1000" b="0" strike="noStrike" spc="-1">
                    <a:solidFill>
                      <a:srgbClr val="000000"/>
                    </a:solidFill>
                    <a:latin typeface="Arial"/>
                  </a:defRPr>
                </a:pPr>
                <a:endParaRPr lang="uk-UA"/>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2"/>
                <c:pt idx="0">
                  <c:v>2007</c:v>
                </c:pt>
                <c:pt idx="1">
                  <c:v>2012</c:v>
                </c:pt>
                <c:pt idx="2">
                  <c:v>2013</c:v>
                </c:pt>
                <c:pt idx="3">
                  <c:v>2014</c:v>
                </c:pt>
                <c:pt idx="4">
                  <c:v>2015</c:v>
                </c:pt>
                <c:pt idx="5">
                  <c:v>2016</c:v>
                </c:pt>
                <c:pt idx="6">
                  <c:v>2017</c:v>
                </c:pt>
                <c:pt idx="7">
                  <c:v>2018</c:v>
                </c:pt>
                <c:pt idx="8">
                  <c:v>2019</c:v>
                </c:pt>
                <c:pt idx="9">
                  <c:v>2020</c:v>
                </c:pt>
                <c:pt idx="10">
                  <c:v>2021</c:v>
                </c:pt>
                <c:pt idx="11">
                  <c:v>2022</c:v>
                </c:pt>
              </c:strCache>
            </c:strRef>
          </c:cat>
          <c:val>
            <c:numRef>
              <c:f>2</c:f>
              <c:numCache>
                <c:formatCode>General</c:formatCode>
                <c:ptCount val="12"/>
                <c:pt idx="0">
                  <c:v>63</c:v>
                </c:pt>
                <c:pt idx="1">
                  <c:v>107</c:v>
                </c:pt>
                <c:pt idx="2">
                  <c:v>116.5</c:v>
                </c:pt>
                <c:pt idx="3">
                  <c:v>291</c:v>
                </c:pt>
                <c:pt idx="4">
                  <c:v>275.89999999999998</c:v>
                </c:pt>
                <c:pt idx="5">
                  <c:v>287.5</c:v>
                </c:pt>
                <c:pt idx="6">
                  <c:v>310.8</c:v>
                </c:pt>
                <c:pt idx="7">
                  <c:v>337.7</c:v>
                </c:pt>
                <c:pt idx="8">
                  <c:v>329.5</c:v>
                </c:pt>
                <c:pt idx="9">
                  <c:v>548.20000000000005</c:v>
                </c:pt>
                <c:pt idx="10">
                  <c:v>639.4</c:v>
                </c:pt>
                <c:pt idx="11">
                  <c:v>247.5</c:v>
                </c:pt>
              </c:numCache>
            </c:numRef>
          </c:val>
        </c:ser>
        <c:dLbls>
          <c:showLegendKey val="0"/>
          <c:showVal val="0"/>
          <c:showCatName val="0"/>
          <c:showSerName val="0"/>
          <c:showPercent val="0"/>
          <c:showBubbleSize val="0"/>
        </c:dLbls>
        <c:gapWidth val="150"/>
        <c:axId val="162015104"/>
        <c:axId val="162016640"/>
      </c:barChart>
      <c:lineChart>
        <c:grouping val="standard"/>
        <c:varyColors val="0"/>
        <c:ser>
          <c:idx val="3"/>
          <c:order val="3"/>
          <c:tx>
            <c:strRef>
              <c:f>label 3</c:f>
              <c:strCache>
                <c:ptCount val="1"/>
                <c:pt idx="0">
                  <c:v>Інфляційне зростання</c:v>
                </c:pt>
              </c:strCache>
            </c:strRef>
          </c:tx>
          <c:spPr>
            <a:ln w="28800">
              <a:solidFill>
                <a:srgbClr val="9BBB59"/>
              </a:solidFill>
              <a:round/>
            </a:ln>
          </c:spPr>
          <c:marker>
            <c:symbol val="none"/>
          </c:marker>
          <c:dLbls>
            <c:txPr>
              <a:bodyPr wrap="square"/>
              <a:lstStyle/>
              <a:p>
                <a:pPr>
                  <a:defRPr sz="1000" b="0" strike="noStrike" spc="-1">
                    <a:solidFill>
                      <a:srgbClr val="000000"/>
                    </a:solidFill>
                    <a:latin typeface="Calibri"/>
                  </a:defRPr>
                </a:pPr>
                <a:endParaRPr lang="uk-UA"/>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2"/>
                <c:pt idx="0">
                  <c:v>2007</c:v>
                </c:pt>
                <c:pt idx="1">
                  <c:v>2012</c:v>
                </c:pt>
                <c:pt idx="2">
                  <c:v>2013</c:v>
                </c:pt>
                <c:pt idx="3">
                  <c:v>2014</c:v>
                </c:pt>
                <c:pt idx="4">
                  <c:v>2015</c:v>
                </c:pt>
                <c:pt idx="5">
                  <c:v>2016</c:v>
                </c:pt>
                <c:pt idx="6">
                  <c:v>2017</c:v>
                </c:pt>
                <c:pt idx="7">
                  <c:v>2018</c:v>
                </c:pt>
                <c:pt idx="8">
                  <c:v>2019</c:v>
                </c:pt>
                <c:pt idx="9">
                  <c:v>2020</c:v>
                </c:pt>
                <c:pt idx="10">
                  <c:v>2021</c:v>
                </c:pt>
                <c:pt idx="11">
                  <c:v>2022</c:v>
                </c:pt>
              </c:strCache>
            </c:strRef>
          </c:cat>
          <c:val>
            <c:numRef>
              <c:f>3</c:f>
              <c:numCache>
                <c:formatCode>General</c:formatCode>
                <c:ptCount val="12"/>
                <c:pt idx="0">
                  <c:v>1</c:v>
                </c:pt>
                <c:pt idx="1">
                  <c:v>1</c:v>
                </c:pt>
                <c:pt idx="2">
                  <c:v>1</c:v>
                </c:pt>
                <c:pt idx="3">
                  <c:v>1.3</c:v>
                </c:pt>
                <c:pt idx="4">
                  <c:v>1.8</c:v>
                </c:pt>
                <c:pt idx="5">
                  <c:v>2</c:v>
                </c:pt>
                <c:pt idx="6">
                  <c:v>2.2999999999999998</c:v>
                </c:pt>
                <c:pt idx="7">
                  <c:v>2.5</c:v>
                </c:pt>
                <c:pt idx="8">
                  <c:v>2.6</c:v>
                </c:pt>
                <c:pt idx="9">
                  <c:v>2.8</c:v>
                </c:pt>
                <c:pt idx="10">
                  <c:v>3</c:v>
                </c:pt>
                <c:pt idx="11">
                  <c:v>3.8</c:v>
                </c:pt>
              </c:numCache>
            </c:numRef>
          </c:val>
          <c:smooth val="0"/>
        </c:ser>
        <c:dLbls>
          <c:showLegendKey val="0"/>
          <c:showVal val="0"/>
          <c:showCatName val="0"/>
          <c:showSerName val="0"/>
          <c:showPercent val="0"/>
          <c:showBubbleSize val="0"/>
        </c:dLbls>
        <c:hiLowLines>
          <c:spPr>
            <a:ln w="0">
              <a:noFill/>
            </a:ln>
          </c:spPr>
        </c:hiLowLines>
        <c:marker val="1"/>
        <c:smooth val="0"/>
        <c:axId val="186381824"/>
        <c:axId val="186383360"/>
      </c:lineChart>
      <c:catAx>
        <c:axId val="162015104"/>
        <c:scaling>
          <c:orientation val="minMax"/>
        </c:scaling>
        <c:delete val="0"/>
        <c:axPos val="b"/>
        <c:majorGridlines>
          <c:spPr>
            <a:ln w="0">
              <a:solidFill>
                <a:srgbClr val="B3B3B3"/>
              </a:solidFill>
            </a:ln>
          </c:spPr>
        </c:majorGridlines>
        <c:numFmt formatCode="General" sourceLinked="0"/>
        <c:majorTickMark val="out"/>
        <c:minorTickMark val="none"/>
        <c:tickLblPos val="nextTo"/>
        <c:spPr>
          <a:ln w="9360">
            <a:solidFill>
              <a:srgbClr val="878787"/>
            </a:solidFill>
            <a:round/>
          </a:ln>
        </c:spPr>
        <c:txPr>
          <a:bodyPr rot="-3000000"/>
          <a:lstStyle/>
          <a:p>
            <a:pPr>
              <a:defRPr sz="900" b="0" strike="noStrike" spc="-1">
                <a:solidFill>
                  <a:srgbClr val="000000"/>
                </a:solidFill>
                <a:latin typeface="Calibri"/>
              </a:defRPr>
            </a:pPr>
            <a:endParaRPr lang="uk-UA"/>
          </a:p>
        </c:txPr>
        <c:crossAx val="162016640"/>
        <c:crosses val="autoZero"/>
        <c:auto val="1"/>
        <c:lblAlgn val="ctr"/>
        <c:lblOffset val="100"/>
        <c:noMultiLvlLbl val="0"/>
      </c:catAx>
      <c:valAx>
        <c:axId val="162016640"/>
        <c:scaling>
          <c:orientation val="minMax"/>
        </c:scaling>
        <c:delete val="0"/>
        <c:axPos val="l"/>
        <c:majorGridlines>
          <c:spPr>
            <a:ln w="9360">
              <a:solidFill>
                <a:srgbClr val="878787"/>
              </a:solidFill>
              <a:round/>
            </a:ln>
          </c:spPr>
        </c:majorGridlines>
        <c:title>
          <c:tx>
            <c:rich>
              <a:bodyPr rot="-5400000"/>
              <a:lstStyle/>
              <a:p>
                <a:pPr>
                  <a:defRPr lang="uk-UA" sz="900" b="0" strike="noStrike" spc="-1">
                    <a:solidFill>
                      <a:srgbClr val="000000"/>
                    </a:solidFill>
                    <a:latin typeface="Calibri"/>
                  </a:defRPr>
                </a:pPr>
                <a:r>
                  <a:rPr lang="uk-UA" sz="900" b="0" strike="noStrike" spc="-1">
                    <a:solidFill>
                      <a:srgbClr val="000000"/>
                    </a:solidFill>
                    <a:latin typeface="Calibri"/>
                  </a:rPr>
                  <a:t>млн грн</a:t>
                </a:r>
              </a:p>
            </c:rich>
          </c:tx>
          <c:layout>
            <c:manualLayout>
              <c:xMode val="edge"/>
              <c:yMode val="edge"/>
              <c:x val="1.7999999999999999E-2"/>
              <c:y val="0.118777777777778"/>
            </c:manualLayout>
          </c:layout>
          <c:overlay val="0"/>
          <c:spPr>
            <a:noFill/>
            <a:ln w="0">
              <a:noFill/>
            </a:ln>
          </c:spPr>
        </c:title>
        <c:numFmt formatCode="General" sourceLinked="0"/>
        <c:majorTickMark val="out"/>
        <c:minorTickMark val="none"/>
        <c:tickLblPos val="nextTo"/>
        <c:spPr>
          <a:ln w="9360">
            <a:solidFill>
              <a:srgbClr val="878787"/>
            </a:solidFill>
            <a:round/>
          </a:ln>
        </c:spPr>
        <c:txPr>
          <a:bodyPr/>
          <a:lstStyle/>
          <a:p>
            <a:pPr>
              <a:defRPr sz="1000" b="0" strike="noStrike" spc="-1">
                <a:solidFill>
                  <a:srgbClr val="000000"/>
                </a:solidFill>
                <a:latin typeface="Calibri"/>
              </a:defRPr>
            </a:pPr>
            <a:endParaRPr lang="uk-UA"/>
          </a:p>
        </c:txPr>
        <c:crossAx val="162015104"/>
        <c:crossesAt val="1"/>
        <c:crossBetween val="between"/>
      </c:valAx>
      <c:catAx>
        <c:axId val="186381824"/>
        <c:scaling>
          <c:orientation val="minMax"/>
        </c:scaling>
        <c:delete val="1"/>
        <c:axPos val="b"/>
        <c:numFmt formatCode="[$-422]dd/mm/yyyy" sourceLinked="1"/>
        <c:majorTickMark val="out"/>
        <c:minorTickMark val="none"/>
        <c:tickLblPos val="none"/>
        <c:crossAx val="186383360"/>
        <c:crosses val="autoZero"/>
        <c:auto val="1"/>
        <c:lblAlgn val="ctr"/>
        <c:lblOffset val="100"/>
        <c:noMultiLvlLbl val="0"/>
      </c:catAx>
      <c:valAx>
        <c:axId val="186383360"/>
        <c:scaling>
          <c:orientation val="minMax"/>
        </c:scaling>
        <c:delete val="0"/>
        <c:axPos val="r"/>
        <c:title>
          <c:tx>
            <c:rich>
              <a:bodyPr rot="0"/>
              <a:lstStyle/>
              <a:p>
                <a:pPr>
                  <a:defRPr lang="uk-UA" sz="900" b="0" strike="noStrike" spc="-1">
                    <a:solidFill>
                      <a:srgbClr val="000000"/>
                    </a:solidFill>
                    <a:latin typeface="Arial"/>
                  </a:defRPr>
                </a:pPr>
                <a:r>
                  <a:rPr lang="uk-UA" sz="900" b="0" strike="noStrike" spc="-1">
                    <a:solidFill>
                      <a:srgbClr val="000000"/>
                    </a:solidFill>
                    <a:latin typeface="Arial"/>
                  </a:rPr>
                  <a:t> %</a:t>
                </a:r>
              </a:p>
            </c:rich>
          </c:tx>
          <c:layout>
            <c:manualLayout>
              <c:xMode val="edge"/>
              <c:yMode val="edge"/>
              <c:x val="0.97212500000000002"/>
              <c:y val="0.22511111111111101"/>
            </c:manualLayout>
          </c:layout>
          <c:overlay val="0"/>
          <c:spPr>
            <a:noFill/>
            <a:ln w="0">
              <a:noFill/>
            </a:ln>
          </c:spPr>
        </c:title>
        <c:numFmt formatCode="General" sourceLinked="0"/>
        <c:majorTickMark val="out"/>
        <c:minorTickMark val="none"/>
        <c:tickLblPos val="nextTo"/>
        <c:spPr>
          <a:ln w="0">
            <a:solidFill>
              <a:srgbClr val="B3B3B3"/>
            </a:solidFill>
          </a:ln>
        </c:spPr>
        <c:txPr>
          <a:bodyPr/>
          <a:lstStyle/>
          <a:p>
            <a:pPr>
              <a:defRPr sz="900" b="0" strike="noStrike" spc="-1">
                <a:solidFill>
                  <a:srgbClr val="000000"/>
                </a:solidFill>
                <a:latin typeface="Arial"/>
              </a:defRPr>
            </a:pPr>
            <a:endParaRPr lang="uk-UA"/>
          </a:p>
        </c:txPr>
        <c:crossAx val="186381824"/>
        <c:crosses val="max"/>
        <c:crossBetween val="between"/>
      </c:valAx>
      <c:spPr>
        <a:noFill/>
        <a:ln w="0">
          <a:noFill/>
        </a:ln>
      </c:spPr>
    </c:plotArea>
    <c:legend>
      <c:legendPos val="b"/>
      <c:layout>
        <c:manualLayout>
          <c:xMode val="edge"/>
          <c:yMode val="edge"/>
          <c:x val="0.1139375"/>
          <c:y val="0.77400000000000002"/>
          <c:w val="0.83486467904243999"/>
          <c:h val="0.22558062006889701"/>
        </c:manualLayout>
      </c:layout>
      <c:overlay val="0"/>
      <c:spPr>
        <a:noFill/>
        <a:ln w="0">
          <a:noFill/>
        </a:ln>
      </c:spPr>
      <c:txPr>
        <a:bodyPr/>
        <a:lstStyle/>
        <a:p>
          <a:pPr>
            <a:defRPr sz="900" b="0" strike="noStrike" spc="-1">
              <a:solidFill>
                <a:srgbClr val="000000"/>
              </a:solidFill>
              <a:latin typeface="Calibri"/>
            </a:defRPr>
          </a:pPr>
          <a:endParaRPr lang="uk-UA"/>
        </a:p>
      </c:txPr>
    </c:legend>
    <c:plotVisOnly val="1"/>
    <c:dispBlanksAs val="gap"/>
    <c:showDLblsOverMax val="1"/>
  </c:chart>
  <c:spPr>
    <a:solidFill>
      <a:srgbClr val="FFFFFF"/>
    </a:solidFill>
    <a:ln w="9360">
      <a:solidFill>
        <a:srgbClr val="D9D9D9"/>
      </a:solidFill>
      <a:round/>
    </a:ln>
  </c:spPr>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autoTitleDeleted val="1"/>
    <c:plotArea>
      <c:layout/>
      <c:pieChart>
        <c:varyColors val="1"/>
        <c:ser>
          <c:idx val="0"/>
          <c:order val="0"/>
          <c:tx>
            <c:strRef>
              <c:f>label 0</c:f>
              <c:strCache>
                <c:ptCount val="1"/>
                <c:pt idx="0">
                  <c:v>Серія1</c:v>
                </c:pt>
              </c:strCache>
            </c:strRef>
          </c:tx>
          <c:spPr>
            <a:solidFill>
              <a:srgbClr val="4F81BD"/>
            </a:solidFill>
            <a:ln w="0">
              <a:noFill/>
            </a:ln>
          </c:spPr>
          <c:dPt>
            <c:idx val="0"/>
            <c:bubble3D val="0"/>
            <c:spPr>
              <a:solidFill>
                <a:srgbClr val="4672A8"/>
              </a:solidFill>
              <a:ln w="0">
                <a:noFill/>
              </a:ln>
            </c:spPr>
          </c:dPt>
          <c:dPt>
            <c:idx val="1"/>
            <c:bubble3D val="0"/>
            <c:spPr>
              <a:solidFill>
                <a:srgbClr val="C0504D"/>
              </a:solidFill>
              <a:ln w="0">
                <a:noFill/>
              </a:ln>
            </c:spPr>
          </c:dPt>
          <c:dPt>
            <c:idx val="2"/>
            <c:bubble3D val="0"/>
            <c:spPr>
              <a:solidFill>
                <a:srgbClr val="9BBB59"/>
              </a:solidFill>
              <a:ln w="0">
                <a:noFill/>
              </a:ln>
            </c:spPr>
          </c:dPt>
          <c:dPt>
            <c:idx val="3"/>
            <c:bubble3D val="0"/>
            <c:spPr>
              <a:solidFill>
                <a:srgbClr val="8064A2"/>
              </a:solidFill>
              <a:ln w="0">
                <a:noFill/>
              </a:ln>
            </c:spPr>
          </c:dPt>
          <c:dPt>
            <c:idx val="4"/>
            <c:bubble3D val="0"/>
            <c:spPr>
              <a:solidFill>
                <a:srgbClr val="4BACC6"/>
              </a:solidFill>
              <a:ln w="0">
                <a:noFill/>
              </a:ln>
            </c:spPr>
          </c:dPt>
          <c:dPt>
            <c:idx val="5"/>
            <c:bubble3D val="0"/>
            <c:spPr>
              <a:solidFill>
                <a:srgbClr val="83CAFF"/>
              </a:solidFill>
              <a:ln w="0">
                <a:noFill/>
              </a:ln>
            </c:spPr>
          </c:dPt>
          <c:dPt>
            <c:idx val="6"/>
            <c:bubble3D val="0"/>
            <c:spPr>
              <a:solidFill>
                <a:srgbClr val="314004"/>
              </a:solidFill>
              <a:ln w="0">
                <a:noFill/>
              </a:ln>
            </c:spPr>
          </c:dPt>
          <c:dPt>
            <c:idx val="7"/>
            <c:bubble3D val="0"/>
            <c:spPr>
              <a:solidFill>
                <a:srgbClr val="AECF00"/>
              </a:solidFill>
              <a:ln w="0">
                <a:noFill/>
              </a:ln>
            </c:spPr>
          </c:dPt>
          <c:dPt>
            <c:idx val="8"/>
            <c:bubble3D val="0"/>
            <c:spPr>
              <a:solidFill>
                <a:srgbClr val="4B1F6F"/>
              </a:solidFill>
              <a:ln w="0">
                <a:noFill/>
              </a:ln>
            </c:spPr>
          </c:dPt>
          <c:dLbls>
            <c:txPr>
              <a:bodyPr wrap="square"/>
              <a:lstStyle/>
              <a:p>
                <a:pPr>
                  <a:defRPr sz="1000" b="0" strike="noStrike" spc="-1">
                    <a:solidFill>
                      <a:srgbClr val="000000"/>
                    </a:solidFill>
                    <a:latin typeface="Calibri"/>
                  </a:defRPr>
                </a:pPr>
                <a:endParaRPr lang="uk-UA"/>
              </a:p>
            </c:txPr>
            <c:dLblPos val="outEnd"/>
            <c:showLegendKey val="0"/>
            <c:showVal val="0"/>
            <c:showCatName val="0"/>
            <c:showSerName val="0"/>
            <c:showPercent val="1"/>
            <c:showBubbleSize val="1"/>
            <c:separator>
</c:separator>
            <c:showLeaderLines val="1"/>
          </c:dLbls>
          <c:cat>
            <c:strRef>
              <c:f>categories</c:f>
              <c:strCache>
                <c:ptCount val="9"/>
                <c:pt idx="0">
                  <c:v>Видатки на місцеве самоврядування</c:v>
                </c:pt>
                <c:pt idx="1">
                  <c:v>Видатки на освіту</c:v>
                </c:pt>
                <c:pt idx="2">
                  <c:v>Видатки на соціальний захист</c:v>
                </c:pt>
                <c:pt idx="3">
                  <c:v>Видатки на охорону здоров'я</c:v>
                </c:pt>
                <c:pt idx="4">
                  <c:v>Видатки на ЖКГ</c:v>
                </c:pt>
                <c:pt idx="5">
                  <c:v>Інші видатки програми</c:v>
                </c:pt>
                <c:pt idx="6">
                  <c:v>Видатки на економічну діяльність</c:v>
                </c:pt>
                <c:pt idx="7">
                  <c:v>Видатки на культуру та мистецтво</c:v>
                </c:pt>
                <c:pt idx="8">
                  <c:v>Видатки на фізкультуру і спорт</c:v>
                </c:pt>
              </c:strCache>
            </c:strRef>
          </c:cat>
          <c:val>
            <c:numRef>
              <c:f>0</c:f>
              <c:numCache>
                <c:formatCode>General</c:formatCode>
                <c:ptCount val="9"/>
                <c:pt idx="0">
                  <c:v>8.8000000000000007</c:v>
                </c:pt>
                <c:pt idx="1">
                  <c:v>56.9</c:v>
                </c:pt>
                <c:pt idx="2">
                  <c:v>3.3</c:v>
                </c:pt>
                <c:pt idx="3">
                  <c:v>3.2</c:v>
                </c:pt>
                <c:pt idx="4">
                  <c:v>7</c:v>
                </c:pt>
                <c:pt idx="5">
                  <c:v>4.7</c:v>
                </c:pt>
                <c:pt idx="6">
                  <c:v>12.2</c:v>
                </c:pt>
                <c:pt idx="7">
                  <c:v>2.2999999999999998</c:v>
                </c:pt>
                <c:pt idx="8">
                  <c:v>1.6</c:v>
                </c:pt>
              </c:numCache>
            </c:numRef>
          </c:val>
        </c:ser>
        <c:ser>
          <c:idx val="1"/>
          <c:order val="1"/>
          <c:tx>
            <c:strRef>
              <c:f>label 1</c:f>
              <c:strCache>
                <c:ptCount val="1"/>
                <c:pt idx="0">
                  <c:v>Серія2</c:v>
                </c:pt>
              </c:strCache>
            </c:strRef>
          </c:tx>
          <c:spPr>
            <a:solidFill>
              <a:srgbClr val="C0504D"/>
            </a:solidFill>
            <a:ln w="0">
              <a:noFill/>
            </a:ln>
          </c:spPr>
          <c:dPt>
            <c:idx val="0"/>
            <c:bubble3D val="0"/>
            <c:spPr>
              <a:solidFill>
                <a:srgbClr val="4F81BD"/>
              </a:solidFill>
              <a:ln w="0">
                <a:noFill/>
              </a:ln>
            </c:spPr>
          </c:dPt>
          <c:dPt>
            <c:idx val="1"/>
            <c:bubble3D val="0"/>
            <c:spPr>
              <a:solidFill>
                <a:srgbClr val="AB4744"/>
              </a:solidFill>
              <a:ln w="0">
                <a:noFill/>
              </a:ln>
            </c:spPr>
          </c:dPt>
          <c:dPt>
            <c:idx val="2"/>
            <c:bubble3D val="0"/>
            <c:spPr>
              <a:solidFill>
                <a:srgbClr val="9BBB59"/>
              </a:solidFill>
              <a:ln w="0">
                <a:noFill/>
              </a:ln>
            </c:spPr>
          </c:dPt>
          <c:dPt>
            <c:idx val="3"/>
            <c:bubble3D val="0"/>
            <c:spPr>
              <a:solidFill>
                <a:srgbClr val="8064A2"/>
              </a:solidFill>
              <a:ln w="0">
                <a:noFill/>
              </a:ln>
            </c:spPr>
          </c:dPt>
          <c:dPt>
            <c:idx val="4"/>
            <c:bubble3D val="0"/>
            <c:spPr>
              <a:solidFill>
                <a:srgbClr val="4BACC6"/>
              </a:solidFill>
              <a:ln w="0">
                <a:noFill/>
              </a:ln>
            </c:spPr>
          </c:dPt>
          <c:dPt>
            <c:idx val="5"/>
            <c:bubble3D val="0"/>
            <c:spPr>
              <a:solidFill>
                <a:srgbClr val="83CAFF"/>
              </a:solidFill>
              <a:ln w="0">
                <a:noFill/>
              </a:ln>
            </c:spPr>
          </c:dPt>
          <c:dPt>
            <c:idx val="6"/>
            <c:bubble3D val="0"/>
            <c:spPr>
              <a:solidFill>
                <a:srgbClr val="314004"/>
              </a:solidFill>
              <a:ln w="0">
                <a:noFill/>
              </a:ln>
            </c:spPr>
          </c:dPt>
          <c:dPt>
            <c:idx val="7"/>
            <c:bubble3D val="0"/>
            <c:spPr>
              <a:solidFill>
                <a:srgbClr val="AECF00"/>
              </a:solidFill>
              <a:ln w="0">
                <a:noFill/>
              </a:ln>
            </c:spPr>
          </c:dPt>
          <c:dPt>
            <c:idx val="8"/>
            <c:bubble3D val="0"/>
            <c:spPr>
              <a:solidFill>
                <a:srgbClr val="4B1F6F"/>
              </a:solidFill>
              <a:ln w="0">
                <a:noFill/>
              </a:ln>
            </c:spPr>
          </c:dPt>
          <c:dLbls>
            <c:txPr>
              <a:bodyPr wrap="square"/>
              <a:lstStyle/>
              <a:p>
                <a:pPr>
                  <a:defRPr sz="1000" b="0" strike="noStrike" spc="-1">
                    <a:solidFill>
                      <a:srgbClr val="000000"/>
                    </a:solidFill>
                    <a:latin typeface="Calibri"/>
                  </a:defRPr>
                </a:pPr>
                <a:endParaRPr lang="uk-UA"/>
              </a:p>
            </c:txPr>
            <c:dLblPos val="bestFit"/>
            <c:showLegendKey val="0"/>
            <c:showVal val="0"/>
            <c:showCatName val="0"/>
            <c:showSerName val="0"/>
            <c:showPercent val="0"/>
            <c:showBubbleSize val="1"/>
            <c:separator>; </c:separator>
            <c:showLeaderLines val="1"/>
          </c:dLbls>
          <c:cat>
            <c:strRef>
              <c:f>categories</c:f>
              <c:strCache>
                <c:ptCount val="9"/>
                <c:pt idx="0">
                  <c:v>Видатки на місцеве самоврядування</c:v>
                </c:pt>
                <c:pt idx="1">
                  <c:v>Видатки на освіту</c:v>
                </c:pt>
                <c:pt idx="2">
                  <c:v>Видатки на соціальний захист</c:v>
                </c:pt>
                <c:pt idx="3">
                  <c:v>Видатки на охорону здоров'я</c:v>
                </c:pt>
                <c:pt idx="4">
                  <c:v>Видатки на ЖКГ</c:v>
                </c:pt>
                <c:pt idx="5">
                  <c:v>Інші видатки програми</c:v>
                </c:pt>
                <c:pt idx="6">
                  <c:v>Видатки на економічну діяльність</c:v>
                </c:pt>
                <c:pt idx="7">
                  <c:v>Видатки на культуру та мистецтво</c:v>
                </c:pt>
                <c:pt idx="8">
                  <c:v>Видатки на фізкультуру і спорт</c:v>
                </c:pt>
              </c:strCache>
            </c:strRef>
          </c:cat>
          <c:val>
            <c:numRef>
              <c:f>1</c:f>
              <c:numCache>
                <c:formatCode>General</c:formatCode>
                <c:ptCount val="9"/>
                <c:pt idx="0">
                  <c:v>232.1</c:v>
                </c:pt>
                <c:pt idx="1">
                  <c:v>1497.1</c:v>
                </c:pt>
                <c:pt idx="2">
                  <c:v>84.5</c:v>
                </c:pt>
                <c:pt idx="3">
                  <c:v>83.3</c:v>
                </c:pt>
                <c:pt idx="4">
                  <c:v>183.4</c:v>
                </c:pt>
                <c:pt idx="5">
                  <c:v>123.9</c:v>
                </c:pt>
                <c:pt idx="6">
                  <c:v>320.8</c:v>
                </c:pt>
                <c:pt idx="7">
                  <c:v>61</c:v>
                </c:pt>
                <c:pt idx="8">
                  <c:v>43.1</c:v>
                </c:pt>
              </c:numCache>
            </c:numRef>
          </c:val>
        </c:ser>
        <c:dLbls>
          <c:showLegendKey val="0"/>
          <c:showVal val="0"/>
          <c:showCatName val="0"/>
          <c:showSerName val="0"/>
          <c:showPercent val="0"/>
          <c:showBubbleSize val="0"/>
          <c:showLeaderLines val="1"/>
        </c:dLbls>
        <c:firstSliceAng val="0"/>
      </c:pieChart>
      <c:spPr>
        <a:noFill/>
        <a:ln w="25560">
          <a:noFill/>
        </a:ln>
      </c:spPr>
    </c:plotArea>
    <c:legend>
      <c:legendPos val="r"/>
      <c:layout>
        <c:manualLayout>
          <c:xMode val="edge"/>
          <c:yMode val="edge"/>
          <c:x val="0.60675000000000001"/>
          <c:y val="0.10988888888888899"/>
          <c:w val="0.373460841302581"/>
          <c:h val="0.82253583731525703"/>
        </c:manualLayout>
      </c:layout>
      <c:overlay val="0"/>
      <c:spPr>
        <a:noFill/>
        <a:ln w="0">
          <a:noFill/>
        </a:ln>
      </c:spPr>
      <c:txPr>
        <a:bodyPr/>
        <a:lstStyle/>
        <a:p>
          <a:pPr>
            <a:defRPr sz="800" b="0" strike="noStrike" spc="-1">
              <a:solidFill>
                <a:srgbClr val="000000"/>
              </a:solidFill>
              <a:latin typeface="Arial"/>
            </a:defRPr>
          </a:pPr>
          <a:endParaRPr lang="uk-UA"/>
        </a:p>
      </c:txPr>
    </c:legend>
    <c:plotVisOnly val="1"/>
    <c:dispBlanksAs val="zero"/>
    <c:showDLblsOverMax val="1"/>
  </c:chart>
  <c:spPr>
    <a:solidFill>
      <a:srgbClr val="FFFFFF"/>
    </a:solidFill>
    <a:ln w="9360">
      <a:solidFill>
        <a:srgbClr val="808080"/>
      </a:solidFill>
      <a:round/>
    </a:ln>
  </c:spPr>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autoTitleDeleted val="1"/>
    <c:plotArea>
      <c:layout/>
      <c:barChart>
        <c:barDir val="col"/>
        <c:grouping val="stacked"/>
        <c:varyColors val="0"/>
        <c:ser>
          <c:idx val="0"/>
          <c:order val="0"/>
          <c:tx>
            <c:strRef>
              <c:f>label 0</c:f>
              <c:strCache>
                <c:ptCount val="1"/>
                <c:pt idx="0">
                  <c:v>Бюджетний сектор</c:v>
                </c:pt>
              </c:strCache>
            </c:strRef>
          </c:tx>
          <c:spPr>
            <a:solidFill>
              <a:srgbClr val="004586"/>
            </a:solidFill>
            <a:ln w="0">
              <a:noFill/>
            </a:ln>
          </c:spPr>
          <c:invertIfNegative val="0"/>
          <c:dLbls>
            <c:txPr>
              <a:bodyPr wrap="none"/>
              <a:lstStyle/>
              <a:p>
                <a:pPr>
                  <a:defRPr sz="1000" b="0" strike="noStrike" spc="-1">
                    <a:solidFill>
                      <a:srgbClr val="000000"/>
                    </a:solidFill>
                    <a:latin typeface="Arial"/>
                  </a:defRPr>
                </a:pPr>
                <a:endParaRPr lang="uk-UA"/>
              </a:p>
            </c:txPr>
            <c:dLblPos val="ct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4"/>
                <c:pt idx="0">
                  <c:v>2007</c:v>
                </c:pt>
                <c:pt idx="1">
                  <c:v>2020</c:v>
                </c:pt>
                <c:pt idx="2">
                  <c:v>2021</c:v>
                </c:pt>
                <c:pt idx="3">
                  <c:v>2022</c:v>
                </c:pt>
              </c:strCache>
            </c:strRef>
          </c:cat>
          <c:val>
            <c:numRef>
              <c:f>0</c:f>
              <c:numCache>
                <c:formatCode>General</c:formatCode>
                <c:ptCount val="4"/>
                <c:pt idx="0">
                  <c:v>4654.34</c:v>
                </c:pt>
                <c:pt idx="1">
                  <c:v>2880.58</c:v>
                </c:pt>
                <c:pt idx="2">
                  <c:v>3102.09</c:v>
                </c:pt>
                <c:pt idx="3">
                  <c:v>2549.37</c:v>
                </c:pt>
              </c:numCache>
            </c:numRef>
          </c:val>
        </c:ser>
        <c:ser>
          <c:idx val="1"/>
          <c:order val="1"/>
          <c:tx>
            <c:strRef>
              <c:f>label 1</c:f>
              <c:strCache>
                <c:ptCount val="1"/>
                <c:pt idx="0">
                  <c:v>Населення</c:v>
                </c:pt>
              </c:strCache>
            </c:strRef>
          </c:tx>
          <c:spPr>
            <a:solidFill>
              <a:srgbClr val="FF420E"/>
            </a:solidFill>
            <a:ln w="0">
              <a:noFill/>
            </a:ln>
          </c:spPr>
          <c:invertIfNegative val="0"/>
          <c:dLbls>
            <c:txPr>
              <a:bodyPr wrap="none"/>
              <a:lstStyle/>
              <a:p>
                <a:pPr>
                  <a:defRPr sz="1000" b="0" strike="noStrike" spc="-1">
                    <a:solidFill>
                      <a:srgbClr val="000000"/>
                    </a:solidFill>
                    <a:latin typeface="Arial"/>
                  </a:defRPr>
                </a:pPr>
                <a:endParaRPr lang="uk-UA"/>
              </a:p>
            </c:txPr>
            <c:dLblPos val="ct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4"/>
                <c:pt idx="0">
                  <c:v>2007</c:v>
                </c:pt>
                <c:pt idx="1">
                  <c:v>2020</c:v>
                </c:pt>
                <c:pt idx="2">
                  <c:v>2021</c:v>
                </c:pt>
                <c:pt idx="3">
                  <c:v>2022</c:v>
                </c:pt>
              </c:strCache>
            </c:strRef>
          </c:cat>
          <c:val>
            <c:numRef>
              <c:f>1</c:f>
              <c:numCache>
                <c:formatCode>General</c:formatCode>
                <c:ptCount val="4"/>
                <c:pt idx="0">
                  <c:v>71544.53</c:v>
                </c:pt>
                <c:pt idx="1">
                  <c:v>67640.009999999995</c:v>
                </c:pt>
                <c:pt idx="2">
                  <c:v>70326.53</c:v>
                </c:pt>
                <c:pt idx="3">
                  <c:v>69999.259999999995</c:v>
                </c:pt>
              </c:numCache>
            </c:numRef>
          </c:val>
        </c:ser>
        <c:ser>
          <c:idx val="2"/>
          <c:order val="2"/>
          <c:tx>
            <c:strRef>
              <c:f>label 2</c:f>
              <c:strCache>
                <c:ptCount val="1"/>
                <c:pt idx="0">
                  <c:v>Промислові підприємства</c:v>
                </c:pt>
              </c:strCache>
            </c:strRef>
          </c:tx>
          <c:spPr>
            <a:solidFill>
              <a:srgbClr val="FFD320"/>
            </a:solidFill>
            <a:ln w="0">
              <a:noFill/>
            </a:ln>
          </c:spPr>
          <c:invertIfNegative val="0"/>
          <c:dLbls>
            <c:txPr>
              <a:bodyPr wrap="none"/>
              <a:lstStyle/>
              <a:p>
                <a:pPr>
                  <a:defRPr sz="1000" b="0" strike="noStrike" spc="-1">
                    <a:solidFill>
                      <a:srgbClr val="000000"/>
                    </a:solidFill>
                    <a:latin typeface="Arial"/>
                  </a:defRPr>
                </a:pPr>
                <a:endParaRPr lang="uk-UA"/>
              </a:p>
            </c:txPr>
            <c:dLblPos val="ct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4"/>
                <c:pt idx="0">
                  <c:v>2007</c:v>
                </c:pt>
                <c:pt idx="1">
                  <c:v>2020</c:v>
                </c:pt>
                <c:pt idx="2">
                  <c:v>2021</c:v>
                </c:pt>
                <c:pt idx="3">
                  <c:v>2022</c:v>
                </c:pt>
              </c:strCache>
            </c:strRef>
          </c:cat>
          <c:val>
            <c:numRef>
              <c:f>2</c:f>
              <c:numCache>
                <c:formatCode>General</c:formatCode>
                <c:ptCount val="4"/>
                <c:pt idx="0">
                  <c:v>75032.149999999994</c:v>
                </c:pt>
                <c:pt idx="1">
                  <c:v>20581.53</c:v>
                </c:pt>
                <c:pt idx="2">
                  <c:v>19462.48</c:v>
                </c:pt>
                <c:pt idx="3">
                  <c:v>13216.37</c:v>
                </c:pt>
              </c:numCache>
            </c:numRef>
          </c:val>
        </c:ser>
        <c:ser>
          <c:idx val="3"/>
          <c:order val="3"/>
          <c:tx>
            <c:strRef>
              <c:f>label 3</c:f>
              <c:strCache>
                <c:ptCount val="1"/>
                <c:pt idx="0">
                  <c:v>Інші</c:v>
                </c:pt>
              </c:strCache>
            </c:strRef>
          </c:tx>
          <c:spPr>
            <a:solidFill>
              <a:srgbClr val="579D1C"/>
            </a:solidFill>
            <a:ln w="0">
              <a:noFill/>
            </a:ln>
          </c:spPr>
          <c:invertIfNegative val="0"/>
          <c:dLbls>
            <c:txPr>
              <a:bodyPr wrap="none"/>
              <a:lstStyle/>
              <a:p>
                <a:pPr>
                  <a:defRPr sz="1000" b="0" strike="noStrike" spc="-1">
                    <a:solidFill>
                      <a:srgbClr val="000000"/>
                    </a:solidFill>
                    <a:latin typeface="Arial"/>
                  </a:defRPr>
                </a:pPr>
                <a:endParaRPr lang="uk-UA"/>
              </a:p>
            </c:txPr>
            <c:dLblPos val="ct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4"/>
                <c:pt idx="0">
                  <c:v>2007</c:v>
                </c:pt>
                <c:pt idx="1">
                  <c:v>2020</c:v>
                </c:pt>
                <c:pt idx="2">
                  <c:v>2021</c:v>
                </c:pt>
                <c:pt idx="3">
                  <c:v>2022</c:v>
                </c:pt>
              </c:strCache>
            </c:strRef>
          </c:cat>
          <c:val>
            <c:numRef>
              <c:f>3</c:f>
              <c:numCache>
                <c:formatCode>General</c:formatCode>
                <c:ptCount val="4"/>
                <c:pt idx="0">
                  <c:v>10286</c:v>
                </c:pt>
                <c:pt idx="1">
                  <c:v>1673.33</c:v>
                </c:pt>
                <c:pt idx="2">
                  <c:v>1964.99</c:v>
                </c:pt>
                <c:pt idx="3">
                  <c:v>939.08</c:v>
                </c:pt>
              </c:numCache>
            </c:numRef>
          </c:val>
        </c:ser>
        <c:dLbls>
          <c:showLegendKey val="0"/>
          <c:showVal val="0"/>
          <c:showCatName val="0"/>
          <c:showSerName val="0"/>
          <c:showPercent val="0"/>
          <c:showBubbleSize val="0"/>
        </c:dLbls>
        <c:gapWidth val="100"/>
        <c:overlap val="100"/>
        <c:axId val="207402880"/>
        <c:axId val="207404416"/>
      </c:barChart>
      <c:catAx>
        <c:axId val="207402880"/>
        <c:scaling>
          <c:orientation val="minMax"/>
        </c:scaling>
        <c:delete val="0"/>
        <c:axPos val="b"/>
        <c:numFmt formatCode="[$-422]dd/mm/yyyy" sourceLinked="0"/>
        <c:majorTickMark val="out"/>
        <c:minorTickMark val="none"/>
        <c:tickLblPos val="nextTo"/>
        <c:spPr>
          <a:ln w="0">
            <a:solidFill>
              <a:srgbClr val="B3B3B3"/>
            </a:solidFill>
          </a:ln>
        </c:spPr>
        <c:txPr>
          <a:bodyPr/>
          <a:lstStyle/>
          <a:p>
            <a:pPr>
              <a:defRPr sz="900" b="0" strike="noStrike" spc="-1">
                <a:solidFill>
                  <a:srgbClr val="000000"/>
                </a:solidFill>
                <a:latin typeface="Arial"/>
              </a:defRPr>
            </a:pPr>
            <a:endParaRPr lang="uk-UA"/>
          </a:p>
        </c:txPr>
        <c:crossAx val="207404416"/>
        <c:crosses val="autoZero"/>
        <c:auto val="1"/>
        <c:lblAlgn val="ctr"/>
        <c:lblOffset val="100"/>
        <c:noMultiLvlLbl val="0"/>
      </c:catAx>
      <c:valAx>
        <c:axId val="207404416"/>
        <c:scaling>
          <c:orientation val="minMax"/>
        </c:scaling>
        <c:delete val="0"/>
        <c:axPos val="l"/>
        <c:majorGridlines>
          <c:spPr>
            <a:ln w="0">
              <a:solidFill>
                <a:srgbClr val="B3B3B3"/>
              </a:solidFill>
            </a:ln>
          </c:spPr>
        </c:majorGridlines>
        <c:numFmt formatCode="General" sourceLinked="0"/>
        <c:majorTickMark val="out"/>
        <c:minorTickMark val="none"/>
        <c:tickLblPos val="nextTo"/>
        <c:spPr>
          <a:ln w="0">
            <a:solidFill>
              <a:srgbClr val="B3B3B3"/>
            </a:solidFill>
          </a:ln>
        </c:spPr>
        <c:txPr>
          <a:bodyPr/>
          <a:lstStyle/>
          <a:p>
            <a:pPr>
              <a:defRPr sz="900" b="0" strike="noStrike" spc="-1">
                <a:solidFill>
                  <a:srgbClr val="000000"/>
                </a:solidFill>
                <a:latin typeface="Arial"/>
              </a:defRPr>
            </a:pPr>
            <a:endParaRPr lang="uk-UA"/>
          </a:p>
        </c:txPr>
        <c:crossAx val="207402880"/>
        <c:crossesAt val="1"/>
        <c:crossBetween val="between"/>
      </c:valAx>
      <c:spPr>
        <a:noFill/>
        <a:ln w="0">
          <a:solidFill>
            <a:srgbClr val="B3B3B3"/>
          </a:solidFill>
        </a:ln>
      </c:spPr>
    </c:plotArea>
    <c:legend>
      <c:legendPos val="b"/>
      <c:overlay val="0"/>
      <c:spPr>
        <a:noFill/>
        <a:ln w="0">
          <a:noFill/>
        </a:ln>
      </c:spPr>
      <c:txPr>
        <a:bodyPr/>
        <a:lstStyle/>
        <a:p>
          <a:pPr>
            <a:defRPr sz="900" b="0" strike="noStrike" spc="-1">
              <a:solidFill>
                <a:srgbClr val="000000"/>
              </a:solidFill>
              <a:latin typeface="Arial"/>
            </a:defRPr>
          </a:pPr>
          <a:endParaRPr lang="uk-UA"/>
        </a:p>
      </c:txPr>
    </c:legend>
    <c:plotVisOnly val="1"/>
    <c:dispBlanksAs val="gap"/>
    <c:showDLblsOverMax val="1"/>
  </c:chart>
  <c:spPr>
    <a:noFill/>
    <a:ln w="0">
      <a:noFill/>
    </a:ln>
  </c:spPr>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uk-UA"/>
  <c:roundedCorners val="0"/>
  <c:style val="2"/>
  <c:chart>
    <c:autoTitleDeleted val="1"/>
    <c:plotArea>
      <c:layout/>
      <c:barChart>
        <c:barDir val="col"/>
        <c:grouping val="stacked"/>
        <c:varyColors val="0"/>
        <c:ser>
          <c:idx val="0"/>
          <c:order val="0"/>
          <c:tx>
            <c:strRef>
              <c:f>label 0</c:f>
              <c:strCache>
                <c:ptCount val="1"/>
                <c:pt idx="0">
                  <c:v>Населення</c:v>
                </c:pt>
              </c:strCache>
            </c:strRef>
          </c:tx>
          <c:spPr>
            <a:solidFill>
              <a:srgbClr val="004586"/>
            </a:solidFill>
            <a:ln w="0">
              <a:noFill/>
            </a:ln>
          </c:spPr>
          <c:invertIfNegative val="0"/>
          <c:dLbls>
            <c:txPr>
              <a:bodyPr wrap="none"/>
              <a:lstStyle/>
              <a:p>
                <a:pPr>
                  <a:defRPr sz="1000" b="0" strike="noStrike" spc="-1">
                    <a:solidFill>
                      <a:srgbClr val="000000"/>
                    </a:solidFill>
                    <a:latin typeface="Arial"/>
                  </a:defRPr>
                </a:pPr>
                <a:endParaRPr lang="uk-UA"/>
              </a:p>
            </c:txPr>
            <c:dLblPos val="ct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1"/>
                <c:pt idx="0">
                  <c:v>2007</c:v>
                </c:pt>
                <c:pt idx="1">
                  <c:v>2008</c:v>
                </c:pt>
                <c:pt idx="2">
                  <c:v>2009</c:v>
                </c:pt>
                <c:pt idx="3">
                  <c:v>2010</c:v>
                </c:pt>
                <c:pt idx="4">
                  <c:v>2011</c:v>
                </c:pt>
                <c:pt idx="5">
                  <c:v>2012</c:v>
                </c:pt>
                <c:pt idx="6">
                  <c:v>2013</c:v>
                </c:pt>
                <c:pt idx="7">
                  <c:v>2014</c:v>
                </c:pt>
                <c:pt idx="8">
                  <c:v>2020</c:v>
                </c:pt>
                <c:pt idx="9">
                  <c:v>2021</c:v>
                </c:pt>
                <c:pt idx="10">
                  <c:v>2022</c:v>
                </c:pt>
              </c:strCache>
            </c:strRef>
          </c:cat>
          <c:val>
            <c:numRef>
              <c:f>0</c:f>
              <c:numCache>
                <c:formatCode>General</c:formatCode>
                <c:ptCount val="11"/>
                <c:pt idx="0">
                  <c:v>94479</c:v>
                </c:pt>
                <c:pt idx="1">
                  <c:v>100147</c:v>
                </c:pt>
                <c:pt idx="2">
                  <c:v>105415</c:v>
                </c:pt>
                <c:pt idx="3">
                  <c:v>114999</c:v>
                </c:pt>
                <c:pt idx="4">
                  <c:v>117234</c:v>
                </c:pt>
                <c:pt idx="5">
                  <c:v>124467</c:v>
                </c:pt>
                <c:pt idx="6">
                  <c:v>127347</c:v>
                </c:pt>
                <c:pt idx="7">
                  <c:v>133312</c:v>
                </c:pt>
                <c:pt idx="8">
                  <c:v>215333</c:v>
                </c:pt>
                <c:pt idx="9">
                  <c:v>233591</c:v>
                </c:pt>
                <c:pt idx="10">
                  <c:v>228839</c:v>
                </c:pt>
              </c:numCache>
            </c:numRef>
          </c:val>
        </c:ser>
        <c:ser>
          <c:idx val="1"/>
          <c:order val="1"/>
          <c:tx>
            <c:strRef>
              <c:f>label 1</c:f>
              <c:strCache>
                <c:ptCount val="1"/>
                <c:pt idx="0">
                  <c:v>Бюджетні установи</c:v>
                </c:pt>
              </c:strCache>
            </c:strRef>
          </c:tx>
          <c:spPr>
            <a:solidFill>
              <a:srgbClr val="FF420E"/>
            </a:solidFill>
            <a:ln w="0">
              <a:noFill/>
            </a:ln>
          </c:spPr>
          <c:invertIfNegative val="0"/>
          <c:dLbls>
            <c:txPr>
              <a:bodyPr wrap="none"/>
              <a:lstStyle/>
              <a:p>
                <a:pPr>
                  <a:defRPr sz="1000" b="0" strike="noStrike" spc="-1">
                    <a:solidFill>
                      <a:srgbClr val="000000"/>
                    </a:solidFill>
                    <a:latin typeface="Arial"/>
                  </a:defRPr>
                </a:pPr>
                <a:endParaRPr lang="uk-UA"/>
              </a:p>
            </c:txPr>
            <c:dLblPos val="ct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1"/>
                <c:pt idx="0">
                  <c:v>2007</c:v>
                </c:pt>
                <c:pt idx="1">
                  <c:v>2008</c:v>
                </c:pt>
                <c:pt idx="2">
                  <c:v>2009</c:v>
                </c:pt>
                <c:pt idx="3">
                  <c:v>2010</c:v>
                </c:pt>
                <c:pt idx="4">
                  <c:v>2011</c:v>
                </c:pt>
                <c:pt idx="5">
                  <c:v>2012</c:v>
                </c:pt>
                <c:pt idx="6">
                  <c:v>2013</c:v>
                </c:pt>
                <c:pt idx="7">
                  <c:v>2014</c:v>
                </c:pt>
                <c:pt idx="8">
                  <c:v>2020</c:v>
                </c:pt>
                <c:pt idx="9">
                  <c:v>2021</c:v>
                </c:pt>
                <c:pt idx="10">
                  <c:v>2022</c:v>
                </c:pt>
              </c:strCache>
            </c:strRef>
          </c:cat>
          <c:val>
            <c:numRef>
              <c:f>1</c:f>
              <c:numCache>
                <c:formatCode>General</c:formatCode>
                <c:ptCount val="11"/>
                <c:pt idx="0">
                  <c:v>24340</c:v>
                </c:pt>
                <c:pt idx="1">
                  <c:v>28109</c:v>
                </c:pt>
                <c:pt idx="2">
                  <c:v>25384</c:v>
                </c:pt>
                <c:pt idx="3">
                  <c:v>25592</c:v>
                </c:pt>
                <c:pt idx="4">
                  <c:v>25424</c:v>
                </c:pt>
                <c:pt idx="5">
                  <c:v>24374</c:v>
                </c:pt>
                <c:pt idx="6">
                  <c:v>25488</c:v>
                </c:pt>
                <c:pt idx="7">
                  <c:v>25424</c:v>
                </c:pt>
                <c:pt idx="8">
                  <c:v>25006</c:v>
                </c:pt>
                <c:pt idx="9">
                  <c:v>30955</c:v>
                </c:pt>
                <c:pt idx="10">
                  <c:v>29762</c:v>
                </c:pt>
              </c:numCache>
            </c:numRef>
          </c:val>
        </c:ser>
        <c:ser>
          <c:idx val="2"/>
          <c:order val="2"/>
          <c:tx>
            <c:strRef>
              <c:f>label 2</c:f>
              <c:strCache>
                <c:ptCount val="1"/>
                <c:pt idx="0">
                  <c:v>Комунальні та промислові підприємства</c:v>
                </c:pt>
              </c:strCache>
            </c:strRef>
          </c:tx>
          <c:spPr>
            <a:solidFill>
              <a:srgbClr val="FFD320"/>
            </a:solidFill>
            <a:ln w="0">
              <a:noFill/>
            </a:ln>
          </c:spPr>
          <c:invertIfNegative val="0"/>
          <c:dLbls>
            <c:txPr>
              <a:bodyPr wrap="none"/>
              <a:lstStyle/>
              <a:p>
                <a:pPr>
                  <a:defRPr sz="1000" b="0" strike="noStrike" spc="-1">
                    <a:solidFill>
                      <a:srgbClr val="000000"/>
                    </a:solidFill>
                    <a:latin typeface="Arial"/>
                  </a:defRPr>
                </a:pPr>
                <a:endParaRPr lang="uk-UA"/>
              </a:p>
            </c:txPr>
            <c:dLblPos val="ct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1"/>
                <c:pt idx="0">
                  <c:v>2007</c:v>
                </c:pt>
                <c:pt idx="1">
                  <c:v>2008</c:v>
                </c:pt>
                <c:pt idx="2">
                  <c:v>2009</c:v>
                </c:pt>
                <c:pt idx="3">
                  <c:v>2010</c:v>
                </c:pt>
                <c:pt idx="4">
                  <c:v>2011</c:v>
                </c:pt>
                <c:pt idx="5">
                  <c:v>2012</c:v>
                </c:pt>
                <c:pt idx="6">
                  <c:v>2013</c:v>
                </c:pt>
                <c:pt idx="7">
                  <c:v>2014</c:v>
                </c:pt>
                <c:pt idx="8">
                  <c:v>2020</c:v>
                </c:pt>
                <c:pt idx="9">
                  <c:v>2021</c:v>
                </c:pt>
                <c:pt idx="10">
                  <c:v>2022</c:v>
                </c:pt>
              </c:strCache>
            </c:strRef>
          </c:cat>
          <c:val>
            <c:numRef>
              <c:f>2</c:f>
              <c:numCache>
                <c:formatCode>General</c:formatCode>
                <c:ptCount val="11"/>
                <c:pt idx="0">
                  <c:v>207417</c:v>
                </c:pt>
                <c:pt idx="1">
                  <c:v>197506</c:v>
                </c:pt>
                <c:pt idx="2">
                  <c:v>162182</c:v>
                </c:pt>
                <c:pt idx="3">
                  <c:v>171945</c:v>
                </c:pt>
                <c:pt idx="4">
                  <c:v>151661</c:v>
                </c:pt>
                <c:pt idx="5">
                  <c:v>147212</c:v>
                </c:pt>
                <c:pt idx="6">
                  <c:v>143132</c:v>
                </c:pt>
                <c:pt idx="7">
                  <c:v>133622</c:v>
                </c:pt>
                <c:pt idx="8">
                  <c:v>293127</c:v>
                </c:pt>
                <c:pt idx="9">
                  <c:v>326994</c:v>
                </c:pt>
                <c:pt idx="10">
                  <c:v>272469</c:v>
                </c:pt>
              </c:numCache>
            </c:numRef>
          </c:val>
        </c:ser>
        <c:ser>
          <c:idx val="3"/>
          <c:order val="3"/>
          <c:tx>
            <c:strRef>
              <c:f>label 3</c:f>
              <c:strCache>
                <c:ptCount val="1"/>
                <c:pt idx="0">
                  <c:v>Інші споживачі</c:v>
                </c:pt>
              </c:strCache>
            </c:strRef>
          </c:tx>
          <c:spPr>
            <a:solidFill>
              <a:srgbClr val="579D1C"/>
            </a:solidFill>
            <a:ln w="0">
              <a:noFill/>
            </a:ln>
          </c:spPr>
          <c:invertIfNegative val="0"/>
          <c:dLbls>
            <c:txPr>
              <a:bodyPr wrap="none"/>
              <a:lstStyle/>
              <a:p>
                <a:pPr>
                  <a:defRPr sz="1000" b="0" strike="noStrike" spc="-1">
                    <a:solidFill>
                      <a:srgbClr val="000000"/>
                    </a:solidFill>
                    <a:latin typeface="Arial"/>
                  </a:defRPr>
                </a:pPr>
                <a:endParaRPr lang="uk-UA"/>
              </a:p>
            </c:txPr>
            <c:dLblPos val="ct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1"/>
                <c:pt idx="0">
                  <c:v>2007</c:v>
                </c:pt>
                <c:pt idx="1">
                  <c:v>2008</c:v>
                </c:pt>
                <c:pt idx="2">
                  <c:v>2009</c:v>
                </c:pt>
                <c:pt idx="3">
                  <c:v>2010</c:v>
                </c:pt>
                <c:pt idx="4">
                  <c:v>2011</c:v>
                </c:pt>
                <c:pt idx="5">
                  <c:v>2012</c:v>
                </c:pt>
                <c:pt idx="6">
                  <c:v>2013</c:v>
                </c:pt>
                <c:pt idx="7">
                  <c:v>2014</c:v>
                </c:pt>
                <c:pt idx="8">
                  <c:v>2020</c:v>
                </c:pt>
                <c:pt idx="9">
                  <c:v>2021</c:v>
                </c:pt>
                <c:pt idx="10">
                  <c:v>2022</c:v>
                </c:pt>
              </c:strCache>
            </c:strRef>
          </c:cat>
          <c:val>
            <c:numRef>
              <c:f>3</c:f>
              <c:numCache>
                <c:formatCode>General</c:formatCode>
                <c:ptCount val="11"/>
                <c:pt idx="0">
                  <c:v>40650</c:v>
                </c:pt>
                <c:pt idx="1">
                  <c:v>62210</c:v>
                </c:pt>
                <c:pt idx="2">
                  <c:v>59303</c:v>
                </c:pt>
                <c:pt idx="3">
                  <c:v>65057</c:v>
                </c:pt>
                <c:pt idx="4">
                  <c:v>66729</c:v>
                </c:pt>
                <c:pt idx="5">
                  <c:v>61619</c:v>
                </c:pt>
                <c:pt idx="6">
                  <c:v>74445</c:v>
                </c:pt>
                <c:pt idx="7">
                  <c:v>73318</c:v>
                </c:pt>
                <c:pt idx="8">
                  <c:v>104739</c:v>
                </c:pt>
                <c:pt idx="9">
                  <c:v>120979</c:v>
                </c:pt>
                <c:pt idx="10">
                  <c:v>107604</c:v>
                </c:pt>
              </c:numCache>
            </c:numRef>
          </c:val>
        </c:ser>
        <c:dLbls>
          <c:showLegendKey val="0"/>
          <c:showVal val="0"/>
          <c:showCatName val="0"/>
          <c:showSerName val="0"/>
          <c:showPercent val="0"/>
          <c:showBubbleSize val="0"/>
        </c:dLbls>
        <c:gapWidth val="100"/>
        <c:overlap val="100"/>
        <c:axId val="207559680"/>
        <c:axId val="207561472"/>
      </c:barChart>
      <c:catAx>
        <c:axId val="207559680"/>
        <c:scaling>
          <c:orientation val="minMax"/>
        </c:scaling>
        <c:delete val="0"/>
        <c:axPos val="b"/>
        <c:numFmt formatCode="[$-422]dd/mm/yyyy" sourceLinked="0"/>
        <c:majorTickMark val="out"/>
        <c:minorTickMark val="none"/>
        <c:tickLblPos val="nextTo"/>
        <c:spPr>
          <a:ln w="0">
            <a:solidFill>
              <a:srgbClr val="B3B3B3"/>
            </a:solidFill>
          </a:ln>
        </c:spPr>
        <c:txPr>
          <a:bodyPr rot="-3000000"/>
          <a:lstStyle/>
          <a:p>
            <a:pPr>
              <a:defRPr sz="1000" b="0" strike="noStrike" spc="-1">
                <a:solidFill>
                  <a:srgbClr val="000000"/>
                </a:solidFill>
                <a:latin typeface="Arial"/>
              </a:defRPr>
            </a:pPr>
            <a:endParaRPr lang="uk-UA"/>
          </a:p>
        </c:txPr>
        <c:crossAx val="207561472"/>
        <c:crosses val="autoZero"/>
        <c:auto val="1"/>
        <c:lblAlgn val="ctr"/>
        <c:lblOffset val="100"/>
        <c:noMultiLvlLbl val="0"/>
      </c:catAx>
      <c:valAx>
        <c:axId val="207561472"/>
        <c:scaling>
          <c:orientation val="minMax"/>
        </c:scaling>
        <c:delete val="0"/>
        <c:axPos val="l"/>
        <c:majorGridlines>
          <c:spPr>
            <a:ln w="0">
              <a:solidFill>
                <a:srgbClr val="B3B3B3"/>
              </a:solidFill>
            </a:ln>
          </c:spPr>
        </c:majorGridlines>
        <c:numFmt formatCode="General" sourceLinked="0"/>
        <c:majorTickMark val="out"/>
        <c:minorTickMark val="none"/>
        <c:tickLblPos val="nextTo"/>
        <c:spPr>
          <a:ln w="0">
            <a:solidFill>
              <a:srgbClr val="B3B3B3"/>
            </a:solidFill>
          </a:ln>
        </c:spPr>
        <c:txPr>
          <a:bodyPr/>
          <a:lstStyle/>
          <a:p>
            <a:pPr>
              <a:defRPr sz="1000" b="0" strike="noStrike" spc="-1">
                <a:solidFill>
                  <a:srgbClr val="000000"/>
                </a:solidFill>
                <a:latin typeface="Arial"/>
              </a:defRPr>
            </a:pPr>
            <a:endParaRPr lang="uk-UA"/>
          </a:p>
        </c:txPr>
        <c:crossAx val="207559680"/>
        <c:crossesAt val="1"/>
        <c:crossBetween val="between"/>
      </c:valAx>
      <c:spPr>
        <a:noFill/>
        <a:ln w="0">
          <a:solidFill>
            <a:srgbClr val="B3B3B3"/>
          </a:solidFill>
        </a:ln>
      </c:spPr>
    </c:plotArea>
    <c:legend>
      <c:legendPos val="b"/>
      <c:overlay val="0"/>
      <c:spPr>
        <a:noFill/>
        <a:ln w="0">
          <a:noFill/>
        </a:ln>
      </c:spPr>
      <c:txPr>
        <a:bodyPr/>
        <a:lstStyle/>
        <a:p>
          <a:pPr>
            <a:defRPr sz="1000" b="0" strike="noStrike" spc="-1">
              <a:solidFill>
                <a:srgbClr val="000000"/>
              </a:solidFill>
              <a:latin typeface="Arial"/>
            </a:defRPr>
          </a:pPr>
          <a:endParaRPr lang="uk-UA"/>
        </a:p>
      </c:txPr>
    </c:legend>
    <c:plotVisOnly val="1"/>
    <c:dispBlanksAs val="gap"/>
    <c:showDLblsOverMax val="1"/>
  </c:chart>
  <c:spPr>
    <a:noFill/>
    <a:ln w="0">
      <a:noFill/>
    </a:ln>
  </c:spPr>
</c:chartSpace>
</file>

<file path=word/drawings/_rels/drawing1.xml.rels><?xml version="1.0" encoding="UTF-8" standalone="yes"?>
<Relationships xmlns="http://schemas.openxmlformats.org/package/2006/relationships"><Relationship Id="rId1" Type="http://schemas.openxmlformats.org/officeDocument/2006/relationships/image" Target="../media/image18.wmf"/></Relationships>
</file>

<file path=word/drawings/_rels/drawing2.xml.rels><?xml version="1.0" encoding="UTF-8" standalone="yes"?>
<Relationships xmlns="http://schemas.openxmlformats.org/package/2006/relationships"><Relationship Id="rId1" Type="http://schemas.openxmlformats.org/officeDocument/2006/relationships/image" Target="../media/image19.wmf"/></Relationships>
</file>

<file path=word/drawings/drawing1.xml><?xml version="1.0" encoding="utf-8"?>
<c:userShapes xmlns:c="http://schemas.openxmlformats.org/drawingml/2006/chart">
  <cdr:relSizeAnchor xmlns:cdr="http://schemas.openxmlformats.org/drawingml/2006/chartDrawing">
    <cdr:from>
      <cdr:x>0</cdr:x>
      <cdr:y>0.02544</cdr:y>
    </cdr:from>
    <cdr:to>
      <cdr:x>0.17338</cdr:x>
      <cdr:y>0.12911</cdr:y>
    </cdr:to>
    <cdr:pic>
      <cdr:nvPicPr>
        <cdr:cNvPr id="16" name="Рисунок 1"/>
        <cdr:cNvPicPr/>
      </cdr:nvPicPr>
      <cdr:blipFill>
        <a:blip xmlns:a="http://schemas.openxmlformats.org/drawingml/2006/main" xmlns:r="http://schemas.openxmlformats.org/officeDocument/2006/relationships" r:embed="rId1"/>
        <a:stretch xmlns:a="http://schemas.openxmlformats.org/drawingml/2006/main"/>
      </cdr:blipFill>
      <cdr:spPr>
        <a:xfrm xmlns:a="http://schemas.openxmlformats.org/drawingml/2006/main">
          <a:off x="0" y="0"/>
          <a:ext cx="998640" cy="335880"/>
        </a:xfrm>
        <a:prstGeom xmlns:a="http://schemas.openxmlformats.org/drawingml/2006/main" prst="rect">
          <a:avLst/>
        </a:prstGeom>
        <a:ln xmlns:a="http://schemas.openxmlformats.org/drawingml/2006/main" w="0">
          <a:noFill/>
        </a:ln>
      </cdr:spPr>
    </cdr:pic>
  </cdr:relSizeAnchor>
</c:userShapes>
</file>

<file path=word/drawings/drawing2.xml><?xml version="1.0" encoding="utf-8"?>
<c:userShapes xmlns:c="http://schemas.openxmlformats.org/drawingml/2006/chart">
  <cdr:relSizeAnchor xmlns:cdr="http://schemas.openxmlformats.org/drawingml/2006/chartDrawing">
    <cdr:from>
      <cdr:x>0.0045</cdr:x>
      <cdr:y>0.016</cdr:y>
    </cdr:from>
    <cdr:to>
      <cdr:x>0.16206</cdr:x>
      <cdr:y>0.12144</cdr:y>
    </cdr:to>
    <cdr:pic>
      <cdr:nvPicPr>
        <cdr:cNvPr id="17" name="Рисунок 1"/>
        <cdr:cNvPicPr/>
      </cdr:nvPicPr>
      <cdr:blipFill>
        <a:blip xmlns:a="http://schemas.openxmlformats.org/drawingml/2006/main" xmlns:r="http://schemas.openxmlformats.org/officeDocument/2006/relationships" r:embed="rId1"/>
        <a:stretch xmlns:a="http://schemas.openxmlformats.org/drawingml/2006/main"/>
      </cdr:blipFill>
      <cdr:spPr>
        <a:xfrm xmlns:a="http://schemas.openxmlformats.org/drawingml/2006/main">
          <a:off x="0" y="0"/>
          <a:ext cx="907560" cy="341640"/>
        </a:xfrm>
        <a:prstGeom xmlns:a="http://schemas.openxmlformats.org/drawingml/2006/main" prst="rect">
          <a:avLst/>
        </a:prstGeom>
        <a:ln xmlns:a="http://schemas.openxmlformats.org/drawingml/2006/main" w="0">
          <a:noFill/>
        </a:ln>
      </cdr:spPr>
    </cdr:pic>
  </cdr:relSizeAnchor>
</c:userShape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D0F68-6F40-4FF6-A3CB-02332EDF9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192489</Words>
  <Characters>109720</Characters>
  <Application>Microsoft Office Word</Application>
  <DocSecurity>0</DocSecurity>
  <Lines>914</Lines>
  <Paragraphs>603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301606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dc:creator>
  <cp:lastModifiedBy>qwe</cp:lastModifiedBy>
  <cp:revision>15</cp:revision>
  <dcterms:created xsi:type="dcterms:W3CDTF">2024-05-13T09:51:00Z</dcterms:created>
  <dcterms:modified xsi:type="dcterms:W3CDTF">2024-05-13T13:37:00Z</dcterms:modified>
  <dc:language>uk-UA</dc:language>
</cp:coreProperties>
</file>