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2F05" w:rsidRDefault="00C02F05" w:rsidP="00C02F05">
      <w:pPr>
        <w:jc w:val="center"/>
      </w:pPr>
      <w:r>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o:ole="" fillcolor="window">
            <v:imagedata r:id="rId7" o:title=""/>
          </v:shape>
          <o:OLEObject Type="Embed" ProgID="PBrush" ShapeID="_x0000_i1025" DrawAspect="Content" ObjectID="_1778491986" r:id="rId8"/>
        </w:object>
      </w:r>
    </w:p>
    <w:p w:rsidR="00C02F05" w:rsidRPr="0063670C" w:rsidRDefault="00C02F05" w:rsidP="00C02F05">
      <w:pPr>
        <w:jc w:val="center"/>
        <w:rPr>
          <w:sz w:val="16"/>
          <w:szCs w:val="16"/>
        </w:rPr>
      </w:pPr>
    </w:p>
    <w:p w:rsidR="00C02F05" w:rsidRDefault="00C02F05" w:rsidP="00C02F05">
      <w:pPr>
        <w:pStyle w:val="1"/>
        <w:rPr>
          <w:sz w:val="28"/>
          <w:szCs w:val="28"/>
        </w:rPr>
      </w:pPr>
      <w:r w:rsidRPr="0063670C">
        <w:rPr>
          <w:sz w:val="28"/>
          <w:szCs w:val="28"/>
        </w:rPr>
        <w:t>ЛУЦЬКА  МІСЬКА  РАДА</w:t>
      </w:r>
    </w:p>
    <w:p w:rsidR="00C02F05" w:rsidRPr="000A5628" w:rsidRDefault="00C02F05" w:rsidP="00C02F05">
      <w:pPr>
        <w:rPr>
          <w:sz w:val="20"/>
          <w:szCs w:val="20"/>
        </w:rPr>
      </w:pPr>
    </w:p>
    <w:p w:rsidR="00C02F05" w:rsidRPr="000A5628" w:rsidRDefault="00C02F05" w:rsidP="00C02F05">
      <w:pPr>
        <w:pStyle w:val="2"/>
        <w:tabs>
          <w:tab w:val="left" w:pos="4218"/>
          <w:tab w:val="left" w:pos="4674"/>
        </w:tabs>
        <w:spacing w:before="0" w:after="0"/>
        <w:jc w:val="center"/>
        <w:rPr>
          <w:rFonts w:ascii="Times New Roman" w:hAnsi="Times New Roman" w:cs="Times New Roman"/>
          <w:i w:val="0"/>
          <w:sz w:val="32"/>
          <w:szCs w:val="32"/>
        </w:rPr>
      </w:pPr>
      <w:r w:rsidRPr="000A5628">
        <w:rPr>
          <w:rFonts w:ascii="Times New Roman" w:hAnsi="Times New Roman" w:cs="Times New Roman"/>
          <w:i w:val="0"/>
          <w:sz w:val="32"/>
          <w:szCs w:val="32"/>
        </w:rPr>
        <w:t xml:space="preserve">Р І Ш Е Н </w:t>
      </w:r>
      <w:proofErr w:type="spellStart"/>
      <w:r w:rsidRPr="000A5628">
        <w:rPr>
          <w:rFonts w:ascii="Times New Roman" w:hAnsi="Times New Roman" w:cs="Times New Roman"/>
          <w:i w:val="0"/>
          <w:sz w:val="32"/>
          <w:szCs w:val="32"/>
        </w:rPr>
        <w:t>Н</w:t>
      </w:r>
      <w:proofErr w:type="spellEnd"/>
      <w:r w:rsidRPr="000A5628">
        <w:rPr>
          <w:rFonts w:ascii="Times New Roman" w:hAnsi="Times New Roman" w:cs="Times New Roman"/>
          <w:i w:val="0"/>
          <w:sz w:val="32"/>
          <w:szCs w:val="32"/>
        </w:rPr>
        <w:t xml:space="preserve"> Я</w:t>
      </w:r>
    </w:p>
    <w:p w:rsidR="00C02F05" w:rsidRPr="00233154" w:rsidRDefault="00C02F05" w:rsidP="00C02F05">
      <w:pPr>
        <w:jc w:val="center"/>
        <w:rPr>
          <w:b/>
          <w:bCs/>
          <w:sz w:val="40"/>
          <w:szCs w:val="40"/>
        </w:rPr>
      </w:pPr>
    </w:p>
    <w:p w:rsidR="005C6EFE" w:rsidRDefault="00C02F05" w:rsidP="00C02F05">
      <w:pPr>
        <w:jc w:val="center"/>
      </w:pPr>
      <w:r>
        <w:t>________________                                        Луцьк                                         №_____________</w:t>
      </w:r>
    </w:p>
    <w:p w:rsidR="005C6EFE" w:rsidRPr="005C6EFE" w:rsidRDefault="005C6EFE" w:rsidP="005C6EFE"/>
    <w:p w:rsidR="005C6EFE" w:rsidRDefault="005C6EFE" w:rsidP="005C6EFE"/>
    <w:p w:rsidR="005C6EFE" w:rsidRPr="00BD1BD5" w:rsidRDefault="005C6EFE" w:rsidP="005C6EFE">
      <w:pPr>
        <w:tabs>
          <w:tab w:val="left" w:pos="6420"/>
        </w:tabs>
        <w:ind w:right="-2"/>
        <w:rPr>
          <w:sz w:val="28"/>
          <w:szCs w:val="28"/>
        </w:rPr>
      </w:pPr>
      <w:r w:rsidRPr="00BD1BD5">
        <w:rPr>
          <w:sz w:val="28"/>
          <w:szCs w:val="28"/>
        </w:rPr>
        <w:t xml:space="preserve">Про надання місцевої гарантії </w:t>
      </w:r>
      <w:r w:rsidRPr="00BD1BD5">
        <w:rPr>
          <w:sz w:val="28"/>
          <w:szCs w:val="28"/>
        </w:rPr>
        <w:tab/>
      </w:r>
    </w:p>
    <w:p w:rsidR="005C6EFE" w:rsidRPr="00BD1BD5" w:rsidRDefault="005C6EFE" w:rsidP="005C6EFE">
      <w:pPr>
        <w:tabs>
          <w:tab w:val="left" w:pos="9072"/>
        </w:tabs>
        <w:ind w:right="-2"/>
        <w:rPr>
          <w:bCs/>
          <w:sz w:val="28"/>
          <w:szCs w:val="28"/>
          <w:lang w:eastAsia="uk-UA"/>
        </w:rPr>
      </w:pPr>
      <w:r w:rsidRPr="00BD1BD5">
        <w:rPr>
          <w:sz w:val="28"/>
          <w:szCs w:val="28"/>
        </w:rPr>
        <w:t xml:space="preserve">Луцькою міською радою у 2024 році </w:t>
      </w:r>
    </w:p>
    <w:p w:rsidR="005C6EFE" w:rsidRPr="00BD1BD5" w:rsidRDefault="005C6EFE" w:rsidP="005C6EFE">
      <w:pPr>
        <w:ind w:right="-2"/>
        <w:rPr>
          <w:sz w:val="28"/>
          <w:szCs w:val="28"/>
        </w:rPr>
      </w:pPr>
    </w:p>
    <w:p w:rsidR="005C6EFE" w:rsidRPr="00BD1BD5" w:rsidRDefault="005C6EFE" w:rsidP="005C6EFE">
      <w:pPr>
        <w:ind w:right="-2" w:firstLine="567"/>
        <w:jc w:val="both"/>
        <w:rPr>
          <w:sz w:val="28"/>
          <w:szCs w:val="28"/>
        </w:rPr>
      </w:pPr>
      <w:r w:rsidRPr="00BD1BD5">
        <w:rPr>
          <w:sz w:val="28"/>
          <w:szCs w:val="28"/>
        </w:rPr>
        <w:t>Відповідно до статей 17, 18, 74 Бюджетного кодексу України, статей 26, 60, 70 Закону України «Про місцеве самоврядування в Україні», постанови Кабінету Міністрів України від 14.05.2012 № 541 «Про затвердження Порядку надання місцевих гарантій» (зі змінами), рішення Луцької міської ради від 20.12.2023 № 54/35 «Про бюджет Луцької міської територіальної громади на 2024 рік» (зі змінами), з урахуванням наказу Міністерства фінансів України «Про погодження обсягу та умов надання місцевої гарантії Луцькою міською радою у 2024 році», міська рада</w:t>
      </w:r>
    </w:p>
    <w:p w:rsidR="005C6EFE" w:rsidRPr="00BD1BD5" w:rsidRDefault="005C6EFE" w:rsidP="005C6EFE">
      <w:pPr>
        <w:ind w:right="-2"/>
        <w:jc w:val="both"/>
        <w:rPr>
          <w:b/>
          <w:sz w:val="28"/>
          <w:szCs w:val="28"/>
        </w:rPr>
      </w:pPr>
    </w:p>
    <w:p w:rsidR="005C6EFE" w:rsidRPr="00BD1BD5" w:rsidRDefault="005C6EFE" w:rsidP="005C6EFE">
      <w:pPr>
        <w:ind w:right="-2"/>
        <w:jc w:val="both"/>
        <w:rPr>
          <w:sz w:val="28"/>
          <w:szCs w:val="28"/>
        </w:rPr>
      </w:pPr>
      <w:r w:rsidRPr="00BD1BD5">
        <w:rPr>
          <w:sz w:val="28"/>
          <w:szCs w:val="28"/>
        </w:rPr>
        <w:t>ВИРІШИЛА:</w:t>
      </w:r>
    </w:p>
    <w:p w:rsidR="005C6EFE" w:rsidRPr="00BD1BD5" w:rsidRDefault="005C6EFE" w:rsidP="005C6EFE">
      <w:pPr>
        <w:ind w:right="-2"/>
        <w:jc w:val="both"/>
        <w:rPr>
          <w:b/>
          <w:sz w:val="28"/>
          <w:szCs w:val="28"/>
        </w:rPr>
      </w:pPr>
    </w:p>
    <w:p w:rsidR="005C6EFE" w:rsidRPr="00BD1BD5" w:rsidRDefault="005C6EFE" w:rsidP="005C6EFE">
      <w:pPr>
        <w:widowControl w:val="0"/>
        <w:tabs>
          <w:tab w:val="left" w:pos="0"/>
          <w:tab w:val="left" w:pos="2977"/>
          <w:tab w:val="left" w:pos="4536"/>
        </w:tabs>
        <w:suppressAutoHyphens w:val="0"/>
        <w:ind w:firstLine="567"/>
        <w:jc w:val="both"/>
        <w:rPr>
          <w:sz w:val="28"/>
          <w:szCs w:val="28"/>
        </w:rPr>
      </w:pPr>
      <w:r w:rsidRPr="00BD1BD5">
        <w:rPr>
          <w:sz w:val="28"/>
          <w:szCs w:val="28"/>
        </w:rPr>
        <w:t>1. Надати місцеву гарантію Луцької міської ради для забезпечення виконання боргових зобов’язань державного комунального підприємства «</w:t>
      </w:r>
      <w:proofErr w:type="spellStart"/>
      <w:r w:rsidRPr="00BD1BD5">
        <w:rPr>
          <w:sz w:val="28"/>
          <w:szCs w:val="28"/>
        </w:rPr>
        <w:t>Луцьктепло</w:t>
      </w:r>
      <w:proofErr w:type="spellEnd"/>
      <w:r w:rsidRPr="00BD1BD5">
        <w:rPr>
          <w:sz w:val="28"/>
          <w:szCs w:val="28"/>
        </w:rPr>
        <w:t xml:space="preserve">» (далі – Позичальник), що знаходиться за адресою: вул. </w:t>
      </w:r>
      <w:proofErr w:type="spellStart"/>
      <w:r w:rsidRPr="00BD1BD5">
        <w:rPr>
          <w:sz w:val="28"/>
          <w:szCs w:val="28"/>
        </w:rPr>
        <w:t>Гулака-Артемовського</w:t>
      </w:r>
      <w:proofErr w:type="spellEnd"/>
      <w:r w:rsidRPr="00BD1BD5">
        <w:rPr>
          <w:sz w:val="28"/>
          <w:szCs w:val="28"/>
        </w:rPr>
        <w:t>, 20, м</w:t>
      </w:r>
      <w:r w:rsidR="00DF5BF0">
        <w:rPr>
          <w:sz w:val="28"/>
          <w:szCs w:val="28"/>
        </w:rPr>
        <w:t>. Луцьк, Волинська область, 43005</w:t>
      </w:r>
      <w:r w:rsidRPr="00BD1BD5">
        <w:rPr>
          <w:sz w:val="28"/>
          <w:szCs w:val="28"/>
        </w:rPr>
        <w:t xml:space="preserve">, Україна, за кредитом, залученим у Європейському банку реконструкції та розвитку (далі ЄБРР), для реалізації </w:t>
      </w:r>
      <w:r w:rsidR="002D489D">
        <w:rPr>
          <w:sz w:val="28"/>
          <w:szCs w:val="28"/>
        </w:rPr>
        <w:t>«</w:t>
      </w:r>
      <w:proofErr w:type="spellStart"/>
      <w:r w:rsidR="002D489D">
        <w:rPr>
          <w:sz w:val="28"/>
          <w:szCs w:val="28"/>
        </w:rPr>
        <w:t>П</w:t>
      </w:r>
      <w:r w:rsidRPr="00BD1BD5">
        <w:rPr>
          <w:sz w:val="28"/>
          <w:szCs w:val="28"/>
        </w:rPr>
        <w:t>роєкту</w:t>
      </w:r>
      <w:proofErr w:type="spellEnd"/>
      <w:r w:rsidRPr="00BD1BD5">
        <w:rPr>
          <w:sz w:val="28"/>
          <w:szCs w:val="28"/>
        </w:rPr>
        <w:t xml:space="preserve"> </w:t>
      </w:r>
      <w:r w:rsidR="002D489D">
        <w:rPr>
          <w:sz w:val="28"/>
          <w:szCs w:val="28"/>
        </w:rPr>
        <w:t>м</w:t>
      </w:r>
      <w:r w:rsidRPr="00BD1BD5">
        <w:rPr>
          <w:sz w:val="28"/>
          <w:szCs w:val="28"/>
        </w:rPr>
        <w:t>одернізації системи централізованого теплопостачання (друга фаза) у м. Луцьк</w:t>
      </w:r>
      <w:r w:rsidR="002D489D">
        <w:rPr>
          <w:sz w:val="28"/>
          <w:szCs w:val="28"/>
        </w:rPr>
        <w:t xml:space="preserve"> в рамках програми </w:t>
      </w:r>
      <w:r w:rsidR="002D489D">
        <w:rPr>
          <w:sz w:val="28"/>
          <w:szCs w:val="28"/>
          <w:lang w:val="en-US"/>
        </w:rPr>
        <w:t>RLF</w:t>
      </w:r>
      <w:bookmarkStart w:id="0" w:name="_GoBack"/>
      <w:bookmarkEnd w:id="0"/>
      <w:r w:rsidRPr="00BD1BD5">
        <w:rPr>
          <w:sz w:val="28"/>
          <w:szCs w:val="28"/>
        </w:rPr>
        <w:t>», який передбачає критично важливі інвестиції протягом воєнного та післявоєнного періодів для підвищення загальної ефективності та стійкості муніципальної системи централізованого теплопостачання та зменшення її залежності від викопного палива шляхом заміни та з’єднання мереж централізованого теплопостачання, встановлення теплових насосів та котла(</w:t>
      </w:r>
      <w:proofErr w:type="spellStart"/>
      <w:r w:rsidRPr="00BD1BD5">
        <w:rPr>
          <w:sz w:val="28"/>
          <w:szCs w:val="28"/>
        </w:rPr>
        <w:t>-ів</w:t>
      </w:r>
      <w:proofErr w:type="spellEnd"/>
      <w:r w:rsidRPr="00BD1BD5">
        <w:rPr>
          <w:sz w:val="28"/>
          <w:szCs w:val="28"/>
        </w:rPr>
        <w:t xml:space="preserve">) на біомасі, а також встановлення системи диспетчеризації та моніторингу </w:t>
      </w:r>
      <w:r w:rsidRPr="00BD1BD5">
        <w:rPr>
          <w:sz w:val="28"/>
          <w:szCs w:val="28"/>
          <w:lang w:val="en-US"/>
        </w:rPr>
        <w:t>SCADA</w:t>
      </w:r>
      <w:r w:rsidRPr="00BD1BD5">
        <w:rPr>
          <w:sz w:val="28"/>
          <w:szCs w:val="28"/>
        </w:rPr>
        <w:t>.</w:t>
      </w:r>
    </w:p>
    <w:p w:rsidR="005C6EFE" w:rsidRPr="00BD1BD5" w:rsidRDefault="005C6EFE" w:rsidP="005C6EFE">
      <w:pPr>
        <w:widowControl w:val="0"/>
        <w:tabs>
          <w:tab w:val="left" w:pos="5103"/>
        </w:tabs>
        <w:suppressAutoHyphens w:val="0"/>
        <w:ind w:firstLine="567"/>
        <w:jc w:val="both"/>
        <w:rPr>
          <w:sz w:val="28"/>
          <w:szCs w:val="28"/>
          <w:lang w:val="ru-RU"/>
        </w:rPr>
      </w:pPr>
      <w:r w:rsidRPr="00BD1BD5">
        <w:rPr>
          <w:sz w:val="28"/>
          <w:szCs w:val="28"/>
          <w:lang w:val="ru-RU"/>
        </w:rPr>
        <w:t>2. </w:t>
      </w:r>
      <w:r w:rsidRPr="00BD1BD5">
        <w:rPr>
          <w:sz w:val="28"/>
          <w:szCs w:val="28"/>
        </w:rPr>
        <w:t>Встановити, що місцева гарантія забезпечує виконання всіх боргових зобов’язань Позичальника за кредитним договором, укладеним з ЄБРР, основними умовами якого є:</w:t>
      </w:r>
    </w:p>
    <w:p w:rsidR="005C6EFE" w:rsidRPr="00BD1BD5" w:rsidRDefault="005C6EFE" w:rsidP="005C6EFE">
      <w:pPr>
        <w:widowControl w:val="0"/>
        <w:tabs>
          <w:tab w:val="left" w:pos="567"/>
        </w:tabs>
        <w:jc w:val="both"/>
        <w:rPr>
          <w:sz w:val="28"/>
          <w:szCs w:val="28"/>
        </w:rPr>
      </w:pPr>
      <w:r w:rsidRPr="00BD1BD5">
        <w:rPr>
          <w:b/>
          <w:color w:val="0070C0"/>
          <w:sz w:val="28"/>
          <w:szCs w:val="28"/>
        </w:rPr>
        <w:tab/>
      </w:r>
      <w:r w:rsidRPr="00BD1BD5">
        <w:rPr>
          <w:color w:val="000000"/>
          <w:sz w:val="28"/>
          <w:szCs w:val="28"/>
        </w:rPr>
        <w:t>2.</w:t>
      </w:r>
      <w:r w:rsidRPr="00BD1BD5">
        <w:rPr>
          <w:sz w:val="28"/>
          <w:szCs w:val="28"/>
        </w:rPr>
        <w:t>1. обсяг та валюта кредиту – до 10 500 000 євро (десяти мільйонів п’ятисот тисяч євро);</w:t>
      </w:r>
    </w:p>
    <w:p w:rsidR="005C6EFE" w:rsidRPr="00BD1BD5" w:rsidRDefault="005C6EFE" w:rsidP="005C6EFE">
      <w:pPr>
        <w:widowControl w:val="0"/>
        <w:tabs>
          <w:tab w:val="left" w:pos="567"/>
        </w:tabs>
        <w:jc w:val="both"/>
        <w:rPr>
          <w:sz w:val="28"/>
          <w:szCs w:val="28"/>
        </w:rPr>
      </w:pPr>
      <w:r w:rsidRPr="00BD1BD5">
        <w:rPr>
          <w:color w:val="0070C0"/>
          <w:sz w:val="28"/>
          <w:szCs w:val="28"/>
        </w:rPr>
        <w:tab/>
      </w:r>
      <w:r w:rsidRPr="00BD1BD5">
        <w:rPr>
          <w:sz w:val="28"/>
          <w:szCs w:val="28"/>
        </w:rPr>
        <w:t xml:space="preserve">2.2. строк погашення кредиту – до 13 років з дати набрання чинності </w:t>
      </w:r>
    </w:p>
    <w:p w:rsidR="005C6EFE" w:rsidRPr="00BD1BD5" w:rsidRDefault="005C6EFE" w:rsidP="005C6EFE">
      <w:pPr>
        <w:widowControl w:val="0"/>
        <w:tabs>
          <w:tab w:val="left" w:pos="567"/>
        </w:tabs>
        <w:jc w:val="both"/>
        <w:rPr>
          <w:sz w:val="28"/>
          <w:szCs w:val="28"/>
        </w:rPr>
      </w:pPr>
      <w:r w:rsidRPr="00BD1BD5">
        <w:rPr>
          <w:sz w:val="28"/>
          <w:szCs w:val="28"/>
        </w:rPr>
        <w:t xml:space="preserve">кредитного договору, включно з пільговим періодом (відстрочкою погашення </w:t>
      </w:r>
    </w:p>
    <w:p w:rsidR="005C6EFE" w:rsidRPr="00BD1BD5" w:rsidRDefault="005C6EFE" w:rsidP="005C6EFE">
      <w:pPr>
        <w:widowControl w:val="0"/>
        <w:tabs>
          <w:tab w:val="left" w:pos="567"/>
        </w:tabs>
        <w:jc w:val="both"/>
        <w:rPr>
          <w:color w:val="0070C0"/>
          <w:sz w:val="28"/>
          <w:szCs w:val="28"/>
        </w:rPr>
      </w:pPr>
      <w:r w:rsidRPr="00BD1BD5">
        <w:rPr>
          <w:sz w:val="28"/>
          <w:szCs w:val="28"/>
        </w:rPr>
        <w:lastRenderedPageBreak/>
        <w:t xml:space="preserve">основної суми кредиту) на три роки та погашення 20-ма максимально рівними </w:t>
      </w:r>
      <w:proofErr w:type="spellStart"/>
      <w:r w:rsidRPr="00BD1BD5">
        <w:rPr>
          <w:sz w:val="28"/>
          <w:szCs w:val="28"/>
        </w:rPr>
        <w:t>щопіврічними</w:t>
      </w:r>
      <w:proofErr w:type="spellEnd"/>
      <w:r w:rsidRPr="00BD1BD5">
        <w:rPr>
          <w:sz w:val="28"/>
          <w:szCs w:val="28"/>
        </w:rPr>
        <w:t xml:space="preserve"> платежами;</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2.3. відсоткова ставка за користування кредитом – шестимісячна Європейська міжбанківська ставка пропозиції (</w:t>
      </w:r>
      <w:r w:rsidRPr="00BD1BD5">
        <w:rPr>
          <w:sz w:val="28"/>
          <w:szCs w:val="28"/>
          <w:lang w:val="en-US"/>
        </w:rPr>
        <w:t>EURIBOR</w:t>
      </w:r>
      <w:r w:rsidRPr="00BD1BD5">
        <w:rPr>
          <w:sz w:val="28"/>
          <w:szCs w:val="28"/>
        </w:rPr>
        <w:t xml:space="preserve"> 6</w:t>
      </w:r>
      <w:r w:rsidRPr="00BD1BD5">
        <w:rPr>
          <w:sz w:val="28"/>
          <w:szCs w:val="28"/>
          <w:lang w:val="en-US"/>
        </w:rPr>
        <w:t>M</w:t>
      </w:r>
      <w:r w:rsidRPr="00BD1BD5">
        <w:rPr>
          <w:sz w:val="28"/>
          <w:szCs w:val="28"/>
        </w:rPr>
        <w:t>) + маржа 4,5% річних, з можливістю зниження 2,0% річних залежно від кредитного рейтингу України, що буде нараховуватися на вибрану суму кредиту;</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 xml:space="preserve">2.4. сплата відсотків за користування кредитом здійснюється </w:t>
      </w:r>
      <w:proofErr w:type="spellStart"/>
      <w:r w:rsidRPr="00BD1BD5">
        <w:rPr>
          <w:sz w:val="28"/>
          <w:szCs w:val="28"/>
        </w:rPr>
        <w:t>щопіврічними</w:t>
      </w:r>
      <w:proofErr w:type="spellEnd"/>
      <w:r w:rsidRPr="00BD1BD5">
        <w:rPr>
          <w:sz w:val="28"/>
          <w:szCs w:val="28"/>
        </w:rPr>
        <w:t xml:space="preserve"> платежами у строки та згідно з умовами, встановленими кредитним договором;</w:t>
      </w:r>
    </w:p>
    <w:p w:rsidR="005C6EFE" w:rsidRPr="00BD1BD5" w:rsidRDefault="005C6EFE" w:rsidP="005C6EFE">
      <w:pPr>
        <w:widowControl w:val="0"/>
        <w:tabs>
          <w:tab w:val="left" w:pos="567"/>
        </w:tabs>
        <w:suppressAutoHyphens w:val="0"/>
        <w:jc w:val="both"/>
        <w:rPr>
          <w:color w:val="000000"/>
          <w:sz w:val="28"/>
          <w:szCs w:val="28"/>
        </w:rPr>
      </w:pPr>
      <w:r w:rsidRPr="00BD1BD5">
        <w:rPr>
          <w:sz w:val="28"/>
          <w:szCs w:val="28"/>
        </w:rPr>
        <w:tab/>
        <w:t>2.5.</w:t>
      </w:r>
      <w:r w:rsidRPr="00BD1BD5">
        <w:rPr>
          <w:color w:val="000000"/>
          <w:sz w:val="28"/>
          <w:szCs w:val="28"/>
        </w:rPr>
        <w:t> комісія за резервування коштів (комісійні за зобов’язання) в розмірі 0,5% буде нараховуватися на щоденній основі із дати набуття чинності кредитного договору;</w:t>
      </w:r>
    </w:p>
    <w:p w:rsidR="005C6EFE" w:rsidRPr="00BD1BD5" w:rsidRDefault="005C6EFE" w:rsidP="005C6EFE">
      <w:pPr>
        <w:widowControl w:val="0"/>
        <w:tabs>
          <w:tab w:val="left" w:pos="567"/>
        </w:tabs>
        <w:suppressAutoHyphens w:val="0"/>
        <w:jc w:val="both"/>
        <w:rPr>
          <w:sz w:val="28"/>
          <w:szCs w:val="28"/>
        </w:rPr>
      </w:pPr>
      <w:r w:rsidRPr="00BD1BD5">
        <w:rPr>
          <w:b/>
          <w:color w:val="000000"/>
          <w:sz w:val="28"/>
          <w:szCs w:val="28"/>
        </w:rPr>
        <w:tab/>
      </w:r>
      <w:r w:rsidRPr="00BD1BD5">
        <w:rPr>
          <w:sz w:val="28"/>
          <w:szCs w:val="28"/>
        </w:rPr>
        <w:t xml:space="preserve">2.6. одноразова комісія за надання 1,0% від суми кредиту та включає комісію за оцінку </w:t>
      </w:r>
      <w:proofErr w:type="spellStart"/>
      <w:r w:rsidRPr="00BD1BD5">
        <w:rPr>
          <w:sz w:val="28"/>
          <w:szCs w:val="28"/>
        </w:rPr>
        <w:t>проєкту</w:t>
      </w:r>
      <w:proofErr w:type="spellEnd"/>
      <w:r w:rsidRPr="00BD1BD5">
        <w:rPr>
          <w:sz w:val="28"/>
          <w:szCs w:val="28"/>
        </w:rPr>
        <w:t>;</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2.7. відсоткова ставка у випадку невиконання зобов’язань складає 2,0% річних плюс маржа відсоткової ставки та вартість фінансування простроченої суми;</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2.8. адміністративні платежі та інші платежі підлягають сплаті відповідно до умов кредитного договору;</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2.9. розмір неустойки, штрафів, пені чи інших санкцій за порушення зобов’язань за кредитним договором визначається відповідно до умов кредитного договору.</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 xml:space="preserve">3. Форма надання місцевої гарантії: укладення Договору Гарантії, відшкодування та підтримки </w:t>
      </w:r>
      <w:proofErr w:type="spellStart"/>
      <w:r w:rsidRPr="00BD1BD5">
        <w:rPr>
          <w:sz w:val="28"/>
          <w:szCs w:val="28"/>
        </w:rPr>
        <w:t>проєкту</w:t>
      </w:r>
      <w:proofErr w:type="spellEnd"/>
      <w:r w:rsidRPr="00BD1BD5">
        <w:rPr>
          <w:sz w:val="28"/>
          <w:szCs w:val="28"/>
        </w:rPr>
        <w:t xml:space="preserve"> між Луцькою міською радою та ЄБРР (далі Договір Гарантії).</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4. Місцева гарантія надається у розмірі всіх боргових зобов’язань Позичальника відповідно до умов, визначених кредитним договором, та діє протягом періоду дії кредитного договору, але в будь-якому разі до повного погашення боргових зобов’язань Позичальника.</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5. Плата за надання місцевої гарантії для державного комунального підприємства «</w:t>
      </w:r>
      <w:proofErr w:type="spellStart"/>
      <w:r w:rsidRPr="00BD1BD5">
        <w:rPr>
          <w:sz w:val="28"/>
          <w:szCs w:val="28"/>
        </w:rPr>
        <w:t>Луцьктепло</w:t>
      </w:r>
      <w:proofErr w:type="spellEnd"/>
      <w:r w:rsidRPr="00BD1BD5">
        <w:rPr>
          <w:sz w:val="28"/>
          <w:szCs w:val="28"/>
        </w:rPr>
        <w:t>» встановлюється у розмірі 1 гривня на місяць на строк дії гарантії.</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6. Майнове або інше забезпечення виконання зобов’язань за надання гарантії для забезпечення виконання зобов’язань за кредитним договором не надається.</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 xml:space="preserve">7. Уповноважити міського голову Ігоря Поліщука підписати Договір Гарантії, відшкодування та підтримки </w:t>
      </w:r>
      <w:proofErr w:type="spellStart"/>
      <w:r w:rsidRPr="00BD1BD5">
        <w:rPr>
          <w:sz w:val="28"/>
          <w:szCs w:val="28"/>
        </w:rPr>
        <w:t>проєкту</w:t>
      </w:r>
      <w:proofErr w:type="spellEnd"/>
      <w:r w:rsidRPr="00BD1BD5">
        <w:rPr>
          <w:sz w:val="28"/>
          <w:szCs w:val="28"/>
        </w:rPr>
        <w:t xml:space="preserve"> між Луцькою міською радою та Європейським банком реконструкції та розвитку.</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 xml:space="preserve">8. Доручити директору департаменту фінансів, бюджету та аудиту Луцької міської ради Лілії </w:t>
      </w:r>
      <w:proofErr w:type="spellStart"/>
      <w:r w:rsidRPr="00BD1BD5">
        <w:rPr>
          <w:sz w:val="28"/>
          <w:szCs w:val="28"/>
        </w:rPr>
        <w:t>Єловій</w:t>
      </w:r>
      <w:proofErr w:type="spellEnd"/>
      <w:r w:rsidRPr="00BD1BD5">
        <w:rPr>
          <w:sz w:val="28"/>
          <w:szCs w:val="28"/>
        </w:rPr>
        <w:t xml:space="preserve"> та директору державного комунального підприємства </w:t>
      </w:r>
    </w:p>
    <w:p w:rsidR="005C6EFE" w:rsidRPr="00BD1BD5" w:rsidRDefault="005C6EFE" w:rsidP="005C6EFE">
      <w:pPr>
        <w:widowControl w:val="0"/>
        <w:tabs>
          <w:tab w:val="left" w:pos="567"/>
        </w:tabs>
        <w:suppressAutoHyphens w:val="0"/>
        <w:jc w:val="both"/>
        <w:rPr>
          <w:sz w:val="28"/>
          <w:szCs w:val="28"/>
        </w:rPr>
      </w:pPr>
      <w:r w:rsidRPr="00BD1BD5">
        <w:rPr>
          <w:sz w:val="28"/>
          <w:szCs w:val="28"/>
        </w:rPr>
        <w:t>«</w:t>
      </w:r>
      <w:proofErr w:type="spellStart"/>
      <w:r w:rsidRPr="00BD1BD5">
        <w:rPr>
          <w:sz w:val="28"/>
          <w:szCs w:val="28"/>
        </w:rPr>
        <w:t>Луцьктепло</w:t>
      </w:r>
      <w:proofErr w:type="spellEnd"/>
      <w:r w:rsidRPr="00BD1BD5">
        <w:rPr>
          <w:sz w:val="28"/>
          <w:szCs w:val="28"/>
        </w:rPr>
        <w:t xml:space="preserve">» Івану </w:t>
      </w:r>
      <w:proofErr w:type="spellStart"/>
      <w:r w:rsidRPr="00BD1BD5">
        <w:rPr>
          <w:sz w:val="28"/>
          <w:szCs w:val="28"/>
        </w:rPr>
        <w:t>Скорупському</w:t>
      </w:r>
      <w:proofErr w:type="spellEnd"/>
      <w:r w:rsidRPr="00BD1BD5">
        <w:rPr>
          <w:sz w:val="28"/>
          <w:szCs w:val="28"/>
        </w:rPr>
        <w:t xml:space="preserve"> укласти договір про погашення заборгованості перед Луцькою міською радою за виконання гарантійних зобов’язань.</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 xml:space="preserve">9. Доручити директору департаменту фінансів, бюджету та аудиту Луцької </w:t>
      </w:r>
      <w:r w:rsidRPr="00BD1BD5">
        <w:rPr>
          <w:sz w:val="28"/>
          <w:szCs w:val="28"/>
        </w:rPr>
        <w:lastRenderedPageBreak/>
        <w:t xml:space="preserve">міської ради Лілії </w:t>
      </w:r>
      <w:proofErr w:type="spellStart"/>
      <w:r w:rsidRPr="00BD1BD5">
        <w:rPr>
          <w:sz w:val="28"/>
          <w:szCs w:val="28"/>
        </w:rPr>
        <w:t>Єловій</w:t>
      </w:r>
      <w:proofErr w:type="spellEnd"/>
      <w:r w:rsidRPr="00BD1BD5">
        <w:rPr>
          <w:sz w:val="28"/>
          <w:szCs w:val="28"/>
        </w:rPr>
        <w:t xml:space="preserve"> щорічно передбачати в бюджеті громади кошти для забезпечення виконання гарантійних зобов’язань протягом строку погашення кредиту.</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10. Дане рішення набуває чинності відповідно до законодавства, але не раніше погодження Міністерством фінансів України обсягу та умов надання місцевої гарантії Луцькою міською радою, відповідно до постанови Кабінету міністрів України від 14.05.2012 № 541 (із змінами).</w:t>
      </w:r>
    </w:p>
    <w:p w:rsidR="005C6EFE" w:rsidRPr="00BD1BD5" w:rsidRDefault="005C6EFE" w:rsidP="005C6EFE">
      <w:pPr>
        <w:widowControl w:val="0"/>
        <w:tabs>
          <w:tab w:val="left" w:pos="567"/>
        </w:tabs>
        <w:suppressAutoHyphens w:val="0"/>
        <w:jc w:val="both"/>
        <w:rPr>
          <w:sz w:val="28"/>
          <w:szCs w:val="28"/>
        </w:rPr>
      </w:pPr>
      <w:r w:rsidRPr="00BD1BD5">
        <w:rPr>
          <w:sz w:val="28"/>
          <w:szCs w:val="28"/>
        </w:rPr>
        <w:tab/>
        <w:t xml:space="preserve">11. Контроль за виконанням цього рішення покласти на </w:t>
      </w:r>
      <w:r w:rsidRPr="00BD1BD5">
        <w:rPr>
          <w:spacing w:val="-4"/>
          <w:sz w:val="28"/>
          <w:szCs w:val="28"/>
        </w:rPr>
        <w:t xml:space="preserve">заступника міського голови Ірину </w:t>
      </w:r>
      <w:proofErr w:type="spellStart"/>
      <w:r w:rsidRPr="00BD1BD5">
        <w:rPr>
          <w:spacing w:val="-4"/>
          <w:sz w:val="28"/>
          <w:szCs w:val="28"/>
        </w:rPr>
        <w:t>Чебелюк</w:t>
      </w:r>
      <w:proofErr w:type="spellEnd"/>
      <w:r w:rsidRPr="00BD1BD5">
        <w:rPr>
          <w:spacing w:val="-4"/>
          <w:sz w:val="28"/>
          <w:szCs w:val="28"/>
        </w:rPr>
        <w:t xml:space="preserve"> та постійну </w:t>
      </w:r>
      <w:r w:rsidRPr="00BD1BD5">
        <w:rPr>
          <w:sz w:val="28"/>
          <w:szCs w:val="28"/>
        </w:rPr>
        <w:t>комісію міської ради з питань планування соціально-економічного розвитку, бюджету та фінансів.</w:t>
      </w:r>
    </w:p>
    <w:p w:rsidR="005C6EFE" w:rsidRPr="00BD1BD5" w:rsidRDefault="005C6EFE" w:rsidP="005C6EFE">
      <w:pPr>
        <w:jc w:val="both"/>
        <w:rPr>
          <w:sz w:val="28"/>
          <w:szCs w:val="28"/>
        </w:rPr>
      </w:pPr>
    </w:p>
    <w:p w:rsidR="005C6EFE" w:rsidRPr="00BD1BD5" w:rsidRDefault="005C6EFE" w:rsidP="005C6EFE">
      <w:pPr>
        <w:jc w:val="both"/>
        <w:rPr>
          <w:sz w:val="28"/>
          <w:szCs w:val="28"/>
        </w:rPr>
      </w:pPr>
    </w:p>
    <w:p w:rsidR="005C6EFE" w:rsidRPr="00BD1BD5" w:rsidRDefault="005C6EFE" w:rsidP="005C6EFE">
      <w:pPr>
        <w:jc w:val="both"/>
        <w:rPr>
          <w:sz w:val="28"/>
          <w:szCs w:val="28"/>
        </w:rPr>
      </w:pPr>
    </w:p>
    <w:p w:rsidR="005C6EFE" w:rsidRDefault="005C6EFE" w:rsidP="005C6EFE">
      <w:r w:rsidRPr="00BD1BD5">
        <w:rPr>
          <w:sz w:val="28"/>
          <w:szCs w:val="28"/>
        </w:rPr>
        <w:t>Міський голова</w:t>
      </w:r>
      <w:r w:rsidRPr="00BD1BD5">
        <w:rPr>
          <w:sz w:val="28"/>
          <w:szCs w:val="28"/>
        </w:rPr>
        <w:tab/>
      </w:r>
      <w:r w:rsidRPr="00BD1BD5">
        <w:rPr>
          <w:sz w:val="28"/>
          <w:szCs w:val="28"/>
        </w:rPr>
        <w:tab/>
      </w:r>
      <w:r w:rsidRPr="00BD1BD5">
        <w:rPr>
          <w:sz w:val="28"/>
          <w:szCs w:val="28"/>
        </w:rPr>
        <w:tab/>
      </w:r>
      <w:r w:rsidRPr="00BD1BD5">
        <w:rPr>
          <w:sz w:val="28"/>
          <w:szCs w:val="28"/>
        </w:rPr>
        <w:tab/>
      </w:r>
      <w:r w:rsidRPr="00BD1BD5">
        <w:rPr>
          <w:sz w:val="28"/>
          <w:szCs w:val="28"/>
        </w:rPr>
        <w:tab/>
      </w:r>
      <w:r w:rsidRPr="00BD1BD5">
        <w:rPr>
          <w:sz w:val="28"/>
          <w:szCs w:val="28"/>
        </w:rPr>
        <w:tab/>
      </w:r>
      <w:r w:rsidRPr="00BD1BD5">
        <w:rPr>
          <w:sz w:val="28"/>
          <w:szCs w:val="28"/>
        </w:rPr>
        <w:tab/>
      </w:r>
      <w:r w:rsidRPr="00BD1BD5">
        <w:rPr>
          <w:sz w:val="28"/>
          <w:szCs w:val="28"/>
        </w:rPr>
        <w:tab/>
        <w:t>Ігор ПОЛІЩУК</w:t>
      </w:r>
    </w:p>
    <w:p w:rsidR="005C6EFE" w:rsidRDefault="005C6EFE" w:rsidP="005C6EFE"/>
    <w:p w:rsidR="005C6EFE" w:rsidRDefault="005C6EFE" w:rsidP="005C6EFE"/>
    <w:p w:rsidR="00C7405A" w:rsidRPr="005C6EFE" w:rsidRDefault="005C6EFE" w:rsidP="005C6EFE">
      <w:proofErr w:type="spellStart"/>
      <w:r>
        <w:t>Єлова</w:t>
      </w:r>
      <w:proofErr w:type="spellEnd"/>
      <w:r>
        <w:t xml:space="preserve"> 720 614</w:t>
      </w:r>
    </w:p>
    <w:sectPr w:rsidR="00C7405A" w:rsidRPr="005C6EFE" w:rsidSect="00BD1BD5">
      <w:headerReference w:type="default" r:id="rId9"/>
      <w:pgSz w:w="11906" w:h="16838"/>
      <w:pgMar w:top="567" w:right="567" w:bottom="1701" w:left="1701" w:header="0"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3B" w:rsidRDefault="00A5593B" w:rsidP="00BD1BD5">
      <w:r>
        <w:separator/>
      </w:r>
    </w:p>
  </w:endnote>
  <w:endnote w:type="continuationSeparator" w:id="0">
    <w:p w:rsidR="00A5593B" w:rsidRDefault="00A5593B" w:rsidP="00BD1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3B" w:rsidRDefault="00A5593B" w:rsidP="00BD1BD5">
      <w:r>
        <w:separator/>
      </w:r>
    </w:p>
  </w:footnote>
  <w:footnote w:type="continuationSeparator" w:id="0">
    <w:p w:rsidR="00A5593B" w:rsidRDefault="00A5593B" w:rsidP="00BD1B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471067"/>
      <w:docPartObj>
        <w:docPartGallery w:val="Page Numbers (Top of Page)"/>
        <w:docPartUnique/>
      </w:docPartObj>
    </w:sdtPr>
    <w:sdtEndPr/>
    <w:sdtContent>
      <w:p w:rsidR="00BD1BD5" w:rsidRDefault="00BD1BD5">
        <w:pPr>
          <w:pStyle w:val="a7"/>
          <w:jc w:val="center"/>
        </w:pPr>
      </w:p>
      <w:p w:rsidR="00BD1BD5" w:rsidRDefault="00BD1BD5">
        <w:pPr>
          <w:pStyle w:val="a7"/>
          <w:jc w:val="center"/>
        </w:pPr>
        <w:r>
          <w:fldChar w:fldCharType="begin"/>
        </w:r>
        <w:r>
          <w:instrText>PAGE   \* MERGEFORMAT</w:instrText>
        </w:r>
        <w:r>
          <w:fldChar w:fldCharType="separate"/>
        </w:r>
        <w:r w:rsidR="002D489D" w:rsidRPr="002D489D">
          <w:rPr>
            <w:noProof/>
            <w:lang w:val="ru-RU"/>
          </w:rPr>
          <w:t>3</w:t>
        </w:r>
        <w:r>
          <w:fldChar w:fldCharType="end"/>
        </w:r>
      </w:p>
    </w:sdtContent>
  </w:sdt>
  <w:p w:rsidR="00BD1BD5" w:rsidRDefault="00BD1BD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05A"/>
    <w:rsid w:val="002D489D"/>
    <w:rsid w:val="005C6EFE"/>
    <w:rsid w:val="006745CA"/>
    <w:rsid w:val="00A5593B"/>
    <w:rsid w:val="00BD1BD5"/>
    <w:rsid w:val="00C02F05"/>
    <w:rsid w:val="00C7405A"/>
    <w:rsid w:val="00D530D9"/>
    <w:rsid w:val="00DF5B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1"/>
    <w:qFormat/>
    <w:rsid w:val="00C02F05"/>
    <w:pPr>
      <w:keepNext/>
      <w:suppressAutoHyphens w:val="0"/>
      <w:jc w:val="center"/>
      <w:outlineLvl w:val="0"/>
    </w:pPr>
    <w:rPr>
      <w:b/>
      <w:bCs/>
      <w:sz w:val="32"/>
    </w:rPr>
  </w:style>
  <w:style w:type="paragraph" w:styleId="2">
    <w:name w:val="heading 2"/>
    <w:basedOn w:val="a"/>
    <w:next w:val="a"/>
    <w:link w:val="21"/>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link w:val="20"/>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0">
    <w:name w:val="Заголовок 1 Знак"/>
    <w:basedOn w:val="a0"/>
    <w:link w:val="110"/>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10"/>
    <w:uiPriority w:val="9"/>
    <w:semiHidden/>
    <w:qFormat/>
    <w:rsid w:val="000D696A"/>
    <w:rPr>
      <w:rFonts w:ascii="Cambria" w:eastAsia="Times New Roman" w:hAnsi="Cambria" w:cs="Times New Roman"/>
      <w:b/>
      <w:bCs/>
      <w:i/>
      <w:iCs/>
      <w:sz w:val="28"/>
      <w:szCs w:val="28"/>
      <w:lang w:eastAsia="ru-RU"/>
    </w:rPr>
  </w:style>
  <w:style w:type="paragraph" w:customStyle="1" w:styleId="a3">
    <w:name w:val="Заголовок"/>
    <w:basedOn w:val="a"/>
    <w:next w:val="a4"/>
    <w:qFormat/>
    <w:rsid w:val="00C7405A"/>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C7405A"/>
    <w:pPr>
      <w:suppressLineNumbers/>
    </w:pPr>
    <w:rPr>
      <w:rFonts w:cs="Lucida Sans"/>
    </w:rPr>
  </w:style>
  <w:style w:type="character" w:customStyle="1" w:styleId="11">
    <w:name w:val="Заголовок 1 Знак1"/>
    <w:basedOn w:val="a0"/>
    <w:link w:val="1"/>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link w:val="2"/>
    <w:rsid w:val="00C02F05"/>
    <w:rPr>
      <w:rFonts w:ascii="Arial" w:eastAsia="Times New Roman" w:hAnsi="Arial" w:cs="Arial"/>
      <w:b/>
      <w:bCs/>
      <w:i/>
      <w:iCs/>
      <w:sz w:val="28"/>
      <w:szCs w:val="28"/>
      <w:lang w:eastAsia="ru-RU"/>
    </w:rPr>
  </w:style>
  <w:style w:type="paragraph" w:styleId="a7">
    <w:name w:val="header"/>
    <w:basedOn w:val="a"/>
    <w:link w:val="a8"/>
    <w:uiPriority w:val="99"/>
    <w:unhideWhenUsed/>
    <w:rsid w:val="00BD1BD5"/>
    <w:pPr>
      <w:tabs>
        <w:tab w:val="center" w:pos="4819"/>
        <w:tab w:val="right" w:pos="9639"/>
      </w:tabs>
    </w:pPr>
  </w:style>
  <w:style w:type="character" w:customStyle="1" w:styleId="a8">
    <w:name w:val="Верхний колонтитул Знак"/>
    <w:basedOn w:val="a0"/>
    <w:link w:val="a7"/>
    <w:uiPriority w:val="99"/>
    <w:rsid w:val="00BD1BD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D1BD5"/>
    <w:pPr>
      <w:tabs>
        <w:tab w:val="center" w:pos="4819"/>
        <w:tab w:val="right" w:pos="9639"/>
      </w:tabs>
    </w:pPr>
  </w:style>
  <w:style w:type="character" w:customStyle="1" w:styleId="aa">
    <w:name w:val="Нижний колонтитул Знак"/>
    <w:basedOn w:val="a0"/>
    <w:link w:val="a9"/>
    <w:uiPriority w:val="99"/>
    <w:rsid w:val="00BD1BD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696A"/>
    <w:rPr>
      <w:rFonts w:ascii="Times New Roman" w:eastAsia="Times New Roman" w:hAnsi="Times New Roman" w:cs="Times New Roman"/>
      <w:sz w:val="24"/>
      <w:szCs w:val="24"/>
      <w:lang w:eastAsia="ru-RU"/>
    </w:rPr>
  </w:style>
  <w:style w:type="paragraph" w:styleId="1">
    <w:name w:val="heading 1"/>
    <w:basedOn w:val="a"/>
    <w:next w:val="a"/>
    <w:link w:val="11"/>
    <w:qFormat/>
    <w:rsid w:val="00C02F05"/>
    <w:pPr>
      <w:keepNext/>
      <w:suppressAutoHyphens w:val="0"/>
      <w:jc w:val="center"/>
      <w:outlineLvl w:val="0"/>
    </w:pPr>
    <w:rPr>
      <w:b/>
      <w:bCs/>
      <w:sz w:val="32"/>
    </w:rPr>
  </w:style>
  <w:style w:type="paragraph" w:styleId="2">
    <w:name w:val="heading 2"/>
    <w:basedOn w:val="a"/>
    <w:next w:val="a"/>
    <w:link w:val="21"/>
    <w:qFormat/>
    <w:rsid w:val="00C02F05"/>
    <w:pPr>
      <w:keepNext/>
      <w:suppressAutoHyphens w:val="0"/>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link w:val="10"/>
    <w:qFormat/>
    <w:rsid w:val="000D696A"/>
    <w:pPr>
      <w:keepNext/>
      <w:spacing w:before="240" w:after="60"/>
      <w:outlineLvl w:val="0"/>
    </w:pPr>
    <w:rPr>
      <w:rFonts w:ascii="Arial" w:hAnsi="Arial" w:cs="Arial"/>
      <w:b/>
      <w:bCs/>
      <w:kern w:val="2"/>
      <w:sz w:val="32"/>
      <w:szCs w:val="32"/>
    </w:rPr>
  </w:style>
  <w:style w:type="paragraph" w:customStyle="1" w:styleId="210">
    <w:name w:val="Заголовок 21"/>
    <w:basedOn w:val="a"/>
    <w:next w:val="a"/>
    <w:link w:val="20"/>
    <w:uiPriority w:val="9"/>
    <w:semiHidden/>
    <w:unhideWhenUsed/>
    <w:qFormat/>
    <w:rsid w:val="000D696A"/>
    <w:pPr>
      <w:keepNext/>
      <w:spacing w:before="240" w:after="60"/>
      <w:outlineLvl w:val="1"/>
    </w:pPr>
    <w:rPr>
      <w:rFonts w:ascii="Cambria" w:hAnsi="Cambria"/>
      <w:b/>
      <w:bCs/>
      <w:i/>
      <w:iCs/>
      <w:sz w:val="28"/>
      <w:szCs w:val="28"/>
    </w:rPr>
  </w:style>
  <w:style w:type="character" w:customStyle="1" w:styleId="10">
    <w:name w:val="Заголовок 1 Знак"/>
    <w:basedOn w:val="a0"/>
    <w:link w:val="110"/>
    <w:qFormat/>
    <w:rsid w:val="000D696A"/>
    <w:rPr>
      <w:rFonts w:ascii="Arial" w:eastAsia="Times New Roman" w:hAnsi="Arial" w:cs="Arial"/>
      <w:b/>
      <w:bCs/>
      <w:kern w:val="2"/>
      <w:sz w:val="32"/>
      <w:szCs w:val="32"/>
      <w:lang w:eastAsia="ru-RU"/>
    </w:rPr>
  </w:style>
  <w:style w:type="character" w:customStyle="1" w:styleId="20">
    <w:name w:val="Заголовок 2 Знак"/>
    <w:basedOn w:val="a0"/>
    <w:link w:val="210"/>
    <w:uiPriority w:val="9"/>
    <w:semiHidden/>
    <w:qFormat/>
    <w:rsid w:val="000D696A"/>
    <w:rPr>
      <w:rFonts w:ascii="Cambria" w:eastAsia="Times New Roman" w:hAnsi="Cambria" w:cs="Times New Roman"/>
      <w:b/>
      <w:bCs/>
      <w:i/>
      <w:iCs/>
      <w:sz w:val="28"/>
      <w:szCs w:val="28"/>
      <w:lang w:eastAsia="ru-RU"/>
    </w:rPr>
  </w:style>
  <w:style w:type="paragraph" w:customStyle="1" w:styleId="a3">
    <w:name w:val="Заголовок"/>
    <w:basedOn w:val="a"/>
    <w:next w:val="a4"/>
    <w:qFormat/>
    <w:rsid w:val="00C7405A"/>
    <w:pPr>
      <w:keepNext/>
      <w:spacing w:before="240" w:after="120"/>
    </w:pPr>
    <w:rPr>
      <w:rFonts w:ascii="Liberation Sans" w:eastAsia="Microsoft YaHei" w:hAnsi="Liberation Sans" w:cs="Lucida Sans"/>
      <w:sz w:val="28"/>
      <w:szCs w:val="28"/>
    </w:rPr>
  </w:style>
  <w:style w:type="paragraph" w:styleId="a4">
    <w:name w:val="Body Text"/>
    <w:basedOn w:val="a"/>
    <w:rsid w:val="00C7405A"/>
    <w:pPr>
      <w:spacing w:after="140" w:line="276" w:lineRule="auto"/>
    </w:pPr>
  </w:style>
  <w:style w:type="paragraph" w:styleId="a5">
    <w:name w:val="List"/>
    <w:basedOn w:val="a4"/>
    <w:rsid w:val="00C7405A"/>
    <w:rPr>
      <w:rFonts w:cs="Lucida Sans"/>
    </w:rPr>
  </w:style>
  <w:style w:type="paragraph" w:customStyle="1" w:styleId="12">
    <w:name w:val="Название объекта1"/>
    <w:basedOn w:val="a"/>
    <w:qFormat/>
    <w:rsid w:val="00C7405A"/>
    <w:pPr>
      <w:suppressLineNumbers/>
      <w:spacing w:before="120" w:after="120"/>
    </w:pPr>
    <w:rPr>
      <w:rFonts w:cs="Lucida Sans"/>
      <w:i/>
      <w:iCs/>
    </w:rPr>
  </w:style>
  <w:style w:type="paragraph" w:customStyle="1" w:styleId="a6">
    <w:name w:val="Покажчик"/>
    <w:basedOn w:val="a"/>
    <w:qFormat/>
    <w:rsid w:val="00C7405A"/>
    <w:pPr>
      <w:suppressLineNumbers/>
    </w:pPr>
    <w:rPr>
      <w:rFonts w:cs="Lucida Sans"/>
    </w:rPr>
  </w:style>
  <w:style w:type="character" w:customStyle="1" w:styleId="11">
    <w:name w:val="Заголовок 1 Знак1"/>
    <w:basedOn w:val="a0"/>
    <w:link w:val="1"/>
    <w:rsid w:val="00C02F05"/>
    <w:rPr>
      <w:rFonts w:ascii="Times New Roman" w:eastAsia="Times New Roman" w:hAnsi="Times New Roman" w:cs="Times New Roman"/>
      <w:b/>
      <w:bCs/>
      <w:sz w:val="32"/>
      <w:szCs w:val="24"/>
      <w:lang w:eastAsia="ru-RU"/>
    </w:rPr>
  </w:style>
  <w:style w:type="character" w:customStyle="1" w:styleId="21">
    <w:name w:val="Заголовок 2 Знак1"/>
    <w:basedOn w:val="a0"/>
    <w:link w:val="2"/>
    <w:rsid w:val="00C02F05"/>
    <w:rPr>
      <w:rFonts w:ascii="Arial" w:eastAsia="Times New Roman" w:hAnsi="Arial" w:cs="Arial"/>
      <w:b/>
      <w:bCs/>
      <w:i/>
      <w:iCs/>
      <w:sz w:val="28"/>
      <w:szCs w:val="28"/>
      <w:lang w:eastAsia="ru-RU"/>
    </w:rPr>
  </w:style>
  <w:style w:type="paragraph" w:styleId="a7">
    <w:name w:val="header"/>
    <w:basedOn w:val="a"/>
    <w:link w:val="a8"/>
    <w:uiPriority w:val="99"/>
    <w:unhideWhenUsed/>
    <w:rsid w:val="00BD1BD5"/>
    <w:pPr>
      <w:tabs>
        <w:tab w:val="center" w:pos="4819"/>
        <w:tab w:val="right" w:pos="9639"/>
      </w:tabs>
    </w:pPr>
  </w:style>
  <w:style w:type="character" w:customStyle="1" w:styleId="a8">
    <w:name w:val="Верхний колонтитул Знак"/>
    <w:basedOn w:val="a0"/>
    <w:link w:val="a7"/>
    <w:uiPriority w:val="99"/>
    <w:rsid w:val="00BD1BD5"/>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BD1BD5"/>
    <w:pPr>
      <w:tabs>
        <w:tab w:val="center" w:pos="4819"/>
        <w:tab w:val="right" w:pos="9639"/>
      </w:tabs>
    </w:pPr>
  </w:style>
  <w:style w:type="character" w:customStyle="1" w:styleId="aa">
    <w:name w:val="Нижний колонтитул Знак"/>
    <w:basedOn w:val="a0"/>
    <w:link w:val="a9"/>
    <w:uiPriority w:val="99"/>
    <w:rsid w:val="00BD1BD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3350</Words>
  <Characters>1911</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nkhmel</dc:creator>
  <cp:lastModifiedBy>User</cp:lastModifiedBy>
  <cp:revision>5</cp:revision>
  <dcterms:created xsi:type="dcterms:W3CDTF">2024-05-16T07:53:00Z</dcterms:created>
  <dcterms:modified xsi:type="dcterms:W3CDTF">2024-05-29T09:47:00Z</dcterms:modified>
  <dc:language>uk-UA</dc:language>
</cp:coreProperties>
</file>