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</w:t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Перелік майна,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lang w:val="uk-UA" w:eastAsia="en-US" w:bidi="ar-SA"/>
        </w:rPr>
        <w:t>придбаного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в межах міжнародного проєкту</w:t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kern w:val="0"/>
          <w:sz w:val="28"/>
          <w:szCs w:val="28"/>
          <w:lang w:val="uk-UA" w:eastAsia="zh-CN" w:bidi="ar-SA"/>
        </w:rPr>
        <w:t>«Спільний пошук нових рішень у комунальному господарстві: поводження з органічними відходами у Луцькій міській територіальній громаді»,</w:t>
      </w:r>
    </w:p>
    <w:p>
      <w:pPr>
        <w:pStyle w:val="Normal"/>
        <w:shd w:val="clear" w:color="auto" w:fill="FFFFFF"/>
        <w:tabs>
          <w:tab w:val="clear" w:pos="408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яке передається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на баланс Луцького спеціального комунального автотранспортного підприємства «Луцькспецкомунтранс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1"/>
          <w:kern w:val="0"/>
          <w:sz w:val="28"/>
          <w:szCs w:val="28"/>
          <w:lang w:val="uk-UA" w:eastAsia="ar-SA" w:bidi="ar-SA"/>
        </w:rPr>
        <w:t>»</w:t>
      </w:r>
    </w:p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 w:val="false"/>
          <w:bCs w:val="false"/>
          <w:kern w:val="0"/>
          <w:sz w:val="28"/>
          <w:szCs w:val="28"/>
          <w:lang w:eastAsia="uk-UA"/>
          <w14:ligatures w14:val="none"/>
        </w:rPr>
      </w:r>
    </w:p>
    <w:tbl>
      <w:tblPr>
        <w:tblW w:w="935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17"/>
        <w:gridCol w:w="3616"/>
        <w:gridCol w:w="917"/>
        <w:gridCol w:w="786"/>
        <w:gridCol w:w="1760"/>
        <w:gridCol w:w="1759"/>
      </w:tblGrid>
      <w:tr>
        <w:trPr>
          <w:tblHeader w:val="true"/>
          <w:cantSplit w:val="true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Найменування майна, яке передається на баланс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2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2"/>
                <w:sz w:val="24"/>
                <w:szCs w:val="24"/>
                <w:lang w:val="uk-UA" w:eastAsia="en-US" w:bidi="ar-SA"/>
              </w:rPr>
              <w:t>Од. вим.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bCs/>
                <w:color w:val="auto"/>
                <w:kern w:val="2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2"/>
                <w:sz w:val="24"/>
                <w:szCs w:val="24"/>
                <w:lang w:val="uk-UA" w:eastAsia="en-US" w:bidi="ar-SA"/>
              </w:rPr>
              <w:t>К-ть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Ціна за одиницю,</w:t>
            </w:r>
          </w:p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грн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Загальна вартість,</w:t>
            </w:r>
          </w:p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/>
              </w:rPr>
              <w:t>1.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Arial"/>
                <w:spacing w:val="-2"/>
                <w:sz w:val="28"/>
                <w:szCs w:val="28"/>
                <w:lang w:val="uk-UA"/>
              </w:rPr>
            </w:pPr>
            <w:r>
              <w:rPr>
                <w:rFonts w:cs="Arial" w:ascii="Times New Roman" w:hAnsi="Times New Roman"/>
                <w:spacing w:val="-2"/>
                <w:sz w:val="24"/>
                <w:szCs w:val="24"/>
                <w:lang w:val="en-US"/>
              </w:rPr>
              <w:t xml:space="preserve">Модульне обладнання контейнерного типу для одноступеневого очищення фільтрату </w:t>
            </w:r>
            <w:r>
              <w:rPr>
                <w:rFonts w:cs="Arial" w:ascii="Times New Roman" w:hAnsi="Times New Roman"/>
                <w:spacing w:val="-2"/>
                <w:sz w:val="24"/>
                <w:szCs w:val="24"/>
                <w:lang w:val="uk-UA"/>
              </w:rPr>
              <w:t>полігону ТПВ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4"/>
                <w:szCs w:val="24"/>
                <w:lang w:val="uk-UA" w:eastAsia="zh-CN" w:bidi="hi-IN"/>
              </w:rPr>
              <w:t>шт.</w:t>
            </w:r>
          </w:p>
        </w:tc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left="-2" w:hanging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left="-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ru-RU"/>
              </w:rPr>
              <w:t>3 353 149,00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left="-2" w:hanging="0"/>
              <w:jc w:val="center"/>
              <w:rPr>
                <w:rFonts w:eastAsia="Times New Roman" w:cs="Times New Roman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ru-RU"/>
              </w:rPr>
              <w:t>3 353 149,00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Бак сірчаної кислоти – ПЕ ємність зовнішнього виконання 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4м3 з необхідним додатковим обладнанням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4"/>
                <w:szCs w:val="24"/>
                <w:lang w:val="en-US" w:eastAsia="zh-CN" w:bidi="hi-IN"/>
              </w:rPr>
              <w:t>шт.</w:t>
            </w:r>
          </w:p>
        </w:tc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ru-RU"/>
              </w:rPr>
              <w:t xml:space="preserve">193 028,00 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ru-RU"/>
              </w:rPr>
              <w:t xml:space="preserve">193 028,00 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eastAsia="Calibri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Витратні матеріали на пуско-налагоджувальні роботи та перший місяць  експлуатації установки,  </w:t>
            </w:r>
            <w:r>
              <w:rPr>
                <w:rStyle w:val="Fontstyle01"/>
                <w:rFonts w:eastAsia="Calibri" w:cs="Times New Roman" w:ascii="Times New Roman" w:hAnsi="Times New Roman"/>
                <w:color w:val="auto"/>
                <w:sz w:val="24"/>
                <w:szCs w:val="24"/>
                <w:lang w:eastAsia="en-US"/>
              </w:rPr>
              <w:t>швидкозношувальні комплектуючі на 6 місяців експлуатації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компл.</w:t>
            </w:r>
          </w:p>
        </w:tc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281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500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281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500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Послуги з базового  інжинірингу, шеф-монтажу обладнання на майданчику замовника, пуско-налагодження обладнання на майданчику замовника, навчання персоналу на майданчику замовника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посл.</w:t>
            </w:r>
          </w:p>
        </w:tc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241 285,00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napToGrid w:val="false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241 285,00</w:t>
            </w:r>
          </w:p>
        </w:tc>
      </w:tr>
      <w:tr>
        <w:trPr>
          <w:trHeight w:val="79" w:hRule="atLeast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408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Модульне обладнання контейнерного типу для очищення фільтрату полігону ТПВ (додаткове 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бладнання мембранної </w:t>
            </w:r>
            <w:r>
              <w:rPr>
                <w:rFonts w:cs="" w:ascii="Times New Roman" w:hAnsi="Times New Roman" w:cstheme="minorBidi"/>
                <w:sz w:val="24"/>
                <w:szCs w:val="24"/>
                <w:lang w:val="en-US"/>
              </w:rPr>
              <w:t>очистки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фільтрату полігону ТПВ другого ступеню</w:t>
            </w:r>
            <w:r>
              <w:rPr>
                <w:rFonts w:eastAsia="Calibri" w:cs="" w:ascii="Times New Roman" w:hAnsi="Times New Roman" w:cstheme="minorBidi" w:eastAsiaTheme="minorHAnsi"/>
                <w:color w:val="auto"/>
                <w:kern w:val="2"/>
                <w:sz w:val="24"/>
                <w:szCs w:val="24"/>
                <w:lang w:val="uk-UA" w:eastAsia="en-US" w:bidi="ar-SA"/>
              </w:rPr>
              <w:t>)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bidi w:val="0"/>
              <w:spacing w:lineRule="auto" w:line="240" w:before="0" w:after="0"/>
              <w:ind w:left="-2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left="-2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2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4"/>
                <w:szCs w:val="24"/>
                <w:lang w:val="uk-UA" w:eastAsia="ru-RU" w:bidi="ar-SA"/>
              </w:rPr>
              <w:t>2 398 350,00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ind w:left="-2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2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4"/>
                <w:szCs w:val="24"/>
                <w:lang w:val="uk-UA" w:eastAsia="ru-RU" w:bidi="ar-SA"/>
              </w:rPr>
              <w:t xml:space="preserve">2 398 </w:t>
            </w: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4"/>
                <w:szCs w:val="24"/>
                <w:lang w:val="en-US" w:eastAsia="ru-RU" w:bidi="ar-SA"/>
              </w:rPr>
              <w:t>500,00</w:t>
            </w:r>
          </w:p>
        </w:tc>
      </w:tr>
      <w:tr>
        <w:trPr>
          <w:trHeight w:val="79" w:hRule="atLeast"/>
        </w:trPr>
        <w:tc>
          <w:tcPr>
            <w:tcW w:w="75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408"/>
                <w:tab w:val="left" w:pos="993" w:leader="none"/>
              </w:tabs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color w:val="auto"/>
                <w:kern w:val="2"/>
                <w:sz w:val="24"/>
                <w:szCs w:val="24"/>
                <w:lang w:val="uk-UA" w:eastAsia="en-US" w:bidi="ar-SA"/>
              </w:rPr>
              <w:t>Всього: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sz w:val="24"/>
                <w:szCs w:val="24"/>
              </w:rPr>
              <w:t>16 467 462,00</w:t>
            </w:r>
          </w:p>
        </w:tc>
      </w:tr>
    </w:tbl>
    <w:p>
      <w:pPr>
        <w:pStyle w:val="Normal"/>
        <w:shd w:val="clear" w:color="auto" w:fill="FFFFFF"/>
        <w:tabs>
          <w:tab w:val="clear" w:pos="4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Секретар міської ради </w:t>
        <w:tab/>
        <w:tab/>
        <w:tab/>
        <w:tab/>
        <w:tab/>
        <w:tab/>
        <w:tab/>
        <w:tab/>
        <w:tab/>
        <w:tab/>
        <w:tab/>
        <w:t xml:space="preserve">  Юрій БЕЗПЯТКО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Вінцюк 777 995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character" w:styleId="Fontstyle01">
    <w:name w:val="fontstyle01"/>
    <w:basedOn w:val="DefaultParagraphFont"/>
    <w:qFormat/>
    <w:rPr>
      <w:rFonts w:ascii="Calibri Light" w:hAnsi="Calibri Light" w:cs="Calibri Light"/>
      <w:b w:val="false"/>
      <w:bCs w:val="false"/>
      <w:i w:val="false"/>
      <w:iCs w:val="false"/>
      <w:color w:val="365F91"/>
      <w:sz w:val="24"/>
      <w:szCs w:val="24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4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Application>LibreOffice/6.3.4.2$Windows_X86_64 LibreOffice_project/60da17e045e08f1793c57c00ba83cdfce946d0aa</Application>
  <Pages>1</Pages>
  <Words>185</Words>
  <Characters>1196</Characters>
  <CharactersWithSpaces>1352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2024-06-07T09:25:15Z</cp:lastPrinted>
  <dcterms:modified xsi:type="dcterms:W3CDTF">2024-06-10T12:19:16Z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