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5160" cy="645160"/>
                <wp:effectExtent l="0" t="0" r="0" b="0"/>
                <wp:wrapNone/>
                <wp:docPr id="1" name="shapetype_ole_rId2"/>
                <a:graphic xmlns:a="http://schemas.openxmlformats.org/drawingml/2006/main">
                  <a:graphicData uri="http://schemas.microsoft.com/office/word/2010/wordprocessingShape">
                    <wps:wsp>
                      <wps:cNvSpPr/>
                      <wps:spPr>
                        <a:xfrm>
                          <a:off x="0" y="0"/>
                          <a:ext cx="644400" cy="64440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0.7pt;height:50.7pt;mso-wrap-style:none;v-text-anchor:middle">
                <v:fill o:detectmouseclick="t" on="false"/>
                <v:stroke color="#3465a4" joinstyle="round" endcap="flat"/>
                <w10:wrap type="none"/>
              </v:rect>
            </w:pict>
          </mc:Fallback>
        </mc:AlternateContent>
        <w:object w:dxaOrig="3105" w:dyaOrig="3300">
          <v:shape id="ole_rId2" style="width:57pt;height:59pt" o:ole="">
            <v:imagedata r:id="rId3" o:title=""/>
          </v:shape>
          <o:OLEObject Type="Embed" ProgID="PBrush" ShapeID="ole_rId2" DrawAspect="Content" ObjectID="_1238138198"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false"/>
        <w:ind w:right="-868" w:hanging="0"/>
        <w:jc w:val="both"/>
        <w:rPr>
          <w:sz w:val="28"/>
          <w:szCs w:val="28"/>
        </w:rPr>
      </w:pPr>
      <w:r>
        <w:rPr>
          <w:sz w:val="28"/>
          <w:szCs w:val="28"/>
        </w:rPr>
        <w:t>Про  надання  к</w:t>
      </w:r>
      <w:r>
        <w:rPr>
          <w:rFonts w:eastAsia="Times New Roman" w:cs="Times New Roman"/>
          <w:color w:val="auto"/>
          <w:kern w:val="0"/>
          <w:sz w:val="28"/>
          <w:szCs w:val="28"/>
          <w:lang w:val="uk-UA" w:eastAsia="zh-CN" w:bidi="ar-SA"/>
        </w:rPr>
        <w:t>омунальному  підприємст-</w:t>
      </w:r>
    </w:p>
    <w:p>
      <w:pPr>
        <w:pStyle w:val="Normal"/>
        <w:tabs>
          <w:tab w:val="clear" w:pos="708"/>
          <w:tab w:val="left" w:pos="5387" w:leader="none"/>
          <w:tab w:val="left" w:pos="5529" w:leader="none"/>
        </w:tabs>
        <w:overflowPunct w:val="false"/>
        <w:ind w:right="-868" w:hanging="0"/>
        <w:jc w:val="both"/>
        <w:rPr>
          <w:spacing w:val="-10"/>
        </w:rPr>
      </w:pPr>
      <w:r>
        <w:rPr>
          <w:rFonts w:eastAsia="Times New Roman" w:cs="Times New Roman"/>
          <w:color w:val="auto"/>
          <w:spacing w:val="-10"/>
          <w:kern w:val="0"/>
          <w:sz w:val="28"/>
          <w:szCs w:val="28"/>
          <w:lang w:val="uk-UA" w:eastAsia="zh-CN" w:bidi="ar-SA"/>
        </w:rPr>
        <w:t xml:space="preserve">ву  «Луцькводоканал»   </w:t>
      </w:r>
      <w:r>
        <w:rPr>
          <w:spacing w:val="-10"/>
          <w:szCs w:val="28"/>
        </w:rPr>
        <w:t>дозволу</w:t>
      </w:r>
      <w:r>
        <w:rPr>
          <w:rFonts w:eastAsia="Times New Roman" w:cs="Times New Roman"/>
          <w:b w:val="false"/>
          <w:i w:val="false"/>
          <w:caps w:val="false"/>
          <w:smallCaps w:val="false"/>
          <w:color w:val="auto"/>
          <w:spacing w:val="0"/>
          <w:kern w:val="0"/>
          <w:sz w:val="32"/>
          <w:szCs w:val="32"/>
          <w:lang w:val="uk-UA" w:eastAsia="zh-CN" w:bidi="ar-SA"/>
        </w:rPr>
        <w:t xml:space="preserve"> </w:t>
      </w:r>
      <w:r>
        <w:rPr>
          <w:spacing w:val="-10"/>
          <w:szCs w:val="28"/>
        </w:rPr>
        <w:t>на</w:t>
      </w:r>
      <w:r>
        <w:rPr>
          <w:spacing w:val="-10"/>
          <w:sz w:val="24"/>
          <w:szCs w:val="44"/>
        </w:rPr>
        <w:t xml:space="preserve"> </w:t>
      </w:r>
      <w:r>
        <w:rPr>
          <w:spacing w:val="-10"/>
          <w:szCs w:val="28"/>
        </w:rPr>
        <w:t>розробле-</w:t>
      </w:r>
    </w:p>
    <w:p>
      <w:pPr>
        <w:pStyle w:val="Normal"/>
        <w:tabs>
          <w:tab w:val="clear" w:pos="708"/>
          <w:tab w:val="left" w:pos="5387" w:leader="none"/>
          <w:tab w:val="left" w:pos="5529" w:leader="none"/>
        </w:tabs>
        <w:overflowPunct w:val="false"/>
        <w:ind w:right="-868" w:hanging="0"/>
        <w:jc w:val="both"/>
        <w:rPr>
          <w:spacing w:val="-10"/>
        </w:rPr>
      </w:pPr>
      <w:r>
        <w:rPr>
          <w:spacing w:val="-10"/>
          <w:szCs w:val="28"/>
        </w:rPr>
        <w:t>н</w:t>
      </w:r>
      <w:r>
        <w:rPr>
          <w:spacing w:val="-2"/>
          <w:szCs w:val="28"/>
        </w:rPr>
        <w:t>ня проєкту землеустрою</w:t>
      </w:r>
      <w:r>
        <w:rPr>
          <w:spacing w:val="-2"/>
          <w:sz w:val="18"/>
          <w:szCs w:val="18"/>
        </w:rPr>
        <w:t xml:space="preserve"> </w:t>
      </w:r>
      <w:r>
        <w:rPr>
          <w:spacing w:val="-2"/>
          <w:szCs w:val="28"/>
        </w:rPr>
        <w:t>щодо відведення</w:t>
      </w:r>
    </w:p>
    <w:p>
      <w:pPr>
        <w:pStyle w:val="Normal"/>
        <w:tabs>
          <w:tab w:val="clear" w:pos="708"/>
          <w:tab w:val="left" w:pos="5387" w:leader="none"/>
          <w:tab w:val="left" w:pos="5529" w:leader="none"/>
        </w:tabs>
        <w:overflowPunct w:val="false"/>
        <w:ind w:right="-868" w:hanging="0"/>
        <w:jc w:val="both"/>
        <w:rPr>
          <w:spacing w:val="-6"/>
        </w:rPr>
      </w:pPr>
      <w:r>
        <w:rPr>
          <w:spacing w:val="-6"/>
          <w:szCs w:val="28"/>
        </w:rPr>
        <w:t xml:space="preserve">земельної  ділянки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6"/>
          <w:kern w:val="0"/>
          <w:sz w:val="28"/>
          <w:szCs w:val="28"/>
          <w:lang w:val="uk-UA" w:eastAsia="zh-CN" w:bidi="ar-SA"/>
        </w:rPr>
        <w:t xml:space="preserve">орієнтовною площею 0,17 га  </w:t>
      </w:r>
      <w:r>
        <w:rPr>
          <w:rFonts w:eastAsia="Times New Roman" w:cs="Times New Roman"/>
          <w:b w:val="false"/>
          <w:i w:val="false"/>
          <w:caps w:val="false"/>
          <w:smallCaps w:val="false"/>
          <w:color w:val="auto"/>
          <w:spacing w:val="-4"/>
          <w:kern w:val="0"/>
          <w:sz w:val="28"/>
          <w:szCs w:val="28"/>
          <w:lang w:val="uk-UA" w:eastAsia="zh-CN" w:bidi="ar-SA"/>
        </w:rPr>
        <w:t>для   розміще-</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4"/>
          <w:kern w:val="0"/>
          <w:sz w:val="28"/>
          <w:szCs w:val="28"/>
          <w:lang w:val="uk-UA" w:eastAsia="zh-CN" w:bidi="ar-SA"/>
        </w:rPr>
        <w:t xml:space="preserve">ння та  експлуатації  </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підсобних і</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допоміжних  будівель   та   споруд  технічної</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 xml:space="preserve">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розподіле-</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14"/>
          <w:kern w:val="0"/>
          <w:sz w:val="28"/>
          <w:szCs w:val="28"/>
          <w:lang w:val="uk-UA" w:eastAsia="zh-CN" w:bidi="ar-SA"/>
        </w:rPr>
        <w:t xml:space="preserve">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w:t>
      </w:r>
    </w:p>
    <w:p>
      <w:pPr>
        <w:pStyle w:val="Normal"/>
        <w:tabs>
          <w:tab w:val="clear" w:pos="708"/>
          <w:tab w:val="left" w:pos="5387" w:leader="none"/>
          <w:tab w:val="left" w:pos="5529" w:leader="none"/>
        </w:tabs>
        <w:overflowPunct w:val="false"/>
        <w:ind w:right="-868" w:hanging="0"/>
        <w:jc w:val="both"/>
        <w:rPr>
          <w:spacing w:val="-12"/>
        </w:rPr>
      </w:pPr>
      <w:r>
        <w:rPr>
          <w:rFonts w:eastAsia="Times New Roman" w:cs="Times New Roman"/>
          <w:b w:val="false"/>
          <w:i w:val="false"/>
          <w:caps w:val="false"/>
          <w:smallCaps w:val="false"/>
          <w:color w:val="auto"/>
          <w:spacing w:val="-12"/>
          <w:kern w:val="0"/>
          <w:sz w:val="28"/>
          <w:szCs w:val="28"/>
          <w:lang w:val="uk-UA" w:eastAsia="zh-CN" w:bidi="ar-SA"/>
        </w:rPr>
        <w:t>рання, очищення та розподілення води) (11.04)</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0"/>
          <w:kern w:val="0"/>
          <w:sz w:val="28"/>
          <w:szCs w:val="28"/>
          <w:lang w:val="uk-UA" w:eastAsia="zh-CN" w:bidi="ar-SA"/>
        </w:rPr>
        <w:t xml:space="preserve">у с. Милушин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   району   Волин-</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ської області</w:t>
      </w:r>
    </w:p>
    <w:p>
      <w:pPr>
        <w:pStyle w:val="Normal"/>
        <w:overflowPunct w:val="false"/>
        <w:ind w:right="-868" w:hanging="0"/>
        <w:jc w:val="both"/>
        <w:rPr>
          <w:sz w:val="28"/>
          <w:szCs w:val="28"/>
        </w:rPr>
      </w:pPr>
      <w:r>
        <w:rPr>
          <w:sz w:val="28"/>
          <w:szCs w:val="28"/>
        </w:rPr>
      </w:r>
    </w:p>
    <w:p>
      <w:pPr>
        <w:pStyle w:val="Normal"/>
        <w:tabs>
          <w:tab w:val="clear" w:pos="708"/>
          <w:tab w:val="left" w:pos="993" w:leader="none"/>
        </w:tabs>
        <w:ind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комунального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Cs w:val="28"/>
        </w:rPr>
        <w:t xml:space="preserve">про надання дозволу на розроблення проєкту землеустрою щодо відведення земельної ділянки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с. Милушин</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w:t>
      </w:r>
      <w:r>
        <w:rPr>
          <w:szCs w:val="28"/>
        </w:rPr>
        <w:t>, схему генплану земельної ділянки з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w:t>
      </w:r>
      <w:r>
        <w:rPr>
          <w:rFonts w:eastAsia="Times New Roman" w:cs="Times New Roman"/>
          <w:color w:val="auto"/>
          <w:kern w:val="0"/>
          <w:sz w:val="28"/>
          <w:szCs w:val="28"/>
          <w:lang w:val="uk-UA" w:eastAsia="zh-CN" w:bidi="ar-SA"/>
        </w:rPr>
        <w:t xml:space="preserve"> </w:t>
      </w:r>
      <w:r>
        <w:rPr>
          <w:szCs w:val="28"/>
        </w:rPr>
        <w:t>земель</w:t>
      </w:r>
      <w:r>
        <w:rPr>
          <w:rFonts w:eastAsia="Times New Roman" w:cs="Times New Roman"/>
          <w:color w:val="auto"/>
          <w:kern w:val="0"/>
          <w:sz w:val="28"/>
          <w:szCs w:val="28"/>
          <w:lang w:val="uk-UA" w:eastAsia="zh-CN" w:bidi="ar-SA"/>
        </w:rPr>
        <w:t xml:space="preserve"> </w:t>
      </w:r>
      <w:r>
        <w:rPr>
          <w:szCs w:val="28"/>
        </w:rPr>
        <w:t>від</w:t>
      </w:r>
      <w:r>
        <w:rPr>
          <w:rFonts w:eastAsia="Times New Roman" w:cs="Times New Roman"/>
          <w:color w:val="auto"/>
          <w:kern w:val="0"/>
          <w:sz w:val="28"/>
          <w:szCs w:val="28"/>
          <w:lang w:val="uk-UA" w:eastAsia="zh-CN" w:bidi="ar-SA"/>
        </w:rPr>
        <w:t> 25</w:t>
      </w:r>
      <w:r>
        <w:rPr>
          <w:szCs w:val="28"/>
        </w:rPr>
        <w:t>.04.2024</w:t>
      </w:r>
      <w:r>
        <w:rPr>
          <w:rFonts w:eastAsia="Times New Roman" w:cs="Times New Roman"/>
          <w:color w:val="auto"/>
          <w:kern w:val="0"/>
          <w:sz w:val="28"/>
          <w:szCs w:val="28"/>
          <w:lang w:val="uk-UA" w:eastAsia="zh-CN" w:bidi="ar-SA"/>
        </w:rPr>
        <w:t> </w:t>
      </w:r>
      <w:r>
        <w:rPr>
          <w:szCs w:val="28"/>
        </w:rPr>
        <w:t>№</w:t>
      </w:r>
      <w:r>
        <w:rPr>
          <w:rFonts w:eastAsia="Times New Roman" w:cs="Times New Roman"/>
          <w:color w:val="auto"/>
          <w:kern w:val="0"/>
          <w:sz w:val="28"/>
          <w:szCs w:val="28"/>
          <w:lang w:val="uk-UA" w:eastAsia="zh-CN" w:bidi="ar-SA"/>
        </w:rPr>
        <w:t> 929</w:t>
      </w:r>
      <w:r>
        <w:rPr>
          <w:szCs w:val="28"/>
        </w:rPr>
        <w:t xml:space="preserve">-П/2024, </w:t>
      </w:r>
      <w:r>
        <w:rPr>
          <w:rFonts w:eastAsia="Times New Roman" w:cs="Times New Roman"/>
          <w:b w:val="false"/>
          <w:bCs w:val="false"/>
          <w:i w:val="false"/>
          <w:caps w:val="false"/>
          <w:smallCaps w:val="false"/>
          <w:color w:val="000000"/>
          <w:spacing w:val="-6"/>
          <w:kern w:val="0"/>
          <w:sz w:val="28"/>
          <w:szCs w:val="28"/>
          <w:u w:val="none"/>
          <w:shd w:fill="FFFFFF" w:val="clear"/>
          <w:lang w:val="uk-UA" w:eastAsia="zh-CN" w:bidi="ar-SA"/>
        </w:rPr>
        <w:t>Схему планування території Маяківської сільської ради Луцького району Волинської області, затверджен</w:t>
      </w:r>
      <w:r>
        <w:rPr>
          <w:rFonts w:eastAsia="Times New Roman" w:cs="Times New Roman"/>
          <w:b w:val="false"/>
          <w:bCs w:val="false"/>
          <w:i w:val="false"/>
          <w:caps w:val="false"/>
          <w:smallCaps w:val="false"/>
          <w:color w:val="000000"/>
          <w:spacing w:val="-6"/>
          <w:kern w:val="0"/>
          <w:sz w:val="28"/>
          <w:szCs w:val="28"/>
          <w:u w:val="none"/>
          <w:shd w:fill="FFFFFF" w:val="clear"/>
          <w:lang w:val="uk-UA" w:eastAsia="zh-CN" w:bidi="ar-SA"/>
        </w:rPr>
        <w:t>у</w:t>
      </w:r>
      <w:r>
        <w:rPr>
          <w:rFonts w:eastAsia="Times New Roman" w:cs="Times New Roman"/>
          <w:b w:val="false"/>
          <w:bCs w:val="false"/>
          <w:i w:val="false"/>
          <w:caps w:val="false"/>
          <w:smallCaps w:val="false"/>
          <w:color w:val="000000"/>
          <w:spacing w:val="-6"/>
          <w:kern w:val="0"/>
          <w:sz w:val="28"/>
          <w:szCs w:val="28"/>
          <w:u w:val="none"/>
          <w:shd w:fill="FFFFFF" w:val="clear"/>
          <w:lang w:val="uk-UA" w:eastAsia="zh-CN" w:bidi="ar-SA"/>
        </w:rPr>
        <w:t xml:space="preserve"> рішенням Маяківської сільської ради від</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10.09.2010 № 20/4.13, бухгалтерську довідку комунального підприємства «Луцькводоканал» від </w:t>
      </w:r>
      <w:r>
        <w:rPr>
          <w:rFonts w:eastAsia="Times New Roman" w:cs="Times New Roman"/>
          <w:b w:val="false"/>
          <w:bCs w:val="false"/>
          <w:i w:val="false"/>
          <w:caps w:val="false"/>
          <w:smallCaps w:val="false"/>
          <w:color w:val="000000"/>
          <w:spacing w:val="-2"/>
          <w:kern w:val="0"/>
          <w:sz w:val="28"/>
          <w:szCs w:val="28"/>
          <w:u w:val="none"/>
          <w:shd w:fill="FFFFFF" w:val="clear"/>
          <w:lang w:val="en-US" w:eastAsia="zh-CN" w:bidi="ar-SA"/>
        </w:rPr>
        <w:t>17.06.</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2024 № </w:t>
      </w:r>
      <w:r>
        <w:rPr>
          <w:rFonts w:eastAsia="Times New Roman" w:cs="Times New Roman"/>
          <w:b w:val="false"/>
          <w:bCs w:val="false"/>
          <w:i w:val="false"/>
          <w:caps w:val="false"/>
          <w:smallCaps w:val="false"/>
          <w:color w:val="000000"/>
          <w:spacing w:val="-2"/>
          <w:kern w:val="0"/>
          <w:sz w:val="28"/>
          <w:szCs w:val="28"/>
          <w:u w:val="none"/>
          <w:shd w:fill="FFFFFF" w:val="clear"/>
          <w:lang w:val="en-US" w:eastAsia="zh-CN" w:bidi="ar-SA"/>
        </w:rPr>
        <w:t>1608</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/1-03 про перебування на балансі на правах господарського відання водонапірної башти з артсвердловиною № 5, технічний паспорт на інженерну споруду (водонапірна башта з артсвердловиною), рішення Луцької міської ради від 30.07.2021 № 15/86 «Про безоплатну передачу майна на баланс та в господарське відання КП «Луцькводоканал» від комунальних підприємств Луцької міської територіальної громади», Акт приймання-передачі основних засобів від УЖКГ с. Княгининок до КП «Луцькводоканал» від 01.08.2021, керуючись статтями 12, 92, 96, </w:t>
      </w:r>
      <w:r>
        <w:rPr>
          <w:rFonts w:eastAsia="Times New Roman" w:cs="Times New Roman"/>
          <w:b w:val="false"/>
          <w:bCs w:val="false"/>
          <w:i w:val="false"/>
          <w:caps w:val="false"/>
          <w:smallCaps w:val="false"/>
          <w:color w:val="000000"/>
          <w:spacing w:val="-2"/>
          <w:kern w:val="0"/>
          <w:sz w:val="28"/>
          <w:szCs w:val="28"/>
          <w:u w:val="none"/>
          <w:shd w:fill="FFFFFF" w:val="clear"/>
          <w:lang w:val="en-US" w:eastAsia="zh-CN" w:bidi="ar-SA"/>
        </w:rPr>
        <w:t xml:space="preserve">112, 113, </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122, 123, 125, 126 Земельного кодексу України, статтями 25, 50 Закону України «Про землеустрій», Законом України «Про регулювання містобудівної діяльності», статтями 1, 93 Водного кодексу України,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Законом України «Про забезпечення санітарного та епідеміологічного благополуччя населення», Законом України «Про питну воду та питне водопостачання», постановою Кабінету Міністрів України від 11.12.1998 № 2024 «Про правовий режим зон санітарної охорони водних обʼєктів», ДБН В. 2.5-74:2013 «Водопостачання. Зовнішні мережі та споруди», пунктом 107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постановою Верховної Ради України від 17.07.2020 № 807-ІХ «Про утворення та ліквідацію районів»,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розпорядженням Кабінету Міністрів України від 12.06.2020 № 708-р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Про визначення адміністративних центрів та затвердження територій територіальних громад Волинської області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 </w:t>
      </w:r>
      <w:r>
        <w:rPr>
          <w:rFonts w:eastAsia="Times New Roman" w:cs="Times New Roman"/>
          <w:b w:val="false"/>
          <w:bCs w:val="false"/>
          <w:i w:val="false"/>
          <w:caps w:val="false"/>
          <w:smallCaps w:val="false"/>
          <w:color w:val="000000"/>
          <w:spacing w:val="-6"/>
          <w:kern w:val="2"/>
          <w:sz w:val="28"/>
          <w:szCs w:val="28"/>
          <w:highlight w:val="white"/>
          <w:u w:val="non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 xml:space="preserve">,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статтею 26 та пунктом 6</w:t>
      </w:r>
      <w:r>
        <w:rPr>
          <w:rFonts w:eastAsia="Times New Roman" w:cs="Times New Roman"/>
          <w:b w:val="false"/>
          <w:bCs w:val="false"/>
          <w:i w:val="false"/>
          <w:caps w:val="false"/>
          <w:smallCaps w:val="false"/>
          <w:color w:val="000000"/>
          <w:spacing w:val="-2"/>
          <w:kern w:val="0"/>
          <w:sz w:val="28"/>
          <w:szCs w:val="28"/>
          <w:u w:val="none"/>
          <w:shd w:fill="FFFFFF" w:val="clear"/>
          <w:vertAlign w:val="superscript"/>
          <w:lang w:val="uk-UA" w:eastAsia="uk-UA" w:bidi="ar-SA"/>
        </w:rPr>
        <w:t>-1</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 розділу</w:t>
      </w:r>
      <w:r>
        <w:rPr>
          <w:rFonts w:eastAsia="Times New Roman" w:cs="Times New Roman"/>
          <w:b w:val="false"/>
          <w:bCs w:val="false"/>
          <w:i w:val="false"/>
          <w:caps w:val="false"/>
          <w:smallCaps w:val="false"/>
          <w:color w:val="000000"/>
          <w:spacing w:val="-2"/>
          <w:kern w:val="0"/>
          <w:sz w:val="28"/>
          <w:szCs w:val="28"/>
          <w:u w:val="none"/>
          <w:shd w:fill="FFFFFF" w:val="clear"/>
          <w:lang w:val="en-US" w:eastAsia="uk-UA" w:bidi="ar-SA"/>
        </w:rPr>
        <w:t xml:space="preserve"> V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Прикінцевих та перехідних положень Закону України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Про місцеве самоврядування в Україні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міська рада</w:t>
      </w:r>
      <w:r>
        <w:rPr>
          <w:szCs w:val="28"/>
        </w:rPr>
        <w:t xml:space="preserve"> </w:t>
      </w:r>
    </w:p>
    <w:p>
      <w:pPr>
        <w:pStyle w:val="Normal"/>
        <w:tabs>
          <w:tab w:val="clear" w:pos="708"/>
          <w:tab w:val="left" w:pos="993" w:leader="none"/>
        </w:tabs>
        <w:ind w:firstLine="567"/>
        <w:jc w:val="both"/>
        <w:rPr>
          <w:sz w:val="28"/>
          <w:szCs w:val="28"/>
        </w:rPr>
      </w:pPr>
      <w:r>
        <w:rPr>
          <w:sz w:val="28"/>
          <w:szCs w:val="28"/>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true"/>
        <w:bidi w:val="0"/>
        <w:spacing w:before="0" w:after="0"/>
        <w:ind w:left="0" w:right="0" w:firstLine="567"/>
        <w:jc w:val="both"/>
        <w:rPr/>
      </w:pPr>
      <w:r>
        <w:rPr>
          <w:szCs w:val="28"/>
        </w:rPr>
        <w:t xml:space="preserve">1. Надати </w:t>
      </w:r>
      <w:r>
        <w:rPr>
          <w:rFonts w:eastAsia="Times New Roman" w:cs="Times New Roman"/>
          <w:color w:val="auto"/>
          <w:kern w:val="0"/>
          <w:sz w:val="28"/>
          <w:szCs w:val="28"/>
          <w:lang w:val="uk-UA" w:eastAsia="zh-CN" w:bidi="ar-SA"/>
        </w:rPr>
        <w:t>комунальному підприємству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w:t>
      </w:r>
      <w:r>
        <w:rPr>
          <w:szCs w:val="28"/>
        </w:rPr>
        <w:t xml:space="preserve"> дозвіл на розроблення проєкту землеустрою щодо відведення земельної ділянки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 xml:space="preserve">води, збирання, очищення та розподілення води) (11.04) </w:t>
      </w:r>
      <w:r>
        <w:rPr>
          <w:rFonts w:eastAsia="Times New Roman" w:cs="Times New Roman"/>
          <w:color w:val="auto"/>
          <w:kern w:val="0"/>
          <w:sz w:val="28"/>
          <w:szCs w:val="28"/>
          <w:lang w:val="uk-UA" w:eastAsia="zh-CN" w:bidi="ar-SA"/>
        </w:rPr>
        <w:t>орієнтовною</w:t>
      </w:r>
      <w:r>
        <w:rPr>
          <w:szCs w:val="28"/>
        </w:rPr>
        <w:t xml:space="preserve"> площею </w:t>
      </w:r>
      <w:r>
        <w:rPr>
          <w:rFonts w:eastAsia="Times New Roman" w:cs="Times New Roman"/>
          <w:color w:val="auto"/>
          <w:kern w:val="0"/>
          <w:sz w:val="28"/>
          <w:szCs w:val="28"/>
          <w:lang w:val="en-US" w:eastAsia="zh-CN" w:bidi="ar-SA"/>
        </w:rPr>
        <w:t>0,17</w:t>
      </w:r>
      <w:r>
        <w:rPr>
          <w:rFonts w:eastAsia="Times New Roman" w:cs="Times New Roman"/>
          <w:sz w:val="28"/>
          <w:szCs w:val="28"/>
          <w:lang w:bidi="ar-SA"/>
        </w:rPr>
        <w:t> га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Милушин Луцького району Волинської області</w:t>
      </w:r>
      <w:r>
        <w:rPr>
          <w:rFonts w:eastAsia="Times New Roman" w:cs="Times New Roman"/>
          <w:sz w:val="28"/>
          <w:szCs w:val="28"/>
          <w:lang w:bidi="ar-SA"/>
        </w:rPr>
        <w:t xml:space="preserve">, </w:t>
      </w:r>
      <w:bookmarkStart w:id="0" w:name="_GoBack"/>
      <w:bookmarkEnd w:id="0"/>
      <w:r>
        <w:rPr>
          <w:rFonts w:eastAsia="Times New Roman" w:cs="Times New Roman"/>
          <w:sz w:val="28"/>
          <w:szCs w:val="28"/>
          <w:lang w:bidi="ar-SA"/>
        </w:rPr>
        <w:t>згідно з додатком.</w:t>
      </w:r>
    </w:p>
    <w:p>
      <w:pPr>
        <w:pStyle w:val="Normal"/>
        <w:widowControl/>
        <w:suppressAutoHyphens w:val="true"/>
        <w:overflowPunct w:val="true"/>
        <w:bidi w:val="0"/>
        <w:spacing w:before="0" w:after="0"/>
        <w:ind w:left="0" w:right="0" w:firstLine="567"/>
        <w:jc w:val="both"/>
        <w:rPr/>
      </w:pPr>
      <w:r>
        <w:rPr>
          <w:szCs w:val="28"/>
        </w:rPr>
        <w:t>Проєкт землеустрою щодо відведення земельної ділянки подати для розгляду та затвердження у встановленому порядку.</w:t>
      </w:r>
    </w:p>
    <w:p>
      <w:pPr>
        <w:pStyle w:val="Normal"/>
        <w:widowControl/>
        <w:tabs>
          <w:tab w:val="clear" w:pos="708"/>
          <w:tab w:val="left" w:pos="720" w:leader="none"/>
        </w:tabs>
        <w:suppressAutoHyphens w:val="true"/>
        <w:overflowPunct w:val="true"/>
        <w:bidi w:val="0"/>
        <w:spacing w:before="0" w:after="0"/>
        <w:ind w:left="0" w:right="0" w:firstLine="567"/>
        <w:jc w:val="both"/>
        <w:rPr>
          <w:szCs w:val="28"/>
        </w:rPr>
      </w:pPr>
      <w:r>
        <w:rPr>
          <w:szCs w:val="28"/>
        </w:rPr>
        <w:t>2. </w:t>
      </w:r>
      <w:r>
        <w:rPr>
          <w:spacing w:val="-4"/>
          <w:sz w:val="28"/>
          <w:szCs w:val="28"/>
        </w:rPr>
        <w:t>Контроль за виконанням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Cs w:val="28"/>
        </w:rPr>
        <w:t>.</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71"/>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customStyle="1">
    <w:name w:val="Заголовок"/>
    <w:basedOn w:val="Normal"/>
    <w:next w:val="Style15"/>
    <w:qFormat/>
    <w:pPr>
      <w:keepNext w:val="true"/>
      <w:spacing w:before="240" w:after="120"/>
    </w:pPr>
    <w:rPr>
      <w:rFonts w:ascii="Arial" w:hAnsi="Arial" w:eastAsia="Arial Unicode MS" w:cs="Mangal"/>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ascii="Times New Roman" w:hAnsi="Times New Roman" w:cs="Arial"/>
      <w:i/>
      <w:iCs/>
      <w:sz w:val="24"/>
      <w:szCs w:val="24"/>
    </w:rPr>
  </w:style>
  <w:style w:type="paragraph" w:styleId="Style18"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Style19">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ListParagraph">
    <w:name w:val="List Paragraph"/>
    <w:basedOn w:val="Normal"/>
    <w:uiPriority w:val="34"/>
    <w:qFormat/>
    <w:rsid w:val="00153ef9"/>
    <w:pPr>
      <w:spacing w:before="0" w:after="0"/>
      <w:ind w:left="720" w:hanging="0"/>
      <w:contextualSpacing/>
    </w:pPr>
    <w:rPr/>
  </w:style>
  <w:style w:type="paragraph" w:styleId="Style20">
    <w:name w:val="Цитата"/>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Style21">
    <w:name w:val="Текст выноски"/>
    <w:basedOn w:val="Normal"/>
    <w:qFormat/>
    <w:pPr/>
    <w:rPr>
      <w:rFonts w:ascii="Tahoma" w:hAnsi="Tahoma" w:cs="Tahoma"/>
      <w:sz w:val="16"/>
      <w:szCs w:val="16"/>
    </w:rPr>
  </w:style>
  <w:style w:type="paragraph" w:styleId="Style22">
    <w:name w:val="Указатель"/>
    <w:basedOn w:val="Normal"/>
    <w:qFormat/>
    <w:pPr/>
    <w:rPr>
      <w:rFonts w:cs="Mangal"/>
    </w:rPr>
  </w:style>
  <w:style w:type="paragraph" w:styleId="Style23">
    <w:name w:val="Название"/>
    <w:basedOn w:val="Normal"/>
    <w:qFormat/>
    <w:pPr>
      <w:spacing w:before="120" w:after="120"/>
    </w:pPr>
    <w:rPr>
      <w:rFonts w:cs="Mangal"/>
      <w:i/>
      <w:iCs/>
      <w:sz w:val="24"/>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373</TotalTime>
  <Application>LibreOffice/7.0.3.1$Windows_X86_64 LibreOffice_project/d7547858d014d4cf69878db179d326fc3483e082</Application>
  <Pages>2</Pages>
  <Words>535</Words>
  <Characters>3657</Characters>
  <CharactersWithSpaces>4358</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2024-07-02T16:29:11Z</cp:lastPrinted>
  <dcterms:modified xsi:type="dcterms:W3CDTF">2024-07-02T16:29:42Z</dcterms:modified>
  <cp:revision>119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