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header1.xml" ContentType="application/vnd.openxmlformats-officedocument.wordprocessingml.header+xml"/>
  <Override PartName="/word/media/image1.wmf" ContentType="image/x-wmf"/>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16"/>
          <w:szCs w:val="16"/>
          <w:lang w:val="en-US"/>
        </w:rPr>
      </w:pPr>
      <w:r>
        <w:rPr/>
        <mc:AlternateContent>
          <mc:Choice Requires="wps">
            <w:drawing>
              <wp:anchor behindDoc="0" distT="0" distB="0" distL="0" distR="0" simplePos="0" locked="0" layoutInCell="1" allowOverlap="1" relativeHeight="2" wp14:anchorId="438144EC">
                <wp:simplePos x="0" y="0"/>
                <wp:positionH relativeFrom="column">
                  <wp:posOffset>635</wp:posOffset>
                </wp:positionH>
                <wp:positionV relativeFrom="paragraph">
                  <wp:posOffset>635</wp:posOffset>
                </wp:positionV>
                <wp:extent cx="639445" cy="639445"/>
                <wp:effectExtent l="0" t="0" r="0" b="0"/>
                <wp:wrapNone/>
                <wp:docPr id="1" name="shapetype_ole_rId2"/>
                <a:graphic xmlns:a="http://schemas.openxmlformats.org/drawingml/2006/main">
                  <a:graphicData uri="http://schemas.microsoft.com/office/word/2010/wordprocessingShape">
                    <wps:wsp>
                      <wps:cNvSpPr/>
                      <wps:spPr>
                        <a:xfrm>
                          <a:off x="0" y="0"/>
                          <a:ext cx="639360" cy="639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3pt;height:50.3pt;mso-wrap-style:none;v-text-anchor:middle" wp14:anchorId="438144EC">
                <v:fill o:detectmouseclick="t" on="false"/>
                <v:stroke color="#3465a4" joinstyle="round" endcap="flat"/>
                <w10:wrap type="none"/>
              </v:rect>
            </w:pict>
          </mc:Fallback>
        </mc:AlternateContent>
        <mc:AlternateContent>
          <mc:Choice Requires="wps">
            <w:drawing>
              <wp:anchor behindDoc="0" distT="0" distB="0" distL="0" distR="0" simplePos="0" locked="0" layoutInCell="1" allowOverlap="1" relativeHeight="3" wp14:anchorId="4F77B897">
                <wp:simplePos x="0" y="0"/>
                <wp:positionH relativeFrom="column">
                  <wp:posOffset>635</wp:posOffset>
                </wp:positionH>
                <wp:positionV relativeFrom="paragraph">
                  <wp:posOffset>635</wp:posOffset>
                </wp:positionV>
                <wp:extent cx="637540" cy="637540"/>
                <wp:effectExtent l="0" t="0" r="0" b="0"/>
                <wp:wrapNone/>
                <wp:docPr id="2" name="shapetype_ole_rId2"/>
                <a:graphic xmlns:a="http://schemas.openxmlformats.org/drawingml/2006/main">
                  <a:graphicData uri="http://schemas.microsoft.com/office/word/2010/wordprocessingShape">
                    <wps:wsp>
                      <wps:cNvSpPr/>
                      <wps:spPr>
                        <a:xfrm>
                          <a:off x="0" y="0"/>
                          <a:ext cx="637560" cy="637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15pt;height:50.15pt;mso-wrap-style:none;v-text-anchor:middle" wp14:anchorId="4F77B897">
                <v:fill o:detectmouseclick="t" on="false"/>
                <v:stroke color="#3465a4" joinstyle="round" endcap="flat"/>
                <w10:wrap type="none"/>
              </v:rect>
            </w:pict>
          </mc:Fallback>
        </mc:AlternateContent>
        <mc:AlternateContent>
          <mc:Choice Requires="wps">
            <w:drawing>
              <wp:anchor behindDoc="0" distT="0" distB="0" distL="635" distR="0" simplePos="0" locked="0" layoutInCell="1" allowOverlap="1" relativeHeight="4" wp14:anchorId="4D656CA9">
                <wp:simplePos x="0" y="0"/>
                <wp:positionH relativeFrom="column">
                  <wp:posOffset>635</wp:posOffset>
                </wp:positionH>
                <wp:positionV relativeFrom="paragraph">
                  <wp:posOffset>635</wp:posOffset>
                </wp:positionV>
                <wp:extent cx="635000" cy="635000"/>
                <wp:effectExtent l="635" t="0" r="0" b="0"/>
                <wp:wrapNone/>
                <wp:docPr id="3" name="_x0000_t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2" path="m0,0l-2147483645,0l-2147483645,-2147483646l0,-2147483646xe" stroked="f" o:allowincell="f" style="position:absolute;margin-left:0.05pt;margin-top:0.05pt;width:49.95pt;height:49.95pt;mso-wrap-style:none;v-text-anchor:middle" wp14:anchorId="4D656CA9">
                <v:fill o:detectmouseclick="t" on="false"/>
                <v:stroke color="#3465a4" joinstyle="round" endcap="flat"/>
                <w10:wrap type="none"/>
              </v:rect>
            </w:pict>
          </mc:Fallback>
        </mc:AlternateContent>
        <mc:AlternateContent>
          <mc:Choice Requires="wps">
            <w:drawing>
              <wp:anchor behindDoc="0" distT="0" distB="0" distL="635" distR="0" simplePos="0" locked="0" layoutInCell="1" allowOverlap="1" relativeHeight="5" wp14:anchorId="5BFFF478">
                <wp:simplePos x="0" y="0"/>
                <wp:positionH relativeFrom="column">
                  <wp:posOffset>635</wp:posOffset>
                </wp:positionH>
                <wp:positionV relativeFrom="paragraph">
                  <wp:posOffset>635</wp:posOffset>
                </wp:positionV>
                <wp:extent cx="635000" cy="635000"/>
                <wp:effectExtent l="635" t="0" r="0" b="0"/>
                <wp:wrapNone/>
                <wp:docPr id="4" name="_x0000_t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2" path="m0,0l-2147483645,0l-2147483645,-2147483646l0,-2147483646xe" stroked="f" o:allowincell="f" style="position:absolute;margin-left:0.05pt;margin-top:0.05pt;width:49.95pt;height:49.95pt;mso-wrap-style:none;v-text-anchor:middle" wp14:anchorId="5BFFF478">
                <v:fill o:detectmouseclick="t" on="false"/>
                <v:stroke color="#3465a4" joinstyle="round" endcap="flat"/>
                <w10:wrap type="none"/>
              </v:rect>
            </w:pict>
          </mc:Fallback>
        </mc:AlternateContent>
        <mc:AlternateContent>
          <mc:Choice Requires="wps">
            <w:drawing>
              <wp:anchor behindDoc="0" distT="0" distB="0" distL="0" distR="0" simplePos="0" locked="0" layoutInCell="1" allowOverlap="1" relativeHeight="6" wp14:anchorId="47F829C6">
                <wp:simplePos x="0" y="0"/>
                <wp:positionH relativeFrom="column">
                  <wp:posOffset>0</wp:posOffset>
                </wp:positionH>
                <wp:positionV relativeFrom="paragraph">
                  <wp:posOffset>635</wp:posOffset>
                </wp:positionV>
                <wp:extent cx="635000" cy="635000"/>
                <wp:effectExtent l="0" t="0" r="0" b="0"/>
                <wp:wrapNone/>
                <wp:docPr id="5" name="_x0000_tole_rId2" hidden="1"/>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2" path="m0,0l-2147483645,0l-2147483645,-2147483646l0,-2147483646xe" stroked="f" o:allowincell="f" style="position:absolute;margin-left:0pt;margin-top:0.05pt;width:49.95pt;height:49.95pt;mso-wrap-style:none;v-text-anchor:middle" wp14:anchorId="47F829C6">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5pt;height:59.25pt;mso-wrap-distance-right:0pt" filled="t" fillcolor="#FFFFFF" o:ole="">
            <v:imagedata r:id="rId3" o:title=""/>
          </v:shape>
          <o:OLEObject Type="Embed" ProgID="PBrush" ShapeID="ole_rId2" DrawAspect="Content" ObjectID="_1963965386" r:id="rId2"/>
        </w:object>
      </w:r>
    </w:p>
    <w:p>
      <w:pPr>
        <w:pStyle w:val="Normal"/>
        <w:jc w:val="center"/>
        <w:rPr>
          <w:sz w:val="16"/>
          <w:szCs w:val="16"/>
          <w:lang w:val="uk-UA"/>
        </w:rPr>
      </w:pPr>
      <w:r>
        <w:rPr>
          <w:sz w:val="16"/>
          <w:szCs w:val="16"/>
          <w:lang w:val="uk-UA"/>
        </w:rPr>
      </w:r>
    </w:p>
    <w:p>
      <w:pPr>
        <w:pStyle w:val="Heading1"/>
        <w:numPr>
          <w:ilvl w:val="0"/>
          <w:numId w:val="2"/>
        </w:numPr>
        <w:rPr>
          <w:lang w:val="uk-UA"/>
        </w:rPr>
      </w:pPr>
      <w:r>
        <w:rPr>
          <w:sz w:val="28"/>
          <w:szCs w:val="28"/>
          <w:lang w:val="uk-UA"/>
        </w:rPr>
        <w:t>ЛУЦЬКА  МІСЬКА  РАДА</w:t>
      </w:r>
    </w:p>
    <w:p>
      <w:pPr>
        <w:pStyle w:val="Normal"/>
        <w:rPr>
          <w:sz w:val="20"/>
          <w:szCs w:val="20"/>
          <w:lang w:val="uk-UA"/>
        </w:rPr>
      </w:pPr>
      <w:r>
        <w:rPr>
          <w:sz w:val="20"/>
          <w:szCs w:val="20"/>
          <w:lang w:val="uk-UA"/>
        </w:rPr>
      </w:r>
    </w:p>
    <w:p>
      <w:pPr>
        <w:pStyle w:val="Heading2"/>
        <w:numPr>
          <w:ilvl w:val="1"/>
          <w:numId w:val="2"/>
        </w:numPr>
        <w:tabs>
          <w:tab w:val="clear" w:pos="708"/>
          <w:tab w:val="left" w:pos="4218" w:leader="none"/>
          <w:tab w:val="left" w:pos="4674" w:leader="none"/>
        </w:tabs>
        <w:spacing w:before="0" w:after="0"/>
        <w:jc w:val="center"/>
        <w:rPr>
          <w:lang w:val="uk-UA"/>
        </w:rPr>
      </w:pPr>
      <w:r>
        <w:rPr>
          <w:rFonts w:eastAsia="Times New Roman" w:cs="Times New Roman" w:ascii="Times New Roman" w:hAnsi="Times New Roman"/>
          <w:i w:val="false"/>
          <w:sz w:val="32"/>
          <w:szCs w:val="32"/>
          <w:lang w:val="uk-UA"/>
        </w:rPr>
        <w:t xml:space="preserve">  </w:t>
      </w:r>
      <w:r>
        <w:rPr>
          <w:rFonts w:cs="Times New Roman" w:ascii="Times New Roman" w:hAnsi="Times New Roman"/>
          <w:i w:val="false"/>
          <w:sz w:val="32"/>
          <w:szCs w:val="32"/>
          <w:lang w:val="uk-UA"/>
        </w:rPr>
        <w:t>Р І Ш Е Н Н Я</w:t>
      </w:r>
    </w:p>
    <w:p>
      <w:pPr>
        <w:pStyle w:val="Normal"/>
        <w:jc w:val="center"/>
        <w:rPr>
          <w:b/>
          <w:sz w:val="24"/>
          <w:szCs w:val="21"/>
          <w:lang w:val="uk-UA"/>
        </w:rPr>
      </w:pPr>
      <w:r>
        <w:rPr>
          <w:b/>
          <w:sz w:val="24"/>
          <w:szCs w:val="21"/>
          <w:lang w:val="uk-UA"/>
        </w:rPr>
      </w:r>
    </w:p>
    <w:p>
      <w:pPr>
        <w:pStyle w:val="Normal"/>
        <w:jc w:val="center"/>
        <w:rPr>
          <w:b/>
          <w:sz w:val="40"/>
          <w:szCs w:val="40"/>
          <w:lang w:val="uk-UA"/>
        </w:rPr>
      </w:pPr>
      <w:r>
        <w:rPr>
          <w:b/>
          <w:sz w:val="40"/>
          <w:szCs w:val="40"/>
          <w:lang w:val="uk-UA"/>
        </w:rPr>
      </w:r>
    </w:p>
    <w:p>
      <w:pPr>
        <w:pStyle w:val="Normal"/>
        <w:tabs>
          <w:tab w:val="clear" w:pos="708"/>
          <w:tab w:val="left" w:pos="4687" w:leader="none"/>
        </w:tabs>
        <w:jc w:val="both"/>
        <w:rPr>
          <w:lang w:val="uk-UA"/>
        </w:rPr>
      </w:pPr>
      <w:r>
        <w:rPr>
          <w:sz w:val="24"/>
          <w:lang w:val="uk-UA"/>
        </w:rPr>
        <w:t>________________                                        Луцьк                                         №______________</w:t>
      </w:r>
    </w:p>
    <w:p>
      <w:pPr>
        <w:sectPr>
          <w:headerReference w:type="even" r:id="rId4"/>
          <w:headerReference w:type="default" r:id="rId5"/>
          <w:headerReference w:type="first" r:id="rId6"/>
          <w:type w:val="nextPage"/>
          <w:pgSz w:w="11906" w:h="16838"/>
          <w:pgMar w:left="1985" w:right="567" w:gutter="0" w:header="0" w:top="567" w:footer="0" w:bottom="1134"/>
          <w:pgNumType w:fmt="decimal"/>
          <w:formProt w:val="false"/>
          <w:titlePg/>
          <w:textDirection w:val="lrTb"/>
          <w:docGrid w:type="default" w:linePitch="381" w:charSpace="0"/>
        </w:sectPr>
      </w:pPr>
    </w:p>
    <w:p>
      <w:pPr>
        <w:pStyle w:val="Heading3"/>
        <w:numPr>
          <w:ilvl w:val="2"/>
          <w:numId w:val="2"/>
        </w:numPr>
        <w:spacing w:before="0" w:after="0"/>
        <w:rPr>
          <w:rFonts w:ascii="Times New Roman" w:hAnsi="Times New Roman" w:cs="Times New Roman"/>
          <w:lang w:val="uk-UA"/>
        </w:rPr>
      </w:pPr>
      <w:r>
        <w:rPr>
          <w:rFonts w:cs="Times New Roman" w:ascii="Times New Roman" w:hAnsi="Times New Roman"/>
          <w:lang w:val="uk-UA"/>
        </w:rPr>
      </w:r>
    </w:p>
    <w:p>
      <w:pPr>
        <w:pStyle w:val="Normal"/>
        <w:ind w:hanging="0" w:right="5243"/>
        <w:jc w:val="both"/>
        <w:rPr>
          <w:lang w:val="uk-UA"/>
        </w:rPr>
      </w:pPr>
      <w:r>
        <w:rPr>
          <w:rFonts w:eastAsia="Times New Roman" w:cs="Times New Roman"/>
          <w:color w:val="000000"/>
          <w:lang w:val="uk-UA"/>
        </w:rPr>
        <w:t xml:space="preserve">Про внесення змін до рішень Луцької міської ради від 23.12.2020 № 2/1 “Про Регламент Луцької міської ради VIII скликання”  та </w:t>
      </w:r>
      <w:r>
        <w:rPr>
          <w:color w:val="000000"/>
          <w:szCs w:val="28"/>
          <w:lang w:val="uk-UA"/>
        </w:rPr>
        <w:t xml:space="preserve"> від 23.12.2020 № 2/2 “</w:t>
      </w:r>
      <w:r>
        <w:rPr>
          <w:rFonts w:eastAsia="Times New Roman" w:cs="Times New Roman"/>
          <w:color w:val="000000"/>
          <w:lang w:val="uk-UA"/>
        </w:rPr>
        <w:t>Про затвердження Положення про постійні комісії Луцької міської ради</w:t>
      </w:r>
      <w:r>
        <w:rPr>
          <w:color w:val="000000"/>
          <w:szCs w:val="28"/>
          <w:lang w:val="uk-UA"/>
        </w:rPr>
        <w:t xml:space="preserve">” </w:t>
      </w:r>
    </w:p>
    <w:p>
      <w:pPr>
        <w:pStyle w:val="Normal"/>
        <w:ind w:hanging="0" w:left="851"/>
        <w:jc w:val="both"/>
        <w:rPr>
          <w:lang w:val="uk-UA"/>
        </w:rPr>
      </w:pPr>
      <w:r>
        <w:rPr>
          <w:rFonts w:eastAsia="Times New Roman" w:cs="Times New Roman"/>
          <w:szCs w:val="28"/>
          <w:lang w:val="uk-UA"/>
        </w:rPr>
        <w:t xml:space="preserve">                                                </w:t>
      </w:r>
    </w:p>
    <w:p>
      <w:pPr>
        <w:pStyle w:val="Normal"/>
        <w:ind w:hanging="0" w:left="851"/>
        <w:rPr>
          <w:rFonts w:cs="Times New Roman"/>
          <w:szCs w:val="28"/>
          <w:lang w:val="uk-UA"/>
        </w:rPr>
      </w:pPr>
      <w:r>
        <w:rPr>
          <w:rFonts w:cs="Times New Roman"/>
          <w:szCs w:val="28"/>
          <w:lang w:val="uk-UA"/>
        </w:rPr>
      </w:r>
    </w:p>
    <w:p>
      <w:pPr>
        <w:pStyle w:val="Normal"/>
        <w:ind w:firstLine="567"/>
        <w:jc w:val="both"/>
        <w:rPr>
          <w:lang w:val="uk-UA"/>
        </w:rPr>
      </w:pPr>
      <w:r>
        <w:rPr>
          <w:rFonts w:cs="Times New Roman"/>
          <w:color w:val="000000"/>
          <w:szCs w:val="28"/>
          <w:highlight w:val="white"/>
          <w:lang w:val="uk-UA"/>
        </w:rPr>
        <w:t>Керуючись ст. 26, 59 Закону України “Про місцеве самоврядування в Україні”,  </w:t>
      </w:r>
      <w:r>
        <w:rPr>
          <w:rFonts w:eastAsia="Times New Roman" w:cs="Times New Roman"/>
          <w:color w:val="000000"/>
          <w:szCs w:val="28"/>
          <w:highlight w:val="white"/>
          <w:lang w:val="uk-UA"/>
        </w:rPr>
        <w:t>Законами України “Про внесення змін до Закону України “Про місцеве самоврядування в Україні” щодо забезпечення прозорості місцевого самоврядування”</w:t>
      </w:r>
      <w:r>
        <w:rPr>
          <w:rFonts w:cs="Times New Roman"/>
          <w:color w:val="000000"/>
          <w:szCs w:val="28"/>
          <w:highlight w:val="white"/>
          <w:lang w:val="uk-UA"/>
        </w:rPr>
        <w:t xml:space="preserve">, </w:t>
      </w:r>
      <w:r>
        <w:rPr>
          <w:rFonts w:eastAsia="Times New Roman" w:cs="Times New Roman"/>
          <w:color w:val="000000"/>
          <w:szCs w:val="28"/>
          <w:highlight w:val="white"/>
          <w:lang w:val="uk-UA"/>
        </w:rPr>
        <w:t>“</w:t>
      </w:r>
      <w:r>
        <w:rPr>
          <w:rFonts w:eastAsia="Times New Roman" w:cs="Times New Roman"/>
          <w:color w:val="000000"/>
          <w:szCs w:val="28"/>
          <w:lang w:val="uk-UA"/>
        </w:rPr>
        <w:t xml:space="preserve">Про медіа”, “Про засади державної регуляторної політики у сфері господарської діяльності”, “Про запобігання корупції”, Методичними рекомендаціями щодо застосування окремих положень Закону України “Про запобігання корупції” стосовно запобігання та врегулювання конфлікту інтересів, дотримання обмежень щодо запобігання корупції, затвердженими рішенням Національного агентства з питань запобігання корупції від 12.01.2024 № 2, Статутом Луцької міської територіальної громади, міська рада  </w:t>
      </w:r>
    </w:p>
    <w:p>
      <w:pPr>
        <w:pStyle w:val="Normal"/>
        <w:jc w:val="both"/>
        <w:rPr>
          <w:rFonts w:cs="Times New Roman"/>
          <w:szCs w:val="28"/>
          <w:lang w:val="uk-UA"/>
        </w:rPr>
      </w:pPr>
      <w:r>
        <w:rPr>
          <w:rFonts w:cs="Times New Roman"/>
          <w:szCs w:val="28"/>
          <w:lang w:val="uk-UA"/>
        </w:rPr>
      </w:r>
    </w:p>
    <w:p>
      <w:pPr>
        <w:pStyle w:val="Normal"/>
        <w:rPr>
          <w:lang w:val="uk-UA"/>
        </w:rPr>
      </w:pPr>
      <w:r>
        <w:rPr>
          <w:rFonts w:cs="Times New Roman"/>
          <w:szCs w:val="28"/>
          <w:lang w:val="uk-UA"/>
        </w:rPr>
        <w:t>ВИРІШИЛА:</w:t>
      </w:r>
    </w:p>
    <w:p>
      <w:pPr>
        <w:pStyle w:val="Normal"/>
        <w:rPr>
          <w:lang w:val="uk-UA"/>
        </w:rPr>
      </w:pPr>
      <w:r>
        <w:rPr>
          <w:lang w:val="uk-UA"/>
        </w:rPr>
      </w:r>
    </w:p>
    <w:p>
      <w:pPr>
        <w:pStyle w:val="Normal"/>
        <w:ind w:firstLine="567"/>
        <w:jc w:val="both"/>
        <w:rPr>
          <w:lang w:val="uk-UA"/>
        </w:rPr>
      </w:pPr>
      <w:r>
        <w:rPr>
          <w:rFonts w:eastAsia="Times New Roman" w:cs="Times New Roman"/>
          <w:color w:val="000000"/>
          <w:szCs w:val="28"/>
          <w:highlight w:val="white"/>
          <w:lang w:val="uk-UA"/>
        </w:rPr>
        <w:t>1. Внести в додаток до рішення Луцької міської ради від 23.12.2020 № 2/1 “Про Регламент Луцької міської ради VIII скликання” (зі змінами, внесеними рішеннями міської ради від 30.07.2021 № 15/2, 30.03.2022 № 30/1, 26.04.2023 № 44/68) такі зміни:</w:t>
      </w:r>
    </w:p>
    <w:p>
      <w:pPr>
        <w:pStyle w:val="Normal"/>
        <w:ind w:firstLine="567"/>
        <w:jc w:val="both"/>
        <w:rPr>
          <w:rFonts w:eastAsia="Times New Roman" w:cs="Times New Roman"/>
          <w:color w:val="000000"/>
          <w:szCs w:val="28"/>
          <w:highlight w:val="white"/>
          <w:lang w:val="uk-UA"/>
        </w:rPr>
      </w:pPr>
      <w:r>
        <w:rPr>
          <w:rFonts w:eastAsia="Times New Roman" w:cs="Times New Roman"/>
          <w:color w:val="000000"/>
          <w:szCs w:val="28"/>
          <w:highlight w:val="white"/>
          <w:lang w:val="uk-UA"/>
        </w:rPr>
      </w:r>
    </w:p>
    <w:p>
      <w:pPr>
        <w:pStyle w:val="Normal"/>
        <w:ind w:firstLine="567"/>
        <w:jc w:val="both"/>
        <w:rPr>
          <w:lang w:val="uk-UA"/>
        </w:rPr>
      </w:pPr>
      <w:r>
        <w:rPr>
          <w:rFonts w:eastAsia="Times New Roman" w:cs="Times New Roman"/>
          <w:color w:val="000000"/>
          <w:szCs w:val="28"/>
          <w:highlight w:val="white"/>
          <w:lang w:val="uk-UA"/>
        </w:rPr>
        <w:t>1.1. У тексті:</w:t>
      </w:r>
    </w:p>
    <w:p>
      <w:pPr>
        <w:pStyle w:val="Normal"/>
        <w:ind w:firstLine="567"/>
        <w:jc w:val="both"/>
        <w:rPr>
          <w:lang w:val="uk-UA"/>
        </w:rPr>
      </w:pPr>
      <w:r>
        <w:rPr>
          <w:rFonts w:eastAsia="Times New Roman" w:cs="Times New Roman"/>
          <w:color w:val="000000"/>
          <w:szCs w:val="28"/>
          <w:highlight w:val="white"/>
          <w:lang w:val="uk-UA"/>
        </w:rPr>
        <w:t>слова “засоби масової інформації” у відповідних відмінках замінити словами “медіа” у відповідних відмінках;</w:t>
      </w:r>
    </w:p>
    <w:p>
      <w:pPr>
        <w:pStyle w:val="Normal"/>
        <w:ind w:firstLine="567"/>
        <w:jc w:val="both"/>
        <w:rPr>
          <w:lang w:val="uk-UA"/>
        </w:rPr>
      </w:pPr>
      <w:r>
        <w:rPr>
          <w:rFonts w:eastAsia="Times New Roman" w:cs="Times New Roman"/>
          <w:color w:val="000000"/>
          <w:szCs w:val="28"/>
          <w:highlight w:val="white"/>
          <w:lang w:val="uk-UA"/>
        </w:rPr>
        <w:t>слова “на території міста”  замінити “на території громади”.</w:t>
      </w:r>
    </w:p>
    <w:p>
      <w:pPr>
        <w:pStyle w:val="Normal"/>
        <w:ind w:firstLine="567"/>
        <w:jc w:val="both"/>
        <w:rPr>
          <w:rFonts w:eastAsia="Times New Roman" w:cs="Times New Roman"/>
          <w:color w:val="000000"/>
          <w:szCs w:val="28"/>
          <w:highlight w:val="white"/>
          <w:lang w:val="uk-UA"/>
        </w:rPr>
      </w:pPr>
      <w:r>
        <w:rPr>
          <w:rFonts w:eastAsia="Times New Roman" w:cs="Times New Roman"/>
          <w:color w:val="000000"/>
          <w:szCs w:val="28"/>
          <w:highlight w:val="white"/>
          <w:lang w:val="uk-UA"/>
        </w:rPr>
      </w:r>
    </w:p>
    <w:p>
      <w:pPr>
        <w:pStyle w:val="Normal"/>
        <w:ind w:firstLine="567"/>
        <w:jc w:val="both"/>
        <w:rPr>
          <w:lang w:val="uk-UA"/>
        </w:rPr>
      </w:pPr>
      <w:r>
        <w:rPr>
          <w:lang w:val="uk-UA"/>
        </w:rPr>
        <w:t>1.2. У статті 1:</w:t>
      </w:r>
    </w:p>
    <w:p>
      <w:pPr>
        <w:pStyle w:val="Normal"/>
        <w:ind w:firstLine="567"/>
        <w:jc w:val="both"/>
        <w:rPr>
          <w:lang w:val="uk-UA"/>
        </w:rPr>
      </w:pPr>
      <w:r>
        <w:rPr>
          <w:lang w:val="uk-UA"/>
        </w:rPr>
        <w:t>в абзаці першому пункту 1 слова “Статутом територіальної громади міста Луцька” замінити словами “Статутом Луцької міської територіальної громади”;</w:t>
      </w:r>
    </w:p>
    <w:p>
      <w:pPr>
        <w:pStyle w:val="Normal"/>
        <w:ind w:firstLine="567"/>
        <w:jc w:val="both"/>
        <w:rPr>
          <w:lang w:val="uk-UA"/>
        </w:rPr>
      </w:pPr>
      <w:r>
        <w:rPr>
          <w:lang w:val="uk-UA"/>
        </w:rPr>
        <w:t>пункт 2</w:t>
      </w:r>
      <w:r>
        <w:rPr>
          <w:rFonts w:eastAsia="Times New Roman" w:cs="Times New Roman"/>
          <w:color w:val="000000"/>
          <w:szCs w:val="28"/>
          <w:highlight w:val="white"/>
          <w:lang w:val="uk-UA"/>
        </w:rPr>
        <w:t xml:space="preserve"> викласти у такій редакції: “Регламент Ради (надалі - Регламент) з урахуванням вимог Конституції України, законів України “Про місцеве самоврядування в Україні”, “Про статус депутатів місцевих рад”, “Про засади державної регуляторної політики у сфері господарської діяльності” та інших законів встановлює порядок проведення першої сесії Ради, порядок затвердження заступників міського голови, затвердження старост старостинських округів, обрання Cекретаря Ради, скликання чергової та позачергової сесій Ради, призначення пленарних засідань Ради, підготовки і розгляду питань на пленарних засіданнях Ради, прийняття рішень Ради про затвердження порядку денного сесії та з інших процедурних питань, а також порядок роботи сесії Ради.”.</w:t>
      </w:r>
    </w:p>
    <w:p>
      <w:pPr>
        <w:pStyle w:val="Normal"/>
        <w:ind w:firstLine="567"/>
        <w:jc w:val="both"/>
        <w:rPr>
          <w:rFonts w:eastAsia="Times New Roman" w:cs="Times New Roman"/>
          <w:color w:val="000000"/>
          <w:szCs w:val="28"/>
          <w:highlight w:val="white"/>
          <w:lang w:val="uk-UA"/>
        </w:rPr>
      </w:pPr>
      <w:r>
        <w:rPr>
          <w:rFonts w:eastAsia="Times New Roman" w:cs="Times New Roman"/>
          <w:color w:val="000000"/>
          <w:szCs w:val="28"/>
          <w:highlight w:val="white"/>
          <w:lang w:val="uk-UA"/>
        </w:rPr>
      </w:r>
    </w:p>
    <w:p>
      <w:pPr>
        <w:pStyle w:val="Normal"/>
        <w:ind w:firstLine="567"/>
        <w:jc w:val="both"/>
        <w:rPr/>
      </w:pPr>
      <w:r>
        <w:rPr>
          <w:rFonts w:eastAsia="Times New Roman" w:cs="Times New Roman"/>
          <w:color w:val="000000"/>
          <w:szCs w:val="28"/>
          <w:highlight w:val="white"/>
          <w:lang w:val="uk-UA"/>
        </w:rPr>
        <w:t xml:space="preserve">1.3. Пункт 3 статті 2 доповнити реченням такого змісту: </w:t>
      </w:r>
      <w:r>
        <w:rPr>
          <w:rStyle w:val="Strong"/>
          <w:rFonts w:eastAsia="Times New Roman" w:cs="Times New Roman"/>
          <w:b w:val="false"/>
          <w:bCs w:val="false"/>
          <w:color w:val="000000"/>
          <w:szCs w:val="28"/>
          <w:highlight w:val="white"/>
          <w:lang w:val="uk-UA"/>
        </w:rPr>
        <w:t>“</w:t>
      </w:r>
      <w:r>
        <w:rPr>
          <w:rFonts w:eastAsia="Times New Roman" w:cs="Times New Roman"/>
          <w:color w:val="000000"/>
          <w:szCs w:val="28"/>
          <w:highlight w:val="white"/>
          <w:lang w:val="uk-UA"/>
        </w:rPr>
        <w:t>Під час сесії Ради депутати, посадові особи місцевого самоврядування, інші доповідачі зобов’язані використовувати державну мову відповідно до вимог Закону України “Про забезпечення функціонування української мови як державної”.”.</w:t>
      </w:r>
    </w:p>
    <w:p>
      <w:pPr>
        <w:pStyle w:val="Normal"/>
        <w:ind w:firstLine="567"/>
        <w:jc w:val="both"/>
        <w:rPr>
          <w:rFonts w:eastAsia="Times New Roman" w:cs="Times New Roman"/>
          <w:color w:val="000000"/>
          <w:szCs w:val="28"/>
          <w:highlight w:val="white"/>
          <w:lang w:val="uk-UA"/>
        </w:rPr>
      </w:pPr>
      <w:r>
        <w:rPr>
          <w:rFonts w:eastAsia="Times New Roman" w:cs="Times New Roman"/>
          <w:color w:val="000000"/>
          <w:szCs w:val="28"/>
          <w:highlight w:val="white"/>
          <w:lang w:val="uk-UA"/>
        </w:rPr>
      </w:r>
    </w:p>
    <w:p>
      <w:pPr>
        <w:pStyle w:val="Normal"/>
        <w:ind w:firstLine="567"/>
        <w:jc w:val="both"/>
        <w:rPr>
          <w:lang w:val="uk-UA"/>
        </w:rPr>
      </w:pPr>
      <w:r>
        <w:rPr>
          <w:rFonts w:eastAsia="Times New Roman" w:cs="Times New Roman"/>
          <w:color w:val="000000"/>
          <w:szCs w:val="28"/>
          <w:highlight w:val="white"/>
          <w:lang w:val="uk-UA"/>
        </w:rPr>
        <w:t>1.4. У статті 3:</w:t>
      </w:r>
    </w:p>
    <w:p>
      <w:pPr>
        <w:pStyle w:val="Normal"/>
        <w:ind w:firstLine="567"/>
        <w:jc w:val="both"/>
        <w:rPr>
          <w:lang w:val="uk-UA"/>
        </w:rPr>
      </w:pPr>
      <w:r>
        <w:rPr>
          <w:rFonts w:eastAsia="Times New Roman" w:cs="Times New Roman"/>
          <w:color w:val="000000"/>
          <w:szCs w:val="28"/>
          <w:highlight w:val="white"/>
          <w:lang w:val="uk-UA"/>
        </w:rPr>
        <w:t>пункт 7 доповнити реченням такого змісту: “Проєкти порядку денного засідань постійної комісії ради, висновки і рекомендації постійної комісії, протоколи її засідань є відкритими та оприлюднюються і надаються на запит відповідно до Закону України “Про доступ до публічної інформації”.”;</w:t>
      </w:r>
    </w:p>
    <w:p>
      <w:pPr>
        <w:pStyle w:val="Normal"/>
        <w:ind w:firstLine="567"/>
        <w:jc w:val="both"/>
        <w:rPr>
          <w:lang w:val="uk-UA"/>
        </w:rPr>
      </w:pPr>
      <w:r>
        <w:rPr>
          <w:rFonts w:eastAsia="Times New Roman" w:cs="Times New Roman"/>
          <w:color w:val="000000"/>
          <w:szCs w:val="28"/>
          <w:highlight w:val="white"/>
          <w:lang w:val="uk-UA"/>
        </w:rPr>
        <w:t xml:space="preserve">пункт 10 викласти у такій редакції: </w:t>
      </w:r>
    </w:p>
    <w:p>
      <w:pPr>
        <w:pStyle w:val="Normal"/>
        <w:ind w:firstLine="567"/>
        <w:jc w:val="both"/>
        <w:rPr>
          <w:lang w:val="uk-UA"/>
        </w:rPr>
      </w:pPr>
      <w:r>
        <w:rPr>
          <w:rFonts w:eastAsia="Times New Roman" w:cs="Times New Roman"/>
          <w:color w:val="000000"/>
          <w:szCs w:val="28"/>
          <w:highlight w:val="white"/>
          <w:lang w:val="uk-UA"/>
        </w:rPr>
        <w:t>“</w:t>
      </w:r>
      <w:r>
        <w:rPr>
          <w:rFonts w:eastAsia="Times New Roman" w:cs="Times New Roman"/>
          <w:color w:val="000000"/>
          <w:szCs w:val="28"/>
          <w:highlight w:val="white"/>
          <w:lang w:val="uk-UA"/>
        </w:rPr>
        <w:t>10. Гласність засідань Ради забезпечується шляхом проведення у залі засідань відео- та звукозапису із застосуванням стаціонарної апаратури, а також, за рішенням Ради, транслювання засідань через аудіовізуальні медіа,  гучномовці за межі будинку Ради. Пленарне засідання Ради транслюється в мережі Інтернет на офіційному сайті Луцької міської ради (www.lutskrada.gov.ua) у режимі реального часу, крім випадків розгляду питань, що містять інформацію з обмеженим доступом відповідно до Закону України “Про доступ до публічної інформації”. Пленарне засідання Ради підлягає відеофіксації з подальшим зберіганням відеозапису засідання не менше п’яти років. Відеозапис пленарного засідання ради оприлюднюється в частині, що транслюється відповідно до вимог законодавства, невідкладно після закінчення засідання, але не пізніше наступного дня після проведення засідання, на офіційному веб-сайті Ради чи в інший спосіб із забезпеченням відкритого доступу до відеозапису. Всі рішення Ради підлягають обов’язковому оприлюдненню шляхом розміщення на офіційному сайті Луцької міської ради”.</w:t>
      </w:r>
    </w:p>
    <w:p>
      <w:pPr>
        <w:pStyle w:val="Normal"/>
        <w:ind w:firstLine="567"/>
        <w:jc w:val="both"/>
        <w:rPr>
          <w:rFonts w:eastAsia="Times New Roman" w:cs="Times New Roman"/>
          <w:color w:val="000000"/>
          <w:szCs w:val="28"/>
          <w:highlight w:val="white"/>
          <w:lang w:val="uk-UA"/>
        </w:rPr>
      </w:pPr>
      <w:r>
        <w:rPr>
          <w:rFonts w:eastAsia="Times New Roman" w:cs="Times New Roman"/>
          <w:color w:val="000000"/>
          <w:szCs w:val="28"/>
          <w:highlight w:val="white"/>
          <w:lang w:val="uk-UA"/>
        </w:rPr>
      </w:r>
    </w:p>
    <w:p>
      <w:pPr>
        <w:pStyle w:val="Normal"/>
        <w:ind w:firstLine="567"/>
        <w:jc w:val="both"/>
        <w:rPr>
          <w:lang w:val="uk-UA"/>
        </w:rPr>
      </w:pPr>
      <w:r>
        <w:rPr>
          <w:rFonts w:eastAsia="Times New Roman" w:cs="Times New Roman"/>
          <w:color w:val="000000"/>
          <w:szCs w:val="28"/>
          <w:highlight w:val="white"/>
          <w:lang w:val="uk-UA"/>
        </w:rPr>
        <w:t>1.5. Пункт 3 статті 11 доповнити новим абзацом такого змісту: “Депутати міської ради мають право на депутатські звернення до органів державної влади, органів місцевого самоврядування, їх посадових осіб, керівників підприємств, установ і організацій лише з питань, пов’язаних із їхньою депутатською діяльністю”.</w:t>
      </w:r>
    </w:p>
    <w:p>
      <w:pPr>
        <w:pStyle w:val="Normal"/>
        <w:ind w:firstLine="567"/>
        <w:jc w:val="both"/>
        <w:rPr>
          <w:rFonts w:eastAsia="Times New Roman" w:cs="Times New Roman"/>
          <w:color w:val="000000"/>
          <w:szCs w:val="28"/>
          <w:highlight w:val="white"/>
          <w:lang w:val="uk-UA"/>
        </w:rPr>
      </w:pPr>
      <w:r>
        <w:rPr>
          <w:rFonts w:eastAsia="Times New Roman" w:cs="Times New Roman"/>
          <w:color w:val="000000"/>
          <w:szCs w:val="28"/>
          <w:highlight w:val="white"/>
          <w:lang w:val="uk-UA"/>
        </w:rPr>
      </w:r>
    </w:p>
    <w:p>
      <w:pPr>
        <w:pStyle w:val="Normal"/>
        <w:ind w:firstLine="567"/>
        <w:jc w:val="both"/>
        <w:rPr>
          <w:lang w:val="uk-UA"/>
        </w:rPr>
      </w:pPr>
      <w:r>
        <w:rPr>
          <w:rFonts w:eastAsia="Times New Roman" w:cs="Times New Roman"/>
          <w:color w:val="000000"/>
          <w:szCs w:val="28"/>
          <w:highlight w:val="white"/>
          <w:lang w:val="uk-UA"/>
        </w:rPr>
        <w:t>1.6. Підпункт 4.10 пункту 4 статті 16 викласти у такій редакції:</w:t>
      </w:r>
    </w:p>
    <w:p>
      <w:pPr>
        <w:pStyle w:val="Normal"/>
        <w:ind w:firstLine="567"/>
        <w:jc w:val="both"/>
        <w:rPr>
          <w:lang w:val="uk-UA"/>
        </w:rPr>
      </w:pPr>
      <w:r>
        <w:rPr>
          <w:rFonts w:eastAsia="Times New Roman" w:cs="Times New Roman"/>
          <w:color w:val="000000"/>
          <w:szCs w:val="28"/>
          <w:highlight w:val="white"/>
          <w:lang w:val="uk-UA"/>
        </w:rPr>
        <w:t>“</w:t>
      </w:r>
      <w:r>
        <w:rPr>
          <w:rFonts w:eastAsia="Times New Roman" w:cs="Times New Roman"/>
          <w:color w:val="000000"/>
          <w:kern w:val="0"/>
          <w:szCs w:val="28"/>
          <w:highlight w:val="white"/>
          <w:lang w:val="uk-UA" w:bidi="ar-SA"/>
        </w:rPr>
        <w:t>4.10. Забезпечує зберігання у відділі секретаріату  Ради офіційних документів, пов’язаних з місцевим самов</w:t>
      </w:r>
      <w:r>
        <w:rPr>
          <w:rFonts w:eastAsia="Times New Roman" w:cs="Times New Roman"/>
          <w:color w:val="000000"/>
          <w:kern w:val="0"/>
          <w:szCs w:val="28"/>
          <w:lang w:val="uk-UA" w:bidi="ar-SA"/>
        </w:rPr>
        <w:t>рядуванням Луцької міської територіальної громади, забезпечує доступ до них осіб, яким це право надано у встановл</w:t>
      </w:r>
      <w:r>
        <w:rPr>
          <w:rFonts w:eastAsia="Times New Roman" w:cs="Times New Roman"/>
          <w:color w:val="000000"/>
          <w:kern w:val="0"/>
          <w:szCs w:val="28"/>
          <w:highlight w:val="white"/>
          <w:lang w:val="uk-UA" w:bidi="ar-SA"/>
        </w:rPr>
        <w:t>еному порядку;”.</w:t>
      </w:r>
    </w:p>
    <w:p>
      <w:pPr>
        <w:pStyle w:val="Normal"/>
        <w:ind w:firstLine="567"/>
        <w:jc w:val="both"/>
        <w:rPr>
          <w:rFonts w:eastAsia="Times New Roman" w:cs="Times New Roman"/>
          <w:color w:val="000000"/>
          <w:kern w:val="0"/>
          <w:szCs w:val="28"/>
          <w:highlight w:val="white"/>
          <w:lang w:bidi="ar-SA"/>
        </w:rPr>
      </w:pPr>
      <w:r>
        <w:rPr>
          <w:rFonts w:eastAsia="Times New Roman" w:cs="Times New Roman"/>
          <w:color w:val="000000"/>
          <w:kern w:val="0"/>
          <w:szCs w:val="28"/>
          <w:highlight w:val="white"/>
          <w:lang w:bidi="ar-SA"/>
        </w:rPr>
      </w:r>
    </w:p>
    <w:p>
      <w:pPr>
        <w:pStyle w:val="Normal"/>
        <w:ind w:firstLine="567"/>
        <w:jc w:val="both"/>
        <w:rPr>
          <w:lang w:val="uk-UA"/>
        </w:rPr>
      </w:pPr>
      <w:r>
        <w:rPr>
          <w:rFonts w:eastAsia="Times New Roman" w:cs="Times New Roman"/>
          <w:color w:val="000000"/>
          <w:kern w:val="0"/>
          <w:szCs w:val="28"/>
          <w:highlight w:val="white"/>
          <w:lang w:val="uk-UA" w:bidi="ar-SA"/>
        </w:rPr>
        <w:t>1.7. Пункт 9 статті 17 доповнити новим абзацом такого змісту: “</w:t>
      </w:r>
      <w:r>
        <w:rPr>
          <w:rStyle w:val="Strong"/>
          <w:b w:val="false"/>
          <w:bCs w:val="false"/>
          <w:highlight w:val="white"/>
          <w:lang w:val="uk-UA"/>
        </w:rPr>
        <w:t>Засідання постійної комісії транслюється в мережі Інтернет у режимі реального часу та підлягає відеофіксації з подальшим зберіганням та оприлюдненням відеозапису засідання на умовах і в порядку, визначених статтею 3 Регламенту.”.</w:t>
      </w:r>
    </w:p>
    <w:p>
      <w:pPr>
        <w:pStyle w:val="Normal"/>
        <w:ind w:firstLine="567"/>
        <w:jc w:val="both"/>
        <w:rPr>
          <w:rFonts w:eastAsia="Times New Roman" w:cs="Times New Roman"/>
          <w:color w:val="000000"/>
          <w:szCs w:val="28"/>
          <w:highlight w:val="white"/>
          <w:lang w:val="uk-UA"/>
        </w:rPr>
      </w:pPr>
      <w:r>
        <w:rPr>
          <w:rFonts w:eastAsia="Times New Roman" w:cs="Times New Roman"/>
          <w:color w:val="000000"/>
          <w:szCs w:val="28"/>
          <w:highlight w:val="white"/>
          <w:lang w:val="uk-UA"/>
        </w:rPr>
      </w:r>
    </w:p>
    <w:p>
      <w:pPr>
        <w:pStyle w:val="Normal"/>
        <w:ind w:firstLine="567"/>
        <w:jc w:val="both"/>
        <w:rPr>
          <w:lang w:val="uk-UA"/>
        </w:rPr>
      </w:pPr>
      <w:r>
        <w:rPr>
          <w:rFonts w:eastAsia="Times New Roman" w:cs="Times New Roman"/>
          <w:color w:val="000000"/>
          <w:szCs w:val="28"/>
          <w:highlight w:val="white"/>
          <w:lang w:val="uk-UA"/>
        </w:rPr>
        <w:t>1.8. У статті 23:</w:t>
      </w:r>
    </w:p>
    <w:p>
      <w:pPr>
        <w:pStyle w:val="Normal"/>
        <w:ind w:firstLine="567"/>
        <w:jc w:val="both"/>
        <w:rPr>
          <w:lang w:val="uk-UA"/>
        </w:rPr>
      </w:pPr>
      <w:r>
        <w:rPr>
          <w:rFonts w:eastAsia="Times New Roman" w:cs="Times New Roman"/>
          <w:color w:val="000000"/>
          <w:szCs w:val="28"/>
          <w:highlight w:val="white"/>
          <w:lang w:val="uk-UA"/>
        </w:rPr>
        <w:t>пункт 4 доповнити реченням такого змісту: “Кандидатура старости вноситься за результатами громадського обговорення, проведеного у межах відповідного старостинського округу.”;</w:t>
      </w:r>
    </w:p>
    <w:p>
      <w:pPr>
        <w:pStyle w:val="Normal"/>
        <w:ind w:firstLine="567"/>
        <w:jc w:val="both"/>
        <w:rPr>
          <w:lang w:val="uk-UA"/>
        </w:rPr>
      </w:pPr>
      <w:r>
        <w:rPr>
          <w:rFonts w:eastAsia="Times New Roman" w:cs="Times New Roman"/>
          <w:color w:val="000000"/>
          <w:szCs w:val="28"/>
          <w:highlight w:val="white"/>
          <w:lang w:val="uk-UA"/>
        </w:rPr>
        <w:t>у пунктах 4 та 5 слово “,сіл” виключити;</w:t>
      </w:r>
    </w:p>
    <w:p>
      <w:pPr>
        <w:pStyle w:val="Normal"/>
        <w:ind w:firstLine="567"/>
        <w:jc w:val="both"/>
        <w:rPr>
          <w:lang w:val="uk-UA"/>
        </w:rPr>
      </w:pPr>
      <w:r>
        <w:rPr>
          <w:rFonts w:eastAsia="Times New Roman" w:cs="Times New Roman"/>
          <w:color w:val="000000"/>
          <w:szCs w:val="28"/>
          <w:highlight w:val="white"/>
          <w:lang w:val="uk-UA"/>
        </w:rPr>
        <w:t>пункт 7 доповнити реченням такого змісту: “Кандидатура старости відповідного старостинського округу, не підтримана Радою, не може бути повторно внесена для затвердження в цьому старостинському окрузі протягом поточного скликання Ради.”.</w:t>
      </w:r>
    </w:p>
    <w:p>
      <w:pPr>
        <w:pStyle w:val="Normal"/>
        <w:ind w:firstLine="567"/>
        <w:jc w:val="both"/>
        <w:rPr>
          <w:rFonts w:eastAsia="Times New Roman" w:cs="Times New Roman"/>
          <w:color w:val="000000"/>
          <w:szCs w:val="28"/>
          <w:highlight w:val="white"/>
          <w:lang w:val="uk-UA"/>
        </w:rPr>
      </w:pPr>
      <w:r>
        <w:rPr>
          <w:rFonts w:eastAsia="Times New Roman" w:cs="Times New Roman"/>
          <w:color w:val="000000"/>
          <w:szCs w:val="28"/>
          <w:highlight w:val="white"/>
          <w:lang w:val="uk-UA"/>
        </w:rPr>
      </w:r>
    </w:p>
    <w:p>
      <w:pPr>
        <w:pStyle w:val="Normal"/>
        <w:ind w:firstLine="567"/>
        <w:jc w:val="both"/>
        <w:rPr>
          <w:lang w:val="uk-UA"/>
        </w:rPr>
      </w:pPr>
      <w:r>
        <w:rPr>
          <w:rFonts w:eastAsia="Times New Roman" w:cs="Times New Roman"/>
          <w:color w:val="000000"/>
          <w:szCs w:val="28"/>
          <w:highlight w:val="white"/>
          <w:lang w:val="uk-UA"/>
        </w:rPr>
        <w:t>1.9. У абзаці другому статті 50 слова “(рішення міської ради від 28.05.2015 № 69/21 “Про затвердження Положення про департамент економічної політики Луцької міської ради” зі змінами)” замінити словами “(рішення міської ради від 23.06.2022 № 32/33 “Про затвердження Положення про департамент економічної політики Луцької міської ради” зі змінами)”.</w:t>
      </w:r>
    </w:p>
    <w:p>
      <w:pPr>
        <w:pStyle w:val="Normal"/>
        <w:ind w:firstLine="567"/>
        <w:jc w:val="both"/>
        <w:rPr>
          <w:rFonts w:eastAsia="Times New Roman" w:cs="Times New Roman"/>
          <w:color w:val="000000"/>
          <w:szCs w:val="28"/>
          <w:highlight w:val="white"/>
          <w:lang w:val="uk-UA"/>
        </w:rPr>
      </w:pPr>
      <w:r>
        <w:rPr>
          <w:rFonts w:eastAsia="Times New Roman" w:cs="Times New Roman"/>
          <w:color w:val="000000"/>
          <w:szCs w:val="28"/>
          <w:highlight w:val="white"/>
          <w:lang w:val="uk-UA"/>
        </w:rPr>
      </w:r>
    </w:p>
    <w:p>
      <w:pPr>
        <w:pStyle w:val="Normal"/>
        <w:ind w:firstLine="567"/>
        <w:jc w:val="both"/>
        <w:rPr>
          <w:lang w:val="uk-UA"/>
        </w:rPr>
      </w:pPr>
      <w:r>
        <w:rPr>
          <w:color w:val="000000"/>
          <w:szCs w:val="28"/>
          <w:highlight w:val="white"/>
          <w:lang w:val="uk-UA"/>
        </w:rPr>
        <w:t>1.1</w:t>
      </w:r>
      <w:r>
        <w:rPr>
          <w:color w:val="000000"/>
          <w:szCs w:val="28"/>
          <w:highlight w:val="white"/>
          <w:lang w:val="uk-UA"/>
        </w:rPr>
        <w:t>0</w:t>
      </w:r>
      <w:r>
        <w:rPr>
          <w:color w:val="000000"/>
          <w:szCs w:val="28"/>
          <w:highlight w:val="white"/>
          <w:lang w:val="uk-UA"/>
        </w:rPr>
        <w:t>. У статті 54:</w:t>
      </w:r>
    </w:p>
    <w:p>
      <w:pPr>
        <w:pStyle w:val="Normal"/>
        <w:ind w:firstLine="567"/>
        <w:jc w:val="both"/>
        <w:rPr>
          <w:lang w:val="uk-UA"/>
        </w:rPr>
      </w:pPr>
      <w:r>
        <w:rPr>
          <w:color w:val="000000"/>
          <w:szCs w:val="28"/>
          <w:highlight w:val="white"/>
          <w:lang w:val="uk-UA"/>
        </w:rPr>
        <w:t>у пункті 1 слова “міста” виключити;</w:t>
      </w:r>
    </w:p>
    <w:p>
      <w:pPr>
        <w:pStyle w:val="BodyText"/>
        <w:widowControl/>
        <w:spacing w:lineRule="auto" w:line="240" w:before="0" w:after="0"/>
        <w:ind w:firstLine="567"/>
        <w:jc w:val="both"/>
        <w:rPr>
          <w:lang w:val="uk-UA"/>
        </w:rPr>
      </w:pPr>
      <w:r>
        <w:rPr>
          <w:color w:val="000000"/>
          <w:szCs w:val="28"/>
          <w:lang w:val="uk-UA"/>
        </w:rPr>
        <w:t xml:space="preserve">пункт 6 викласти у такій редакції: </w:t>
      </w:r>
    </w:p>
    <w:p>
      <w:pPr>
        <w:pStyle w:val="BodyText"/>
        <w:widowControl/>
        <w:spacing w:lineRule="auto" w:line="240" w:before="0" w:after="0"/>
        <w:ind w:firstLine="567"/>
        <w:jc w:val="both"/>
        <w:rPr>
          <w:lang w:val="uk-UA"/>
        </w:rPr>
      </w:pPr>
      <w:r>
        <w:rPr>
          <w:rFonts w:eastAsia="Times New Roman" w:cs="Times New Roman"/>
          <w:color w:val="000000"/>
          <w:szCs w:val="28"/>
          <w:highlight w:val="white"/>
          <w:lang w:val="uk-UA"/>
        </w:rPr>
        <w:t>“</w:t>
      </w:r>
      <w:r>
        <w:rPr>
          <w:rFonts w:eastAsia="Times New Roman" w:cs="Times New Roman"/>
          <w:color w:val="000000"/>
          <w:szCs w:val="28"/>
          <w:highlight w:val="white"/>
          <w:lang w:val="uk-UA"/>
        </w:rPr>
        <w:t xml:space="preserve">6. Міський голова, Секретар Ради, депутат Ради, відповідно до чинного законодавства України, </w:t>
      </w:r>
      <w:r>
        <w:rPr>
          <w:color w:val="000000"/>
          <w:szCs w:val="28"/>
          <w:highlight w:val="white"/>
          <w:lang w:val="uk-UA"/>
        </w:rPr>
        <w:t>при виконанні своїх службових чи представницьких обов’язків та повноважень, зобов’язані запобігати та не допускати конфлікту інтересів,</w:t>
      </w:r>
      <w:r>
        <w:rPr>
          <w:rFonts w:eastAsia="Times New Roman" w:cs="Times New Roman"/>
          <w:color w:val="000000"/>
          <w:szCs w:val="28"/>
          <w:highlight w:val="white"/>
          <w:lang w:val="uk-UA"/>
        </w:rPr>
        <w:t xml:space="preserve"> зобов’язані вживати всі можливі заходи щодо врегулювання реального чи потенційного конфлікту інтересів. </w:t>
      </w:r>
    </w:p>
    <w:p>
      <w:pPr>
        <w:pStyle w:val="BodyText"/>
        <w:widowControl/>
        <w:spacing w:lineRule="auto" w:line="240" w:before="0" w:after="0"/>
        <w:ind w:firstLine="567"/>
        <w:jc w:val="both"/>
        <w:rPr>
          <w:lang w:val="uk-UA"/>
        </w:rPr>
      </w:pPr>
      <w:r>
        <w:rPr>
          <w:color w:val="000000"/>
          <w:szCs w:val="28"/>
          <w:lang w:val="uk-UA"/>
        </w:rPr>
        <w:t xml:space="preserve">У разі виникнення реального або потенційного конфлікту інтересів, міський голова, Секретар Ради, депутати Ради публічно повідомляють про конфлікт інтересів, який виник під час участі у засіданні Ради, іншого колегіального органу (комісії, комітету, колегії тощо), відповідному колегіальному органу та не беруть участі у розгляді, підготовці та прийнятті рішень відповідним колегіальним органом. Зазначеним особам забороняється: </w:t>
      </w:r>
    </w:p>
    <w:p>
      <w:pPr>
        <w:pStyle w:val="BodyText"/>
        <w:widowControl/>
        <w:spacing w:lineRule="auto" w:line="240" w:before="0" w:after="0"/>
        <w:ind w:firstLine="567"/>
        <w:jc w:val="both"/>
        <w:rPr>
          <w:lang w:val="uk-UA"/>
        </w:rPr>
      </w:pPr>
      <w:r>
        <w:rPr>
          <w:color w:val="000000"/>
          <w:szCs w:val="28"/>
          <w:lang w:val="uk-UA"/>
        </w:rPr>
        <w:t>1) брати участь у підготовці документів для прийняття рішення колегіальним органом із відповідного питання;</w:t>
      </w:r>
    </w:p>
    <w:p>
      <w:pPr>
        <w:pStyle w:val="BodyText"/>
        <w:widowControl/>
        <w:spacing w:lineRule="auto" w:line="240" w:before="0" w:after="0"/>
        <w:ind w:firstLine="567"/>
        <w:jc w:val="both"/>
        <w:rPr>
          <w:lang w:val="uk-UA"/>
        </w:rPr>
      </w:pPr>
      <w:r>
        <w:rPr>
          <w:color w:val="000000"/>
          <w:szCs w:val="28"/>
          <w:lang w:val="uk-UA"/>
        </w:rPr>
        <w:t>2) брати участь у розгляді відповідного питання;</w:t>
      </w:r>
    </w:p>
    <w:p>
      <w:pPr>
        <w:pStyle w:val="BodyText"/>
        <w:widowControl/>
        <w:spacing w:lineRule="auto" w:line="240" w:before="0" w:after="0"/>
        <w:ind w:firstLine="567"/>
        <w:jc w:val="both"/>
        <w:rPr>
          <w:lang w:val="uk-UA"/>
        </w:rPr>
      </w:pPr>
      <w:r>
        <w:rPr>
          <w:color w:val="000000"/>
          <w:szCs w:val="28"/>
          <w:lang w:val="uk-UA"/>
        </w:rPr>
        <w:t xml:space="preserve">3) голосувати з відповідного питання. </w:t>
      </w:r>
    </w:p>
    <w:p>
      <w:pPr>
        <w:pStyle w:val="BodyText"/>
        <w:widowControl/>
        <w:spacing w:lineRule="auto" w:line="240" w:before="0" w:after="0"/>
        <w:ind w:firstLine="624"/>
        <w:jc w:val="both"/>
        <w:rPr>
          <w:lang w:val="uk-UA"/>
        </w:rPr>
      </w:pPr>
      <w:r>
        <w:rPr>
          <w:color w:val="000000"/>
          <w:szCs w:val="28"/>
          <w:lang w:val="uk-UA"/>
        </w:rPr>
        <w:t xml:space="preserve">Повідомлення про конфлікт інтересів здійснюється під час засідання Ради, іншого колегіального органу до початку розгляду питання, у вирішенні якого є приватний інтерес. </w:t>
      </w:r>
    </w:p>
    <w:p>
      <w:pPr>
        <w:pStyle w:val="BodyText"/>
        <w:widowControl/>
        <w:spacing w:lineRule="auto" w:line="240" w:before="0" w:after="0"/>
        <w:ind w:firstLine="624"/>
        <w:jc w:val="both"/>
        <w:rPr>
          <w:lang w:val="uk-UA"/>
        </w:rPr>
      </w:pPr>
      <w:r>
        <w:rPr>
          <w:color w:val="000000"/>
          <w:szCs w:val="28"/>
          <w:lang w:val="uk-UA"/>
        </w:rPr>
        <w:t>Про наявність у Міського голови, Секретаря Ради, депутата Ради, що входить до складу колегіального органу, конфлікту інтересів може повідомити також будь-який інший член цього органу, або учасник засідання, якого безпосередньо стосується питання, що розглядається, про що вноситься відповідний запис до протоколу засідання відповідного колегіального органу.</w:t>
      </w:r>
    </w:p>
    <w:p>
      <w:pPr>
        <w:pStyle w:val="BodyText"/>
        <w:widowControl/>
        <w:spacing w:lineRule="auto" w:line="240" w:before="0" w:after="0"/>
        <w:ind w:firstLine="624"/>
        <w:jc w:val="both"/>
        <w:rPr>
          <w:lang w:val="uk-UA"/>
        </w:rPr>
      </w:pPr>
      <w:r>
        <w:rPr>
          <w:color w:val="000000"/>
          <w:szCs w:val="28"/>
          <w:lang w:val="uk-UA"/>
        </w:rPr>
        <w:t xml:space="preserve">Якщо неучасть зазначених осіб у прийнятті рішення призведе до втрати повноважності Ради, іншого колегіального органу, особи, у яких наявний конфлікт інтересів, беруть участь у прийнятті радою, іншим колегіальним органом рішення, за умови публічного самостійного повідомлення про конфлікт інтересів під час засідання колегіального органу. </w:t>
      </w:r>
    </w:p>
    <w:p>
      <w:pPr>
        <w:pStyle w:val="BodyText"/>
        <w:widowControl/>
        <w:spacing w:lineRule="auto" w:line="240" w:before="0" w:after="0"/>
        <w:ind w:firstLine="624"/>
        <w:jc w:val="both"/>
        <w:rPr>
          <w:lang w:val="uk-UA"/>
        </w:rPr>
      </w:pPr>
      <w:r>
        <w:rPr>
          <w:color w:val="000000"/>
          <w:szCs w:val="28"/>
          <w:lang w:val="uk-UA"/>
        </w:rPr>
        <w:t>Якщо повідомлення про конфлікт інтересів здійснено на засіданні Ради, іншого колегіального органу, інформація про таке повідомлення обов’язково вноситься до протоколу засідання ради, іншого колегіального органу. Особи, уповноважені на ведення протоколів колегіальних органів, зобов’язані протягом одного дня з часу оформлення протоколу надавати витяг з протоколу, в якому було зафіксовано заяву про конфлікт інтересів, до відділу з питань запобігання та виявлення корупції управління персоналу.</w:t>
      </w:r>
    </w:p>
    <w:p>
      <w:pPr>
        <w:pStyle w:val="BodyText"/>
        <w:widowControl/>
        <w:spacing w:lineRule="auto" w:line="240" w:before="0" w:after="0"/>
        <w:ind w:firstLine="624"/>
        <w:jc w:val="both"/>
        <w:rPr>
          <w:lang w:val="uk-UA"/>
        </w:rPr>
      </w:pPr>
      <w:r>
        <w:rPr>
          <w:color w:val="000000"/>
          <w:szCs w:val="28"/>
          <w:lang w:val="uk-UA"/>
        </w:rPr>
        <w:t>Врегулювання конфлікту інтересів у діяльності міського голови, Секретаря Ради, депутатів Ради, який виник під час участі у засіданні Ради, іншого колегіального органу (комісії, комітету, колегії тощо), можливо здійснювати за допомогою застосування заходу зовнішнього контролю. Рішення про здійснення зовнішнього контролю приймає відповідний колегіальний орган. Зовнішній контроль здійснюється шляхом участі представника відділу з питань запобігання та виявлення корупції управління персоналу в роботі колегіального органу в статусі спостерігача без права голосу.”;</w:t>
      </w:r>
    </w:p>
    <w:p>
      <w:pPr>
        <w:pStyle w:val="BodyText"/>
        <w:widowControl/>
        <w:spacing w:lineRule="auto" w:line="240" w:before="0" w:after="0"/>
        <w:ind w:firstLine="624"/>
        <w:jc w:val="both"/>
        <w:rPr>
          <w:lang w:val="uk-UA"/>
        </w:rPr>
      </w:pPr>
      <w:r>
        <w:rPr>
          <w:color w:val="000000"/>
          <w:szCs w:val="28"/>
          <w:lang w:val="uk-UA"/>
        </w:rPr>
        <w:t>пункт 7 виключити.</w:t>
      </w:r>
    </w:p>
    <w:p>
      <w:pPr>
        <w:pStyle w:val="BodyText"/>
        <w:widowControl/>
        <w:spacing w:lineRule="auto" w:line="240" w:before="0" w:after="0"/>
        <w:ind w:firstLine="624"/>
        <w:jc w:val="both"/>
        <w:rPr>
          <w:lang w:val="uk-UA"/>
        </w:rPr>
      </w:pPr>
      <w:r>
        <w:rPr>
          <w:color w:val="000000"/>
          <w:szCs w:val="28"/>
          <w:lang w:val="uk-UA"/>
        </w:rPr>
        <w:t>У зв’язку з цим пункт 8 вважати пунктом 7 та доповнити новим абзацом такого змісту: “Постійна комісія міської ради з питань дотримання прав людини, законності, боротьби зі злочинністю та корупцією, депутатської діяльності, етики та регламенту розглядає інформацію про факти можливого впливу на Міського голову, депутатів Ради, а також здійснює вибірковий моніторинг проєктів рішень міської ради, виконавчого комітету щодо наявності в них норм корупціогенного характеру та підготовку пропозицій щодо їх усунення.”.</w:t>
      </w:r>
    </w:p>
    <w:p>
      <w:pPr>
        <w:pStyle w:val="BodyText"/>
        <w:widowControl/>
        <w:spacing w:lineRule="auto" w:line="240" w:before="0" w:after="0"/>
        <w:ind w:firstLine="624"/>
        <w:jc w:val="both"/>
        <w:rPr>
          <w:color w:val="000000"/>
          <w:szCs w:val="28"/>
          <w:lang w:val="uk-UA"/>
        </w:rPr>
      </w:pPr>
      <w:r>
        <w:rPr>
          <w:color w:val="000000"/>
          <w:szCs w:val="28"/>
          <w:lang w:val="uk-UA"/>
        </w:rPr>
      </w:r>
    </w:p>
    <w:p>
      <w:pPr>
        <w:pStyle w:val="BodyText"/>
        <w:widowControl/>
        <w:spacing w:lineRule="auto" w:line="240" w:before="0" w:after="0"/>
        <w:ind w:firstLine="567"/>
        <w:jc w:val="both"/>
        <w:rPr>
          <w:lang w:val="uk-UA"/>
        </w:rPr>
      </w:pPr>
      <w:r>
        <w:rPr>
          <w:color w:val="000000"/>
          <w:szCs w:val="28"/>
          <w:lang w:val="uk-UA"/>
        </w:rPr>
        <w:t>2. Внести в додаток до рішення Луцької міської ради від 23.12.2020 № 2/2 “</w:t>
      </w:r>
      <w:r>
        <w:rPr>
          <w:lang w:val="uk-UA"/>
        </w:rPr>
        <w:t>Про затвердження Положення про постійні комісії Луцької міської ради</w:t>
      </w:r>
      <w:r>
        <w:rPr>
          <w:color w:val="000000"/>
          <w:szCs w:val="28"/>
          <w:lang w:val="uk-UA"/>
        </w:rPr>
        <w:t>” такі зміни:</w:t>
      </w:r>
    </w:p>
    <w:p>
      <w:pPr>
        <w:pStyle w:val="BodyText"/>
        <w:widowControl/>
        <w:spacing w:lineRule="auto" w:line="240" w:before="0" w:after="0"/>
        <w:ind w:firstLine="567"/>
        <w:jc w:val="both"/>
        <w:rPr>
          <w:color w:val="000000"/>
          <w:szCs w:val="28"/>
          <w:lang w:val="uk-UA"/>
        </w:rPr>
      </w:pPr>
      <w:r>
        <w:rPr>
          <w:color w:val="000000"/>
          <w:szCs w:val="28"/>
          <w:lang w:val="uk-UA"/>
        </w:rPr>
      </w:r>
    </w:p>
    <w:p>
      <w:pPr>
        <w:pStyle w:val="BodyText"/>
        <w:widowControl/>
        <w:spacing w:lineRule="auto" w:line="240" w:before="0" w:after="0"/>
        <w:ind w:firstLine="567"/>
        <w:jc w:val="both"/>
        <w:rPr/>
      </w:pPr>
      <w:r>
        <w:rPr>
          <w:rStyle w:val="Strong"/>
          <w:b w:val="false"/>
          <w:bCs w:val="false"/>
          <w:lang w:val="uk-UA"/>
        </w:rPr>
        <w:t>2.1. У тесті слова “структурних підрозділів виконавчого комітету міської ради” замінити словами “виконавчих органів міської ради”.</w:t>
      </w:r>
    </w:p>
    <w:p>
      <w:pPr>
        <w:pStyle w:val="BodyText"/>
        <w:widowControl/>
        <w:spacing w:lineRule="auto" w:line="240" w:before="0" w:after="0"/>
        <w:ind w:firstLine="567"/>
        <w:jc w:val="both"/>
        <w:rPr>
          <w:lang w:val="uk-UA"/>
        </w:rPr>
      </w:pPr>
      <w:r>
        <w:rPr>
          <w:lang w:val="uk-UA"/>
        </w:rPr>
      </w:r>
    </w:p>
    <w:p>
      <w:pPr>
        <w:pStyle w:val="BodyText"/>
        <w:widowControl/>
        <w:spacing w:lineRule="auto" w:line="240" w:before="0" w:after="0"/>
        <w:ind w:firstLine="567"/>
        <w:jc w:val="both"/>
        <w:rPr>
          <w:lang w:val="uk-UA"/>
        </w:rPr>
      </w:pPr>
      <w:r>
        <w:rPr>
          <w:color w:val="000000"/>
          <w:szCs w:val="28"/>
          <w:lang w:val="uk-UA"/>
        </w:rPr>
        <w:t>2.2. У пункті 1 слова “Статутом територіальної громади міста Луцька” замінити словами “Статутом Луцької міської територіальної громади”.</w:t>
      </w:r>
    </w:p>
    <w:p>
      <w:pPr>
        <w:pStyle w:val="BodyText"/>
        <w:widowControl/>
        <w:spacing w:lineRule="auto" w:line="240" w:before="0" w:after="0"/>
        <w:ind w:firstLine="567"/>
        <w:jc w:val="both"/>
        <w:rPr>
          <w:color w:val="000000"/>
          <w:szCs w:val="28"/>
          <w:lang w:val="uk-UA"/>
        </w:rPr>
      </w:pPr>
      <w:r>
        <w:rPr>
          <w:color w:val="000000"/>
          <w:szCs w:val="28"/>
          <w:lang w:val="uk-UA"/>
        </w:rPr>
      </w:r>
    </w:p>
    <w:p>
      <w:pPr>
        <w:pStyle w:val="BodyText"/>
        <w:widowControl/>
        <w:spacing w:lineRule="auto" w:line="240" w:before="0" w:after="0"/>
        <w:ind w:firstLine="567"/>
        <w:jc w:val="both"/>
        <w:rPr/>
      </w:pPr>
      <w:r>
        <w:rPr>
          <w:rStyle w:val="Strong"/>
          <w:b w:val="false"/>
          <w:bCs w:val="false"/>
          <w:lang w:val="uk-UA"/>
        </w:rPr>
        <w:t>2.3. У абзаці другому пункту 9:</w:t>
      </w:r>
    </w:p>
    <w:p>
      <w:pPr>
        <w:pStyle w:val="BodyText"/>
        <w:widowControl/>
        <w:spacing w:lineRule="auto" w:line="240" w:before="0" w:after="0"/>
        <w:ind w:firstLine="567"/>
        <w:jc w:val="both"/>
        <w:rPr/>
      </w:pPr>
      <w:r>
        <w:rPr>
          <w:rStyle w:val="Strong"/>
          <w:b w:val="false"/>
          <w:bCs w:val="false"/>
          <w:lang w:val="uk-UA"/>
        </w:rPr>
        <w:t xml:space="preserve">четверте речення викласти у такій редакції: “Протоколи засідань комісії, в яких зазначаються результати поіменного голосування, підписуються головою (головуючим) і секретарем комісії </w:t>
      </w:r>
      <w:r>
        <w:rPr>
          <w:rStyle w:val="Strong"/>
          <w:b w:val="false"/>
          <w:bCs w:val="false"/>
          <w:color w:val="000000"/>
          <w:szCs w:val="28"/>
          <w:lang w:val="uk-UA"/>
        </w:rPr>
        <w:t>(виконуючим обов’язки секретаря)</w:t>
      </w:r>
      <w:r>
        <w:rPr>
          <w:rStyle w:val="Strong"/>
          <w:b w:val="false"/>
          <w:bCs w:val="false"/>
          <w:lang w:val="uk-UA"/>
        </w:rPr>
        <w:t>.”;</w:t>
      </w:r>
    </w:p>
    <w:p>
      <w:pPr>
        <w:pStyle w:val="BodyText"/>
        <w:widowControl/>
        <w:spacing w:lineRule="auto" w:line="240" w:before="0" w:after="0"/>
        <w:ind w:firstLine="567"/>
        <w:jc w:val="both"/>
        <w:rPr/>
      </w:pPr>
      <w:r>
        <w:rPr>
          <w:rStyle w:val="Strong"/>
          <w:b w:val="false"/>
          <w:bCs w:val="false"/>
          <w:lang w:val="uk-UA"/>
        </w:rPr>
        <w:t>доповнити реченням такого змісту: “Засідання постійної комісії транслюється в мережі Інтернет у режимі реального часу та підлягає відеофіксації з подальшим зберіганням та оприлюдненням відеозапису засідання на умовах і в порядку, визначених статтею 3 Регламенту.”.</w:t>
      </w:r>
    </w:p>
    <w:p>
      <w:pPr>
        <w:pStyle w:val="BodyText"/>
        <w:widowControl/>
        <w:spacing w:lineRule="auto" w:line="240" w:before="0" w:after="0"/>
        <w:ind w:firstLine="567"/>
        <w:jc w:val="both"/>
        <w:rPr>
          <w:rStyle w:val="Strong"/>
          <w:b w:val="false"/>
          <w:bCs w:val="false"/>
          <w:lang w:val="uk-UA"/>
        </w:rPr>
      </w:pPr>
      <w:r>
        <w:rPr>
          <w:b w:val="false"/>
          <w:bCs w:val="false"/>
          <w:lang w:val="uk-UA"/>
        </w:rPr>
      </w:r>
    </w:p>
    <w:p>
      <w:pPr>
        <w:pStyle w:val="BodyText"/>
        <w:widowControl/>
        <w:spacing w:lineRule="auto" w:line="240" w:before="0" w:after="0"/>
        <w:ind w:firstLine="567"/>
        <w:jc w:val="both"/>
        <w:rPr/>
      </w:pPr>
      <w:r>
        <w:rPr>
          <w:rStyle w:val="Strong"/>
          <w:b w:val="false"/>
          <w:bCs w:val="false"/>
          <w:lang w:val="uk-UA"/>
        </w:rPr>
        <w:t>2.4. Абзац перший пункту 10 викласти у такій редакції: “Основною формою роботи постійних комісій є засідання, які скликаються в міру необхідності, але не менше як один раз в квартал і є повноважними, якщо в них бере участь більше половини депутатів від загального складу комісії. Для вирішення актуальних та термінових завдань постійна комісія має право проводити виїзне засідання.”.</w:t>
      </w:r>
    </w:p>
    <w:p>
      <w:pPr>
        <w:pStyle w:val="BodyText"/>
        <w:widowControl/>
        <w:spacing w:lineRule="auto" w:line="240" w:before="0" w:after="0"/>
        <w:ind w:firstLine="567"/>
        <w:jc w:val="both"/>
        <w:rPr>
          <w:lang w:val="uk-UA"/>
        </w:rPr>
      </w:pPr>
      <w:r>
        <w:rPr>
          <w:lang w:val="uk-UA"/>
        </w:rPr>
      </w:r>
    </w:p>
    <w:p>
      <w:pPr>
        <w:pStyle w:val="BodyText"/>
        <w:widowControl/>
        <w:spacing w:lineRule="auto" w:line="240" w:before="0" w:after="0"/>
        <w:ind w:firstLine="567"/>
        <w:jc w:val="both"/>
        <w:rPr/>
      </w:pPr>
      <w:r>
        <w:rPr>
          <w:rStyle w:val="Strong"/>
          <w:b w:val="false"/>
          <w:bCs w:val="false"/>
          <w:lang w:val="uk-UA"/>
        </w:rPr>
        <w:t>2.5. Пункт 11 викласти у такій редакції: “11. За результатами вивчення і розгляду питань постійні комісії готують висновки і рекомендації та можуть готувати проєкти рішень міської Ради. Висновки, рекомендації та проєкти рішень постійної комісії приймаються відкритим поіменним голосуванням більшістю голосів від загального складу комісії, і підписуються головою комісії та секретарем, в разі відсутності голови – заступником та секретарем, у випадку відсутності голови комісії та заступника голови комісії – членом комісії та секретарем.”.</w:t>
      </w:r>
    </w:p>
    <w:p>
      <w:pPr>
        <w:pStyle w:val="BodyText"/>
        <w:widowControl/>
        <w:spacing w:lineRule="auto" w:line="240" w:before="0" w:after="0"/>
        <w:ind w:firstLine="567"/>
        <w:jc w:val="both"/>
        <w:rPr>
          <w:lang w:val="uk-UA"/>
        </w:rPr>
      </w:pPr>
      <w:r>
        <w:rPr>
          <w:lang w:val="uk-UA"/>
        </w:rPr>
      </w:r>
    </w:p>
    <w:p>
      <w:pPr>
        <w:pStyle w:val="BodyText"/>
        <w:widowControl/>
        <w:spacing w:lineRule="auto" w:line="240" w:before="0" w:after="0"/>
        <w:ind w:firstLine="567"/>
        <w:jc w:val="both"/>
        <w:rPr/>
      </w:pPr>
      <w:r>
        <w:rPr>
          <w:rStyle w:val="Strong"/>
          <w:b w:val="false"/>
          <w:bCs w:val="false"/>
          <w:lang w:val="uk-UA"/>
        </w:rPr>
        <w:t>2.6. У пункті 13:</w:t>
      </w:r>
    </w:p>
    <w:p>
      <w:pPr>
        <w:pStyle w:val="BodyText"/>
        <w:widowControl/>
        <w:spacing w:lineRule="auto" w:line="240" w:before="0" w:after="0"/>
        <w:ind w:firstLine="567"/>
        <w:jc w:val="both"/>
        <w:rPr/>
      </w:pPr>
      <w:r>
        <w:rPr>
          <w:rStyle w:val="Strong"/>
          <w:b w:val="false"/>
          <w:bCs w:val="false"/>
          <w:lang w:val="uk-UA"/>
        </w:rPr>
        <w:t xml:space="preserve">в абзаці першому слова “виконавчого апарату” замінити словами “апарату ради та її виконавчого комітету”;  </w:t>
      </w:r>
    </w:p>
    <w:p>
      <w:pPr>
        <w:pStyle w:val="BodyText"/>
        <w:widowControl/>
        <w:spacing w:lineRule="auto" w:line="240" w:before="0" w:after="0"/>
        <w:ind w:firstLine="567"/>
        <w:jc w:val="both"/>
        <w:rPr/>
      </w:pPr>
      <w:r>
        <w:rPr>
          <w:rStyle w:val="Strong"/>
          <w:b w:val="false"/>
          <w:bCs w:val="false"/>
          <w:lang w:val="uk-UA"/>
        </w:rPr>
        <w:t>абзац другий пункту викласти у такій редакції: “</w:t>
      </w:r>
      <w:r>
        <w:rPr>
          <w:rStyle w:val="Strong"/>
          <w:b w:val="false"/>
          <w:bCs w:val="false"/>
          <w:color w:val="000000"/>
          <w:szCs w:val="28"/>
          <w:lang w:val="uk-UA"/>
        </w:rPr>
        <w:t>Питання, які належать до відання кількох постійних комісій, можуть за ініціативою комісій, а також за дорученням Ради, Міського голови, Секретаря Ради розглядатися постійними комісіями спільно. На спільному засіданні обирається головуючий більшістю голосів від загального складу комісій. Засідання вважається повноважним, якщо в них бере участь більше половини членів від загального складу комісій, які спільно розглядають питання.  Рішення приймаються відкритим поіменним голосуванням більшістю голосів від загального складу комісій. Висновки, рекомендації, прийняті у їх повноважному складі на спільних засіданнях, підписуються головами постійних комісій.”.</w:t>
      </w:r>
    </w:p>
    <w:p>
      <w:pPr>
        <w:pStyle w:val="BodyText"/>
        <w:widowControl/>
        <w:spacing w:lineRule="auto" w:line="240" w:before="0" w:after="0"/>
        <w:ind w:firstLine="567"/>
        <w:jc w:val="both"/>
        <w:rPr>
          <w:lang w:val="uk-UA"/>
        </w:rPr>
      </w:pPr>
      <w:r>
        <w:rPr>
          <w:lang w:val="uk-UA"/>
        </w:rPr>
      </w:r>
    </w:p>
    <w:p>
      <w:pPr>
        <w:pStyle w:val="BodyText"/>
        <w:widowControl/>
        <w:spacing w:lineRule="auto" w:line="240" w:before="0" w:after="0"/>
        <w:ind w:firstLine="567"/>
        <w:jc w:val="both"/>
        <w:rPr/>
      </w:pPr>
      <w:r>
        <w:rPr>
          <w:rStyle w:val="Strong"/>
          <w:b w:val="false"/>
          <w:bCs w:val="false"/>
          <w:lang w:val="uk-UA"/>
        </w:rPr>
        <w:t>2.7. У пункті 18:</w:t>
      </w:r>
    </w:p>
    <w:p>
      <w:pPr>
        <w:pStyle w:val="BodyText"/>
        <w:widowControl/>
        <w:spacing w:lineRule="auto" w:line="240" w:before="0" w:after="0"/>
        <w:ind w:firstLine="567"/>
        <w:jc w:val="both"/>
        <w:rPr/>
      </w:pPr>
      <w:r>
        <w:rPr>
          <w:rStyle w:val="Strong"/>
          <w:b w:val="false"/>
          <w:bCs w:val="false"/>
          <w:lang w:val="uk-UA"/>
        </w:rPr>
        <w:t>слова “преси, радіо, телебаченн</w:t>
      </w:r>
      <w:r>
        <w:rPr>
          <w:rStyle w:val="Strong"/>
          <w:b w:val="false"/>
          <w:bCs w:val="false"/>
          <w:color w:val="000000"/>
          <w:szCs w:val="28"/>
          <w:lang w:val="uk-UA"/>
        </w:rPr>
        <w:t>я” замінити словами “медіа”;</w:t>
      </w:r>
    </w:p>
    <w:p>
      <w:pPr>
        <w:pStyle w:val="BodyText"/>
        <w:widowControl/>
        <w:spacing w:lineRule="auto" w:line="240" w:before="0" w:after="0"/>
        <w:ind w:firstLine="567"/>
        <w:jc w:val="both"/>
        <w:rPr/>
      </w:pPr>
      <w:r>
        <w:rPr>
          <w:rStyle w:val="Strong"/>
          <w:b w:val="false"/>
          <w:bCs w:val="false"/>
          <w:color w:val="000000"/>
          <w:szCs w:val="28"/>
          <w:lang w:val="uk-UA"/>
        </w:rPr>
        <w:t>доповнити новим абзацом такого змісту: “Проєкти порядку денного засідань постійної комісії ради, висновки і рекомендації постійної комісії, протоколи її засідань є відкритими та оприлюднюються і надаються на запит відповідно до Закону України «Про доступ до публічної інформації»</w:t>
      </w:r>
      <w:r>
        <w:rPr>
          <w:rStyle w:val="Strong"/>
          <w:b w:val="false"/>
          <w:bCs w:val="false"/>
          <w:color w:val="000000"/>
          <w:szCs w:val="28"/>
          <w:lang w:val="en-US"/>
        </w:rPr>
        <w:t>.”</w:t>
      </w:r>
      <w:r>
        <w:rPr>
          <w:rStyle w:val="Strong"/>
          <w:b w:val="false"/>
          <w:bCs w:val="false"/>
          <w:color w:val="000000"/>
          <w:szCs w:val="28"/>
          <w:lang w:val="uk-UA"/>
        </w:rPr>
        <w:t xml:space="preserve">. </w:t>
      </w:r>
    </w:p>
    <w:p>
      <w:pPr>
        <w:pStyle w:val="BodyText"/>
        <w:widowControl/>
        <w:spacing w:lineRule="auto" w:line="240" w:before="0" w:after="0"/>
        <w:ind w:firstLine="567"/>
        <w:jc w:val="both"/>
        <w:rPr>
          <w:rStyle w:val="Strong"/>
          <w:b w:val="false"/>
          <w:bCs w:val="false"/>
          <w:color w:val="000000"/>
          <w:szCs w:val="28"/>
          <w:lang w:val="uk-UA"/>
        </w:rPr>
      </w:pPr>
      <w:r>
        <w:rPr>
          <w:b w:val="false"/>
          <w:bCs w:val="false"/>
          <w:color w:val="000000"/>
          <w:szCs w:val="28"/>
          <w:lang w:val="uk-UA"/>
        </w:rPr>
      </w:r>
    </w:p>
    <w:p>
      <w:pPr>
        <w:pStyle w:val="BodyText"/>
        <w:widowControl/>
        <w:spacing w:lineRule="auto" w:line="240" w:before="0" w:after="0"/>
        <w:ind w:firstLine="567"/>
        <w:jc w:val="both"/>
        <w:rPr/>
      </w:pPr>
      <w:r>
        <w:rPr>
          <w:rStyle w:val="Strong"/>
          <w:b w:val="false"/>
          <w:bCs w:val="false"/>
          <w:lang w:val="uk-UA"/>
        </w:rPr>
        <w:t>3. Положення пунктів 1.3, 2.3 у частині здійснення відеофіксації, зберігання та оприлюднення відеозаписів набирають чинності з 15.08.2024, а у частині проведення трансляцій – через 30 днів з дня припинення чи скасування воєнного стану в Україні, введеного Указом Президента України “Про введення воєнного стану в Україні” від 24 лютого 2022 року № 64/2022, затвердженим Законом України "Про затвердження Указу Президента України “Про введення воєнного стану в Україні” від 24 лютого 2022 року № 2102-IX.</w:t>
      </w:r>
    </w:p>
    <w:p>
      <w:pPr>
        <w:pStyle w:val="BodyText"/>
        <w:widowControl/>
        <w:spacing w:lineRule="auto" w:line="240" w:before="0" w:after="0"/>
        <w:ind w:firstLine="567"/>
        <w:jc w:val="both"/>
        <w:rPr>
          <w:color w:val="000000"/>
          <w:szCs w:val="28"/>
          <w:lang w:val="uk-UA"/>
        </w:rPr>
      </w:pPr>
      <w:r>
        <w:rPr>
          <w:color w:val="000000"/>
          <w:szCs w:val="28"/>
          <w:lang w:val="uk-UA"/>
        </w:rPr>
      </w:r>
    </w:p>
    <w:p>
      <w:pPr>
        <w:pStyle w:val="Normal"/>
        <w:ind w:firstLine="567"/>
        <w:jc w:val="both"/>
        <w:rPr>
          <w:lang w:val="uk-UA"/>
        </w:rPr>
      </w:pPr>
      <w:r>
        <w:rPr>
          <w:rFonts w:cs="Times New Roman"/>
          <w:lang w:val="uk-UA"/>
        </w:rPr>
        <w:t xml:space="preserve">4. Контроль за виконанням рішення покласти на секретаря міської ради Юрія Безпятка та постійну комісію міської ради з питань дотримання прав людини, законності, боротьби зі злочинністю та корупцією, депутатської діяльності, етики та регламенту. </w:t>
      </w:r>
    </w:p>
    <w:p>
      <w:pPr>
        <w:pStyle w:val="Normal"/>
        <w:ind w:firstLine="567"/>
        <w:jc w:val="both"/>
        <w:rPr>
          <w:color w:val="000000"/>
          <w:lang w:val="uk-UA"/>
        </w:rPr>
      </w:pPr>
      <w:r>
        <w:rPr>
          <w:color w:val="000000"/>
          <w:lang w:val="uk-UA"/>
        </w:rPr>
      </w:r>
    </w:p>
    <w:p>
      <w:pPr>
        <w:pStyle w:val="NormalWeb"/>
        <w:spacing w:beforeAutospacing="0" w:before="0" w:afterAutospacing="0" w:after="0"/>
        <w:ind w:hanging="0" w:right="5575"/>
        <w:jc w:val="both"/>
        <w:rPr>
          <w:lang w:val="uk-UA"/>
        </w:rPr>
      </w:pPr>
      <w:r>
        <w:rPr>
          <w:sz w:val="28"/>
          <w:szCs w:val="28"/>
          <w:lang w:val="uk-UA"/>
        </w:rPr>
        <w:t> </w:t>
      </w:r>
    </w:p>
    <w:p>
      <w:pPr>
        <w:pStyle w:val="Normal"/>
        <w:jc w:val="both"/>
        <w:rPr>
          <w:lang w:val="uk-UA"/>
        </w:rPr>
      </w:pPr>
      <w:r>
        <w:rPr>
          <w:rFonts w:cs="Times New Roman"/>
          <w:szCs w:val="28"/>
          <w:lang w:val="uk-UA"/>
        </w:rPr>
        <w:t>Міський голова</w:t>
        <w:tab/>
        <w:tab/>
        <w:tab/>
        <w:tab/>
        <w:tab/>
        <w:tab/>
        <w:tab/>
        <w:tab/>
        <w:t>Ігор ПОЛІЩУК</w:t>
      </w:r>
    </w:p>
    <w:p>
      <w:pPr>
        <w:pStyle w:val="Normal"/>
        <w:jc w:val="both"/>
        <w:rPr>
          <w:rFonts w:cs="Times New Roman"/>
          <w:szCs w:val="28"/>
          <w:lang w:val="uk-UA"/>
        </w:rPr>
      </w:pPr>
      <w:r>
        <w:rPr>
          <w:rFonts w:cs="Times New Roman"/>
          <w:szCs w:val="28"/>
          <w:lang w:val="uk-UA"/>
        </w:rPr>
      </w:r>
    </w:p>
    <w:p>
      <w:pPr>
        <w:pStyle w:val="Normal"/>
        <w:jc w:val="both"/>
        <w:rPr>
          <w:rFonts w:cs="Times New Roman"/>
          <w:szCs w:val="28"/>
          <w:lang w:val="uk-UA"/>
        </w:rPr>
      </w:pPr>
      <w:r>
        <w:rPr>
          <w:rFonts w:cs="Times New Roman"/>
          <w:szCs w:val="28"/>
          <w:lang w:val="uk-UA"/>
        </w:rPr>
      </w:r>
    </w:p>
    <w:p>
      <w:pPr>
        <w:pStyle w:val="Normal"/>
        <w:jc w:val="both"/>
        <w:rPr>
          <w:lang w:val="uk-UA"/>
        </w:rPr>
      </w:pPr>
      <w:r>
        <w:rPr>
          <w:rFonts w:cs="Times New Roman"/>
          <w:sz w:val="24"/>
          <w:lang w:val="uk-UA"/>
        </w:rPr>
        <w:t>Юрченко 777 987</w:t>
      </w:r>
    </w:p>
    <w:sectPr>
      <w:type w:val="continuous"/>
      <w:pgSz w:w="11906" w:h="16838"/>
      <w:pgMar w:left="1985" w:right="567" w:gutter="0" w:header="0" w:top="567" w:footer="0" w:bottom="1134"/>
      <w:formProt w:val="false"/>
      <w:titlePg/>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erif">
    <w:altName w:val="Times New Roman"/>
    <w:charset w:val="cc"/>
    <w:family w:val="swiss"/>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Mono">
    <w:altName w:val="Courier New"/>
    <w:charset w:val="cc"/>
    <w:family w:val="roman"/>
    <w:pitch w:val="variable"/>
  </w:font>
  <w:font w:name="Times New Roman">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711484673"/>
    </w:sdtPr>
    <w:sdtContent>
      <w:p>
        <w:pPr>
          <w:pStyle w:val="Header"/>
          <w:jc w:val="center"/>
          <w:rPr>
            <w:lang w:val="uk-UA"/>
          </w:rPr>
        </w:pPr>
        <w:r>
          <w:rPr>
            <w:lang w:val="uk-UA"/>
          </w:rPr>
        </w:r>
      </w:p>
      <w:p>
        <w:pPr>
          <w:pStyle w:val="Header"/>
          <w:jc w:val="center"/>
          <w:rPr/>
        </w:pPr>
        <w:r>
          <w:rPr/>
          <w:fldChar w:fldCharType="begin"/>
        </w:r>
        <w:r>
          <w:rPr/>
          <w:instrText xml:space="preserve"> PAGE </w:instrText>
        </w:r>
        <w:r>
          <w:rPr/>
          <w:fldChar w:fldCharType="separate"/>
        </w:r>
        <w:r>
          <w:rPr/>
          <w:t>6</w:t>
        </w:r>
        <w:r>
          <w:rPr/>
          <w:fldChar w:fldCharType="end"/>
        </w:r>
      </w:p>
      <w:p>
        <w:pPr>
          <w:pStyle w:val="Header"/>
          <w:rPr/>
        </w:pPr>
        <w:r>
          <w:rPr/>
        </w:r>
      </w:p>
    </w:sdtContent>
  </w:sdt>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Lucida Sans Unicode" w:cs="Mangal;Courier New"/>
      <w:color w:val="auto"/>
      <w:kern w:val="2"/>
      <w:sz w:val="28"/>
      <w:szCs w:val="24"/>
      <w:lang w:val="ru-RU" w:eastAsia="zh-CN" w:bidi="hi-IN"/>
    </w:rPr>
  </w:style>
  <w:style w:type="paragraph" w:styleId="Heading1">
    <w:name w:val="Heading 1"/>
    <w:basedOn w:val="Normal"/>
    <w:next w:val="Normal"/>
    <w:qFormat/>
    <w:pPr>
      <w:keepNext w:val="true"/>
      <w:numPr>
        <w:ilvl w:val="0"/>
        <w:numId w:val="1"/>
      </w:numPr>
      <w:jc w:val="center"/>
      <w:outlineLvl w:val="0"/>
    </w:pPr>
    <w:rPr>
      <w:b/>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i/>
      <w:iCs/>
      <w:szCs w:val="28"/>
    </w:rPr>
  </w:style>
  <w:style w:type="paragraph" w:styleId="Heading3">
    <w:name w:val="Heading 3"/>
    <w:basedOn w:val="Style14"/>
    <w:next w:val="BodyText"/>
    <w:qFormat/>
    <w:pPr>
      <w:numPr>
        <w:ilvl w:val="2"/>
        <w:numId w:val="1"/>
      </w:numPr>
      <w:spacing w:before="140" w:after="120"/>
      <w:outlineLvl w:val="2"/>
    </w:pPr>
    <w:rPr>
      <w:rFonts w:ascii="Liberation Serif;Times New Roma" w:hAnsi="Liberation Serif;Times New Roma" w:eastAsia="NSimSun" w:cs="Arial"/>
      <w:b/>
      <w:bCs/>
    </w:rPr>
  </w:style>
  <w:style w:type="paragraph" w:styleId="Heading6">
    <w:name w:val="Heading 6"/>
    <w:basedOn w:val="Style14"/>
    <w:next w:val="BodyText"/>
    <w:qFormat/>
    <w:pPr>
      <w:spacing w:before="60" w:after="60"/>
      <w:outlineLvl w:val="5"/>
    </w:pPr>
    <w:rPr>
      <w:rFonts w:ascii="Liberation Serif" w:hAnsi="Liberation Serif" w:eastAsia="NSimSun" w:cs="Arial"/>
      <w:b/>
      <w:bCs/>
      <w:sz w:val="14"/>
      <w:szCs w:val="1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Style10" w:customStyle="1">
    <w:name w:val="Основной шрифт абзаца"/>
    <w:qFormat/>
    <w:rPr/>
  </w:style>
  <w:style w:type="character" w:styleId="1" w:customStyle="1">
    <w:name w:val="Шрифт абзацу за замовчуванням1"/>
    <w:qFormat/>
    <w:rPr/>
  </w:style>
  <w:style w:type="character" w:styleId="2" w:customStyle="1">
    <w:name w:val="Основной шрифт абзаца2"/>
    <w:qFormat/>
    <w:rPr/>
  </w:style>
  <w:style w:type="character" w:styleId="WW8Num3z0" w:customStyle="1">
    <w:name w:val="WW8Num3z0"/>
    <w:qFormat/>
    <w:rPr/>
  </w:style>
  <w:style w:type="character" w:styleId="WW8Num4z0" w:customStyle="1">
    <w:name w:val="WW8Num4z0"/>
    <w:qFormat/>
    <w:rPr>
      <w:rFonts w:ascii="Times New Roman" w:hAnsi="Times New Roman" w:eastAsia="Times New Roman" w:cs="Times New Roman"/>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4z3" w:customStyle="1">
    <w:name w:val="WW8Num4z3"/>
    <w:qFormat/>
    <w:rPr>
      <w:rFonts w:ascii="Symbol" w:hAnsi="Symbol" w:cs="Symbol"/>
    </w:rPr>
  </w:style>
  <w:style w:type="character" w:styleId="WW8Num3z1" w:customStyle="1">
    <w:name w:val="WW8Num3z1"/>
    <w:qFormat/>
    <w:rPr>
      <w:sz w:val="24"/>
      <w:szCs w:val="21"/>
      <w:lang w:val="en-US"/>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11" w:customStyle="1">
    <w:name w:val="Основной шрифт абзаца1"/>
    <w:qFormat/>
    <w:rPr/>
  </w:style>
  <w:style w:type="character" w:styleId="WW8Num16z0" w:customStyle="1">
    <w:name w:val="WW8Num16z0"/>
    <w:qFormat/>
    <w:rPr>
      <w:rFonts w:cs="Times New Roman"/>
      <w:color w:val="000000"/>
      <w:sz w:val="28"/>
      <w:szCs w:val="28"/>
    </w:rPr>
  </w:style>
  <w:style w:type="character" w:styleId="WW8Num16z1" w:customStyle="1">
    <w:name w:val="WW8Num16z1"/>
    <w:qFormat/>
    <w:rPr>
      <w:rFonts w:cs="Times New Roman"/>
      <w:color w:val="000000"/>
      <w:sz w:val="28"/>
      <w:szCs w:val="28"/>
    </w:rPr>
  </w:style>
  <w:style w:type="character" w:styleId="21" w:customStyle="1">
    <w:name w:val="Основной текст (2)_"/>
    <w:qFormat/>
    <w:rPr>
      <w:lang w:bidi="ar-SA"/>
    </w:rPr>
  </w:style>
  <w:style w:type="character" w:styleId="Style11" w:customStyle="1">
    <w:name w:val="Символ нумерації"/>
    <w:qFormat/>
    <w:rPr/>
  </w:style>
  <w:style w:type="character" w:styleId="InternetLink">
    <w:name w:val="Internet Link"/>
    <w:qFormat/>
    <w:rPr>
      <w:color w:val="000080"/>
      <w:u w:val="single"/>
    </w:rPr>
  </w:style>
  <w:style w:type="character" w:styleId="rvts7" w:customStyle="1">
    <w:name w:val="rvts7"/>
    <w:basedOn w:val="1"/>
    <w:qFormat/>
    <w:rPr/>
  </w:style>
  <w:style w:type="character" w:styleId="Emphasis">
    <w:name w:val="Emphasis"/>
    <w:qFormat/>
    <w:rPr>
      <w:i/>
      <w:iCs/>
    </w:rPr>
  </w:style>
  <w:style w:type="character" w:styleId="Strong">
    <w:name w:val="Strong"/>
    <w:qFormat/>
    <w:rPr>
      <w:b/>
      <w:bCs/>
    </w:rPr>
  </w:style>
  <w:style w:type="character" w:styleId="Style12" w:customStyle="1">
    <w:name w:val="Нижній колонтитул Знак"/>
    <w:basedOn w:val="DefaultParagraphFont"/>
    <w:uiPriority w:val="99"/>
    <w:qFormat/>
    <w:rsid w:val="00ce7fe9"/>
    <w:rPr>
      <w:rFonts w:ascii="Times New Roman" w:hAnsi="Times New Roman" w:eastAsia="Lucida Sans Unicode" w:cs="Mangal"/>
      <w:kern w:val="2"/>
      <w:sz w:val="28"/>
      <w:lang w:val="ru-RU"/>
    </w:rPr>
  </w:style>
  <w:style w:type="character" w:styleId="Style13" w:customStyle="1">
    <w:name w:val="Верхній колонтитул Знак"/>
    <w:basedOn w:val="DefaultParagraphFont"/>
    <w:uiPriority w:val="99"/>
    <w:qFormat/>
    <w:rsid w:val="00ce7fe9"/>
    <w:rPr>
      <w:rFonts w:ascii="Times New Roman" w:hAnsi="Times New Roman" w:eastAsia="Lucida Sans Unicode" w:cs="Mangal;Courier New"/>
      <w:kern w:val="2"/>
      <w:sz w:val="28"/>
      <w:lang w:val="ru-RU"/>
    </w:rPr>
  </w:style>
  <w:style w:type="paragraph" w:styleId="Style14" w:customStyle="1">
    <w:name w:val="Заголовок"/>
    <w:basedOn w:val="Normal"/>
    <w:next w:val="BodyText"/>
    <w:qFormat/>
    <w:pPr>
      <w:keepNext w:val="true"/>
      <w:spacing w:before="240" w:after="120"/>
    </w:pPr>
    <w:rPr>
      <w:rFonts w:eastAsia="Arial Unicode MS"/>
      <w:szCs w:val="28"/>
    </w:rPr>
  </w:style>
  <w:style w:type="paragraph" w:styleId="BodyText">
    <w:name w:val="Body Text"/>
    <w:basedOn w:val="Normal"/>
    <w:pPr>
      <w:spacing w:lineRule="auto" w:line="288"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Arial"/>
      <w:i/>
      <w:iCs/>
      <w:sz w:val="24"/>
    </w:rPr>
  </w:style>
  <w:style w:type="paragraph" w:styleId="Style15" w:customStyle="1">
    <w:name w:val="Покажчик"/>
    <w:basedOn w:val="Normal"/>
    <w:qFormat/>
    <w:pPr>
      <w:suppressLineNumbers/>
    </w:pPr>
    <w:rPr>
      <w:rFonts w:cs="Arial"/>
    </w:rPr>
  </w:style>
  <w:style w:type="paragraph" w:styleId="caption1" w:customStyle="1">
    <w:name w:val="caption1"/>
    <w:basedOn w:val="Normal"/>
    <w:qFormat/>
    <w:pPr>
      <w:suppressLineNumbers/>
      <w:spacing w:before="120" w:after="120"/>
    </w:pPr>
    <w:rPr>
      <w:rFonts w:cs="Arial"/>
      <w:i/>
      <w:iCs/>
      <w:sz w:val="24"/>
    </w:rPr>
  </w:style>
  <w:style w:type="paragraph" w:styleId="Style16" w:customStyle="1">
    <w:name w:val="Название объекта"/>
    <w:basedOn w:val="Normal"/>
    <w:qFormat/>
    <w:pPr>
      <w:suppressLineNumbers/>
      <w:spacing w:before="120" w:after="120"/>
    </w:pPr>
    <w:rPr>
      <w:rFonts w:cs="Arial"/>
      <w:i/>
      <w:iCs/>
      <w:sz w:val="24"/>
    </w:rPr>
  </w:style>
  <w:style w:type="paragraph" w:styleId="12" w:customStyle="1">
    <w:name w:val="Название объекта1"/>
    <w:basedOn w:val="Normal"/>
    <w:qFormat/>
    <w:pPr>
      <w:suppressLineNumbers/>
      <w:spacing w:before="120" w:after="120"/>
    </w:pPr>
    <w:rPr>
      <w:rFonts w:cs="Arial"/>
      <w:i/>
      <w:iCs/>
      <w:sz w:val="24"/>
    </w:rPr>
  </w:style>
  <w:style w:type="paragraph" w:styleId="13" w:customStyle="1">
    <w:name w:val="Назва об'єкта1"/>
    <w:basedOn w:val="Normal"/>
    <w:qFormat/>
    <w:pPr>
      <w:suppressLineNumbers/>
      <w:spacing w:before="120" w:after="120"/>
    </w:pPr>
    <w:rPr>
      <w:rFonts w:cs="Arial"/>
      <w:i/>
      <w:iCs/>
      <w:sz w:val="24"/>
    </w:rPr>
  </w:style>
  <w:style w:type="paragraph" w:styleId="14" w:customStyle="1">
    <w:name w:val="Название1"/>
    <w:basedOn w:val="Normal"/>
    <w:qFormat/>
    <w:pPr>
      <w:suppressLineNumbers/>
      <w:spacing w:before="120" w:after="120"/>
    </w:pPr>
    <w:rPr>
      <w:i/>
      <w:iCs/>
    </w:rPr>
  </w:style>
  <w:style w:type="paragraph" w:styleId="15" w:customStyle="1">
    <w:name w:val="Указатель1"/>
    <w:basedOn w:val="Normal"/>
    <w:qFormat/>
    <w:pPr>
      <w:suppressLineNumbers/>
    </w:pPr>
    <w:rPr/>
  </w:style>
  <w:style w:type="paragraph" w:styleId="22" w:customStyle="1">
    <w:name w:val="Основной текст (2)"/>
    <w:basedOn w:val="Normal"/>
    <w:qFormat/>
    <w:pPr>
      <w:shd w:val="clear" w:color="auto" w:fill="FFFFFF"/>
      <w:spacing w:lineRule="atLeast" w:line="240" w:before="600" w:after="60"/>
    </w:pPr>
    <w:rPr>
      <w:rFonts w:eastAsia="Arial Unicode MS"/>
      <w:sz w:val="26"/>
      <w:szCs w:val="26"/>
    </w:rPr>
  </w:style>
  <w:style w:type="paragraph" w:styleId="Style17" w:customStyle="1">
    <w:name w:val="Вміст таблиці"/>
    <w:basedOn w:val="Normal"/>
    <w:qFormat/>
    <w:pPr>
      <w:suppressLineNumbers/>
    </w:pPr>
    <w:rPr/>
  </w:style>
  <w:style w:type="paragraph" w:styleId="Style18" w:customStyle="1">
    <w:name w:val="Заголовок таблиці"/>
    <w:basedOn w:val="Style17"/>
    <w:qFormat/>
    <w:pPr>
      <w:jc w:val="center"/>
    </w:pPr>
    <w:rPr>
      <w:b/>
      <w:bCs/>
    </w:rPr>
  </w:style>
  <w:style w:type="paragraph" w:styleId="Style19" w:customStyle="1">
    <w:name w:val="Текст у вказаному форматі"/>
    <w:basedOn w:val="Normal"/>
    <w:qFormat/>
    <w:pPr/>
    <w:rPr>
      <w:rFonts w:ascii="Liberation Mono;Courier New" w:hAnsi="Liberation Mono;Courier New" w:eastAsia="NSimSun" w:cs="Liberation Mono;Courier New"/>
      <w:sz w:val="20"/>
      <w:szCs w:val="20"/>
    </w:rPr>
  </w:style>
  <w:style w:type="paragraph" w:styleId="rvps4" w:customStyle="1">
    <w:name w:val="rvps4"/>
    <w:basedOn w:val="Normal"/>
    <w:qFormat/>
    <w:pPr>
      <w:widowControl/>
      <w:suppressAutoHyphens w:val="false"/>
      <w:spacing w:before="280" w:after="280"/>
    </w:pPr>
    <w:rPr>
      <w:rFonts w:eastAsia="Times New Roman" w:cs="Times New Roman"/>
      <w:kern w:val="0"/>
      <w:sz w:val="24"/>
      <w:lang w:bidi="ar-SA"/>
    </w:rPr>
  </w:style>
  <w:style w:type="paragraph" w:styleId="NormalWeb">
    <w:name w:val="Normal (Web)"/>
    <w:basedOn w:val="Normal"/>
    <w:qFormat/>
    <w:pPr>
      <w:spacing w:beforeAutospacing="1" w:afterAutospacing="1"/>
    </w:pPr>
    <w:rPr>
      <w:rFonts w:eastAsia="Times New Roman" w:cs="Times New Roman"/>
      <w:sz w:val="24"/>
      <w:lang w:eastAsia="ru-RU"/>
    </w:rPr>
  </w:style>
  <w:style w:type="paragraph" w:styleId="NoSpacing">
    <w:name w:val="No Spacing"/>
    <w:qFormat/>
    <w:pPr>
      <w:widowControl/>
      <w:suppressAutoHyphens w:val="true"/>
      <w:bidi w:val="0"/>
      <w:spacing w:before="0" w:after="0"/>
      <w:jc w:val="left"/>
    </w:pPr>
    <w:rPr>
      <w:rFonts w:ascii="Liberation Serif" w:hAnsi="Liberation Serif" w:eastAsia="NSimSun" w:cs="Calibri"/>
      <w:color w:val="auto"/>
      <w:kern w:val="0"/>
      <w:sz w:val="24"/>
      <w:szCs w:val="24"/>
      <w:lang w:val="uk-UA" w:eastAsia="zh-CN" w:bidi="hi-IN"/>
    </w:rPr>
  </w:style>
  <w:style w:type="paragraph" w:styleId="23" w:customStyle="1">
    <w:name w:val="Без интервала2"/>
    <w:qFormat/>
    <w:pPr>
      <w:widowControl/>
      <w:suppressAutoHyphens w:val="true"/>
      <w:bidi w:val="0"/>
      <w:spacing w:before="0" w:after="0"/>
      <w:jc w:val="left"/>
    </w:pPr>
    <w:rPr>
      <w:rFonts w:ascii="Liberation Serif" w:hAnsi="Liberation Serif" w:eastAsia="Times New Roman" w:cs="Arial"/>
      <w:color w:val="auto"/>
      <w:kern w:val="0"/>
      <w:sz w:val="24"/>
      <w:szCs w:val="24"/>
      <w:lang w:val="ru-RU" w:eastAsia="ru-RU" w:bidi="hi-IN"/>
    </w:rPr>
  </w:style>
  <w:style w:type="paragraph" w:styleId="Style20" w:customStyle="1">
    <w:name w:val="Верхній і нижній колонтитули"/>
    <w:basedOn w:val="Normal"/>
    <w:qFormat/>
    <w:pPr>
      <w:suppressLineNumbers/>
      <w:tabs>
        <w:tab w:val="clear" w:pos="708"/>
        <w:tab w:val="center" w:pos="4677" w:leader="none"/>
        <w:tab w:val="right" w:pos="9354" w:leader="none"/>
      </w:tabs>
    </w:pPr>
    <w:rPr/>
  </w:style>
  <w:style w:type="paragraph" w:styleId="Header">
    <w:name w:val="Header"/>
    <w:basedOn w:val="Style20"/>
    <w:link w:val="Style13"/>
    <w:uiPriority w:val="99"/>
    <w:pPr/>
    <w:rPr/>
  </w:style>
  <w:style w:type="paragraph" w:styleId="Footer">
    <w:name w:val="Footer"/>
    <w:basedOn w:val="Normal"/>
    <w:link w:val="Style12"/>
    <w:uiPriority w:val="99"/>
    <w:unhideWhenUsed/>
    <w:rsid w:val="00ce7fe9"/>
    <w:pPr>
      <w:tabs>
        <w:tab w:val="clear" w:pos="708"/>
        <w:tab w:val="center" w:pos="4819" w:leader="none"/>
        <w:tab w:val="right" w:pos="9639" w:leader="none"/>
      </w:tabs>
    </w:pPr>
    <w:rPr>
      <w:rFonts w:cs="Mangal"/>
    </w:rPr>
  </w:style>
  <w:style w:type="numbering" w:styleId="Style21" w:default="1">
    <w:name w:val="Без маркерів"/>
    <w:uiPriority w:val="99"/>
    <w:semiHidden/>
    <w:unhideWhenUsed/>
    <w:qFormat/>
  </w:style>
  <w:style w:type="numbering" w:styleId="WW8Num1" w:customStyle="1">
    <w:name w:val="WW8Num1"/>
    <w:qFormat/>
  </w:style>
  <w:style w:type="numbering" w:styleId="WW8Num2" w:customStyle="1">
    <w:name w:val="WW8Num2"/>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Офіс">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TotalTime>
  <Application>LibreOffice/24.2.4.2$Windows_X86_64 LibreOffice_project/51a6219feb6075d9a4c46691dcfe0cd9c4fff3c2</Application>
  <AppVersion>15.0000</AppVersion>
  <Pages>6</Pages>
  <Words>1720</Words>
  <Characters>11404</Characters>
  <CharactersWithSpaces>13226</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2024-07-02T07:18:00Z</dcterms:created>
  <dc:creator>Ірина Демидюк</dc:creator>
  <dc:description/>
  <dc:language>uk-UA</dc:language>
  <cp:lastModifiedBy/>
  <cp:lastPrinted>2023-03-14T14:00:00Z</cp:lastPrinted>
  <dcterms:modified xsi:type="dcterms:W3CDTF">2024-07-05T15:35:43Z</dcterms:modified>
  <cp:revision>11</cp:revision>
  <dc:subject/>
  <dc:title> </dc:title>
</cp:coreProperties>
</file>

<file path=docProps/custom.xml><?xml version="1.0" encoding="utf-8"?>
<Properties xmlns="http://schemas.openxmlformats.org/officeDocument/2006/custom-properties" xmlns:vt="http://schemas.openxmlformats.org/officeDocument/2006/docPropsVTypes"/>
</file>