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color w:val="000000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Додаток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туризму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Луцької міської територіальної </w:t>
        <w:tab/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  <w:lang w:val="en-US"/>
        </w:rPr>
        <w:tab/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>громади на 2024–2025 роки</w:t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b/>
          <w:bCs/>
          <w:highlight w:val="darkGreen"/>
        </w:rPr>
      </w:r>
    </w:p>
    <w:p>
      <w:pPr>
        <w:pStyle w:val="Normal"/>
        <w:jc w:val="center"/>
        <w:rPr>
          <w:b/>
          <w:b/>
          <w:bCs/>
          <w:highlight w:val="darkGree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Програми розвитку туризму 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3950" w:type="dxa"/>
        <w:jc w:val="left"/>
        <w:tblInd w:w="6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1840"/>
        <w:gridCol w:w="7"/>
        <w:gridCol w:w="2346"/>
        <w:gridCol w:w="25"/>
        <w:gridCol w:w="1433"/>
        <w:gridCol w:w="40"/>
        <w:gridCol w:w="2073"/>
        <w:gridCol w:w="3"/>
        <w:gridCol w:w="14"/>
        <w:gridCol w:w="1738"/>
        <w:gridCol w:w="1021"/>
        <w:gridCol w:w="727"/>
        <w:gridCol w:w="2115"/>
      </w:tblGrid>
      <w:tr>
        <w:trPr/>
        <w:tc>
          <w:tcPr>
            <w:tcW w:w="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 xml:space="preserve">№ </w:t>
            </w:r>
            <w:r>
              <w:rPr>
                <w:rFonts w:ascii="Times New Roman" w:hAnsi="Times New Roman"/>
                <w:b/>
                <w:color w:val="000000"/>
                <w:lang w:eastAsia="uk-UA"/>
              </w:rPr>
              <w:t>з/п</w:t>
            </w:r>
          </w:p>
        </w:tc>
        <w:tc>
          <w:tcPr>
            <w:tcW w:w="18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завдання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  <w:highlight w:val="red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Назва заходів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Терміни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виконання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Виконавці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Джерела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Орієнтовні обсяги фінансування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color w:val="000000"/>
                <w:lang w:eastAsia="uk-UA"/>
              </w:rPr>
              <w:t>(тис. грн)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b/>
                <w:bCs/>
              </w:rPr>
              <w:t>Результативні показники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1.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97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ефективного управління туристичною галуззю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1.1. Проведення маркетингових досліджень та моніторингу туристичних потоків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Отримання статистичних даних, які відображають стан галузі у Луцькій міській територіальній громаді: туристичні потоки та їх динаміку, профіль туриста, економічні показники діяльності галузі туризму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1.2. Створення Стратегії туристичного розвитку Луцька на 2026–2030 роки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Визначеність шляху розвитку Луцької міської територіальної громади  як туристичної дестинації, забезпечення системного розвитку туризму як її важливої стратегічної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1.3. Проведення аудиту об'єктів туристичної сфери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Отримання достовірних актуальних даних про кількість об'єктів туристичного інтересу, їхній стан, та доступність для маломобільних груп населення; оновлений перелік закладів </w:t>
            </w:r>
            <w:r>
              <w:rPr>
                <w:rFonts w:ascii="Times New Roman" w:hAnsi="Times New Roman"/>
                <w:lang w:val="en-US"/>
              </w:rPr>
              <w:t>HORECA,</w:t>
            </w:r>
            <w:r>
              <w:rPr>
                <w:rFonts w:ascii="Times New Roman" w:hAnsi="Times New Roman"/>
              </w:rPr>
              <w:t xml:space="preserve"> моніторинг закладів розміщення, що сплачують туристичний збір,   туристичних агентств, що займаються внутрішнім туризмом тощо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1.4. Заходи з впорядкування туристично-екскурсійної діяльності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Затвердження єдиних правил ведення екскурсійної діяльності, видача ідентифікаційної професійної картки екскурсовода/гіда-перекладача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1.5. Створення рекомендацій для представників сфери гостинності та балансоутримувачів туристичних об'єктів  щодо покращення рівня доступності для маломобільних груп туристів та мешканців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профільні громадські організації,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фонди, окремі фахівці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Впровадження рекомендацій національної стратегії зі створення безбар'єрного простору у туристичну сферу громади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  <w:lang w:eastAsia="uk-UA"/>
              </w:rPr>
              <w:t>2.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Маркетинг та промоція Луцької міської територіальної громади</w:t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2.1. Цифрове просування дестинації із використанням таргетованої реклами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150,00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Збільшення видимості Луцької міської територіальної громади як туристичної дестинації на онлайн-ресурсах та в медійному просторі цільових аудиторій.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2.2. Створення та купівля якісного фото та відеоконтенту як ефективного способу промоції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Поширення промоційних фото та відеоматеріалів з позитивною інформацією про громаду, події, особистості, пов'язані з нею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2.3. Розробка, дизайн, виготовлення та придбання промоційної поліграфічної та сувенірної продукції українською та іноземними мовами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Підтримка єдиного стилю сувенірної та поліграфічної продукції, що сприятиме популяризації та впізнаваності бренду міста; друк туристичної карти-схеми Луцької територіальної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2.4. Організація та проведення престурів, презентацій для вітчизняних та закордонних ЗМІ,  блогерів, фамтурів для туристичних операторів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управління інформаційної роботи,  КП «Центр розвитку туризму», музеї міста,  Адміністрація державного історико-культурного заповідника у м. Луцьку (за згодою), заклади HoReCa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та поширення промоційних повідомлень в інформаційному просторі України та закордоном (ЗМІ, інтернет ресурси);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нових туристичних потоків та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2.5. Організація, проведення,  координація і участь у подіях (туристичних виставках, форумах, презентаціях, конференціях, круглих столах, майстер-класах, лекціях тощо) в Україні і за кордоном, спрямованих на поширення знань про громаду, її історико-культурну спадщину, туристичний потенціал тощо.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Оплата проїзду та відрядних витрат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сприятливого простору для пошуку партнерів, обміну досвідом та налагодження співпраці у туристичній сфері.</w:t>
            </w:r>
          </w:p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Формування позитивного іміджу громади у туристів, туропер</w:t>
            </w:r>
            <w:r>
              <w:rPr>
                <w:rFonts w:ascii="Times New Roman" w:hAnsi="Times New Roman"/>
                <w:color w:val="000000"/>
                <w:lang w:val="en-US"/>
              </w:rPr>
              <w:t>аторів</w:t>
            </w:r>
            <w:r>
              <w:rPr>
                <w:rFonts w:ascii="Times New Roman" w:hAnsi="Times New Roman"/>
                <w:color w:val="000000"/>
              </w:rPr>
              <w:t xml:space="preserve"> та турагентів, а також поширення інформації про її туристичні ресурси на внутрішньому та міжнародному туристичних ринках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2.6. Школа луцькознавства</w:t>
            </w:r>
          </w:p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департамент молоді і спорту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40,00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Виховання патріотизму, поширення знань про Луцьку міську територіальну громаду, виховання свідомих лучан,затвердження положення   «Про амбасадорів Луцька»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2.7. Підтримка і розвиток проєкту «Луцький кликун»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135,00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/>
            </w:pPr>
            <w:r>
              <w:rPr>
                <w:rFonts w:ascii="Times New Roman" w:hAnsi="Times New Roman"/>
                <w:color w:val="000000"/>
              </w:rPr>
              <w:t>Популяризація образу міського героя – луцького клик</w:t>
            </w:r>
            <w:r>
              <w:rPr>
                <w:rFonts w:ascii="Times New Roman" w:hAnsi="Times New Roman"/>
                <w:color w:val="000000"/>
                <w:lang w:val="uk-UA" w:eastAsia="zh-CN" w:bidi="hi-IN"/>
              </w:rPr>
              <w:t>уна. Оплата праці луцького кликуна. Проведення Дня кликуна, виготовлення нового вз</w:t>
            </w:r>
            <w:r>
              <w:rPr>
                <w:rFonts w:ascii="Times New Roman" w:hAnsi="Times New Roman"/>
                <w:color w:val="000000"/>
              </w:rPr>
              <w:t>уття, ремонт костюму. Встановлення нових скульптур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2.8.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lang w:eastAsia="uk-UA"/>
              </w:rPr>
              <w:t>Розвиток Луцька як місця проведення креативних резиденцій за участю письменників, скульпторів, композиторів, музикантів, художників, архітекторів, науковців, дослідників тощо. Забезпечення перебування учасників резиденцій у місті (проживання, харчування, презентаційні витрати).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заклади HoReCa (за згодою) та ін.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pacing w:lineRule="auto" w:line="240"/>
              <w:ind w:left="-46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Сприяння поширенню позитивної інформації про 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Луцьку міську територіальну  громаду у творах сучасних популярних </w:t>
            </w:r>
            <w:r>
              <w:rPr>
                <w:rFonts w:ascii="Times New Roman" w:hAnsi="Times New Roman"/>
                <w:strike w:val="false"/>
                <w:dstrike w:val="false"/>
                <w:color w:val="000000"/>
                <w:lang w:eastAsia="uk-UA"/>
              </w:rPr>
              <w:t>авторів.</w:t>
            </w:r>
            <w:r>
              <w:rPr>
                <w:rFonts w:ascii="Times New Roman" w:hAnsi="Times New Roman"/>
                <w:b/>
                <w:bCs/>
                <w:strike/>
                <w:color w:val="000000"/>
                <w:lang w:eastAsia="uk-U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</w:rPr>
              <w:t>Сприяння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 поширенню позитивної інформації про місто і громаду,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left"/>
              <w:rPr>
                <w:color w:val="CE181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творче переосмислення міських просторів і перетворення їх на популярні туристичні маршрути.</w:t>
            </w:r>
          </w:p>
          <w:p>
            <w:pPr>
              <w:pStyle w:val="Normal"/>
              <w:spacing w:lineRule="auto" w:line="240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Створення нових мистецьких творів (книги, музичні твори, художні полотна, скульптури, виставки  тощо) про Луцьк та громаду, а також наукових розвідок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і досліджень.</w:t>
            </w:r>
          </w:p>
          <w:p>
            <w:pPr>
              <w:pStyle w:val="Normal"/>
              <w:widowControl w:val="false"/>
              <w:suppressLineNumbers/>
              <w:spacing w:lineRule="auto" w:line="240"/>
              <w:ind w:left="-46" w:hanging="0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Продовження реалізації проєкту Луцька літературна резиденція </w:t>
            </w:r>
            <w:r>
              <w:rPr>
                <w:rStyle w:val="Style15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Місто натхнення</w:t>
            </w:r>
            <w:r>
              <w:rPr>
                <w:rStyle w:val="Style15"/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100,00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2.9. Проведення заходу «Артпроменад “Так звучить Луцьк”»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департамент культури, Волинська обласна філармонія, Волинський коледж культури і мистецтв імені І.Ф. Стравінського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120,00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Популяризація туристичного потенціалу Луцька, організація дозвілля лучан та туристів, популяризація мистецького потенціалу, збільшення кількості туристів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60,00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2.10. Відзначення Дня туризму (проведення інтелектуальних ігор для закладів освіти громади,  інших тематичних заходів, нагородження представників туристичного активу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освіти,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громадські організації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Консолідація представників туристичного ринку, популяризація туристичного потенціалу громади, поширення знань про неї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tabs>
                <w:tab w:val="left" w:pos="5580" w:leader="none"/>
              </w:tabs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2.11. Підтримка громадських ініціатив, спрямованих на підвищення туристичної привабливості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Участь громади у розвитку туристичної галузі. Створення у мешканців відчуття співучасті та відповідальності за розвиток громади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Розвиток туристичної інфраструктури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3.1. Оновлення та вдосконалення системи туристичного ознакування. 3D сканування пам’яток архітектури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1200,00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Створення сприятливих умов для орієнтування  в межах Луцької міської територіальної громади (оновлення існуючої системи туристичного ознакування згідно з розробленою концепцією, встановлення нових туристичних знаків, вказівників, інформаційних таблиць)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80,00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60,00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3.2. Долучення до всеукраїнського проєкту «Стріткод»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Посилення  історичної просвіти, популяризація історії, декомунізація історичної свідомості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3.3. Підвищення рівня доступності туристичних об’єктів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профільні громадські організації, фонди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об’ємних макетів туристичних об’єктів для незрячих і слабозорих, забезпечення сервісів на туристичних об’єктах для нечуючих та незрячих (аудіогіди, написи шрифтом Брайля)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 xml:space="preserve">Співпраця з експертами з доступності, представниками туристичного середовища, людьми з інвалідністю, втілення нових ініціатив. 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Грантові кошти (УКФ, ЄС,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ООН)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3.4. Розвиток болотно-водних ландшафтів у контексті зелено-блакитної міської інфраструктури та популяризація екологічних туристичних маршрутів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відділ екології, КП «Парки і сквери м. Луцька», профільні громадські організації, фонди, окремі фахівці тощо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bidi="ar-SA"/>
              </w:rPr>
              <w:t>Створення ознакування, облаштування нових туристичних маршрутів по зелених зонах територіальної громади (Кічкарівські ставки, Гнідавське болото, річка Стир тощо)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bidi="ar-SA"/>
              </w:rPr>
              <w:t>.</w:t>
            </w:r>
          </w:p>
          <w:p>
            <w:pPr>
              <w:pStyle w:val="Normal"/>
              <w:widowControl w:val="false"/>
              <w:suppressLineNumbers/>
              <w:shd w:val="clear" w:color="auto" w:fill="FFFFFF"/>
              <w:ind w:left="0" w:hanging="0"/>
              <w:rPr>
                <w:strike w:val="false"/>
                <w:dstrike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lang w:bidi="ar-SA"/>
              </w:rPr>
              <w:t>С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trike w:val="false"/>
                <w:dstrike w:val="false"/>
                <w:color w:val="000000"/>
                <w:sz w:val="24"/>
                <w:szCs w:val="24"/>
                <w:lang w:bidi="ar-SA"/>
              </w:rPr>
              <w:t>творення ескізних пропозицій, концепцій розвитку рекреаційних зон.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250,00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3.5. Розвиток зеленого туризму в Луцькій міській територіальній громаді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старости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Проведення інформаційно-просвітницької роботи щодо створення зелених садиб у громаді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Підвищення професійного рівня працівників  сфери гостинності;</w:t>
            </w:r>
          </w:p>
          <w:p>
            <w:pPr>
              <w:pStyle w:val="Normal"/>
              <w:widowControl w:val="false"/>
              <w:suppressLineNumbers/>
              <w:ind w:left="0" w:right="-56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поліпшення якості комунікацій у сфері туризму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4.1. Проведення заходів з підготовки, перепідготовки та підвищення кваліфікації  гідів.</w:t>
            </w:r>
          </w:p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Забезпечення функціонування школи гідів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вищі навчальні заклади міста, Луцький центр зайнятості (за згодою), профільні громадські організації,  окремі фахівці</w:t>
            </w:r>
          </w:p>
          <w:p>
            <w:pPr>
              <w:pStyle w:val="Normal"/>
              <w:widowControl w:val="false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50,00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50,00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Підготовка кваліфікованих гідів, підвищення якості надання екскурсійних послуг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4.2. Проведення зустрічей, семінарів, майстер-класів для представників готельного та ресторанного бізнесу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 КП «Центр розвитку туризму», департамент економічної політики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Сприяння підвищенню рівня обслуговування туристів у закладах харчування, проживання тощо; створення нових туристичних продуктів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; </w:t>
            </w:r>
            <w:r>
              <w:rPr>
                <w:rFonts w:ascii="Times New Roman" w:hAnsi="Times New Roman"/>
                <w:color w:val="000000"/>
              </w:rPr>
              <w:t>підвищення свідомості  представників суб'єктів сфери гостинності щодо важливості створення фізичної безбар'єрності простору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4.3. Співпраця з  Адміністрацією державного історико-культурного заповідника у м. Луцьку, музеями, навчальними закладами Луцької міської територіальної громади, ГС «Туристичний альянс Луцька»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20,00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20,00</w:t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діалогу з представниками туристичного ринку, створення нових туристичних продуктів; залучення науковців та студентів ВНЗ до розвитку туристичної галузі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4.4. Координація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ind w:left="0" w:right="-198" w:hanging="0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 xml:space="preserve"> </w:t>
            </w:r>
            <w:r>
              <w:rPr>
                <w:lang w:eastAsia="uk-UA"/>
              </w:rPr>
              <w:t>роботи з</w:t>
            </w:r>
            <w:r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туризму». Проведення заходів з дослідження міського простору для різних цільових категорій. Проведення презентацій, виставок, пов'язаних із історією, культурою та розвитком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0" w:right="-198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КП «Центр розвитку туризму»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Розробка туристичних маршрутів та продукції спільно з Центром туристичної інформації та послуг.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роведення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тематичних </w:t>
            </w:r>
            <w:r>
              <w:rPr>
                <w:rFonts w:ascii="Times New Roman" w:hAnsi="Times New Roman"/>
                <w:color w:val="000000"/>
                <w:lang w:eastAsia="ru-RU"/>
              </w:rPr>
              <w:t>лекцій,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 спрямованих на поширення знань про місто, його історико-культурну спадщину, локальну та національну ідентичність в Музейному просторі </w:t>
            </w:r>
            <w:r>
              <w:rPr>
                <w:rFonts w:ascii="Times New Roman" w:hAnsi="Times New Roman"/>
                <w:color w:val="000000"/>
                <w:lang w:eastAsia="uk-UA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>Окольний замок</w:t>
            </w:r>
            <w:r>
              <w:rPr>
                <w:rFonts w:ascii="Times New Roman" w:hAnsi="Times New Roman"/>
                <w:color w:val="000000"/>
                <w:lang w:eastAsia="uk-UA"/>
              </w:rPr>
              <w:t>».</w:t>
            </w:r>
          </w:p>
          <w:p>
            <w:pPr>
              <w:pStyle w:val="Normal"/>
              <w:widowControl w:val="false"/>
              <w:suppressLineNumbers/>
              <w:suppressAutoHyphens w:val="false"/>
              <w:snapToGrid w:val="false"/>
              <w:ind w:left="11" w:right="-90" w:hanging="0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lang w:bidi="ar-SA"/>
              </w:rPr>
              <w:t xml:space="preserve">Поширення інформації про брендоутворюючу подію З'їзд європейських монархів. 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3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ind w:left="-18" w:right="-9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4.5. Розширення співпраці з містами-побратимами і партнерськими регіонами щодо реалізації туристичних проєктів та обмінів</w:t>
            </w:r>
          </w:p>
        </w:tc>
        <w:tc>
          <w:tcPr>
            <w:tcW w:w="14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uppressAutoHyphens w:val="false"/>
              <w:ind w:left="-250" w:right="-131" w:hanging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не потребує фінансування</w:t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6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Налагодження комунікації з містами-побратимами та партнерськими регіонами, визначення напрямків співпраці</w:t>
            </w:r>
          </w:p>
        </w:tc>
      </w:tr>
      <w:tr>
        <w:trPr/>
        <w:tc>
          <w:tcPr>
            <w:tcW w:w="56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</w:t>
            </w:r>
          </w:p>
        </w:tc>
        <w:tc>
          <w:tcPr>
            <w:tcW w:w="184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Інші проєкти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11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5.1. Проведення інших заходів, що сприятимуть підвищенню  туристичної привабливості дестинації; підготовка грантових проєктів пріоритетних для галузі туризму громади</w:t>
            </w:r>
          </w:p>
        </w:tc>
        <w:tc>
          <w:tcPr>
            <w:tcW w:w="1458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Щороку</w:t>
            </w:r>
          </w:p>
        </w:tc>
        <w:tc>
          <w:tcPr>
            <w:tcW w:w="2130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туризму та промоції міста,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управління міжнародного співробітництва та проектної діяльності,    громадські організації, фонди (за згодою)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40" w:hanging="0"/>
              <w:jc w:val="center"/>
              <w:rPr>
                <w:rFonts w:ascii="Times New Roman" w:hAnsi="Times New Roman"/>
                <w:color w:val="000000"/>
                <w:highlight w:val="darkCyan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бюджету громади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70,00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70,00</w:t>
            </w:r>
          </w:p>
        </w:tc>
        <w:tc>
          <w:tcPr>
            <w:tcW w:w="21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Залучення додаткових коштів для підвищення туристичної привабливості дестинації, залучення фахівців до написання грантових проєктів</w:t>
            </w:r>
          </w:p>
        </w:tc>
      </w:tr>
      <w:tr>
        <w:trPr/>
        <w:tc>
          <w:tcPr>
            <w:tcW w:w="56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84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</w:tc>
        <w:tc>
          <w:tcPr>
            <w:tcW w:w="235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18" w:right="-90" w:hanging="0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458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2130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ind w:left="-108" w:right="-131" w:hanging="0"/>
              <w:jc w:val="center"/>
              <w:rPr>
                <w:rFonts w:ascii="Times New Roman" w:hAnsi="Times New Roman"/>
                <w:color w:val="000000"/>
                <w:highlight w:val="darkCy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кошти інших джерел</w:t>
            </w:r>
          </w:p>
        </w:tc>
        <w:tc>
          <w:tcPr>
            <w:tcW w:w="1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2024 – 30,00</w:t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uppressLineNumbers/>
              <w:snapToGrid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2025 – 30,00</w:t>
            </w:r>
          </w:p>
        </w:tc>
        <w:tc>
          <w:tcPr>
            <w:tcW w:w="21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LineNumbers/>
              <w:snapToGrid w:val="false"/>
              <w:ind w:left="-46" w:hanging="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87" w:hRule="atLeast"/>
        </w:trPr>
        <w:tc>
          <w:tcPr>
            <w:tcW w:w="8330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Всього за роками:</w:t>
            </w:r>
          </w:p>
        </w:tc>
        <w:tc>
          <w:tcPr>
            <w:tcW w:w="277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LineNumbers/>
              <w:suppressAutoHyphens w:val="false"/>
              <w:ind w:left="-40" w:hanging="0"/>
              <w:jc w:val="center"/>
              <w:rPr>
                <w:rFonts w:ascii="Times New Roman" w:hAnsi="Times New Roman"/>
                <w:b/>
                <w:b/>
                <w:color w:val="000000"/>
                <w:lang w:eastAsia="uk-UA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eastAsia="uk-UA"/>
              </w:rPr>
              <w:t>Кошти бюджету громади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/>
                <w:b/>
                <w:b/>
                <w:bCs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Кошти інших джерел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2024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3530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850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2025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6"/>
                <w:szCs w:val="26"/>
                <w:lang w:val="en-US" w:bidi="ar-SA"/>
              </w:rPr>
              <w:t>1845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val="en-US" w:eastAsia="uk-UA"/>
              </w:rPr>
              <w:t>1190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  <w:tr>
        <w:trPr>
          <w:trHeight w:val="315" w:hRule="atLeast"/>
        </w:trPr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18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sz w:val="26"/>
                <w:szCs w:val="26"/>
                <w:lang w:eastAsia="uk-UA"/>
              </w:rPr>
            </w:r>
          </w:p>
        </w:tc>
        <w:tc>
          <w:tcPr>
            <w:tcW w:w="23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Times New Roman"/>
                <w:color w:val="000000"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  <w:lang w:eastAsia="uk-UA"/>
              </w:rPr>
            </w:r>
          </w:p>
        </w:tc>
        <w:tc>
          <w:tcPr>
            <w:tcW w:w="20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 w:eastAsia="Times New Roman"/>
                <w:b/>
                <w:b/>
                <w:bCs/>
                <w:sz w:val="26"/>
                <w:szCs w:val="26"/>
                <w:lang w:eastAsia="uk-UA"/>
              </w:rPr>
            </w:pPr>
            <w:r>
              <w:rPr>
                <w:rFonts w:eastAsia="Times New Roman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РАЗОМ:</w:t>
            </w:r>
          </w:p>
        </w:tc>
        <w:tc>
          <w:tcPr>
            <w:tcW w:w="277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6"/>
                <w:szCs w:val="26"/>
                <w:lang w:val="en-US" w:bidi="ar-SA"/>
              </w:rPr>
              <w:t>5375</w:t>
            </w: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,0</w:t>
            </w:r>
          </w:p>
        </w:tc>
        <w:tc>
          <w:tcPr>
            <w:tcW w:w="284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</w:rPr>
            </w:pP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val="en-US" w:eastAsia="uk-UA"/>
              </w:rPr>
              <w:t>2040</w:t>
            </w:r>
            <w:r>
              <w:rPr>
                <w:rFonts w:eastAsia="Times New Roman" w:cs="Calibri" w:ascii="Times New Roman" w:hAnsi="Times New Roman"/>
                <w:b/>
                <w:bCs/>
                <w:color w:val="000000"/>
                <w:sz w:val="26"/>
                <w:szCs w:val="26"/>
                <w:lang w:eastAsia="uk-UA"/>
              </w:rPr>
              <w:t>,0</w:t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</w:r>
    </w:p>
    <w:p>
      <w:pPr>
        <w:pStyle w:val="Normal"/>
        <w:ind w:left="142" w:hanging="0"/>
        <w:jc w:val="both"/>
        <w:rPr/>
      </w:pPr>
      <w:r>
        <w:rPr>
          <w:rFonts w:ascii="Times New Roman" w:hAnsi="Times New Roman"/>
          <w:color w:val="000000"/>
          <w:lang w:eastAsia="uk-UA"/>
        </w:rPr>
        <w:t>Теліпська 777 924</w:t>
      </w:r>
    </w:p>
    <w:sectPr>
      <w:headerReference w:type="default" r:id="rId2"/>
      <w:type w:val="nextPage"/>
      <w:pgSz w:orient="landscape" w:w="16838" w:h="11906"/>
      <w:pgMar w:left="1701" w:right="567" w:header="680" w:top="1134" w:footer="0" w:bottom="17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ind w:left="11" w:hanging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7073de"/>
    <w:rPr>
      <w:color w:val="00000A"/>
      <w:sz w:val="24"/>
      <w:szCs w:val="21"/>
    </w:rPr>
  </w:style>
  <w:style w:type="character" w:styleId="Style15">
    <w:name w:val="Виділення"/>
    <w:qFormat/>
    <w:rPr>
      <w:i/>
      <w:iCs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5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6">
    <w:name w:val="Footer"/>
    <w:basedOn w:val="Normal"/>
    <w:uiPriority w:val="99"/>
    <w:unhideWhenUsed/>
    <w:rsid w:val="007073de"/>
    <w:pPr>
      <w:tabs>
        <w:tab w:val="center" w:pos="4819" w:leader="none"/>
        <w:tab w:val="right" w:pos="9639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Application>LibreOffice/5.4.2.2$Windows_x86 LibreOffice_project/22b09f6418e8c2d508a9eaf86b2399209b0990f4</Application>
  <Pages>14</Pages>
  <Words>1638</Words>
  <Characters>11871</Characters>
  <CharactersWithSpaces>13378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2023-11-28T10:08:00Z</dcterms:created>
  <dc:creator>Ірина Демидюк</dc:creator>
  <dc:description/>
  <dc:language>uk-UA</dc:language>
  <cp:lastModifiedBy/>
  <cp:lastPrinted>2024-05-08T10:08:04Z</cp:lastPrinted>
  <dcterms:modified xsi:type="dcterms:W3CDTF">2024-07-11T10:00:36Z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