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8"/>
          <w:szCs w:val="28"/>
        </w:rPr>
      </w:pPr>
      <w:r>
        <w:rPr/>
        <w:object w:dxaOrig="2812" w:dyaOrig="2989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264074983" r:id="rId2"/>
        </w:object>
      </w:r>
    </w:p>
    <w:p>
      <w:pPr>
        <w:pStyle w:val="Heading1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Heading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 w:val="false"/>
          <w:sz w:val="12"/>
          <w:szCs w:val="12"/>
        </w:rPr>
      </w:pPr>
      <w:r>
        <w:rPr>
          <w:b/>
          <w:bCs w:val="false"/>
          <w:sz w:val="12"/>
          <w:szCs w:val="12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Луцьк                                         №______________</w:t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12"/>
          <w:szCs w:val="12"/>
        </w:rPr>
        <w:t xml:space="preserve">                     </w:t>
      </w:r>
    </w:p>
    <w:p>
      <w:pPr>
        <w:pStyle w:val="Normal"/>
        <w:tabs>
          <w:tab w:val="clear" w:pos="708"/>
          <w:tab w:val="left" w:pos="5040" w:leader="none"/>
          <w:tab w:val="left" w:pos="5529" w:leader="none"/>
        </w:tabs>
        <w:jc w:val="both"/>
        <w:rPr/>
      </w:pPr>
      <w:r>
        <w:rPr>
          <w:szCs w:val="28"/>
        </w:rPr>
        <w:t xml:space="preserve">Про </w:t>
      </w:r>
      <w:r>
        <w:rPr>
          <w:sz w:val="24"/>
          <w:szCs w:val="24"/>
        </w:rPr>
        <w:t xml:space="preserve">  </w:t>
      </w:r>
      <w:r>
        <w:rPr>
          <w:szCs w:val="28"/>
        </w:rPr>
        <w:t xml:space="preserve">надання </w:t>
      </w:r>
      <w:r>
        <w:rPr>
          <w:sz w:val="24"/>
          <w:szCs w:val="24"/>
        </w:rPr>
        <w:t xml:space="preserve"> 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Департаменту </w:t>
      </w: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  <w:t xml:space="preserve"> 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патрульної</w:t>
      </w:r>
    </w:p>
    <w:p>
      <w:pPr>
        <w:pStyle w:val="Normal"/>
        <w:tabs>
          <w:tab w:val="clear" w:pos="708"/>
          <w:tab w:val="left" w:pos="5040" w:leader="none"/>
          <w:tab w:val="left" w:pos="5529" w:leader="none"/>
        </w:tabs>
        <w:jc w:val="both"/>
        <w:rPr/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поліції  </w:t>
      </w:r>
      <w:r>
        <w:rPr>
          <w:szCs w:val="28"/>
        </w:rPr>
        <w:t xml:space="preserve">дозволу </w:t>
      </w:r>
      <w:r>
        <w:rPr>
          <w:sz w:val="24"/>
          <w:szCs w:val="24"/>
        </w:rPr>
        <w:t xml:space="preserve"> </w:t>
      </w:r>
      <w:r>
        <w:rPr>
          <w:szCs w:val="28"/>
        </w:rPr>
        <w:t xml:space="preserve">на </w:t>
      </w:r>
      <w:r>
        <w:rPr>
          <w:sz w:val="24"/>
          <w:szCs w:val="24"/>
        </w:rPr>
        <w:t xml:space="preserve"> </w:t>
      </w:r>
      <w:r>
        <w:rPr>
          <w:szCs w:val="28"/>
        </w:rPr>
        <w:t>розроблення  проєкту</w:t>
      </w:r>
    </w:p>
    <w:p>
      <w:pPr>
        <w:pStyle w:val="Normal"/>
        <w:tabs>
          <w:tab w:val="clear" w:pos="708"/>
          <w:tab w:val="left" w:pos="5040" w:leader="none"/>
          <w:tab w:val="left" w:pos="5529" w:leader="none"/>
        </w:tabs>
        <w:jc w:val="both"/>
        <w:rPr/>
      </w:pPr>
      <w:r>
        <w:rPr>
          <w:szCs w:val="28"/>
        </w:rPr>
        <w:t>землеустрою  щодо  відведення</w:t>
      </w:r>
      <w:r>
        <w:rPr>
          <w:sz w:val="30"/>
          <w:szCs w:val="30"/>
        </w:rPr>
        <w:t xml:space="preserve"> </w:t>
      </w:r>
      <w:r>
        <w:rPr>
          <w:sz w:val="28"/>
          <w:szCs w:val="28"/>
        </w:rPr>
        <w:t>земельної</w:t>
      </w:r>
    </w:p>
    <w:p>
      <w:pPr>
        <w:pStyle w:val="Normal"/>
        <w:tabs>
          <w:tab w:val="clear" w:pos="708"/>
          <w:tab w:val="left" w:pos="5040" w:leader="none"/>
        </w:tabs>
        <w:jc w:val="both"/>
        <w:rPr/>
      </w:pPr>
      <w:r>
        <w:rPr>
          <w:sz w:val="28"/>
          <w:szCs w:val="28"/>
        </w:rPr>
        <w:t>ділянки</w:t>
      </w:r>
      <w:r>
        <w:rPr>
          <w:sz w:val="24"/>
          <w:szCs w:val="24"/>
        </w:rPr>
        <w:t xml:space="preserve">    </w:t>
      </w:r>
      <w:r>
        <w:rPr>
          <w:sz w:val="28"/>
          <w:szCs w:val="28"/>
        </w:rPr>
        <w:t>для</w:t>
      </w:r>
      <w:r>
        <w:rPr>
          <w:sz w:val="24"/>
          <w:szCs w:val="24"/>
        </w:rPr>
        <w:t xml:space="preserve">   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розміщення   та   постійної</w:t>
      </w:r>
    </w:p>
    <w:p>
      <w:pPr>
        <w:pStyle w:val="Normal"/>
        <w:tabs>
          <w:tab w:val="clear" w:pos="708"/>
          <w:tab w:val="left" w:pos="5529" w:leader="none"/>
        </w:tabs>
        <w:jc w:val="both"/>
        <w:rPr/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діяльності</w:t>
      </w: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Національної поліції,</w:t>
      </w: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її терито-</w:t>
      </w:r>
    </w:p>
    <w:p>
      <w:pPr>
        <w:pStyle w:val="Normal"/>
        <w:tabs>
          <w:tab w:val="clear" w:pos="708"/>
          <w:tab w:val="left" w:pos="5040" w:leader="none"/>
          <w:tab w:val="left" w:pos="5529" w:leader="none"/>
        </w:tabs>
        <w:jc w:val="both"/>
        <w:rPr/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ріальних органів, підприємств, установ та</w:t>
      </w:r>
    </w:p>
    <w:p>
      <w:pPr>
        <w:pStyle w:val="Normal"/>
        <w:tabs>
          <w:tab w:val="clear" w:pos="708"/>
          <w:tab w:val="left" w:pos="5529" w:leader="none"/>
        </w:tabs>
        <w:jc w:val="both"/>
        <w:rPr/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організацій, що належать до сфери управ-</w:t>
      </w:r>
    </w:p>
    <w:p>
      <w:pPr>
        <w:pStyle w:val="Normal"/>
        <w:tabs>
          <w:tab w:val="clear" w:pos="708"/>
          <w:tab w:val="left" w:pos="5529" w:leader="none"/>
        </w:tabs>
        <w:jc w:val="both"/>
        <w:rPr/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ління   Національної </w:t>
      </w:r>
      <w:r>
        <w:rPr>
          <w:rFonts w:eastAsia="Times New Roman" w:cs="Times New Roman"/>
          <w:bCs/>
          <w:color w:val="auto"/>
          <w:kern w:val="0"/>
          <w:sz w:val="32"/>
          <w:szCs w:val="32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 поліції </w:t>
      </w:r>
      <w:r>
        <w:rPr>
          <w:rFonts w:eastAsia="Times New Roman" w:cs="Times New Roman"/>
          <w:bCs/>
          <w:color w:val="auto"/>
          <w:kern w:val="0"/>
          <w:sz w:val="32"/>
          <w:szCs w:val="32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 xml:space="preserve">(15.10)   </w:t>
      </w:r>
      <w:r>
        <w:rPr>
          <w:szCs w:val="28"/>
        </w:rPr>
        <w:t>на</w:t>
      </w:r>
    </w:p>
    <w:p>
      <w:pPr>
        <w:pStyle w:val="Normal"/>
        <w:tabs>
          <w:tab w:val="clear" w:pos="708"/>
          <w:tab w:val="left" w:pos="5529" w:leader="none"/>
        </w:tabs>
        <w:jc w:val="both"/>
        <w:rPr/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вул. Залізничній, 15</w:t>
      </w:r>
      <w:r>
        <w:rPr>
          <w:szCs w:val="28"/>
        </w:rPr>
        <w:t xml:space="preserve"> у м. Луцьку</w:t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widowControl/>
        <w:tabs>
          <w:tab w:val="clear" w:pos="708"/>
          <w:tab w:val="left" w:pos="680" w:leader="none"/>
          <w:tab w:val="left" w:pos="790" w:leader="none"/>
        </w:tabs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 xml:space="preserve">Розглянувши заяву </w:t>
      </w:r>
      <w:r>
        <w:rPr>
          <w:rFonts w:eastAsia="SimSun;宋体" w:cs="Times New Roman"/>
          <w:bCs/>
          <w:color w:val="000000"/>
          <w:kern w:val="0"/>
          <w:sz w:val="28"/>
          <w:szCs w:val="28"/>
          <w:lang w:val="uk-UA" w:eastAsia="zh-CN" w:bidi="ar-SA"/>
        </w:rPr>
        <w:t>Департаменту патрульної поліції</w:t>
      </w:r>
      <w:r>
        <w:rPr>
          <w:sz w:val="28"/>
          <w:szCs w:val="28"/>
        </w:rPr>
        <w:t xml:space="preserve"> про надання дозволу на розроблення проєкту землеустрою щодо відведення земельної ділянки, орієнтовною площею 0,2600 га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для розміщення та постійної діяльності Національної поліції, її територіальних органів, підприємств, установ та організацій, що належать до сфери управління Національної поліції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 xml:space="preserve"> (15.10)</w:t>
      </w:r>
      <w:r>
        <w:rPr>
          <w:sz w:val="28"/>
          <w:szCs w:val="28"/>
        </w:rPr>
        <w:t xml:space="preserve"> на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вул. Залізничній, 15</w:t>
      </w:r>
      <w:r>
        <w:rPr>
          <w:sz w:val="28"/>
          <w:szCs w:val="28"/>
        </w:rPr>
        <w:t xml:space="preserve"> у м. Луцьку, виписку з Єдиного державного реєстру юридичних осіб, фізичних осіб-підприємців та громадських формувань, п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оложення про</w:t>
      </w:r>
      <w:r>
        <w:rPr>
          <w:sz w:val="28"/>
          <w:szCs w:val="28"/>
        </w:rPr>
        <w:t xml:space="preserve"> Д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 xml:space="preserve">епартамент патрульної поліції у редакції наказу Національної поліції України від 19.12.2022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№ 903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Про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внесення змін до Положення про Департамент патрульної поліції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»</w:t>
      </w:r>
      <w:r>
        <w:rPr>
          <w:sz w:val="28"/>
          <w:szCs w:val="28"/>
        </w:rPr>
        <w:t xml:space="preserve">,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генплан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бмеження у використанні земель,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 xml:space="preserve">витяги з Державного реєстру речових прав на нерухоме майно про реєстрацію іншого речового права, спільний наказ МВС України та Національної поліції України від 19.02.2018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№ 104/242 «Про передачу іншого окремого індивідуального майна до                                                                         сфери управління Національної поліції України»,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 xml:space="preserve"> акт приймання-передачі майна, що передається зі сфери управління МВС України до сфери управління Національної поліції від 19.04.2018 № 104/242-18/1, лист                                                                             ТОВ «ГАЗОРОЗПОДІЛЬНІ МЕРЕЖІ УКРАЇНИ» щодо надання інформації                                                           про перебування на балансі </w:t>
      </w:r>
      <w:r>
        <w:rPr>
          <w:rFonts w:eastAsia="SimSun;宋体" w:cs="Times New Roman"/>
          <w:bCs/>
          <w:color w:val="000000"/>
          <w:kern w:val="0"/>
          <w:sz w:val="28"/>
          <w:szCs w:val="28"/>
          <w:lang w:val="uk-UA" w:eastAsia="zh-CN" w:bidi="ar-SA"/>
        </w:rPr>
        <w:t xml:space="preserve">Департаменту патрульної поліції будівлі                                                      ШРП,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 xml:space="preserve">що знаходиться на земельній ділянці на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вул. Залізничній, 15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SimSun;宋体" w:cs="Times New Roman"/>
          <w:bCs/>
          <w:color w:val="000000"/>
          <w:kern w:val="0"/>
          <w:sz w:val="28"/>
          <w:szCs w:val="28"/>
          <w:lang w:val="uk-UA" w:eastAsia="zh-CN" w:bidi="ar-SA"/>
        </w:rPr>
        <w:t xml:space="preserve"> та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технічні паспорти на об’єкти нерухомого майна</w:t>
      </w:r>
      <w:r>
        <w:rPr>
          <w:rFonts w:eastAsia="SimSun;宋体" w:cs="Times New Roman"/>
          <w:color w:val="000000"/>
          <w:sz w:val="28"/>
          <w:szCs w:val="28"/>
        </w:rPr>
        <w:t xml:space="preserve">, </w:t>
      </w:r>
      <w:r>
        <w:rPr>
          <w:sz w:val="28"/>
          <w:szCs w:val="28"/>
        </w:rPr>
        <w:t xml:space="preserve">керуючись статтями 12, 92, 122, 123 Земельного кодексу України, п. 6 Прикінцевих та перехідних положень Закону України </w:t>
      </w:r>
      <w:r>
        <w:rPr>
          <w:spacing w:val="-6"/>
          <w:sz w:val="28"/>
          <w:szCs w:val="28"/>
        </w:rPr>
        <w:t>«</w:t>
      </w:r>
      <w:r>
        <w:rPr>
          <w:sz w:val="28"/>
          <w:szCs w:val="28"/>
        </w:rPr>
        <w:t>Про внесення змін до деяких законодавчих актів України щодо розмежування земель державної та комунальної власності</w:t>
      </w:r>
      <w:r>
        <w:rPr>
          <w:spacing w:val="-6"/>
          <w:sz w:val="28"/>
          <w:szCs w:val="28"/>
        </w:rPr>
        <w:t>»</w:t>
      </w:r>
      <w:r>
        <w:rPr>
          <w:sz w:val="28"/>
          <w:szCs w:val="28"/>
        </w:rPr>
        <w:t>, ст. 26 Закону України</w:t>
      </w:r>
      <w:r>
        <w:rPr>
          <w:spacing w:val="-6"/>
          <w:sz w:val="28"/>
          <w:szCs w:val="28"/>
        </w:rPr>
        <w:t xml:space="preserve"> «</w:t>
      </w:r>
      <w:r>
        <w:rPr>
          <w:sz w:val="28"/>
          <w:szCs w:val="28"/>
        </w:rPr>
        <w:t>Про місцеве сам</w:t>
      </w:r>
      <w:r>
        <w:rPr>
          <w:szCs w:val="28"/>
        </w:rPr>
        <w:t>оврядування в Україні</w:t>
      </w:r>
      <w:r>
        <w:rPr>
          <w:spacing w:val="-6"/>
          <w:sz w:val="28"/>
          <w:szCs w:val="28"/>
        </w:rPr>
        <w:t>» та</w:t>
      </w:r>
      <w:r>
        <w:rPr>
          <w:szCs w:val="28"/>
        </w:rPr>
        <w:t xml:space="preserve"> </w:t>
      </w:r>
      <w:r>
        <w:rPr>
          <w:sz w:val="28"/>
          <w:szCs w:val="28"/>
          <w:u w:val="none"/>
          <w:lang w:val="uk-UA"/>
        </w:rPr>
        <w:t xml:space="preserve">Генеральним планом міста Луцька, затвердженим рішенням міської ради від 23.02.2022 № 26/49 </w:t>
      </w:r>
      <w:r>
        <w:rPr>
          <w:spacing w:val="-6"/>
          <w:sz w:val="28"/>
          <w:szCs w:val="28"/>
          <w:u w:val="none"/>
          <w:lang w:val="uk-UA"/>
        </w:rPr>
        <w:t>«</w:t>
      </w:r>
      <w:r>
        <w:rPr>
          <w:sz w:val="28"/>
          <w:szCs w:val="28"/>
          <w:u w:val="none"/>
          <w:lang w:val="uk-UA"/>
        </w:rPr>
        <w:t>Про затвердження містобудівної документації проєкт</w:t>
      </w:r>
      <w:r>
        <w:rPr>
          <w:spacing w:val="-6"/>
          <w:sz w:val="28"/>
          <w:szCs w:val="28"/>
          <w:u w:val="none"/>
          <w:lang w:val="uk-UA"/>
        </w:rPr>
        <w:t xml:space="preserve"> «</w:t>
      </w:r>
      <w:r>
        <w:rPr>
          <w:sz w:val="28"/>
          <w:szCs w:val="28"/>
          <w:u w:val="none"/>
          <w:lang w:val="uk-UA"/>
        </w:rPr>
        <w:t>м. Луцьк. Внесення змін до генерального плану</w:t>
      </w:r>
      <w:r>
        <w:rPr>
          <w:spacing w:val="-6"/>
          <w:sz w:val="28"/>
          <w:szCs w:val="28"/>
          <w:u w:val="none"/>
          <w:lang w:val="uk-UA"/>
        </w:rPr>
        <w:t>»,</w:t>
      </w:r>
      <w:r>
        <w:rPr>
          <w:rFonts w:cs="Times New Roman"/>
          <w:sz w:val="28"/>
          <w:szCs w:val="28"/>
          <w:u w:val="none"/>
          <w:lang w:val="uk-UA"/>
        </w:rPr>
        <w:t xml:space="preserve"> міська рада</w:t>
      </w:r>
    </w:p>
    <w:p>
      <w:pPr>
        <w:pStyle w:val="Normal"/>
        <w:ind w:hanging="0" w:left="0" w:right="-185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hanging="0" w:left="0" w:right="-185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tabs>
          <w:tab w:val="clear" w:pos="708"/>
          <w:tab w:val="left" w:pos="740" w:leader="none"/>
        </w:tabs>
        <w:ind w:hanging="0" w:left="0" w:right="-185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widowControl/>
        <w:tabs>
          <w:tab w:val="clear" w:pos="708"/>
          <w:tab w:val="left" w:pos="740" w:leader="none"/>
        </w:tabs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Надати </w:t>
      </w:r>
      <w:r>
        <w:rPr>
          <w:rFonts w:eastAsia="SimSun;宋体" w:cs="Times New Roman"/>
          <w:bCs/>
          <w:color w:val="000000"/>
          <w:kern w:val="0"/>
          <w:sz w:val="28"/>
          <w:szCs w:val="28"/>
          <w:lang w:val="uk-UA" w:eastAsia="zh-CN" w:bidi="ar-SA"/>
        </w:rPr>
        <w:t>Департаменту патрульної поліції</w:t>
      </w:r>
      <w:r>
        <w:rPr>
          <w:sz w:val="28"/>
          <w:szCs w:val="28"/>
        </w:rPr>
        <w:t xml:space="preserve"> дозвіл на розроблення проєкту землеустрою щодо відведення земельної ділянки на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вул. Залізничній, 15</w:t>
      </w:r>
      <w:r>
        <w:rPr>
          <w:sz w:val="28"/>
          <w:szCs w:val="28"/>
        </w:rPr>
        <w:t xml:space="preserve"> у м. Луцьку, орієнтовною площею 0,2600 га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для розміщення та постійної діяльності Національної поліції, її територіальних органів, підприємств, установ та організацій, що належать до сфери управління Національної поліції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 xml:space="preserve"> (15.10)</w:t>
      </w:r>
      <w:r>
        <w:rPr>
          <w:sz w:val="28"/>
          <w:szCs w:val="28"/>
        </w:rPr>
        <w:t>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>2. </w:t>
      </w:r>
      <w:r>
        <w:rPr>
          <w:rFonts w:eastAsia="SimSun;宋体" w:cs="Times New Roman"/>
          <w:bCs/>
          <w:color w:val="000000"/>
          <w:kern w:val="0"/>
          <w:sz w:val="28"/>
          <w:szCs w:val="28"/>
          <w:lang w:val="uk-UA" w:eastAsia="zh-CN" w:bidi="ar-SA"/>
        </w:rPr>
        <w:t>Департаменту патрульної поліції</w:t>
      </w:r>
      <w:r>
        <w:rPr>
          <w:szCs w:val="28"/>
        </w:rPr>
        <w:t xml:space="preserve"> подати на затвердження розроблений проєкт землеустрою щодо відведення земельної ділянки на                            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вул. Залізничній, 15</w:t>
      </w:r>
      <w:r>
        <w:rPr>
          <w:szCs w:val="28"/>
        </w:rPr>
        <w:t xml:space="preserve"> у м. Луцьку, орієнтовною площею 0,2600 га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для розміщення та постійної діяльності Національної поліції, її територіальних органів, підприємств, установ та організацій, що належать до сфери управління Національної поліції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 xml:space="preserve"> (15.10)</w:t>
      </w:r>
      <w:r>
        <w:rPr>
          <w:szCs w:val="28"/>
        </w:rPr>
        <w:t>, в порядку,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Cs w:val="28"/>
        </w:rPr>
      </w:pPr>
      <w:r>
        <w:rPr>
          <w:szCs w:val="28"/>
        </w:rPr>
        <w:t>3.</w:t>
      </w:r>
      <w:r>
        <w:rPr>
          <w:spacing w:val="-4"/>
          <w:sz w:val="28"/>
          <w:szCs w:val="28"/>
          <w:lang w:val="uk-UA"/>
        </w:rPr>
        <w:t> </w:t>
      </w:r>
      <w:r>
        <w:rPr>
          <w:rFonts w:cs="Times New Roman"/>
          <w:spacing w:val="-4"/>
          <w:sz w:val="28"/>
          <w:szCs w:val="28"/>
          <w:lang w:val="uk-UA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/>
          <w:spacing w:val="-4"/>
          <w:sz w:val="28"/>
          <w:szCs w:val="28"/>
          <w:lang w:val="uk-UA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ind w:firstLine="720" w:left="0" w:right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720" w:left="0" w:right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/>
      </w:pPr>
      <w:r>
        <w:rPr>
          <w:sz w:val="24"/>
        </w:rPr>
        <w:t>Туз 777 863</w:t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sectPr>
      <w:type w:val="nextPage"/>
      <w:pgSz w:w="11906" w:h="16838"/>
      <w:pgMar w:left="2030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-WW8Num1ztrue">
    <w:name w:val="WW-WW8Num1ztrue"/>
    <w:qFormat/>
    <w:rPr/>
  </w:style>
  <w:style w:type="character" w:styleId="WW-WW8Num1ztrue1">
    <w:name w:val="WW-WW8Num1ztrue1"/>
    <w:qFormat/>
    <w:rPr/>
  </w:style>
  <w:style w:type="character" w:styleId="WW-WW8Num1ztrue2">
    <w:name w:val="WW-WW8Num1ztrue2"/>
    <w:qFormat/>
    <w:rPr/>
  </w:style>
  <w:style w:type="character" w:styleId="WW-WW8Num1ztrue3">
    <w:name w:val="WW-WW8Num1ztrue3"/>
    <w:qFormat/>
    <w:rPr/>
  </w:style>
  <w:style w:type="character" w:styleId="WW-WW8Num1ztrue4">
    <w:name w:val="WW-WW8Num1ztrue4"/>
    <w:qFormat/>
    <w:rPr/>
  </w:style>
  <w:style w:type="character" w:styleId="WW-WW8Num1ztrue5">
    <w:name w:val="WW-WW8Num1ztrue5"/>
    <w:qFormat/>
    <w:rPr/>
  </w:style>
  <w:style w:type="character" w:styleId="WW-WW8Num1ztrue6">
    <w:name w:val="WW-WW8Num1ztrue6"/>
    <w:qFormat/>
    <w:rPr/>
  </w:style>
  <w:style w:type="character" w:styleId="WW-WW8Num1ztrue7">
    <w:name w:val="WW-WW8Num1ztrue7"/>
    <w:qFormat/>
    <w:rPr/>
  </w:style>
  <w:style w:type="character" w:styleId="WW-WW8Num1ztrue11">
    <w:name w:val="WW-WW8Num1ztrue11"/>
    <w:qFormat/>
    <w:rPr/>
  </w:style>
  <w:style w:type="character" w:styleId="WW-WW8Num1ztrue21">
    <w:name w:val="WW-WW8Num1ztrue21"/>
    <w:qFormat/>
    <w:rPr/>
  </w:style>
  <w:style w:type="character" w:styleId="WW-WW8Num1ztrue31">
    <w:name w:val="WW-WW8Num1ztrue31"/>
    <w:qFormat/>
    <w:rPr/>
  </w:style>
  <w:style w:type="character" w:styleId="WW-WW8Num1ztrue41">
    <w:name w:val="WW-WW8Num1ztrue41"/>
    <w:qFormat/>
    <w:rPr/>
  </w:style>
  <w:style w:type="character" w:styleId="WW-WW8Num1ztrue51">
    <w:name w:val="WW-WW8Num1ztrue51"/>
    <w:qFormat/>
    <w:rPr/>
  </w:style>
  <w:style w:type="character" w:styleId="WW-WW8Num1ztrue61">
    <w:name w:val="WW-WW8Num1ztrue61"/>
    <w:qFormat/>
    <w:rPr/>
  </w:style>
  <w:style w:type="character" w:styleId="WW-WW8Num1ztrue71">
    <w:name w:val="WW-WW8Num1ztrue71"/>
    <w:qFormat/>
    <w:rPr/>
  </w:style>
  <w:style w:type="character" w:styleId="WW-WW8Num1ztrue111">
    <w:name w:val="WW-WW8Num1ztrue111"/>
    <w:qFormat/>
    <w:rPr/>
  </w:style>
  <w:style w:type="character" w:styleId="WW-WW8Num1ztrue211">
    <w:name w:val="WW-WW8Num1ztrue211"/>
    <w:qFormat/>
    <w:rPr/>
  </w:style>
  <w:style w:type="character" w:styleId="WW-WW8Num1ztrue311">
    <w:name w:val="WW-WW8Num1ztrue311"/>
    <w:qFormat/>
    <w:rPr/>
  </w:style>
  <w:style w:type="character" w:styleId="WW-WW8Num1ztrue411">
    <w:name w:val="WW-WW8Num1ztrue411"/>
    <w:qFormat/>
    <w:rPr/>
  </w:style>
  <w:style w:type="character" w:styleId="WW-WW8Num1ztrue511">
    <w:name w:val="WW-WW8Num1ztrue511"/>
    <w:qFormat/>
    <w:rPr/>
  </w:style>
  <w:style w:type="character" w:styleId="WW-WW8Num1ztrue611">
    <w:name w:val="WW-WW8Num1ztrue611"/>
    <w:qFormat/>
    <w:rPr/>
  </w:style>
  <w:style w:type="character" w:styleId="WW-WW8Num1ztrue711">
    <w:name w:val="WW-WW8Num1ztrue711"/>
    <w:qFormat/>
    <w:rPr/>
  </w:style>
  <w:style w:type="character" w:styleId="WW-WW8Num1ztrue1111">
    <w:name w:val="WW-WW8Num1ztrue1111"/>
    <w:qFormat/>
    <w:rPr/>
  </w:style>
  <w:style w:type="character" w:styleId="WW-WW8Num1ztrue2111">
    <w:name w:val="WW-WW8Num1ztrue2111"/>
    <w:qFormat/>
    <w:rPr/>
  </w:style>
  <w:style w:type="character" w:styleId="WW-WW8Num1ztrue3111">
    <w:name w:val="WW-WW8Num1ztrue3111"/>
    <w:qFormat/>
    <w:rPr/>
  </w:style>
  <w:style w:type="character" w:styleId="WW-WW8Num1ztrue4111">
    <w:name w:val="WW-WW8Num1ztrue4111"/>
    <w:qFormat/>
    <w:rPr/>
  </w:style>
  <w:style w:type="character" w:styleId="WW-WW8Num1ztrue5111">
    <w:name w:val="WW-WW8Num1ztrue5111"/>
    <w:qFormat/>
    <w:rPr/>
  </w:style>
  <w:style w:type="character" w:styleId="WW-WW8Num1ztrue6111">
    <w:name w:val="WW-WW8Num1ztrue6111"/>
    <w:qFormat/>
    <w:rPr/>
  </w:style>
  <w:style w:type="character" w:styleId="WW-WW8Num1ztrue7111">
    <w:name w:val="WW-WW8Num1ztrue7111"/>
    <w:qFormat/>
    <w:rPr/>
  </w:style>
  <w:style w:type="character" w:styleId="WW-WW8Num1ztrue11111">
    <w:name w:val="WW-WW8Num1ztrue11111"/>
    <w:qFormat/>
    <w:rPr/>
  </w:style>
  <w:style w:type="character" w:styleId="WW-WW8Num1ztrue21111">
    <w:name w:val="WW-WW8Num1ztrue21111"/>
    <w:qFormat/>
    <w:rPr/>
  </w:style>
  <w:style w:type="character" w:styleId="WW-WW8Num1ztrue31111">
    <w:name w:val="WW-WW8Num1ztrue31111"/>
    <w:qFormat/>
    <w:rPr/>
  </w:style>
  <w:style w:type="character" w:styleId="WW-WW8Num1ztrue41111">
    <w:name w:val="WW-WW8Num1ztrue41111"/>
    <w:qFormat/>
    <w:rPr/>
  </w:style>
  <w:style w:type="character" w:styleId="WW-WW8Num1ztrue51111">
    <w:name w:val="WW-WW8Num1ztrue51111"/>
    <w:qFormat/>
    <w:rPr/>
  </w:style>
  <w:style w:type="character" w:styleId="WW-WW8Num1ztrue61111">
    <w:name w:val="WW-WW8Num1ztrue61111"/>
    <w:qFormat/>
    <w:rPr/>
  </w:style>
  <w:style w:type="character" w:styleId="WW-WW8Num1ztrue71111">
    <w:name w:val="WW-WW8Num1ztrue71111"/>
    <w:qFormat/>
    <w:rPr/>
  </w:style>
  <w:style w:type="character" w:styleId="WW-WW8Num1ztrue111111">
    <w:name w:val="WW-WW8Num1ztrue111111"/>
    <w:qFormat/>
    <w:rPr/>
  </w:style>
  <w:style w:type="character" w:styleId="WW-WW8Num1ztrue211111">
    <w:name w:val="WW-WW8Num1ztrue211111"/>
    <w:qFormat/>
    <w:rPr/>
  </w:style>
  <w:style w:type="character" w:styleId="WW-WW8Num1ztrue311111">
    <w:name w:val="WW-WW8Num1ztrue311111"/>
    <w:qFormat/>
    <w:rPr/>
  </w:style>
  <w:style w:type="character" w:styleId="WW-WW8Num1ztrue411111">
    <w:name w:val="WW-WW8Num1ztrue411111"/>
    <w:qFormat/>
    <w:rPr/>
  </w:style>
  <w:style w:type="character" w:styleId="WW-WW8Num1ztrue511111">
    <w:name w:val="WW-WW8Num1ztrue511111"/>
    <w:qFormat/>
    <w:rPr/>
  </w:style>
  <w:style w:type="character" w:styleId="WW-WW8Num1ztrue611111">
    <w:name w:val="WW-WW8Num1ztrue611111"/>
    <w:qFormat/>
    <w:rPr/>
  </w:style>
  <w:style w:type="character" w:styleId="WW-WW8Num1ztrue711111">
    <w:name w:val="WW-WW8Num1ztrue711111"/>
    <w:qFormat/>
    <w:rPr/>
  </w:style>
  <w:style w:type="character" w:styleId="WW-WW8Num1ztrue1111111">
    <w:name w:val="WW-WW8Num1ztrue1111111"/>
    <w:qFormat/>
    <w:rPr/>
  </w:style>
  <w:style w:type="character" w:styleId="WW-WW8Num1ztrue2111111">
    <w:name w:val="WW-WW8Num1ztrue2111111"/>
    <w:qFormat/>
    <w:rPr/>
  </w:style>
  <w:style w:type="character" w:styleId="WW-WW8Num1ztrue3111111">
    <w:name w:val="WW-WW8Num1ztrue3111111"/>
    <w:qFormat/>
    <w:rPr/>
  </w:style>
  <w:style w:type="character" w:styleId="WW-WW8Num1ztrue4111111">
    <w:name w:val="WW-WW8Num1ztrue4111111"/>
    <w:qFormat/>
    <w:rPr/>
  </w:style>
  <w:style w:type="character" w:styleId="WW-WW8Num1ztrue5111111">
    <w:name w:val="WW-WW8Num1ztrue5111111"/>
    <w:qFormat/>
    <w:rPr/>
  </w:style>
  <w:style w:type="character" w:styleId="WW-WW8Num1ztrue6111111">
    <w:name w:val="WW-WW8Num1ztrue6111111"/>
    <w:qFormat/>
    <w:rPr/>
  </w:style>
  <w:style w:type="character" w:styleId="WW-WW8Num1ztrue7111111">
    <w:name w:val="WW-WW8Num1ztrue7111111"/>
    <w:qFormat/>
    <w:rPr/>
  </w:style>
  <w:style w:type="character" w:styleId="WW-WW8Num1ztrue11111111">
    <w:name w:val="WW-WW8Num1ztrue11111111"/>
    <w:qFormat/>
    <w:rPr/>
  </w:style>
  <w:style w:type="character" w:styleId="WW-WW8Num1ztrue21111111">
    <w:name w:val="WW-WW8Num1ztrue21111111"/>
    <w:qFormat/>
    <w:rPr/>
  </w:style>
  <w:style w:type="character" w:styleId="WW-WW8Num1ztrue31111111">
    <w:name w:val="WW-WW8Num1ztrue31111111"/>
    <w:qFormat/>
    <w:rPr/>
  </w:style>
  <w:style w:type="character" w:styleId="WW-WW8Num1ztrue41111111">
    <w:name w:val="WW-WW8Num1ztrue41111111"/>
    <w:qFormat/>
    <w:rPr/>
  </w:style>
  <w:style w:type="character" w:styleId="WW-WW8Num1ztrue51111111">
    <w:name w:val="WW-WW8Num1ztrue51111111"/>
    <w:qFormat/>
    <w:rPr/>
  </w:style>
  <w:style w:type="character" w:styleId="WW-WW8Num1ztrue61111111">
    <w:name w:val="WW-WW8Num1ztrue61111111"/>
    <w:qFormat/>
    <w:rPr/>
  </w:style>
  <w:style w:type="character" w:styleId="WW-WW8Num1ztrue71111111">
    <w:name w:val="WW-WW8Num1ztrue71111111"/>
    <w:qFormat/>
    <w:rPr/>
  </w:style>
  <w:style w:type="character" w:styleId="WW-WW8Num1ztrue111111111">
    <w:name w:val="WW-WW8Num1ztrue111111111"/>
    <w:qFormat/>
    <w:rPr/>
  </w:style>
  <w:style w:type="character" w:styleId="WW-WW8Num1ztrue211111111">
    <w:name w:val="WW-WW8Num1ztrue211111111"/>
    <w:qFormat/>
    <w:rPr/>
  </w:style>
  <w:style w:type="character" w:styleId="WW-WW8Num1ztrue311111111">
    <w:name w:val="WW-WW8Num1ztrue311111111"/>
    <w:qFormat/>
    <w:rPr/>
  </w:style>
  <w:style w:type="character" w:styleId="WW-WW8Num1ztrue411111111">
    <w:name w:val="WW-WW8Num1ztrue411111111"/>
    <w:qFormat/>
    <w:rPr/>
  </w:style>
  <w:style w:type="character" w:styleId="WW-WW8Num1ztrue511111111">
    <w:name w:val="WW-WW8Num1ztrue511111111"/>
    <w:qFormat/>
    <w:rPr/>
  </w:style>
  <w:style w:type="character" w:styleId="WW-WW8Num1ztrue611111111">
    <w:name w:val="WW-WW8Num1ztrue611111111"/>
    <w:qFormat/>
    <w:rPr/>
  </w:style>
  <w:style w:type="character" w:styleId="WW-WW8Num1ztrue711111111">
    <w:name w:val="WW-WW8Num1ztrue711111111"/>
    <w:qFormat/>
    <w:rPr/>
  </w:style>
  <w:style w:type="character" w:styleId="WW-WW8Num1ztrue1111111111">
    <w:name w:val="WW-WW8Num1ztrue1111111111"/>
    <w:qFormat/>
    <w:rPr/>
  </w:style>
  <w:style w:type="character" w:styleId="WW-WW8Num1ztrue2111111111">
    <w:name w:val="WW-WW8Num1ztrue2111111111"/>
    <w:qFormat/>
    <w:rPr/>
  </w:style>
  <w:style w:type="character" w:styleId="WW-WW8Num1ztrue3111111111">
    <w:name w:val="WW-WW8Num1ztrue3111111111"/>
    <w:qFormat/>
    <w:rPr/>
  </w:style>
  <w:style w:type="character" w:styleId="WW-WW8Num1ztrue4111111111">
    <w:name w:val="WW-WW8Num1ztrue4111111111"/>
    <w:qFormat/>
    <w:rPr/>
  </w:style>
  <w:style w:type="character" w:styleId="WW-WW8Num1ztrue5111111111">
    <w:name w:val="WW-WW8Num1ztrue5111111111"/>
    <w:qFormat/>
    <w:rPr/>
  </w:style>
  <w:style w:type="character" w:styleId="WW-WW8Num1ztrue6111111111">
    <w:name w:val="WW-WW8Num1ztrue6111111111"/>
    <w:qFormat/>
    <w:rPr/>
  </w:style>
  <w:style w:type="character" w:styleId="WW-WW8Num1ztrue7111111111">
    <w:name w:val="WW-WW8Num1ztrue7111111111"/>
    <w:qFormat/>
    <w:rPr/>
  </w:style>
  <w:style w:type="character" w:styleId="WW-WW8Num1ztrue11111111111">
    <w:name w:val="WW-WW8Num1ztrue11111111111"/>
    <w:qFormat/>
    <w:rPr/>
  </w:style>
  <w:style w:type="character" w:styleId="WW-WW8Num1ztrue21111111111">
    <w:name w:val="WW-WW8Num1ztrue21111111111"/>
    <w:qFormat/>
    <w:rPr/>
  </w:style>
  <w:style w:type="character" w:styleId="WW-WW8Num1ztrue31111111111">
    <w:name w:val="WW-WW8Num1ztrue31111111111"/>
    <w:qFormat/>
    <w:rPr/>
  </w:style>
  <w:style w:type="character" w:styleId="WW-WW8Num1ztrue41111111111">
    <w:name w:val="WW-WW8Num1ztrue41111111111"/>
    <w:qFormat/>
    <w:rPr/>
  </w:style>
  <w:style w:type="character" w:styleId="WW-WW8Num1ztrue51111111111">
    <w:name w:val="WW-WW8Num1ztrue51111111111"/>
    <w:qFormat/>
    <w:rPr/>
  </w:style>
  <w:style w:type="character" w:styleId="WW-WW8Num1ztrue61111111111">
    <w:name w:val="WW-WW8Num1ztrue61111111111"/>
    <w:qFormat/>
    <w:rPr/>
  </w:style>
  <w:style w:type="character" w:styleId="WW-WW8Num1ztrue71111111111">
    <w:name w:val="WW-WW8Num1ztrue71111111111"/>
    <w:qFormat/>
    <w:rPr/>
  </w:style>
  <w:style w:type="character" w:styleId="WW-WW8Num1ztrue111111111111">
    <w:name w:val="WW-WW8Num1ztrue111111111111"/>
    <w:qFormat/>
    <w:rPr/>
  </w:style>
  <w:style w:type="character" w:styleId="WW-WW8Num1ztrue211111111111">
    <w:name w:val="WW-WW8Num1ztrue211111111111"/>
    <w:qFormat/>
    <w:rPr/>
  </w:style>
  <w:style w:type="character" w:styleId="WW-WW8Num1ztrue311111111111">
    <w:name w:val="WW-WW8Num1ztrue311111111111"/>
    <w:qFormat/>
    <w:rPr/>
  </w:style>
  <w:style w:type="character" w:styleId="WW-WW8Num1ztrue411111111111">
    <w:name w:val="WW-WW8Num1ztrue411111111111"/>
    <w:qFormat/>
    <w:rPr/>
  </w:style>
  <w:style w:type="character" w:styleId="WW-WW8Num1ztrue511111111111">
    <w:name w:val="WW-WW8Num1ztrue511111111111"/>
    <w:qFormat/>
    <w:rPr/>
  </w:style>
  <w:style w:type="character" w:styleId="WW-WW8Num1ztrue611111111111">
    <w:name w:val="WW-WW8Num1ztrue611111111111"/>
    <w:qFormat/>
    <w:rPr/>
  </w:style>
  <w:style w:type="character" w:styleId="WW-WW8Num1ztrue711111111111">
    <w:name w:val="WW-WW8Num1ztrue711111111111"/>
    <w:qFormat/>
    <w:rPr/>
  </w:style>
  <w:style w:type="character" w:styleId="WW-WW8Num1ztrue1111111111111">
    <w:name w:val="WW-WW8Num1ztrue1111111111111"/>
    <w:qFormat/>
    <w:rPr/>
  </w:style>
  <w:style w:type="character" w:styleId="WW-WW8Num1ztrue2111111111111">
    <w:name w:val="WW-WW8Num1ztrue2111111111111"/>
    <w:qFormat/>
    <w:rPr/>
  </w:style>
  <w:style w:type="character" w:styleId="WW-WW8Num1ztrue3111111111111">
    <w:name w:val="WW-WW8Num1ztrue3111111111111"/>
    <w:qFormat/>
    <w:rPr/>
  </w:style>
  <w:style w:type="character" w:styleId="WW-WW8Num1ztrue4111111111111">
    <w:name w:val="WW-WW8Num1ztrue4111111111111"/>
    <w:qFormat/>
    <w:rPr/>
  </w:style>
  <w:style w:type="character" w:styleId="WW-WW8Num1ztrue5111111111111">
    <w:name w:val="WW-WW8Num1ztrue5111111111111"/>
    <w:qFormat/>
    <w:rPr/>
  </w:style>
  <w:style w:type="character" w:styleId="WW-WW8Num1ztrue6111111111111">
    <w:name w:val="WW-WW8Num1ztrue6111111111111"/>
    <w:qFormat/>
    <w:rPr/>
  </w:style>
  <w:style w:type="character" w:styleId="1">
    <w:name w:val="Основной шрифт абзаца1"/>
    <w:qFormat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Style15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1">
    <w:name w:val="Указатель2"/>
    <w:basedOn w:val="Normal"/>
    <w:qFormat/>
    <w:pPr>
      <w:suppressLineNumbers/>
    </w:pPr>
    <w:rPr>
      <w:rFonts w:cs="Mangal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772</TotalTime>
  <Application>LibreOffice/7.6.4.1$Windows_X86_64 LibreOffice_project/e19e193f88cd6c0525a17fb7a176ed8e6a3e2aa1</Application>
  <AppVersion>15.0000</AppVersion>
  <Pages>2</Pages>
  <Words>464</Words>
  <Characters>3078</Characters>
  <CharactersWithSpaces>4018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2021-02-05T13:02:00Z</dcterms:created>
  <dc:creator>natasha_18</dc:creator>
  <dc:description/>
  <dc:language>uk-UA</dc:language>
  <cp:lastModifiedBy/>
  <cp:lastPrinted>2024-07-25T16:39:41Z</cp:lastPrinted>
  <dcterms:modified xsi:type="dcterms:W3CDTF">2024-07-25T16:27:38Z</dcterms:modified>
  <cp:revision>74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