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ListParagraph"/>
        <w:ind w:left="6372" w:hang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Додаток </w:t>
      </w:r>
    </w:p>
    <w:p>
      <w:pPr>
        <w:pStyle w:val="ListParagraph"/>
        <w:ind w:left="993" w:hanging="993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       </w:t>
      </w:r>
      <w:r>
        <w:rPr>
          <w:sz w:val="28"/>
          <w:szCs w:val="28"/>
        </w:rPr>
        <w:t>до рішення міської ради</w:t>
      </w:r>
    </w:p>
    <w:p>
      <w:pPr>
        <w:pStyle w:val="ListParagraph"/>
        <w:ind w:left="993" w:hanging="993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       </w:t>
      </w:r>
      <w:r>
        <w:rPr>
          <w:sz w:val="28"/>
          <w:szCs w:val="28"/>
        </w:rPr>
        <w:t>___________ № _____</w:t>
      </w:r>
    </w:p>
    <w:p>
      <w:pPr>
        <w:pStyle w:val="ListParagraph"/>
        <w:ind w:left="993" w:hanging="993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ListParagraph"/>
        <w:ind w:left="993" w:hanging="993"/>
        <w:jc w:val="center"/>
        <w:rPr>
          <w:sz w:val="28"/>
          <w:szCs w:val="28"/>
        </w:rPr>
      </w:pPr>
      <w:r>
        <w:rPr>
          <w:sz w:val="28"/>
          <w:szCs w:val="28"/>
        </w:rPr>
        <w:t>Положення</w:t>
      </w:r>
    </w:p>
    <w:p>
      <w:pPr>
        <w:pStyle w:val="ListParagraph"/>
        <w:ind w:left="993" w:hanging="993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про часткове відшкодування вартості незалежних джерел електричної </w:t>
      </w:r>
    </w:p>
    <w:p>
      <w:pPr>
        <w:pStyle w:val="ListParagraph"/>
        <w:ind w:left="993" w:hanging="993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енергії, які придбані об’єднаннями співвласників багатоквартирних </w:t>
      </w:r>
    </w:p>
    <w:p>
      <w:pPr>
        <w:pStyle w:val="ListParagraph"/>
        <w:ind w:left="993" w:hanging="993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будинків, житлово-будівельними кооперативами та управителями </w:t>
      </w:r>
    </w:p>
    <w:p>
      <w:pPr>
        <w:pStyle w:val="ListParagraph"/>
        <w:ind w:left="993" w:hanging="993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багатоквартирних житлових будинків для забезпечення потреб </w:t>
      </w:r>
    </w:p>
    <w:p>
      <w:pPr>
        <w:pStyle w:val="ListParagraph"/>
        <w:ind w:left="993" w:hanging="993"/>
        <w:jc w:val="center"/>
        <w:rPr>
          <w:sz w:val="28"/>
          <w:szCs w:val="28"/>
        </w:rPr>
      </w:pPr>
      <w:r>
        <w:rPr>
          <w:sz w:val="28"/>
          <w:szCs w:val="28"/>
        </w:rPr>
        <w:t>співвласників багатоквартирних житлових будинків Луцької</w:t>
      </w:r>
    </w:p>
    <w:p>
      <w:pPr>
        <w:pStyle w:val="ListParagraph"/>
        <w:ind w:left="993" w:hanging="993"/>
        <w:jc w:val="center"/>
        <w:rPr>
          <w:sz w:val="28"/>
          <w:szCs w:val="28"/>
        </w:rPr>
      </w:pPr>
      <w:r>
        <w:rPr>
          <w:sz w:val="28"/>
          <w:szCs w:val="28"/>
        </w:rPr>
        <w:t>міської територіальної громади у 2025 році</w:t>
      </w:r>
    </w:p>
    <w:p>
      <w:pPr>
        <w:pStyle w:val="ListParagraph"/>
        <w:ind w:left="993" w:hanging="993"/>
        <w:jc w:val="center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ListParagraph"/>
        <w:ind w:lef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>1. Положення про часткове відшкодування вартості незалежних джерел електричної енергії, які придбані об’єднаннями співвласників багатоквартирних будинків, житлово-будівельними кооперативами та управителями багатоквартирних житлових будинків для забезпечення потреб співвласників багатоквартирних житлових будинків Луцької міської територіальної громади у 2025 році (далі – Положення), розроблене з метою реалізації</w:t>
      </w:r>
      <w:r>
        <w:rPr/>
        <w:t xml:space="preserve"> </w:t>
      </w:r>
      <w:r>
        <w:rPr>
          <w:sz w:val="28"/>
          <w:szCs w:val="28"/>
        </w:rPr>
        <w:t>Програми розвитку цивільного захисту Луцької міської територіальної громади на 2021-2025 роки (далі – Програма), з урахуванням положень законів України «Про об'єднання співвласників багатоквартирного будинку», «Про особливості здійснення права власності у багатоквартирному будинку», «Про місцеве самоврядування в Україні» та спрямоване на запобігання виникнення у багатоквартирних житлових будинках Луцької міської територіальної громади надзвичайних ситуацій пов’язаних із плановими та аварійними відключеннями електричної енергії загальної мережі.</w:t>
      </w:r>
    </w:p>
    <w:p>
      <w:pPr>
        <w:pStyle w:val="ListParagraph"/>
        <w:ind w:lef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>2.</w:t>
      </w:r>
      <w:r>
        <w:rPr/>
        <w:t xml:space="preserve"> </w:t>
      </w:r>
      <w:r>
        <w:rPr>
          <w:sz w:val="28"/>
          <w:szCs w:val="28"/>
        </w:rPr>
        <w:t>Це Положення поширюється на багатоквартирні житлові будинки Луцької міської територіальної громади, в яких функціонують об’єднання співвласників багатоквартирних будинків (далі – ОСББ), житлово-будівельні кооперативи (далі – ЖБК), а також житлові будинки, в яких співвласниками, в порядку визначеному законодавством, обрано (призначено) управителя будь-якої форми власності, відмінної від комунальної (далі – Управитель).</w:t>
      </w:r>
    </w:p>
    <w:p>
      <w:pPr>
        <w:pStyle w:val="ListParagraph"/>
        <w:ind w:lef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>3.</w:t>
      </w:r>
      <w:r>
        <w:rPr/>
        <w:t xml:space="preserve"> </w:t>
      </w:r>
      <w:r>
        <w:rPr>
          <w:sz w:val="28"/>
          <w:szCs w:val="28"/>
        </w:rPr>
        <w:t>Положенням передбачається відшкодування 50% вартості придбаних незалежних джерел електричної енергії, але не більше 100 тис. грн</w:t>
      </w:r>
      <w:bookmarkStart w:id="0" w:name="_GoBack"/>
      <w:bookmarkEnd w:id="0"/>
      <w:r>
        <w:rPr>
          <w:sz w:val="28"/>
          <w:szCs w:val="28"/>
        </w:rPr>
        <w:t xml:space="preserve"> на багатоквартирний житловий будинок.</w:t>
      </w:r>
    </w:p>
    <w:p>
      <w:pPr>
        <w:pStyle w:val="ListParagraph"/>
        <w:ind w:lef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>4.</w:t>
      </w:r>
      <w:r>
        <w:rPr/>
        <w:t xml:space="preserve"> </w:t>
      </w:r>
      <w:r>
        <w:rPr>
          <w:sz w:val="28"/>
          <w:szCs w:val="28"/>
        </w:rPr>
        <w:t>Відшкодування здійснюється за рахунок коштів місцевого бюджету.</w:t>
      </w:r>
    </w:p>
    <w:p>
      <w:pPr>
        <w:pStyle w:val="ListParagraph"/>
        <w:ind w:lef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>5. Для здійснення відшкодування вартості незалежних джерел електричної енергії, ОСББ, ЖБК, Управитель подають до департаменту житлово-комунального господарства Луцької міської ради пакет документів, який складається з:</w:t>
      </w:r>
    </w:p>
    <w:p>
      <w:pPr>
        <w:pStyle w:val="ListParagraph"/>
        <w:ind w:lef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>заявки на часткове відшкодування вартості незалежних джерел електричної енергії, за формою затвердженою згідно з додатком до цього Положення;</w:t>
      </w:r>
    </w:p>
    <w:p>
      <w:pPr>
        <w:pStyle w:val="ListParagraph"/>
        <w:ind w:lef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>завіреної копії витягу з Єдиного державного реєстру юридичних осіб, фізичних осіб – підприємців та громадських формувань;</w:t>
      </w:r>
    </w:p>
    <w:p>
      <w:pPr>
        <w:pStyle w:val="ListParagraph"/>
        <w:ind w:lef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>копії протоколу співвласників багатоквартирного будинку про прийняття рішення щодо закупівлі обладнання;</w:t>
      </w:r>
    </w:p>
    <w:p>
      <w:pPr>
        <w:pStyle w:val="ListParagraph"/>
        <w:ind w:lef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>завіреної копії видаткової накладної на придбання незалежних джерел електричної енергії.</w:t>
      </w:r>
    </w:p>
    <w:p>
      <w:pPr>
        <w:pStyle w:val="Normal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6. Відповідальність за надання достовірної інформації, зазначеної в пакеті документів, несуть безпосередньо ОСББ, ЖБК, Управителі, які звернулись за отриманням відшкодування.</w:t>
      </w:r>
    </w:p>
    <w:p>
      <w:pPr>
        <w:pStyle w:val="ListParagraph"/>
        <w:ind w:lef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>7. Відшкодування здійснюється шляхом перерахування коштів на банківський рахунок ОСББ, ЖБК, Управителя, зазначений у заявці.</w:t>
      </w:r>
    </w:p>
    <w:p>
      <w:pPr>
        <w:pStyle w:val="Normal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  <w:t>Секретар міської ради</w:t>
        <w:tab/>
        <w:tab/>
        <w:tab/>
        <w:tab/>
        <w:tab/>
        <w:tab/>
        <w:tab/>
        <w:t>Юрій БЕЗПЯТКО</w:t>
      </w:r>
    </w:p>
    <w:p>
      <w:pPr>
        <w:pStyle w:val="Normal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both"/>
        <w:rPr/>
      </w:pPr>
      <w:r>
        <w:rPr/>
        <w:t>Гаврилюк 773 150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jc w:val="both"/>
        <w:rPr/>
      </w:pPr>
      <w:r>
        <w:rPr/>
      </w:r>
    </w:p>
    <w:p>
      <w:pPr>
        <w:pStyle w:val="Normal"/>
        <w:jc w:val="both"/>
        <w:rPr/>
      </w:pPr>
      <w:r>
        <w:rPr/>
      </w:r>
    </w:p>
    <w:p>
      <w:pPr>
        <w:pStyle w:val="Normal"/>
        <w:jc w:val="both"/>
        <w:rPr/>
      </w:pPr>
      <w:r>
        <w:rPr/>
      </w:r>
    </w:p>
    <w:p>
      <w:pPr>
        <w:pStyle w:val="Normal"/>
        <w:ind w:left="5664" w:firstLine="708"/>
        <w:jc w:val="both"/>
        <w:rPr>
          <w:sz w:val="28"/>
          <w:szCs w:val="28"/>
        </w:rPr>
      </w:pPr>
      <w:r>
        <w:rPr>
          <w:sz w:val="28"/>
          <w:szCs w:val="28"/>
        </w:rPr>
        <w:t>Додаток до Положення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tab/>
        <w:tab/>
        <w:tab/>
        <w:tab/>
        <w:tab/>
        <w:tab/>
        <w:tab/>
        <w:tab/>
        <w:tab/>
      </w:r>
    </w:p>
    <w:p>
      <w:pPr>
        <w:pStyle w:val="Normal"/>
        <w:jc w:val="center"/>
        <w:rPr>
          <w:sz w:val="28"/>
          <w:szCs w:val="28"/>
        </w:rPr>
      </w:pPr>
      <w:r>
        <w:rPr>
          <w:sz w:val="28"/>
          <w:szCs w:val="28"/>
        </w:rPr>
        <w:t>ЗАЯВКА</w:t>
      </w:r>
    </w:p>
    <w:p>
      <w:pPr>
        <w:pStyle w:val="ListParagraph"/>
        <w:ind w:left="720" w:firstLine="709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ListParagraph"/>
        <w:ind w:left="0" w:firstLine="708"/>
        <w:jc w:val="both"/>
        <w:rPr>
          <w:sz w:val="28"/>
          <w:szCs w:val="28"/>
        </w:rPr>
      </w:pPr>
      <w:r>
        <w:rPr>
          <w:sz w:val="28"/>
          <w:szCs w:val="28"/>
        </w:rPr>
        <w:t>Прошу здійснити часткове відшкодування вартості придбаних незалежних джерел електричної енергії для забезпечення потреб співвласників багатоквартирного будинку:</w:t>
      </w:r>
    </w:p>
    <w:p>
      <w:pPr>
        <w:pStyle w:val="ListParagraph"/>
        <w:ind w:left="0" w:firstLine="1429"/>
        <w:jc w:val="both"/>
        <w:rPr>
          <w:sz w:val="28"/>
          <w:szCs w:val="28"/>
        </w:rPr>
      </w:pPr>
      <w:r>
        <w:rPr>
          <w:sz w:val="28"/>
          <w:szCs w:val="28"/>
        </w:rPr>
      </w:r>
    </w:p>
    <w:tbl>
      <w:tblPr>
        <w:tblStyle w:val="a4"/>
        <w:tblW w:w="9071" w:type="dxa"/>
        <w:jc w:val="left"/>
        <w:tblInd w:w="-5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566"/>
        <w:gridCol w:w="3261"/>
        <w:gridCol w:w="5244"/>
      </w:tblGrid>
      <w:tr>
        <w:trPr/>
        <w:tc>
          <w:tcPr>
            <w:tcW w:w="566" w:type="dxa"/>
            <w:tcBorders/>
          </w:tcPr>
          <w:p>
            <w:pPr>
              <w:pStyle w:val="ListParagraph"/>
              <w:widowControl w:val="false"/>
              <w:spacing w:before="0" w:after="0"/>
              <w:ind w:left="0" w:hanging="0"/>
              <w:contextualSpacing/>
              <w:jc w:val="both"/>
              <w:rPr>
                <w:sz w:val="28"/>
                <w:szCs w:val="28"/>
              </w:rPr>
            </w:pPr>
            <w:r>
              <w:rPr>
                <w:kern w:val="0"/>
                <w:sz w:val="28"/>
                <w:szCs w:val="28"/>
                <w:lang w:val="uk-UA" w:bidi="ar-SA"/>
              </w:rPr>
              <w:t>1</w:t>
            </w:r>
          </w:p>
        </w:tc>
        <w:tc>
          <w:tcPr>
            <w:tcW w:w="3261" w:type="dxa"/>
            <w:tcBorders/>
          </w:tcPr>
          <w:p>
            <w:pPr>
              <w:pStyle w:val="ListParagraph"/>
              <w:widowControl w:val="false"/>
              <w:spacing w:before="0" w:after="0"/>
              <w:ind w:left="0" w:hanging="0"/>
              <w:contextualSpacing/>
              <w:jc w:val="both"/>
              <w:rPr>
                <w:sz w:val="28"/>
                <w:szCs w:val="28"/>
              </w:rPr>
            </w:pPr>
            <w:r>
              <w:rPr>
                <w:kern w:val="0"/>
                <w:sz w:val="28"/>
                <w:szCs w:val="28"/>
                <w:lang w:val="uk-UA" w:bidi="ar-SA"/>
              </w:rPr>
              <w:t>Адреса</w:t>
            </w:r>
            <w:r>
              <w:rPr>
                <w:kern w:val="0"/>
                <w:sz w:val="28"/>
                <w:szCs w:val="28"/>
                <w:lang w:val="ru-RU" w:bidi="ar-SA"/>
              </w:rPr>
              <w:t>.</w:t>
            </w:r>
            <w:r>
              <w:rPr>
                <w:kern w:val="0"/>
                <w:sz w:val="28"/>
                <w:szCs w:val="28"/>
                <w:lang w:val="uk-UA" w:bidi="ar-SA"/>
              </w:rPr>
              <w:t xml:space="preserve"> за якою використовується та зберігається обладнання</w:t>
            </w:r>
          </w:p>
        </w:tc>
        <w:tc>
          <w:tcPr>
            <w:tcW w:w="5244" w:type="dxa"/>
            <w:tcBorders/>
          </w:tcPr>
          <w:p>
            <w:pPr>
              <w:pStyle w:val="ListParagraph"/>
              <w:widowControl w:val="false"/>
              <w:spacing w:before="0" w:after="0"/>
              <w:ind w:left="0" w:hanging="0"/>
              <w:contextualSpacing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</w:tr>
      <w:tr>
        <w:trPr/>
        <w:tc>
          <w:tcPr>
            <w:tcW w:w="566" w:type="dxa"/>
            <w:tcBorders/>
          </w:tcPr>
          <w:p>
            <w:pPr>
              <w:pStyle w:val="ListParagraph"/>
              <w:widowControl w:val="false"/>
              <w:spacing w:before="0" w:after="0"/>
              <w:ind w:left="0" w:hanging="0"/>
              <w:contextualSpacing/>
              <w:jc w:val="both"/>
              <w:rPr>
                <w:sz w:val="28"/>
                <w:szCs w:val="28"/>
              </w:rPr>
            </w:pPr>
            <w:r>
              <w:rPr>
                <w:kern w:val="0"/>
                <w:sz w:val="28"/>
                <w:szCs w:val="28"/>
                <w:lang w:val="uk-UA" w:bidi="ar-SA"/>
              </w:rPr>
              <w:t>2</w:t>
            </w:r>
          </w:p>
        </w:tc>
        <w:tc>
          <w:tcPr>
            <w:tcW w:w="3261" w:type="dxa"/>
            <w:tcBorders/>
          </w:tcPr>
          <w:p>
            <w:pPr>
              <w:pStyle w:val="ListParagraph"/>
              <w:widowControl w:val="false"/>
              <w:spacing w:before="0" w:after="0"/>
              <w:ind w:left="0" w:hanging="0"/>
              <w:contextualSpacing/>
              <w:jc w:val="both"/>
              <w:rPr>
                <w:sz w:val="28"/>
                <w:szCs w:val="28"/>
              </w:rPr>
            </w:pPr>
            <w:r>
              <w:rPr>
                <w:kern w:val="0"/>
                <w:sz w:val="28"/>
                <w:szCs w:val="28"/>
                <w:lang w:val="uk-UA" w:bidi="ar-SA"/>
              </w:rPr>
              <w:t>ПІБ відповідальної особи, контактний номер телефону</w:t>
            </w:r>
          </w:p>
        </w:tc>
        <w:tc>
          <w:tcPr>
            <w:tcW w:w="5244" w:type="dxa"/>
            <w:tcBorders/>
          </w:tcPr>
          <w:p>
            <w:pPr>
              <w:pStyle w:val="ListParagraph"/>
              <w:widowControl w:val="false"/>
              <w:spacing w:before="0" w:after="0"/>
              <w:ind w:left="0" w:hanging="0"/>
              <w:contextualSpacing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</w:tr>
      <w:tr>
        <w:trPr/>
        <w:tc>
          <w:tcPr>
            <w:tcW w:w="566" w:type="dxa"/>
            <w:tcBorders/>
          </w:tcPr>
          <w:p>
            <w:pPr>
              <w:pStyle w:val="ListParagraph"/>
              <w:widowControl w:val="false"/>
              <w:spacing w:before="0" w:after="0"/>
              <w:ind w:left="0" w:hanging="0"/>
              <w:contextualSpacing/>
              <w:jc w:val="both"/>
              <w:rPr>
                <w:sz w:val="28"/>
                <w:szCs w:val="28"/>
              </w:rPr>
            </w:pPr>
            <w:r>
              <w:rPr>
                <w:kern w:val="0"/>
                <w:sz w:val="28"/>
                <w:szCs w:val="28"/>
                <w:lang w:val="uk-UA" w:bidi="ar-SA"/>
              </w:rPr>
              <w:t>3</w:t>
            </w:r>
          </w:p>
        </w:tc>
        <w:tc>
          <w:tcPr>
            <w:tcW w:w="3261" w:type="dxa"/>
            <w:tcBorders/>
          </w:tcPr>
          <w:p>
            <w:pPr>
              <w:pStyle w:val="ListParagraph"/>
              <w:widowControl w:val="false"/>
              <w:spacing w:before="0" w:after="0"/>
              <w:ind w:left="0" w:hanging="0"/>
              <w:contextualSpacing/>
              <w:jc w:val="left"/>
              <w:rPr>
                <w:sz w:val="28"/>
                <w:szCs w:val="28"/>
              </w:rPr>
            </w:pPr>
            <w:r>
              <w:rPr>
                <w:kern w:val="0"/>
                <w:sz w:val="28"/>
                <w:szCs w:val="28"/>
                <w:lang w:val="uk-UA" w:bidi="ar-SA"/>
              </w:rPr>
              <w:t xml:space="preserve">Номер IBAN на який буде відшкодовано частину вартості обладнання </w:t>
            </w:r>
          </w:p>
        </w:tc>
        <w:tc>
          <w:tcPr>
            <w:tcW w:w="5244" w:type="dxa"/>
            <w:tcBorders/>
          </w:tcPr>
          <w:p>
            <w:pPr>
              <w:pStyle w:val="ListParagraph"/>
              <w:widowControl w:val="false"/>
              <w:spacing w:before="0" w:after="0"/>
              <w:ind w:left="0" w:hanging="0"/>
              <w:contextualSpacing/>
              <w:jc w:val="both"/>
              <w:rPr>
                <w:kern w:val="0"/>
                <w:lang w:bidi="ar-SA"/>
              </w:rPr>
            </w:pPr>
            <w:r>
              <w:rPr>
                <w:kern w:val="0"/>
                <w:lang w:val="en-US" w:bidi="ar-SA"/>
              </w:rPr>
              <w:t>UA</w:t>
            </w:r>
            <w:r>
              <w:rPr>
                <w:kern w:val="0"/>
                <w:lang w:val="uk-UA" w:bidi="ar-SA"/>
              </w:rPr>
              <w:t>XXXXXXXXXXXXXXXXXXXXXXXXXXX</w:t>
            </w:r>
          </w:p>
        </w:tc>
      </w:tr>
      <w:tr>
        <w:trPr/>
        <w:tc>
          <w:tcPr>
            <w:tcW w:w="566" w:type="dxa"/>
            <w:tcBorders/>
          </w:tcPr>
          <w:p>
            <w:pPr>
              <w:pStyle w:val="ListParagraph"/>
              <w:widowControl w:val="false"/>
              <w:spacing w:before="0" w:after="0"/>
              <w:ind w:left="0" w:hanging="0"/>
              <w:contextualSpacing/>
              <w:jc w:val="both"/>
              <w:rPr>
                <w:sz w:val="28"/>
                <w:szCs w:val="28"/>
              </w:rPr>
            </w:pPr>
            <w:r>
              <w:rPr>
                <w:kern w:val="0"/>
                <w:sz w:val="28"/>
                <w:szCs w:val="28"/>
                <w:lang w:val="uk-UA" w:bidi="ar-SA"/>
              </w:rPr>
              <w:t>4</w:t>
            </w:r>
          </w:p>
        </w:tc>
        <w:tc>
          <w:tcPr>
            <w:tcW w:w="3261" w:type="dxa"/>
            <w:tcBorders/>
          </w:tcPr>
          <w:p>
            <w:pPr>
              <w:pStyle w:val="ListParagraph"/>
              <w:widowControl w:val="false"/>
              <w:spacing w:before="0" w:after="0"/>
              <w:ind w:left="0" w:hanging="0"/>
              <w:contextualSpacing/>
              <w:jc w:val="both"/>
              <w:rPr>
                <w:sz w:val="28"/>
                <w:szCs w:val="28"/>
              </w:rPr>
            </w:pPr>
            <w:r>
              <w:rPr>
                <w:kern w:val="0"/>
                <w:sz w:val="28"/>
                <w:szCs w:val="28"/>
                <w:lang w:val="uk-UA" w:bidi="ar-SA"/>
              </w:rPr>
              <w:t>Вартість обладнання (грн)</w:t>
            </w:r>
          </w:p>
        </w:tc>
        <w:tc>
          <w:tcPr>
            <w:tcW w:w="5244" w:type="dxa"/>
            <w:tcBorders/>
          </w:tcPr>
          <w:p>
            <w:pPr>
              <w:pStyle w:val="ListParagraph"/>
              <w:widowControl w:val="false"/>
              <w:spacing w:before="0" w:after="0"/>
              <w:ind w:left="0" w:hanging="0"/>
              <w:contextualSpacing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</w:tr>
      <w:tr>
        <w:trPr/>
        <w:tc>
          <w:tcPr>
            <w:tcW w:w="566" w:type="dxa"/>
            <w:tcBorders/>
          </w:tcPr>
          <w:p>
            <w:pPr>
              <w:pStyle w:val="ListParagraph"/>
              <w:widowControl w:val="false"/>
              <w:spacing w:before="0" w:after="0"/>
              <w:ind w:left="0" w:hanging="0"/>
              <w:contextualSpacing/>
              <w:jc w:val="both"/>
              <w:rPr>
                <w:sz w:val="28"/>
                <w:szCs w:val="28"/>
              </w:rPr>
            </w:pPr>
            <w:r>
              <w:rPr>
                <w:kern w:val="0"/>
                <w:sz w:val="28"/>
                <w:szCs w:val="28"/>
                <w:lang w:val="uk-UA" w:bidi="ar-SA"/>
              </w:rPr>
              <w:t>5</w:t>
            </w:r>
          </w:p>
        </w:tc>
        <w:tc>
          <w:tcPr>
            <w:tcW w:w="3261" w:type="dxa"/>
            <w:tcBorders/>
          </w:tcPr>
          <w:p>
            <w:pPr>
              <w:pStyle w:val="ListParagraph"/>
              <w:widowControl w:val="false"/>
              <w:spacing w:before="0" w:after="0"/>
              <w:ind w:left="0" w:hanging="0"/>
              <w:contextualSpacing/>
              <w:jc w:val="both"/>
              <w:rPr>
                <w:sz w:val="28"/>
                <w:szCs w:val="28"/>
              </w:rPr>
            </w:pPr>
            <w:r>
              <w:rPr>
                <w:kern w:val="0"/>
                <w:sz w:val="28"/>
                <w:szCs w:val="28"/>
                <w:lang w:val="uk-UA" w:bidi="ar-SA"/>
              </w:rPr>
              <w:t>Сума коштів, що підлягає відшкодуванню (грн)</w:t>
            </w:r>
          </w:p>
        </w:tc>
        <w:tc>
          <w:tcPr>
            <w:tcW w:w="5244" w:type="dxa"/>
            <w:tcBorders/>
          </w:tcPr>
          <w:p>
            <w:pPr>
              <w:pStyle w:val="ListParagraph"/>
              <w:widowControl w:val="false"/>
              <w:spacing w:before="0" w:after="0"/>
              <w:ind w:left="0" w:hanging="0"/>
              <w:contextualSpacing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</w:tr>
      <w:tr>
        <w:trPr/>
        <w:tc>
          <w:tcPr>
            <w:tcW w:w="566" w:type="dxa"/>
            <w:tcBorders/>
          </w:tcPr>
          <w:p>
            <w:pPr>
              <w:pStyle w:val="ListParagraph"/>
              <w:widowControl w:val="false"/>
              <w:spacing w:before="0" w:after="0"/>
              <w:ind w:left="0" w:hanging="0"/>
              <w:contextualSpacing/>
              <w:jc w:val="both"/>
              <w:rPr>
                <w:sz w:val="28"/>
                <w:szCs w:val="28"/>
              </w:rPr>
            </w:pPr>
            <w:r>
              <w:rPr>
                <w:kern w:val="0"/>
                <w:sz w:val="28"/>
                <w:szCs w:val="28"/>
                <w:lang w:val="uk-UA" w:bidi="ar-SA"/>
              </w:rPr>
              <w:t>6</w:t>
            </w:r>
          </w:p>
        </w:tc>
        <w:tc>
          <w:tcPr>
            <w:tcW w:w="3261" w:type="dxa"/>
            <w:tcBorders/>
          </w:tcPr>
          <w:p>
            <w:pPr>
              <w:pStyle w:val="ListParagraph"/>
              <w:widowControl w:val="false"/>
              <w:spacing w:before="0" w:after="0"/>
              <w:ind w:left="0" w:hanging="0"/>
              <w:contextualSpacing/>
              <w:jc w:val="both"/>
              <w:rPr>
                <w:sz w:val="28"/>
                <w:szCs w:val="28"/>
              </w:rPr>
            </w:pPr>
            <w:r>
              <w:rPr>
                <w:kern w:val="0"/>
                <w:sz w:val="28"/>
                <w:szCs w:val="28"/>
                <w:lang w:val="uk-UA" w:bidi="ar-SA"/>
              </w:rPr>
              <w:t>Вид, кількість (од) та потужність придбаних незалежних джерел електричної енергії (кВт)</w:t>
            </w:r>
          </w:p>
        </w:tc>
        <w:tc>
          <w:tcPr>
            <w:tcW w:w="5244" w:type="dxa"/>
            <w:tcBorders/>
          </w:tcPr>
          <w:p>
            <w:pPr>
              <w:pStyle w:val="ListParagraph"/>
              <w:widowControl w:val="false"/>
              <w:spacing w:before="0" w:after="0"/>
              <w:ind w:left="0" w:hanging="0"/>
              <w:contextualSpacing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</w:tr>
    </w:tbl>
    <w:p>
      <w:pPr>
        <w:pStyle w:val="ListParagraph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ListParagraph"/>
        <w:ind w:left="0" w:hanging="0"/>
        <w:jc w:val="both"/>
        <w:rPr>
          <w:sz w:val="28"/>
          <w:szCs w:val="28"/>
        </w:rPr>
      </w:pPr>
      <w:r>
        <w:rPr>
          <w:sz w:val="28"/>
          <w:szCs w:val="28"/>
        </w:rPr>
        <w:t>Додатки згідно з переліком, передбаченим пунктом 5 Положення.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Осіюк 773 150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sectPr>
      <w:type w:val="nextPage"/>
      <w:pgSz w:w="11906" w:h="16838"/>
      <w:pgMar w:left="1701" w:right="567" w:gutter="0" w:header="0" w:top="567" w:footer="0" w:bottom="1418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01"/>
    <w:family w:val="roman"/>
    <w:pitch w:val="default"/>
  </w:font>
  <w:font w:name="Times New Roman">
    <w:charset w:val="01"/>
    <w:family w:val="roman"/>
    <w:pitch w:val="default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uk-UA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uk-UA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383118"/>
    <w:pPr>
      <w:widowControl/>
      <w:suppressAutoHyphens w:val="true"/>
      <w:bidi w:val="0"/>
      <w:spacing w:lineRule="auto" w:line="240" w:before="0" w:after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4"/>
      <w:lang w:val="uk-UA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paragraph" w:styleId="Style14">
    <w:name w:val="Заголовок"/>
    <w:basedOn w:val="Normal"/>
    <w:next w:val="Style15"/>
    <w:qFormat/>
    <w:pPr>
      <w:keepNext w:val="true"/>
      <w:spacing w:before="240" w:after="120"/>
    </w:pPr>
    <w:rPr>
      <w:rFonts w:ascii="Times New Roman" w:hAnsi="Times New Roman" w:eastAsia="Microsoft YaHei" w:cs="Lucida Sans"/>
      <w:sz w:val="28"/>
      <w:szCs w:val="28"/>
    </w:rPr>
  </w:style>
  <w:style w:type="paragraph" w:styleId="Style15">
    <w:name w:val="Body Text"/>
    <w:basedOn w:val="Normal"/>
    <w:pPr>
      <w:spacing w:lineRule="auto" w:line="276" w:before="0" w:after="140"/>
    </w:pPr>
    <w:rPr/>
  </w:style>
  <w:style w:type="paragraph" w:styleId="Style16">
    <w:name w:val="List"/>
    <w:basedOn w:val="Style15"/>
    <w:pPr/>
    <w:rPr>
      <w:rFonts w:ascii="Times New Roman" w:hAnsi="Times New Roman" w:cs="Lucida Sans"/>
    </w:rPr>
  </w:style>
  <w:style w:type="paragraph" w:styleId="Style17">
    <w:name w:val="Caption"/>
    <w:basedOn w:val="Normal"/>
    <w:qFormat/>
    <w:pPr>
      <w:suppressLineNumbers/>
      <w:spacing w:before="120" w:after="120"/>
    </w:pPr>
    <w:rPr>
      <w:rFonts w:ascii="Times New Roman" w:hAnsi="Times New Roman" w:cs="Lucida Sans"/>
      <w:i/>
      <w:iCs/>
      <w:sz w:val="24"/>
      <w:szCs w:val="24"/>
    </w:rPr>
  </w:style>
  <w:style w:type="paragraph" w:styleId="Style18">
    <w:name w:val="Указатель"/>
    <w:basedOn w:val="Normal"/>
    <w:qFormat/>
    <w:pPr>
      <w:suppressLineNumbers/>
    </w:pPr>
    <w:rPr>
      <w:rFonts w:ascii="Times New Roman" w:hAnsi="Times New Roman" w:cs="Lucida Sans"/>
    </w:rPr>
  </w:style>
  <w:style w:type="paragraph" w:styleId="ListParagraph">
    <w:name w:val="List Paragraph"/>
    <w:basedOn w:val="Normal"/>
    <w:uiPriority w:val="34"/>
    <w:qFormat/>
    <w:rsid w:val="00383118"/>
    <w:pPr>
      <w:spacing w:before="0" w:after="0"/>
      <w:ind w:left="720" w:hanging="0"/>
      <w:contextualSpacing/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4">
    <w:name w:val="Table Grid"/>
    <w:basedOn w:val="a1"/>
    <w:uiPriority w:val="59"/>
    <w:rsid w:val="005c31f7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</TotalTime>
  <Application>LibreOffice/7.4.3.2$Windows_X86_64 LibreOffice_project/1048a8393ae2eeec98dff31b5c133c5f1d08b890</Application>
  <AppVersion>15.0000</AppVersion>
  <Pages>3</Pages>
  <Words>426</Words>
  <Characters>3283</Characters>
  <CharactersWithSpaces>3877</CharactersWithSpaces>
  <Paragraphs>42</Paragraphs>
  <Company>DZKG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2022-11-25T13:09:00Z</dcterms:created>
  <dc:creator>hrelia</dc:creator>
  <dc:description/>
  <dc:language>uk-UA</dc:language>
  <cp:lastModifiedBy/>
  <dcterms:modified xsi:type="dcterms:W3CDTF">2024-08-09T10:49:08Z</dcterms:modified>
  <cp:revision>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