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Додаток</w:t>
      </w:r>
    </w:p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до рішення міської ради</w:t>
      </w:r>
    </w:p>
    <w:p>
      <w:pPr>
        <w:pStyle w:val="Normal"/>
        <w:ind w:left="6120" w:hanging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від ___________ № _____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Комплексна програма охорони довкілля 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Луцької міської територіальної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>громади на 2022</w:t>
      </w:r>
      <w:r>
        <w:rPr>
          <w:color w:val="000000"/>
          <w:sz w:val="28"/>
          <w:szCs w:val="28"/>
        </w:rPr>
        <w:t>–</w:t>
      </w:r>
      <w:r>
        <w:rPr>
          <w:rFonts w:cs="Times New Roman" w:ascii="Times New Roman" w:hAnsi="Times New Roman"/>
          <w:color w:val="000000"/>
          <w:sz w:val="28"/>
          <w:szCs w:val="28"/>
        </w:rPr>
        <w:t>2025 роки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  <w:t>Паспорт Програми</w:t>
      </w:r>
    </w:p>
    <w:p>
      <w:pPr>
        <w:pStyle w:val="Normal"/>
        <w:jc w:val="center"/>
        <w:rPr>
          <w:rFonts w:ascii="Times New Roman" w:hAnsi="Times New Roman" w:eastAsia="Times New Roman" w:cs="Times New Roman"/>
          <w:b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tbl>
      <w:tblPr>
        <w:tblW w:w="9488" w:type="dxa"/>
        <w:jc w:val="left"/>
        <w:tblInd w:w="-23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19"/>
        <w:gridCol w:w="3815"/>
        <w:gridCol w:w="4954"/>
      </w:tblGrid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Ініціатор розроблення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Луцька міська рада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Розробник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Відділ екології Луцької міської ради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Співрозробники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2"/>
              <w:snapToGrid w:val="false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Виконавчі органи міської ради, підприємства, установи, організації</w:t>
            </w:r>
          </w:p>
        </w:tc>
      </w:tr>
      <w:tr>
        <w:trPr>
          <w:trHeight w:val="716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5.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Відділ екології Луцької міської ради, департамент житлово-комунального господарства, підприємства, установи, організації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Учасники програми</w:t>
            </w:r>
          </w:p>
          <w:p>
            <w:pPr>
              <w:pStyle w:val="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32"/>
              <w:snapToGrid w:val="false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Виконавчі органи міської ради, підприємства, установи, організації</w:t>
            </w:r>
          </w:p>
        </w:tc>
      </w:tr>
      <w:tr>
        <w:trPr>
          <w:trHeight w:val="327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2022–2025 роки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Загальний обсяг фінансових ресурсів, необхідних для реалізації програми,</w:t>
            </w:r>
          </w:p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всього, у тому числі: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/>
            </w:pPr>
            <w:r>
              <w:rPr/>
            </w:r>
          </w:p>
          <w:p>
            <w:pPr>
              <w:pStyle w:val="Normal"/>
              <w:snapToGrid w:val="false"/>
              <w:ind w:left="-83" w:hanging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93 459,0 млн. грн</w:t>
            </w:r>
          </w:p>
        </w:tc>
      </w:tr>
      <w:tr>
        <w:trPr>
          <w:trHeight w:val="23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8.1.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коштів бюджету Луцької міської територіальної громади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31 170,0 млн. грн</w:t>
            </w:r>
          </w:p>
        </w:tc>
      </w:tr>
      <w:tr>
        <w:trPr>
          <w:trHeight w:val="481" w:hRule="atLeast"/>
        </w:trPr>
        <w:tc>
          <w:tcPr>
            <w:tcW w:w="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9.2.</w:t>
            </w:r>
          </w:p>
        </w:tc>
        <w:tc>
          <w:tcPr>
            <w:tcW w:w="381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495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rFonts w:eastAsia="Calibri" w:cs="Times New Roman" w:ascii="Times New Roman" w:hAnsi="Times New Roman"/>
                <w:color w:val="000000"/>
                <w:sz w:val="28"/>
                <w:szCs w:val="28"/>
              </w:rPr>
              <w:t>62 289,0 млн. грн</w:t>
            </w:r>
          </w:p>
        </w:tc>
      </w:tr>
    </w:tbl>
    <w:p>
      <w:pPr>
        <w:pStyle w:val="Normal"/>
        <w:spacing w:before="0" w:after="200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before="0" w:after="2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Секретар міської ради</w:t>
        <w:tab/>
        <w:tab/>
        <w:tab/>
        <w:tab/>
        <w:tab/>
        <w:tab/>
        <w:tab/>
        <w:tab/>
        <w:tab/>
        <w:tab/>
        <w:tab/>
        <w:tab/>
        <w:tab/>
        <w:tab/>
        <w:tab/>
        <w:t>Юрій БЕЗПЯТКО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sectPr>
          <w:headerReference w:type="default" r:id="rId2"/>
          <w:type w:val="nextPage"/>
          <w:pgSz w:w="11906" w:h="16838"/>
          <w:pgMar w:left="1985" w:right="567" w:header="709" w:top="766" w:footer="0" w:bottom="1134" w:gutter="0"/>
          <w:pgNumType w:start="2" w:fmt="decimal"/>
          <w:formProt w:val="false"/>
          <w:textDirection w:val="lrTb"/>
          <w:docGrid w:type="default" w:linePitch="100" w:charSpace="8192"/>
        </w:sectPr>
        <w:pStyle w:val="Normal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1</w:t>
      </w:r>
    </w:p>
    <w:p>
      <w:pPr>
        <w:pStyle w:val="Normal"/>
        <w:ind w:left="4876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Комплексної програми охорони</w:t>
      </w:r>
    </w:p>
    <w:p>
      <w:pPr>
        <w:pStyle w:val="Normal"/>
        <w:ind w:left="4876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довкілля Луцької міської </w:t>
      </w:r>
    </w:p>
    <w:p>
      <w:pPr>
        <w:pStyle w:val="Normal"/>
        <w:ind w:left="4876" w:hanging="0"/>
        <w:jc w:val="both"/>
        <w:rPr/>
      </w:pPr>
      <w:r>
        <w:rPr>
          <w:rFonts w:ascii="Times New Roman" w:hAnsi="Times New Roman"/>
          <w:sz w:val="28"/>
          <w:szCs w:val="28"/>
        </w:rPr>
        <w:t>територіальної громади</w:t>
      </w:r>
    </w:p>
    <w:p>
      <w:pPr>
        <w:pStyle w:val="Normal"/>
        <w:ind w:left="4876" w:hanging="0"/>
        <w:jc w:val="both"/>
        <w:rPr/>
      </w:pPr>
      <w:r>
        <w:rPr>
          <w:rFonts w:ascii="Times New Roman" w:hAnsi="Times New Roman"/>
          <w:sz w:val="28"/>
          <w:szCs w:val="28"/>
        </w:rPr>
        <w:t>на 2022</w:t>
      </w:r>
      <w:r>
        <w:rPr>
          <w:color w:val="000000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>2025 роки</w:t>
      </w:r>
    </w:p>
    <w:p>
      <w:pPr>
        <w:pStyle w:val="Normal"/>
        <w:jc w:val="both"/>
        <w:rPr/>
      </w:pPr>
      <w:r>
        <w:rPr/>
      </w:r>
    </w:p>
    <w:p>
      <w:pPr>
        <w:pStyle w:val="111"/>
        <w:numPr>
          <w:ilvl w:val="0"/>
          <w:numId w:val="1"/>
        </w:numPr>
        <w:rPr>
          <w:rFonts w:ascii="Times New Roman" w:hAnsi="Times New Roman" w:cs="Times New Roman"/>
          <w:b w:val="false"/>
          <w:b w:val="false"/>
          <w:color w:val="000000"/>
          <w:sz w:val="28"/>
          <w:szCs w:val="28"/>
        </w:rPr>
      </w:pPr>
      <w:r>
        <w:rPr>
          <w:rFonts w:cs="Times New Roman" w:ascii="Times New Roman" w:hAnsi="Times New Roman"/>
          <w:b w:val="false"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Комплексної програми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охорони довкілля </w:t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Луцької міської територіальної громади на 2022–2025 роки</w:t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tbl>
      <w:tblPr>
        <w:tblW w:w="9465" w:type="dxa"/>
        <w:jc w:val="left"/>
        <w:tblInd w:w="-5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712"/>
        <w:gridCol w:w="1250"/>
        <w:gridCol w:w="1201"/>
        <w:gridCol w:w="1302"/>
        <w:gridCol w:w="1125"/>
        <w:gridCol w:w="1874"/>
      </w:tblGrid>
      <w:tr>
        <w:trPr>
          <w:trHeight w:val="751" w:hRule="atLeast"/>
          <w:cantSplit w:val="true"/>
        </w:trPr>
        <w:tc>
          <w:tcPr>
            <w:tcW w:w="2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211"/>
              <w:widowControl w:val="false"/>
              <w:numPr>
                <w:ilvl w:val="1"/>
                <w:numId w:val="1"/>
              </w:numPr>
              <w:spacing w:before="240" w:after="60"/>
              <w:jc w:val="center"/>
              <w:rPr>
                <w:rFonts w:cs="Times New Roman"/>
                <w:b w:val="false"/>
                <w:b w:val="false"/>
                <w:i w:val="false"/>
                <w:i w:val="false"/>
                <w:color w:val="000000"/>
                <w:sz w:val="28"/>
              </w:rPr>
            </w:pPr>
            <w:r>
              <w:rPr>
                <w:rFonts w:cs="Times New Roman"/>
                <w:b w:val="false"/>
                <w:i w:val="false"/>
                <w:color w:val="000000"/>
                <w:sz w:val="28"/>
              </w:rPr>
            </w:r>
          </w:p>
          <w:p>
            <w:pPr>
              <w:pStyle w:val="211"/>
              <w:widowControl w:val="false"/>
              <w:numPr>
                <w:ilvl w:val="1"/>
                <w:numId w:val="1"/>
              </w:numPr>
              <w:spacing w:before="240" w:after="60"/>
              <w:jc w:val="center"/>
              <w:rPr>
                <w:rFonts w:ascii="Times New Roman" w:hAnsi="Times New Roman" w:cs="Times New Roman"/>
                <w:b w:val="false"/>
                <w:b w:val="false"/>
                <w:i w:val="false"/>
                <w:i w:val="false"/>
                <w:color w:val="000000"/>
                <w:sz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olor w:val="000000"/>
                <w:sz w:val="28"/>
              </w:rPr>
              <w:t>Обсяг коштів, які планується залучити на виконання Програми за джерелами фінансування, тис. грн</w:t>
            </w:r>
          </w:p>
        </w:tc>
        <w:tc>
          <w:tcPr>
            <w:tcW w:w="4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Роки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8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81" w:right="-81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Загальний обсяг фінансування, тис. грн</w:t>
            </w:r>
          </w:p>
        </w:tc>
      </w:tr>
      <w:tr>
        <w:trPr>
          <w:trHeight w:val="516" w:hRule="atLeast"/>
          <w:cantSplit w:val="true"/>
        </w:trPr>
        <w:tc>
          <w:tcPr>
            <w:tcW w:w="271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2022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2023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2024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color w:val="000000"/>
                <w:sz w:val="28"/>
                <w:szCs w:val="28"/>
              </w:rPr>
              <w:t>2025</w:t>
            </w:r>
          </w:p>
        </w:tc>
        <w:tc>
          <w:tcPr>
            <w:tcW w:w="187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1675" w:hRule="atLeast"/>
          <w:cantSplit w:val="true"/>
        </w:trPr>
        <w:tc>
          <w:tcPr>
            <w:tcW w:w="2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napToGrid w:val="false"/>
              <w:jc w:val="center"/>
              <w:rPr>
                <w:rFonts w:ascii="Times New Roman" w:hAnsi="Times New Roman" w:eastAsia="SimSun;宋体" w:cs="Times New Roman"/>
                <w:color w:val="000000"/>
                <w:sz w:val="28"/>
                <w:szCs w:val="28"/>
              </w:rPr>
            </w:pPr>
            <w:r>
              <w:rPr>
                <w:rFonts w:eastAsia="SimSun;宋体"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Обсяг фінансових ресурсів всього,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у тому числі:</w:t>
            </w:r>
          </w:p>
          <w:p>
            <w:pPr>
              <w:pStyle w:val="Normal"/>
              <w:jc w:val="center"/>
              <w:rPr>
                <w:rFonts w:ascii="Times New Roman" w:hAnsi="Times New Roman" w:eastAsia="SimSun;宋体" w:cs="Times New Roman"/>
                <w:color w:val="000000"/>
                <w:sz w:val="28"/>
                <w:szCs w:val="28"/>
              </w:rPr>
            </w:pPr>
            <w:r>
              <w:rPr>
                <w:rFonts w:eastAsia="SimSun;宋体"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20341,0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</w:t>
            </w: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en-US"/>
              </w:rPr>
              <w:t>4 496,0</w:t>
            </w:r>
          </w:p>
        </w:tc>
        <w:tc>
          <w:tcPr>
            <w:tcW w:w="1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20896,0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20001,0</w:t>
            </w:r>
          </w:p>
        </w:tc>
        <w:tc>
          <w:tcPr>
            <w:tcW w:w="1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bookmarkStart w:id="0" w:name="__DdeLink__2063_2822382465"/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95734,0</w:t>
            </w:r>
            <w:bookmarkEnd w:id="0"/>
          </w:p>
        </w:tc>
      </w:tr>
      <w:tr>
        <w:trPr>
          <w:trHeight w:val="1172" w:hRule="atLeast"/>
          <w:cantSplit w:val="true"/>
        </w:trPr>
        <w:tc>
          <w:tcPr>
            <w:tcW w:w="271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бюджету Луцької міської територіальної громади/</w:t>
            </w:r>
          </w:p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в т.ч. спецфонд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3760,0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12075,0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9030,0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8380,0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bookmarkStart w:id="1" w:name="__DdeLink__5859_28057960641"/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</w:t>
            </w:r>
            <w:bookmarkEnd w:id="1"/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3245,0</w:t>
            </w:r>
          </w:p>
        </w:tc>
      </w:tr>
      <w:tr>
        <w:trPr>
          <w:cantSplit w:val="true"/>
        </w:trPr>
        <w:tc>
          <w:tcPr>
            <w:tcW w:w="2712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1912,0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4265,0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2100,0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2210,0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10487,0</w:t>
            </w:r>
          </w:p>
        </w:tc>
      </w:tr>
      <w:tr>
        <w:trPr>
          <w:cantSplit w:val="true"/>
        </w:trPr>
        <w:tc>
          <w:tcPr>
            <w:tcW w:w="27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обласного бюджету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500,0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565,0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1065,0</w:t>
            </w:r>
          </w:p>
        </w:tc>
      </w:tr>
      <w:tr>
        <w:trPr>
          <w:cantSplit w:val="true"/>
        </w:trPr>
        <w:tc>
          <w:tcPr>
            <w:tcW w:w="27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державного бюджету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right="-120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---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ind w:left="-83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---</w:t>
            </w:r>
          </w:p>
        </w:tc>
      </w:tr>
      <w:tr>
        <w:trPr>
          <w:cantSplit w:val="true"/>
        </w:trPr>
        <w:tc>
          <w:tcPr>
            <w:tcW w:w="27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коштів інших джерел</w:t>
            </w:r>
          </w:p>
        </w:tc>
        <w:tc>
          <w:tcPr>
            <w:tcW w:w="125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16081,0</w:t>
            </w:r>
          </w:p>
        </w:tc>
        <w:tc>
          <w:tcPr>
            <w:tcW w:w="120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21856,0</w:t>
            </w:r>
          </w:p>
        </w:tc>
        <w:tc>
          <w:tcPr>
            <w:tcW w:w="130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11866,0</w:t>
            </w:r>
          </w:p>
        </w:tc>
        <w:tc>
          <w:tcPr>
            <w:tcW w:w="112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11621,0</w:t>
            </w:r>
          </w:p>
        </w:tc>
        <w:tc>
          <w:tcPr>
            <w:tcW w:w="18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napToGrid w:val="false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61424,0</w:t>
            </w:r>
          </w:p>
        </w:tc>
      </w:tr>
    </w:tbl>
    <w:p>
      <w:pPr>
        <w:pStyle w:val="Normal"/>
        <w:jc w:val="center"/>
        <w:rPr>
          <w:rFonts w:ascii="Times New Roman" w:hAnsi="Times New Roman" w:eastAsia="SimSun;宋体" w:cs="Times New Roman"/>
          <w:color w:val="000000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tabs>
          <w:tab w:val="clear" w:pos="306"/>
          <w:tab w:val="left" w:pos="1785" w:leader="none"/>
        </w:tabs>
        <w:ind w:firstLine="7020"/>
        <w:rPr>
          <w:rFonts w:ascii="Times New Roman" w:hAnsi="Times New Roman" w:eastAsia="SimSun;宋体" w:cs="Times New Roman"/>
          <w:color w:val="000000"/>
          <w:sz w:val="26"/>
          <w:szCs w:val="28"/>
        </w:rPr>
      </w:pPr>
      <w:r>
        <w:rPr>
          <w:rFonts w:eastAsia="SimSun;宋体" w:cs="Times New Roman" w:ascii="Times New Roman" w:hAnsi="Times New Roman"/>
          <w:color w:val="000000"/>
          <w:sz w:val="26"/>
          <w:szCs w:val="28"/>
        </w:rPr>
      </w:r>
    </w:p>
    <w:p>
      <w:pPr>
        <w:sectPr>
          <w:headerReference w:type="default" r:id="rId3"/>
          <w:type w:val="nextPage"/>
          <w:pgSz w:w="11906" w:h="16838"/>
          <w:pgMar w:left="1985" w:right="567" w:header="709" w:top="766" w:footer="0" w:bottom="1134" w:gutter="0"/>
          <w:pgNumType w:start="2" w:fmt="decimal"/>
          <w:formProt w:val="false"/>
          <w:textDirection w:val="lrTb"/>
          <w:docGrid w:type="default" w:linePitch="100" w:charSpace="8192"/>
        </w:sectPr>
        <w:pStyle w:val="Normal"/>
        <w:rPr/>
      </w:pPr>
      <w:r>
        <w:rPr>
          <w:rFonts w:cs="Times New Roman" w:ascii="Times New Roman" w:hAnsi="Times New Roman"/>
          <w:color w:val="000000"/>
          <w:sz w:val="24"/>
        </w:rPr>
        <w:t>Лисак 724 160</w:t>
      </w:r>
    </w:p>
    <w:p>
      <w:pPr>
        <w:pStyle w:val="Normal"/>
        <w:tabs>
          <w:tab w:val="clear" w:pos="306"/>
          <w:tab w:val="left" w:pos="4815" w:leader="none"/>
          <w:tab w:val="left" w:pos="9300" w:leader="none"/>
        </w:tabs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ab/>
        <w:tab/>
        <w:t>Додаток 2</w:t>
      </w:r>
    </w:p>
    <w:p>
      <w:pPr>
        <w:pStyle w:val="Normal"/>
        <w:ind w:left="9298" w:hanging="0"/>
        <w:jc w:val="both"/>
        <w:rPr/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Комплексної програми охорони</w:t>
      </w:r>
    </w:p>
    <w:p>
      <w:pPr>
        <w:pStyle w:val="Normal"/>
        <w:ind w:left="9298" w:hanging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довкілля Луцької міської </w:t>
      </w:r>
    </w:p>
    <w:p>
      <w:pPr>
        <w:pStyle w:val="Normal"/>
        <w:ind w:left="9298" w:hanging="0"/>
        <w:jc w:val="both"/>
        <w:rPr/>
      </w:pPr>
      <w:r>
        <w:rPr>
          <w:rFonts w:ascii="Times New Roman" w:hAnsi="Times New Roman"/>
          <w:sz w:val="28"/>
          <w:szCs w:val="28"/>
        </w:rPr>
        <w:t>територіальної громади</w:t>
      </w:r>
    </w:p>
    <w:p>
      <w:pPr>
        <w:pStyle w:val="Normal"/>
        <w:ind w:left="9241" w:hanging="0"/>
        <w:rPr/>
      </w:pPr>
      <w:r>
        <w:rPr>
          <w:rFonts w:ascii="Times New Roman" w:hAnsi="Times New Roman"/>
          <w:sz w:val="28"/>
          <w:szCs w:val="28"/>
        </w:rPr>
        <w:t>на 2022</w:t>
      </w:r>
      <w:r>
        <w:rPr>
          <w:color w:val="000000"/>
          <w:sz w:val="28"/>
          <w:szCs w:val="28"/>
        </w:rPr>
        <w:t>–</w:t>
      </w:r>
      <w:bookmarkStart w:id="2" w:name="_GoBack"/>
      <w:bookmarkEnd w:id="2"/>
      <w:r>
        <w:rPr>
          <w:rFonts w:ascii="Times New Roman" w:hAnsi="Times New Roman"/>
          <w:sz w:val="28"/>
          <w:szCs w:val="28"/>
        </w:rPr>
        <w:t>2025 роки</w:t>
      </w:r>
    </w:p>
    <w:p>
      <w:pPr>
        <w:pStyle w:val="Normal"/>
        <w:ind w:left="9072" w:hanging="0"/>
        <w:rPr/>
      </w:pPr>
      <w:r>
        <w:rPr/>
      </w:r>
    </w:p>
    <w:p>
      <w:pPr>
        <w:pStyle w:val="Normal"/>
        <w:widowControl/>
        <w:jc w:val="center"/>
        <w:rPr>
          <w:rFonts w:ascii="Times New Roman" w:hAnsi="Times New Roman" w:eastAsia="SimSun;宋体" w:cs="Times New Roman"/>
          <w:color w:val="000000"/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Комплексної програми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охорони довкілля Луцької міської територіальної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громади  на 2022–2025 роки</w:t>
      </w:r>
    </w:p>
    <w:p>
      <w:pPr>
        <w:pStyle w:val="Normal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</w:r>
    </w:p>
    <w:tbl>
      <w:tblPr>
        <w:tblW w:w="15765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43"/>
        <w:gridCol w:w="4688"/>
        <w:gridCol w:w="1708"/>
        <w:gridCol w:w="1406"/>
        <w:gridCol w:w="1245"/>
        <w:gridCol w:w="1484"/>
        <w:gridCol w:w="2990"/>
      </w:tblGrid>
      <w:tr>
        <w:trPr/>
        <w:tc>
          <w:tcPr>
            <w:tcW w:w="22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Назва завдання</w:t>
            </w:r>
          </w:p>
        </w:tc>
        <w:tc>
          <w:tcPr>
            <w:tcW w:w="46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Назва заходу</w:t>
            </w:r>
          </w:p>
        </w:tc>
        <w:tc>
          <w:tcPr>
            <w:tcW w:w="1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Виконавці</w:t>
            </w:r>
          </w:p>
        </w:tc>
        <w:tc>
          <w:tcPr>
            <w:tcW w:w="14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Терміни виконання</w:t>
            </w:r>
          </w:p>
        </w:tc>
        <w:tc>
          <w:tcPr>
            <w:tcW w:w="27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Фінансування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Результативні показники</w:t>
            </w:r>
          </w:p>
        </w:tc>
      </w:tr>
      <w:tr>
        <w:trPr/>
        <w:tc>
          <w:tcPr>
            <w:tcW w:w="22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70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40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Джерела</w:t>
            </w:r>
          </w:p>
        </w:tc>
        <w:tc>
          <w:tcPr>
            <w:tcW w:w="1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Обсяги, тис. грн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Style32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І. Охорона і раціональне використання водних ресурсів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2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1. Біологічна меліорація водойм (зариблення)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Збереження та примноження  біоресурсів, покращення стану водойм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2. Заходи щодо відновлення і підтримання сприятливого гідрологічного режиму, санітарного  стану та благоустрою  річок та водойм, створення водоохоронних зон (в т.ч. розробка проектної документації)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920,0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санітарно-екологічного стану водойм,  встановлення меж природоохоронних територій, забезпечення їх охорони.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/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3. Утримання в належному стані прибережних захисних смуг та водоохоронних зон річок та водойм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700,0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750,0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sz w:val="24"/>
              </w:rPr>
              <w:t>Попередження заростання та замулення водних об’єктів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>
                <w:rFonts w:ascii="Times New Roman" w:hAnsi="Times New Roman"/>
                <w:color w:val="000000"/>
                <w:spacing w:val="2"/>
                <w:lang w:val="uk-UA"/>
              </w:rPr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700,0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Санітарне прибирання, покращення рекреаційних можливостей використання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/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4. Очищення русел річок від повалених дерев, догляд за прибережними захисними смугами та водоохоронними зонами  (видалення аварійних, сухостійних, вітровальних, фаутних дерев) з метою покращення гідрологічного режиму та санітарного стану водних об'єктів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overflowPunct w:val="false"/>
              <w:spacing w:before="0" w:after="0"/>
              <w:ind w:left="-57" w:hanging="0"/>
              <w:jc w:val="both"/>
              <w:rPr/>
            </w:pPr>
            <w:r>
              <w:rPr>
                <w:rFonts w:ascii="Times New Roman" w:hAnsi="Times New Roman"/>
                <w:spacing w:val="2"/>
                <w:lang w:val="uk-UA"/>
              </w:rPr>
              <w:t>Покращення гідрологічного режиму та санітарного стану водних об'єктів, відновлення судноплавства на р. Стир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/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5. Відновлення гідрологічного режиму та санітарного стану заплави р. Стир в районі вул. Гнідавська — вул. Ковельська в м. Луцьку (в т.ч. розробка/коригування проєкту)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3600,0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Відповідно до ПКД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Очищення заплави від мулових осадів, поглиблення водойми, відновлення водообміну в гідрологічній системі р. Стир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pacing w:val="2"/>
                <w:lang w:val="uk-UA"/>
              </w:rPr>
              <w:t>6. Реконструкція та відновлення водойми на територіїс. Прилуцьке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Обласний бюджет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</w:r>
          </w:p>
          <w:p>
            <w:pPr>
              <w:pStyle w:val="Normal"/>
              <w:jc w:val="center"/>
              <w:rPr/>
            </w:pPr>
            <w:bookmarkStart w:id="3" w:name="__DdeLink__1797_1591253645"/>
            <w:r>
              <w:rPr>
                <w:rFonts w:ascii="Times New Roman" w:hAnsi="Times New Roman"/>
                <w:sz w:val="24"/>
              </w:rPr>
              <w:t>Відповідно до ПКД</w:t>
            </w:r>
            <w:bookmarkEnd w:id="3"/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Відновлення  водойми, розвиток рекреаційного потенціалу території, адаптація до кліматичних змін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5"/>
              <w:spacing w:before="0" w:after="0"/>
              <w:jc w:val="both"/>
              <w:rPr/>
            </w:pPr>
            <w:r>
              <w:rPr>
                <w:rFonts w:ascii="Times New Roman" w:hAnsi="Times New Roman"/>
                <w:color w:val="000000"/>
                <w:spacing w:val="2"/>
                <w:lang w:val="uk-UA"/>
              </w:rPr>
              <w:t>7. Будівництво локальних очисних споруд дощової каналізації на основних скидах у відкриті водойми міста (в т.ч. розробка проєкту)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Відповідно до ПКД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Покращить якість води у поверхневих водних об’єктах, зменшить руйнування  на випусках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8. Р</w:t>
            </w:r>
            <w:r>
              <w:rPr>
                <w:rFonts w:ascii="Times New Roman" w:hAnsi="Times New Roman"/>
                <w:sz w:val="24"/>
              </w:rPr>
              <w:t>еконструкція гідротехнічних споруд (дамби, греблі, шлюзи тощо)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Відповідно до ПКД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 xml:space="preserve">Забезпечення стійкості штучно створених водних систем, можливість при потребі регулювати рівень води у об’єктах при настанні несприятливих явищ </w:t>
            </w:r>
            <w:r>
              <w:rPr>
                <w:rFonts w:ascii="Times New Roman" w:hAnsi="Times New Roman"/>
                <w:sz w:val="24"/>
                <w:lang w:val="ru-RU"/>
              </w:rPr>
              <w:t>(</w:t>
            </w:r>
            <w:r>
              <w:rPr>
                <w:rFonts w:ascii="Times New Roman" w:hAnsi="Times New Roman"/>
                <w:sz w:val="24"/>
              </w:rPr>
              <w:t xml:space="preserve">повені, засухи </w:t>
            </w:r>
            <w:r>
              <w:rPr>
                <w:rFonts w:ascii="Times New Roman" w:hAnsi="Times New Roman"/>
                <w:sz w:val="24"/>
                <w:lang w:val="ru-RU"/>
              </w:rPr>
              <w:t>)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9. Роботи, пов'язані з поліпшенням технічного стану та благоустрою водойм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Підвищить рекреаційний потенціал території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10. Паспортизація малих річок і водойм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80,0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Створення передумов для збереження, захисту, надання в оренду ставів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11. Паспортизація гідротехнічних споруд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Створення передумов для збереження, захисту, надання в оренду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12. Реконструкція маслобензовловлювача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“Теремно Хліб”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13. Проведення лабораторного контролю за якісним складом стічних вод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14. Реконструкція радіального відстійника очисних споруд промислової каналізації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“Луцька картонно-паперова фабрика”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15. Встановлення  ротаційного сепаратора для очищення води після установки з виготовлення картону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ТзОВ “Луцька картонно-паперова фабрика”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16. Будівництво локальних очисних споруд стічних вод на дільниці галтування ролика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17. Реконструкція системи очищення дощових вод та розробка концепції повторного використання дощових  стоків для технічних потреб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6000,0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7000,0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7000,0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очищення зливових стоків, раціональне використання природних ресурсів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18. Розчищення русла та укріплення берегів</w:t>
            </w:r>
          </w:p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р. Сапалаївка в місці скиду зливових вод з очисних споруд підприємства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Попередження руйнування берегів річки, замулення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19. Проведення лабораторного контролю за якісним складом стічних вод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якості стічних вод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20. Реконструкція насосного обладнання на очисних спорудах зливових вод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Забезпечення безперебійної роботи та очищення стоків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2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21. Заходи на проведення очистки меліоративних каналів на території Центрального парку культури і відпочинку ім. Лесі Українки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ЖГК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Обласний бюджет/ 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500,0/500,0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500,0/1500,0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Покращення санітарного стану парку та водойм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2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lang w:bidi="ar-SA"/>
              </w:rPr>
              <w:t xml:space="preserve">22. Заходи з охорони підземних вод та ліквідації джерел їх забруднення, а саме </w:t>
            </w:r>
            <w:bookmarkStart w:id="4" w:name="__DdeLink__262_139132664"/>
            <w:r>
              <w:rPr>
                <w:rFonts w:ascii="Times New Roman" w:hAnsi="Times New Roman"/>
                <w:color w:val="000000"/>
                <w:sz w:val="24"/>
                <w:lang w:bidi="ar-SA"/>
              </w:rPr>
              <w:t xml:space="preserve"> розробка проєктно-кошторисної документації встановлення санітарно-захисних зон свердловин питного водопостачання</w:t>
            </w:r>
            <w:bookmarkEnd w:id="4"/>
            <w:r>
              <w:rPr>
                <w:rFonts w:ascii="Times New Roman" w:hAnsi="Times New Roman"/>
                <w:color w:val="000000"/>
                <w:sz w:val="24"/>
                <w:lang w:bidi="ar-SA"/>
              </w:rPr>
              <w:t xml:space="preserve"> та влаштування захисних огорож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bCs w:val="false"/>
                <w:i w:val="false"/>
                <w:i w:val="false"/>
                <w:iCs w:val="false"/>
                <w:lang w:val="uk-UA" w:eastAsia="zh-CN" w:bidi="hi-IN"/>
              </w:rPr>
            </w:pPr>
            <w:r>
              <w:rPr>
                <w:rFonts w:eastAsia="Segoe UI" w:cs="Tahoma" w:ascii="Times New Roman" w:hAnsi="Times New Roman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u w:val="none"/>
                <w:lang w:val="uk-UA" w:eastAsia="zh-CN" w:bidi="hi-IN"/>
              </w:rPr>
              <w:t>КП “Луцькводоканал”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/ в т.ч. спецфонд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850,0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Охорона підземних вод (джерел питного водопостачання)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ІІ. Охорона атмосферного повітря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1. Обслуговування системи моніторингу атмосферного повітря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 xml:space="preserve">Створення </w:t>
            </w:r>
            <w:r>
              <w:rPr>
                <w:rFonts w:ascii="Times New Roman" w:hAnsi="Times New Roman"/>
                <w:color w:val="333333"/>
                <w:sz w:val="24"/>
              </w:rPr>
              <w:t>та забезпечення функціювання місцевих екологічних АІС, які є складовою мережі загальнодержавної екологічної автоматизованої інформаційно-аналітичної системи забезпечення доступу до екологічної інформації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2. Реконструкція вентиляційної системи від деревообробного обладнання столярної майстерні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“Теремно Хліб”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15,0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3. Проведення режимно-налагоджувальних робіт на котлоагрегатах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ДКП “Луцьктепло”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245,0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270,0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360,0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360,0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4. Проведення лабораторного контролю викидів забруднювальних речовин в атмосферне повітря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5. Проведення інвентаризації джерел викидів забруднювальних речовин в атмосферне повітря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6. Організація виробництва для очищення газопилового потоку (реконструкція ПГОУ)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7. Організація виробництва для очищення газопилового потоку (реконструкція ПГОУ)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8. Проведення лабораторного контролю викидів забруднюючих речовин в атмосферне повітря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7,0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9. Проведення режимно-налагоджувальних робіт на котлоагрегатах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 якості очищення атмосферного повітря</w:t>
            </w:r>
          </w:p>
        </w:tc>
      </w:tr>
      <w:tr>
        <w:trPr/>
        <w:tc>
          <w:tcPr>
            <w:tcW w:w="224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ІІІ. Охорона і раціональне використання земель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1. Моніторинг стану забруднення ґрунтів</w:t>
            </w:r>
          </w:p>
          <w:p>
            <w:pPr>
              <w:pStyle w:val="Normal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Луцької міської територіальної громади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Не потребує коштів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333333"/>
                <w:sz w:val="24"/>
              </w:rPr>
              <w:t>Забезпечення доступу до екологічної інформації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333333"/>
                <w:sz w:val="24"/>
              </w:rPr>
            </w:pPr>
            <w:r>
              <w:rPr>
                <w:rFonts w:ascii="Times New Roman" w:hAnsi="Times New Roman"/>
                <w:color w:val="333333"/>
                <w:sz w:val="24"/>
              </w:rPr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 xml:space="preserve">ІV. Охорона і раціональне використання </w:t>
              <w:br/>
              <w:t>природних рослинних ресурсів</w:t>
            </w:r>
          </w:p>
        </w:tc>
        <w:tc>
          <w:tcPr>
            <w:tcW w:w="468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1. Заходи з озеленення </w:t>
            </w: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населених пунктів Луцької міської територіальної громади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  <w:p>
            <w:pPr>
              <w:pStyle w:val="Normal"/>
              <w:jc w:val="center"/>
              <w:rPr>
                <w:rFonts w:ascii="Times New Roman" w:hAnsi="Times New Roman" w:eastAsia="Segoe UI" w:cs="Tahoma"/>
                <w:color w:val="000000"/>
                <w:kern w:val="0"/>
                <w:sz w:val="24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380,0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99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212529"/>
                <w:sz w:val="24"/>
              </w:rPr>
            </w:pPr>
            <w:r>
              <w:rPr>
                <w:rFonts w:ascii="Times New Roman" w:hAnsi="Times New Roman"/>
                <w:color w:val="212529"/>
                <w:sz w:val="24"/>
              </w:rPr>
            </w:r>
          </w:p>
        </w:tc>
        <w:tc>
          <w:tcPr>
            <w:tcW w:w="468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99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2. Ліквідація наслідків буреломів, сніголомів, вітровалів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Забезпечення безпеки життя та здоров’я мешканців громади</w:t>
            </w:r>
          </w:p>
        </w:tc>
      </w:tr>
      <w:tr>
        <w:trPr>
          <w:trHeight w:val="1341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3. Заходи щодо запобігання інтродукції та поширення чужорідних видів рослин, які загрожують природним екосистемам (борщівник, амброзія та ін. 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комітет, ДЖКГ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Захист та збереження природних екосистем, захист здоров’я мешканці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4. Проведення інвентаризації зелених насаджень, виготовлення документації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Захист та збереження природних екосистем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Style32"/>
              <w:spacing w:lineRule="atLeast" w:line="240"/>
              <w:jc w:val="both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</w:rPr>
              <w:t>5. Обробка зелених насаджень від кліщів, комарів, білого американського метелика та ін.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Департамент 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80,0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Захист та збереження природних екосистем від інвазійних видів, захист здоров’я мешканці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6. Заходи з озеленення території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>
          <w:trHeight w:val="1188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7. Заходи з озеленення території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11,0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11,0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11,0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11,0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Збільшення кількості зелених насаджень, адаптація до змін клімату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color w:val="212529"/>
                <w:sz w:val="24"/>
                <w:lang w:val="en-US"/>
              </w:rPr>
              <w:t>V</w:t>
            </w:r>
            <w:r>
              <w:rPr>
                <w:rFonts w:ascii="Times New Roman" w:hAnsi="Times New Roman"/>
                <w:color w:val="212529"/>
                <w:sz w:val="24"/>
                <w:lang w:val="ru-RU"/>
              </w:rPr>
              <w:t xml:space="preserve">. </w:t>
            </w:r>
            <w:r>
              <w:rPr>
                <w:rFonts w:ascii="Times New Roman" w:hAnsi="Times New Roman"/>
                <w:color w:val="212529"/>
                <w:sz w:val="24"/>
              </w:rPr>
              <w:t xml:space="preserve">Охорона і раціональне використання </w:t>
              <w:br/>
              <w:t>ресурсів тваринного світу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1. Будівництво та облаштування притулку для утримання безпритульних тварин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Збереження біорізноманіття,  охорона ресурсів тваринного світу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2. Заходи щодо охорони тваринного світу та боротьби з браконьєрством (придбання матеріально-технічних засобів тощо)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120,0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Збереження біорізноманіття,  охорона ресурсів тваринного світу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VІ. Збереження природно-заповідного фонду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1. Утримання територій та об’єктів природно-заповідного фонду міської громади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350,0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</w:rPr>
              <w:t>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Збереження біорізноманіття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2. Розроблення проєктів створення територій і об'єктів природно-заповідного фонду та організації їх територій, наукові дослідження видового складу флори та фауни, екосистемних послуг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комітет, ДЖКГ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Захист  територій природо-заповідного фонду , їх раціональне не виснажливе використання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>3. Розроблення документації із землеустрою для територій та об’єктів природно-заповідного фонду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212529"/>
                <w:sz w:val="24"/>
              </w:rPr>
            </w:pPr>
            <w:r>
              <w:rPr>
                <w:rFonts w:ascii="Times New Roman" w:hAnsi="Times New Roman"/>
                <w:color w:val="212529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285,0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2300,0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Захист  територій природо-заповідного фонду</w:t>
            </w:r>
          </w:p>
        </w:tc>
      </w:tr>
      <w:tr>
        <w:trPr>
          <w:trHeight w:val="1090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4. Діяльність щодо збереження видів тварин, занесених до Червоної книги України (придбання кормів)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40,0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Збереження біорізноманіття та тварин занесених до Червоної книги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5. Створення Ботанічного саду на вул. Потебні в м. Луцьку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ВНУ ім. Лесі Українки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2023  2025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Інші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Cs w:val="22"/>
              </w:rPr>
              <w:t>Відповідно до проєктної документації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Збереження біорізноманіття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 xml:space="preserve">VІІ. Раціональне використання і зберігання </w:t>
              <w:br/>
              <w:t>відходів виробництва і побутових відходів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1. Заходи щодо екологічно безпечного збирання, перевезення, зберігання, утилізації і знешкодження відходів (відпрацьовані люмінесцентні лампи, ртутні термометри, хімічні джерела струму, зношені шини та ін.)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270,0</w:t>
            </w:r>
          </w:p>
          <w:p>
            <w:pPr>
              <w:pStyle w:val="Normal"/>
              <w:jc w:val="center"/>
              <w:rPr>
                <w:color w:val="C9211E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400,0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Вилучення небезпечних відходів із загального потоку ТПВ, зменшення забруднення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2. Придбання обладнання для збору відходів (компостери для встановлення у ЗДО та ЗЗСО)</w:t>
            </w:r>
            <w:r>
              <w:rPr>
                <w:rFonts w:ascii="Times New Roman" w:hAnsi="Times New Roman"/>
                <w:color w:val="C9211E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та інше.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Впровадження компостування в громаді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3. Реконструкція місця зберігання небезпечних відходів (АКБ)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ind w:left="-57" w:right="-57" w:hanging="0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ПрАТ “ТеремноХліб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4. Проєктування та встановлення системи для утилізації полімерних відходів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“Луцька картонно-паперова фабрика”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Раціональне використання відходів виробництва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5. Утилізація промислових відходів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6. Придбання обладнання для тимчасового зберігання небезпечних відходів (відпрацьовані люмінесцентні лампи)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15,0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7. Реконструкція (модернізація) місця зберігання відходів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1500,0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1500,0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eastAsia="Segoe UI" w:cs="Tahoma" w:ascii="Times New Roman" w:hAnsi="Times New Roman"/>
                <w:color w:val="212529"/>
                <w:kern w:val="0"/>
                <w:sz w:val="24"/>
              </w:rPr>
              <w:t>8. Р</w:t>
            </w:r>
            <w:r>
              <w:rPr>
                <w:rFonts w:ascii="Times New Roman" w:hAnsi="Times New Roman"/>
                <w:color w:val="212529"/>
                <w:sz w:val="24"/>
              </w:rPr>
              <w:t>озширення та реконструкція споруд, придбання та встановлення обладнання для збору, складування та утилізації промислових відходів виробництва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4000,0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9. Вдосконалення процесу сортування промислових відходів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Раціональне використання відходів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tLeast" w:line="240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10. Утилізація промислових відходів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Запобігання  забрудненню довкілля</w:t>
            </w:r>
          </w:p>
        </w:tc>
      </w:tr>
      <w:tr>
        <w:trPr/>
        <w:tc>
          <w:tcPr>
            <w:tcW w:w="224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VІІІ. Наука, інформація і освіта, забезпечення участі у діяльності</w:t>
              <w:br/>
              <w:t>міжнародних організацій природоохоронного спрямування</w:t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1. Придбання обладнання для оснащення ним природоохоронних організацій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Організація належного контролю за  порушеннями  природоохоронного законодавства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2. Проведення наукових досліджень (моніторинг якості атмосферного повітря, поверхневих вод тощо)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Обласний бюджет/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65,0/30,0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Забезпечення рівноваги природних систем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3. Заходи зі збереження біорізноманіття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80,0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Покращення обізнаності  дітей та молоді  з  питань  біорізноманіття</w:t>
            </w:r>
          </w:p>
          <w:p>
            <w:pPr>
              <w:pStyle w:val="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4. Створення та обслуговування  автоматизованих геоінформаційних систем та приладів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Бюджет громади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60,0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100,0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Створення та забезпечення функціювання місцевих екологічних АІС, які є складовою мережі загальнодержавної екологічної автоматизованої інформаційно-аналітичної системи забезпечення доступу до екологічної інформації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5. Проведення науково-технічних конференцій і семінарів, організація виставок, фестивалів та інших заходів щодо пропаганди охорони навколишнього природного середовища, видання поліграфічної продукції з екологічної тематики, створення бібліотек, відеотек, фонотек тощо(в т.ч. придбання одноразових рукавиць та пакетів для сміття в рамках проведення міських екологічних акцій)</w:t>
            </w:r>
          </w:p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300,0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4"/>
              </w:rPr>
              <w:t>200,0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Очищення довкілля в ході  загальноміських  акцій, популяризація природоохоронної діяльності</w:t>
            </w:r>
          </w:p>
        </w:tc>
      </w:tr>
      <w:tr>
        <w:trPr>
          <w:trHeight w:val="1020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color w:val="212529"/>
                <w:sz w:val="24"/>
              </w:rPr>
              <w:t xml:space="preserve">6. </w:t>
            </w:r>
            <w:r>
              <w:rPr>
                <w:rFonts w:ascii="Times New Roman" w:hAnsi="Times New Roman"/>
                <w:color w:val="212529"/>
                <w:sz w:val="23"/>
                <w:szCs w:val="23"/>
              </w:rPr>
              <w:t>Організація і здійснення робіт з екологічної освіти, підготовки кадрів, підвищення кваліфікації та обміну досвідом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Виконавчий комітет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Cs w:val="22"/>
              </w:rPr>
              <w:t>Бюджет громади/ в т.ч. спецфонд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bookmarkStart w:id="5" w:name="__DdeLink__2169_771351238"/>
            <w:r>
              <w:rPr>
                <w:rFonts w:ascii="Times New Roman" w:hAnsi="Times New Roman"/>
                <w:sz w:val="24"/>
              </w:rPr>
              <w:t>Поширення екологічний знань</w:t>
            </w:r>
            <w:bookmarkEnd w:id="5"/>
          </w:p>
        </w:tc>
      </w:tr>
      <w:tr>
        <w:trPr>
          <w:trHeight w:val="1445" w:hRule="atLeast"/>
        </w:trPr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 xml:space="preserve">7. Проведення семінарів, круглих столів, конференцій з питань сучасних екологічних проблем, видання поліграфічної продукції 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ВНУ ім. Лесі Українки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 xml:space="preserve">Популяризація природоохоронної діяльності, підвищення поінформованості громади щодо екологічних питань 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8. Підвищення кваліфікації працівників  у сфері охорони навколишнього природного середовища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ПрАТ “СКФ Україна”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Поширення екологічний знань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9. Підвищення кваліфікації працівників  у сфері охорони навколишнього природного середовища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 w:val="23"/>
                <w:szCs w:val="23"/>
              </w:rPr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3"/>
                <w:szCs w:val="23"/>
              </w:rPr>
              <w:t>ДП “АСЗ №1” ПАТ “АК “Богдан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2022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2023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2025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6,0</w:t>
            </w:r>
          </w:p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6,0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Поширення екологічний знань</w:t>
            </w:r>
          </w:p>
        </w:tc>
      </w:tr>
      <w:tr>
        <w:trPr/>
        <w:tc>
          <w:tcPr>
            <w:tcW w:w="224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</w:r>
          </w:p>
        </w:tc>
        <w:tc>
          <w:tcPr>
            <w:tcW w:w="468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10. Атестація лабораторії  підприємства  для здійснення моніторингу атмосферного повітря та стічних вод</w:t>
            </w:r>
          </w:p>
        </w:tc>
        <w:tc>
          <w:tcPr>
            <w:tcW w:w="170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306"/>
                <w:tab w:val="left" w:pos="0" w:leader="none"/>
              </w:tabs>
              <w:jc w:val="center"/>
              <w:rPr/>
            </w:pPr>
            <w:r>
              <w:rPr>
                <w:rFonts w:eastAsia="Segoe UI" w:cs="Tahoma" w:ascii="Times New Roman" w:hAnsi="Times New Roman"/>
                <w:color w:val="000000"/>
                <w:kern w:val="0"/>
                <w:sz w:val="24"/>
              </w:rPr>
              <w:t>ДП “АСЗ №1” ПАТ  “АК“ Богдан     Моторс”</w:t>
            </w:r>
          </w:p>
        </w:tc>
        <w:tc>
          <w:tcPr>
            <w:tcW w:w="140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2024</w:t>
            </w:r>
          </w:p>
        </w:tc>
        <w:tc>
          <w:tcPr>
            <w:tcW w:w="124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Власні кошти</w:t>
            </w:r>
          </w:p>
        </w:tc>
        <w:tc>
          <w:tcPr>
            <w:tcW w:w="148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4"/>
              </w:rPr>
              <w:t>35,0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/>
            </w:pPr>
            <w:r>
              <w:rPr>
                <w:rFonts w:ascii="Times New Roman" w:hAnsi="Times New Roman"/>
                <w:sz w:val="24"/>
              </w:rPr>
              <w:t>Забезпечення  контролю за станом довкілля</w:t>
            </w:r>
          </w:p>
        </w:tc>
      </w:tr>
      <w:tr>
        <w:trPr>
          <w:trHeight w:val="315" w:hRule="atLeast"/>
        </w:trPr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Всього за роками,в тому числі: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Cs w:val="22"/>
              </w:rPr>
              <w:t>95 734,0 млн. грн</w:t>
            </w:r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2022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Cs w:val="22"/>
              </w:rPr>
              <w:t>20 341,0</w:t>
            </w:r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2023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</w:rPr>
            </w:pPr>
            <w:bookmarkStart w:id="6" w:name="__DdeLink__2853_2295493619"/>
            <w:r>
              <w:rPr>
                <w:rFonts w:cs="Times New Roman" w:ascii="Times New Roman" w:hAnsi="Times New Roman"/>
                <w:color w:val="000000"/>
                <w:szCs w:val="22"/>
              </w:rPr>
              <w:t>3</w:t>
            </w:r>
            <w:r>
              <w:rPr>
                <w:rFonts w:cs="Times New Roman" w:ascii="Times New Roman" w:hAnsi="Times New Roman"/>
                <w:color w:val="000000"/>
                <w:szCs w:val="22"/>
                <w:lang w:val="en-US"/>
              </w:rPr>
              <w:t>4 496,0</w:t>
            </w:r>
            <w:bookmarkEnd w:id="6"/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2024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C9211E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color w:val="000000"/>
                <w:szCs w:val="22"/>
              </w:rPr>
              <w:t>20 896,0</w:t>
            </w:r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2025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color w:val="000000"/>
                <w:sz w:val="24"/>
              </w:rPr>
            </w:pPr>
            <w:r>
              <w:rPr>
                <w:rFonts w:cs="Times New Roman" w:ascii="Times New Roman" w:hAnsi="Times New Roman"/>
                <w:color w:val="000000"/>
                <w:szCs w:val="22"/>
              </w:rPr>
              <w:t>20001,0</w:t>
            </w:r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both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Всього за джерелами фінансування, у тому числі:       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color w:val="000000"/>
                <w:szCs w:val="22"/>
              </w:rPr>
              <w:t>коштів бюджету громади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ind w:left="-83" w:hanging="0"/>
              <w:jc w:val="center"/>
              <w:rPr>
                <w:sz w:val="20"/>
                <w:szCs w:val="20"/>
              </w:rPr>
            </w:pPr>
            <w:bookmarkStart w:id="7" w:name="__DdeLink__2049_535223266"/>
            <w:r>
              <w:rPr>
                <w:rFonts w:eastAsia="Calibri" w:cs="Times New Roman" w:ascii="Times New Roman" w:hAnsi="Times New Roman"/>
                <w:color w:val="000000"/>
                <w:szCs w:val="22"/>
              </w:rPr>
              <w:t>3</w:t>
            </w:r>
            <w:bookmarkEnd w:id="7"/>
            <w:r>
              <w:rPr>
                <w:rFonts w:eastAsia="Calibri" w:cs="Times New Roman" w:ascii="Times New Roman" w:hAnsi="Times New Roman"/>
                <w:color w:val="000000"/>
                <w:szCs w:val="22"/>
              </w:rPr>
              <w:t>3245,0</w:t>
            </w:r>
          </w:p>
        </w:tc>
      </w:tr>
      <w:tr>
        <w:trPr/>
        <w:tc>
          <w:tcPr>
            <w:tcW w:w="12774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right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Cs w:val="22"/>
              </w:rPr>
              <w:t>коштів інших джерел</w:t>
            </w:r>
          </w:p>
        </w:tc>
        <w:tc>
          <w:tcPr>
            <w:tcW w:w="2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color w:val="000000"/>
                <w:szCs w:val="22"/>
              </w:rPr>
              <w:t>61424,0</w:t>
            </w:r>
          </w:p>
        </w:tc>
      </w:tr>
    </w:tbl>
    <w:p>
      <w:pPr>
        <w:pStyle w:val="Normal"/>
        <w:tabs>
          <w:tab w:val="clear" w:pos="306"/>
          <w:tab w:val="left" w:pos="4815" w:leader="none"/>
        </w:tabs>
        <w:jc w:val="both"/>
        <w:rPr/>
      </w:pPr>
      <w:r>
        <w:rPr/>
      </w:r>
    </w:p>
    <w:sectPr>
      <w:headerReference w:type="default" r:id="rId4"/>
      <w:type w:val="nextPage"/>
      <w:pgSz w:orient="landscape" w:w="16838" w:h="11906"/>
      <w:pgMar w:left="567" w:right="567" w:header="1701" w:top="1758" w:footer="0" w:bottom="1701" w:gutter="0"/>
      <w:pgNumType w:start="3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Arial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jc w:val="center"/>
      <w:rPr>
        <w:sz w:val="28"/>
        <w:szCs w:val="28"/>
      </w:rPr>
    </w:pPr>
    <w:r>
      <w:rPr>
        <w:sz w:val="28"/>
        <w:szCs w:val="28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30"/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2</w:t>
    </w:r>
    <w:r>
      <w:rPr>
        <w:sz w:val="28"/>
        <w:szCs w:val="28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902777525"/>
    </w:sdtPr>
    <w:sdtContent>
      <w:p>
        <w:pPr>
          <w:pStyle w:val="Style30"/>
          <w:jc w:val="center"/>
          <w:rPr/>
        </w:pPr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sz w:val="28"/>
            <w:szCs w:val="28"/>
            <w:rFonts w:ascii="Times New Roman" w:hAnsi="Times New Roman"/>
          </w:rPr>
          <w:instrText> PAGE </w:instrText>
        </w:r>
        <w:r>
          <w:rPr>
            <w:sz w:val="28"/>
            <w:szCs w:val="28"/>
            <w:rFonts w:ascii="Times New Roman" w:hAnsi="Times New Roman"/>
          </w:rPr>
          <w:fldChar w:fldCharType="separate"/>
        </w:r>
        <w:r>
          <w:rPr>
            <w:sz w:val="28"/>
            <w:szCs w:val="28"/>
            <w:rFonts w:ascii="Times New Roman" w:hAnsi="Times New Roman"/>
          </w:rPr>
          <w:t>11</w:t>
        </w:r>
        <w:r>
          <w:rPr>
            <w:sz w:val="28"/>
            <w:szCs w:val="28"/>
            <w:rFonts w:ascii="Times New Roman" w:hAnsi="Times New Roman"/>
          </w:rPr>
          <w:fldChar w:fldCharType="end"/>
        </w:r>
      </w:p>
    </w:sdtContent>
  </w:sdt>
  <w:p>
    <w:pPr>
      <w:pStyle w:val="Style30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306"/>
  <w:autoHyphenation w:val="fals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90da3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NSimSun" w:cs="Mangal;Liberation Mono"/>
      <w:color w:val="auto"/>
      <w:kern w:val="2"/>
      <w:sz w:val="22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11"/>
    <w:uiPriority w:val="9"/>
    <w:qFormat/>
    <w:rsid w:val="0041163d"/>
    <w:rPr>
      <w:rFonts w:ascii="Cambria" w:hAnsi="Cambria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Heading2Char" w:customStyle="1">
    <w:name w:val="Heading 2 Char"/>
    <w:basedOn w:val="DefaultParagraphFont"/>
    <w:link w:val="21"/>
    <w:uiPriority w:val="9"/>
    <w:semiHidden/>
    <w:qFormat/>
    <w:rsid w:val="0041163d"/>
    <w:rPr>
      <w:rFonts w:ascii="Cambria" w:hAnsi="Cambria" w:eastAsia="" w:cs="Mangal" w:asciiTheme="majorHAnsi" w:eastAsiaTheme="majorEastAsia" w:hAnsiTheme="majorHAnsi"/>
      <w:b/>
      <w:bCs/>
      <w:i/>
      <w:iCs/>
      <w:kern w:val="2"/>
      <w:sz w:val="28"/>
      <w:szCs w:val="25"/>
      <w:lang w:eastAsia="zh-CN" w:bidi="hi-IN"/>
    </w:rPr>
  </w:style>
  <w:style w:type="character" w:styleId="WW8Num1z0" w:customStyle="1">
    <w:name w:val="WW8Num1z0"/>
    <w:uiPriority w:val="99"/>
    <w:qFormat/>
    <w:rsid w:val="00190da3"/>
    <w:rPr/>
  </w:style>
  <w:style w:type="character" w:styleId="WW8Num1z1" w:customStyle="1">
    <w:name w:val="WW8Num1z1"/>
    <w:uiPriority w:val="99"/>
    <w:qFormat/>
    <w:rsid w:val="00190da3"/>
    <w:rPr/>
  </w:style>
  <w:style w:type="character" w:styleId="WW8Num1z2" w:customStyle="1">
    <w:name w:val="WW8Num1z2"/>
    <w:uiPriority w:val="99"/>
    <w:qFormat/>
    <w:rsid w:val="00190da3"/>
    <w:rPr/>
  </w:style>
  <w:style w:type="character" w:styleId="WW8Num1z3" w:customStyle="1">
    <w:name w:val="WW8Num1z3"/>
    <w:uiPriority w:val="99"/>
    <w:qFormat/>
    <w:rsid w:val="00190da3"/>
    <w:rPr/>
  </w:style>
  <w:style w:type="character" w:styleId="WW8Num1z4" w:customStyle="1">
    <w:name w:val="WW8Num1z4"/>
    <w:uiPriority w:val="99"/>
    <w:qFormat/>
    <w:rsid w:val="00190da3"/>
    <w:rPr/>
  </w:style>
  <w:style w:type="character" w:styleId="WW8Num1z5" w:customStyle="1">
    <w:name w:val="WW8Num1z5"/>
    <w:uiPriority w:val="99"/>
    <w:qFormat/>
    <w:rsid w:val="00190da3"/>
    <w:rPr/>
  </w:style>
  <w:style w:type="character" w:styleId="WW8Num1z6" w:customStyle="1">
    <w:name w:val="WW8Num1z6"/>
    <w:uiPriority w:val="99"/>
    <w:qFormat/>
    <w:rsid w:val="00190da3"/>
    <w:rPr/>
  </w:style>
  <w:style w:type="character" w:styleId="WW8Num1z7" w:customStyle="1">
    <w:name w:val="WW8Num1z7"/>
    <w:uiPriority w:val="99"/>
    <w:qFormat/>
    <w:rsid w:val="00190da3"/>
    <w:rPr/>
  </w:style>
  <w:style w:type="character" w:styleId="WW8Num1z8" w:customStyle="1">
    <w:name w:val="WW8Num1z8"/>
    <w:uiPriority w:val="99"/>
    <w:qFormat/>
    <w:rsid w:val="00190da3"/>
    <w:rPr/>
  </w:style>
  <w:style w:type="character" w:styleId="2" w:customStyle="1">
    <w:name w:val="Основной шрифт абзаца2"/>
    <w:uiPriority w:val="99"/>
    <w:qFormat/>
    <w:rsid w:val="00190da3"/>
    <w:rPr/>
  </w:style>
  <w:style w:type="character" w:styleId="WW8Num2z0" w:customStyle="1">
    <w:name w:val="WW8Num2z0"/>
    <w:uiPriority w:val="99"/>
    <w:qFormat/>
    <w:rsid w:val="00190da3"/>
    <w:rPr/>
  </w:style>
  <w:style w:type="character" w:styleId="WW8Num2z1" w:customStyle="1">
    <w:name w:val="WW8Num2z1"/>
    <w:uiPriority w:val="99"/>
    <w:qFormat/>
    <w:rsid w:val="00190da3"/>
    <w:rPr/>
  </w:style>
  <w:style w:type="character" w:styleId="WW8Num2z2" w:customStyle="1">
    <w:name w:val="WW8Num2z2"/>
    <w:uiPriority w:val="99"/>
    <w:qFormat/>
    <w:rsid w:val="00190da3"/>
    <w:rPr/>
  </w:style>
  <w:style w:type="character" w:styleId="WW8Num2z3" w:customStyle="1">
    <w:name w:val="WW8Num2z3"/>
    <w:uiPriority w:val="99"/>
    <w:qFormat/>
    <w:rsid w:val="00190da3"/>
    <w:rPr/>
  </w:style>
  <w:style w:type="character" w:styleId="WW8Num2z4" w:customStyle="1">
    <w:name w:val="WW8Num2z4"/>
    <w:uiPriority w:val="99"/>
    <w:qFormat/>
    <w:rsid w:val="00190da3"/>
    <w:rPr/>
  </w:style>
  <w:style w:type="character" w:styleId="WW8Num2z5" w:customStyle="1">
    <w:name w:val="WW8Num2z5"/>
    <w:uiPriority w:val="99"/>
    <w:qFormat/>
    <w:rsid w:val="00190da3"/>
    <w:rPr/>
  </w:style>
  <w:style w:type="character" w:styleId="WW8Num2z6" w:customStyle="1">
    <w:name w:val="WW8Num2z6"/>
    <w:uiPriority w:val="99"/>
    <w:qFormat/>
    <w:rsid w:val="00190da3"/>
    <w:rPr/>
  </w:style>
  <w:style w:type="character" w:styleId="WW8Num2z7" w:customStyle="1">
    <w:name w:val="WW8Num2z7"/>
    <w:uiPriority w:val="99"/>
    <w:qFormat/>
    <w:rsid w:val="00190da3"/>
    <w:rPr/>
  </w:style>
  <w:style w:type="character" w:styleId="WW8Num2z8" w:customStyle="1">
    <w:name w:val="WW8Num2z8"/>
    <w:uiPriority w:val="99"/>
    <w:qFormat/>
    <w:rsid w:val="00190da3"/>
    <w:rPr/>
  </w:style>
  <w:style w:type="character" w:styleId="WW8Num3z0" w:customStyle="1">
    <w:name w:val="WW8Num3z0"/>
    <w:uiPriority w:val="99"/>
    <w:qFormat/>
    <w:rsid w:val="00190da3"/>
    <w:rPr/>
  </w:style>
  <w:style w:type="character" w:styleId="WW8Num3z1" w:customStyle="1">
    <w:name w:val="WW8Num3z1"/>
    <w:uiPriority w:val="99"/>
    <w:qFormat/>
    <w:rsid w:val="00190da3"/>
    <w:rPr/>
  </w:style>
  <w:style w:type="character" w:styleId="WW8Num3z2" w:customStyle="1">
    <w:name w:val="WW8Num3z2"/>
    <w:uiPriority w:val="99"/>
    <w:qFormat/>
    <w:rsid w:val="00190da3"/>
    <w:rPr/>
  </w:style>
  <w:style w:type="character" w:styleId="WW8Num3z3" w:customStyle="1">
    <w:name w:val="WW8Num3z3"/>
    <w:uiPriority w:val="99"/>
    <w:qFormat/>
    <w:rsid w:val="00190da3"/>
    <w:rPr/>
  </w:style>
  <w:style w:type="character" w:styleId="WW8Num3z4" w:customStyle="1">
    <w:name w:val="WW8Num3z4"/>
    <w:uiPriority w:val="99"/>
    <w:qFormat/>
    <w:rsid w:val="00190da3"/>
    <w:rPr/>
  </w:style>
  <w:style w:type="character" w:styleId="WW8Num3z5" w:customStyle="1">
    <w:name w:val="WW8Num3z5"/>
    <w:uiPriority w:val="99"/>
    <w:qFormat/>
    <w:rsid w:val="00190da3"/>
    <w:rPr/>
  </w:style>
  <w:style w:type="character" w:styleId="WW8Num3z6" w:customStyle="1">
    <w:name w:val="WW8Num3z6"/>
    <w:uiPriority w:val="99"/>
    <w:qFormat/>
    <w:rsid w:val="00190da3"/>
    <w:rPr/>
  </w:style>
  <w:style w:type="character" w:styleId="WW8Num3z7" w:customStyle="1">
    <w:name w:val="WW8Num3z7"/>
    <w:uiPriority w:val="99"/>
    <w:qFormat/>
    <w:rsid w:val="00190da3"/>
    <w:rPr/>
  </w:style>
  <w:style w:type="character" w:styleId="WW8Num3z8" w:customStyle="1">
    <w:name w:val="WW8Num3z8"/>
    <w:uiPriority w:val="99"/>
    <w:qFormat/>
    <w:rsid w:val="00190da3"/>
    <w:rPr/>
  </w:style>
  <w:style w:type="character" w:styleId="1" w:customStyle="1">
    <w:name w:val="Основной шрифт абзаца1"/>
    <w:uiPriority w:val="99"/>
    <w:qFormat/>
    <w:rsid w:val="00190da3"/>
    <w:rPr/>
  </w:style>
  <w:style w:type="character" w:styleId="Style14" w:customStyle="1">
    <w:name w:val="Верхний колонтитул Знак"/>
    <w:uiPriority w:val="99"/>
    <w:qFormat/>
    <w:rsid w:val="00190da3"/>
    <w:rPr>
      <w:rFonts w:ascii="Calibri" w:hAnsi="Calibri" w:eastAsia="NSimSun"/>
      <w:kern w:val="2"/>
      <w:sz w:val="24"/>
      <w:lang w:eastAsia="zh-CN"/>
    </w:rPr>
  </w:style>
  <w:style w:type="character" w:styleId="Style15" w:customStyle="1">
    <w:name w:val="Нижний колонтитул Знак"/>
    <w:uiPriority w:val="99"/>
    <w:qFormat/>
    <w:rsid w:val="00190da3"/>
    <w:rPr>
      <w:rFonts w:ascii="Calibri" w:hAnsi="Calibri" w:eastAsia="NSimSun"/>
      <w:kern w:val="2"/>
      <w:sz w:val="24"/>
      <w:lang w:eastAsia="zh-CN"/>
    </w:rPr>
  </w:style>
  <w:style w:type="character" w:styleId="11" w:customStyle="1">
    <w:name w:val="Заголовок 1 Знак"/>
    <w:uiPriority w:val="99"/>
    <w:qFormat/>
    <w:rsid w:val="00190da3"/>
    <w:rPr>
      <w:rFonts w:ascii="Liberation Serif;Times New Roma" w:hAnsi="Liberation Serif;Times New Roma" w:eastAsia="SimSun;宋体"/>
      <w:b/>
      <w:kern w:val="2"/>
      <w:sz w:val="24"/>
      <w:lang w:eastAsia="zh-CN"/>
    </w:rPr>
  </w:style>
  <w:style w:type="character" w:styleId="21" w:customStyle="1">
    <w:name w:val="Заголовок 2 Знак"/>
    <w:uiPriority w:val="99"/>
    <w:qFormat/>
    <w:rsid w:val="00190da3"/>
    <w:rPr>
      <w:rFonts w:ascii="Arial" w:hAnsi="Arial" w:eastAsia="SimSun;宋体"/>
      <w:b/>
      <w:i/>
      <w:kern w:val="2"/>
      <w:sz w:val="28"/>
      <w:lang w:eastAsia="zh-CN"/>
    </w:rPr>
  </w:style>
  <w:style w:type="character" w:styleId="Style16" w:customStyle="1">
    <w:name w:val="Маркери списку"/>
    <w:uiPriority w:val="99"/>
    <w:qFormat/>
    <w:rsid w:val="00190da3"/>
    <w:rPr>
      <w:rFonts w:ascii="OpenSymbol" w:hAnsi="OpenSymbol" w:eastAsia="Times New Roman"/>
    </w:rPr>
  </w:style>
  <w:style w:type="character" w:styleId="12" w:customStyle="1">
    <w:name w:val="Гіперпосилання1"/>
    <w:uiPriority w:val="99"/>
    <w:qFormat/>
    <w:rsid w:val="00190da3"/>
    <w:rPr>
      <w:color w:val="000080"/>
      <w:u w:val="single"/>
    </w:rPr>
  </w:style>
  <w:style w:type="character" w:styleId="Style17" w:customStyle="1">
    <w:name w:val="Основний текст Знак"/>
    <w:basedOn w:val="DefaultParagraphFont"/>
    <w:link w:val="a7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Style18" w:customStyle="1">
    <w:name w:val="Назва Знак"/>
    <w:basedOn w:val="DefaultParagraphFont"/>
    <w:link w:val="a9"/>
    <w:uiPriority w:val="10"/>
    <w:qFormat/>
    <w:rsid w:val="0041163d"/>
    <w:rPr>
      <w:rFonts w:ascii="Cambria" w:hAnsi="Cambria" w:eastAsia="" w:cs="Mangal" w:asciiTheme="majorHAnsi" w:eastAsiaTheme="majorEastAsia" w:hAnsiTheme="majorHAnsi"/>
      <w:b/>
      <w:bCs/>
      <w:kern w:val="2"/>
      <w:sz w:val="32"/>
      <w:szCs w:val="29"/>
      <w:lang w:eastAsia="zh-CN" w:bidi="hi-IN"/>
    </w:rPr>
  </w:style>
  <w:style w:type="character" w:styleId="HeaderChar" w:customStyle="1">
    <w:name w:val="Header Char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FooterChar" w:customStyle="1">
    <w:name w:val="Footer Char"/>
    <w:basedOn w:val="DefaultParagraphFont"/>
    <w:uiPriority w:val="99"/>
    <w:semiHidden/>
    <w:qFormat/>
    <w:rsid w:val="0041163d"/>
    <w:rPr>
      <w:rFonts w:ascii="Calibri" w:hAnsi="Calibri" w:cs="Mangal"/>
      <w:kern w:val="2"/>
      <w:szCs w:val="24"/>
      <w:lang w:eastAsia="zh-CN" w:bidi="hi-IN"/>
    </w:rPr>
  </w:style>
  <w:style w:type="character" w:styleId="Style19" w:customStyle="1">
    <w:name w:val="Верхній колонтитул Знак"/>
    <w:basedOn w:val="DefaultParagraphFont"/>
    <w:link w:val="ab"/>
    <w:uiPriority w:val="99"/>
    <w:qFormat/>
    <w:rsid w:val="00fb50b0"/>
    <w:rPr>
      <w:rFonts w:ascii="Calibri" w:hAnsi="Calibri" w:cs="Mangal"/>
      <w:kern w:val="2"/>
      <w:sz w:val="22"/>
      <w:szCs w:val="24"/>
      <w:lang w:eastAsia="zh-CN" w:bidi="hi-IN"/>
    </w:rPr>
  </w:style>
  <w:style w:type="character" w:styleId="Style20" w:customStyle="1">
    <w:name w:val="Нижній колонтитул Знак"/>
    <w:basedOn w:val="DefaultParagraphFont"/>
    <w:link w:val="ad"/>
    <w:uiPriority w:val="99"/>
    <w:semiHidden/>
    <w:qFormat/>
    <w:rsid w:val="00fb50b0"/>
    <w:rPr>
      <w:rFonts w:ascii="Calibri" w:hAnsi="Calibri" w:cs="Mangal"/>
      <w:kern w:val="2"/>
      <w:sz w:val="22"/>
      <w:szCs w:val="24"/>
      <w:lang w:eastAsia="zh-CN" w:bidi="hi-IN"/>
    </w:rPr>
  </w:style>
  <w:style w:type="paragraph" w:styleId="Style21" w:customStyle="1">
    <w:name w:val="Заголовок"/>
    <w:basedOn w:val="Normal"/>
    <w:next w:val="Style22"/>
    <w:uiPriority w:val="99"/>
    <w:qFormat/>
    <w:rsid w:val="00190da3"/>
    <w:pPr>
      <w:keepNext w:val="true"/>
      <w:spacing w:before="240" w:after="120"/>
    </w:pPr>
    <w:rPr>
      <w:rFonts w:ascii="Liberation Sans;Arial" w:hAnsi="Liberation Sans;Arial" w:eastAsia="Microsoft YaHei"/>
      <w:sz w:val="28"/>
      <w:szCs w:val="28"/>
    </w:rPr>
  </w:style>
  <w:style w:type="paragraph" w:styleId="Style22">
    <w:name w:val="Body Text"/>
    <w:basedOn w:val="Normal"/>
    <w:link w:val="a6"/>
    <w:uiPriority w:val="99"/>
    <w:rsid w:val="00190da3"/>
    <w:pPr>
      <w:spacing w:lineRule="auto" w:line="276" w:before="0" w:after="140"/>
    </w:pPr>
    <w:rPr/>
  </w:style>
  <w:style w:type="paragraph" w:styleId="Style23">
    <w:name w:val="List"/>
    <w:basedOn w:val="Style22"/>
    <w:uiPriority w:val="99"/>
    <w:rsid w:val="00190da3"/>
    <w:pPr/>
    <w:rPr/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 w:customStyle="1">
    <w:name w:val="Покажчик"/>
    <w:basedOn w:val="Normal"/>
    <w:uiPriority w:val="99"/>
    <w:qFormat/>
    <w:rsid w:val="00190da3"/>
    <w:pPr>
      <w:suppressLineNumbers/>
    </w:pPr>
    <w:rPr>
      <w:rFonts w:cs="Arial"/>
    </w:rPr>
  </w:style>
  <w:style w:type="paragraph" w:styleId="111" w:customStyle="1">
    <w:name w:val="Заголовок 11"/>
    <w:basedOn w:val="Normal"/>
    <w:next w:val="Normal"/>
    <w:link w:val="Heading1Char"/>
    <w:uiPriority w:val="99"/>
    <w:qFormat/>
    <w:rsid w:val="00190da3"/>
    <w:pPr>
      <w:keepNext w:val="true"/>
      <w:widowControl/>
      <w:jc w:val="center"/>
      <w:outlineLvl w:val="0"/>
    </w:pPr>
    <w:rPr>
      <w:rFonts w:ascii="Liberation Serif;Times New Roma" w:hAnsi="Liberation Serif;Times New Roma" w:eastAsia="SimSun;宋体" w:cs="Liberation Serif;Times New Roma"/>
      <w:b/>
      <w:sz w:val="32"/>
    </w:rPr>
  </w:style>
  <w:style w:type="paragraph" w:styleId="211" w:customStyle="1">
    <w:name w:val="Заголовок 21"/>
    <w:basedOn w:val="Normal"/>
    <w:next w:val="Normal"/>
    <w:link w:val="Heading2Char"/>
    <w:uiPriority w:val="99"/>
    <w:qFormat/>
    <w:rsid w:val="00190da3"/>
    <w:pPr>
      <w:keepNext w:val="true"/>
      <w:widowControl/>
      <w:spacing w:before="240" w:after="60"/>
      <w:outlineLvl w:val="1"/>
    </w:pPr>
    <w:rPr>
      <w:rFonts w:ascii="Arial" w:hAnsi="Arial" w:eastAsia="SimSun;宋体" w:cs="Arial"/>
      <w:b/>
      <w:i/>
      <w:iCs/>
      <w:sz w:val="24"/>
      <w:szCs w:val="28"/>
    </w:rPr>
  </w:style>
  <w:style w:type="paragraph" w:styleId="13" w:customStyle="1">
    <w:name w:val="Назва об'єкта1"/>
    <w:basedOn w:val="Normal"/>
    <w:qFormat/>
    <w:rsid w:val="00711691"/>
    <w:pPr>
      <w:suppressLineNumbers/>
      <w:spacing w:before="120" w:after="120"/>
    </w:pPr>
    <w:rPr>
      <w:rFonts w:cs="Arial"/>
      <w:i/>
      <w:iCs/>
      <w:sz w:val="24"/>
    </w:rPr>
  </w:style>
  <w:style w:type="paragraph" w:styleId="Caption">
    <w:name w:val="caption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Style26">
    <w:name w:val="Title"/>
    <w:basedOn w:val="Normal"/>
    <w:link w:val="a8"/>
    <w:uiPriority w:val="99"/>
    <w:qFormat/>
    <w:rsid w:val="00190da3"/>
    <w:pPr>
      <w:suppressLineNumbers/>
      <w:spacing w:before="120" w:after="120"/>
    </w:pPr>
    <w:rPr>
      <w:rFonts w:cs="Mangal"/>
      <w:i/>
      <w:iCs/>
      <w:sz w:val="24"/>
    </w:rPr>
  </w:style>
  <w:style w:type="paragraph" w:styleId="Index1">
    <w:name w:val="index 1"/>
    <w:basedOn w:val="Normal"/>
    <w:next w:val="Normal"/>
    <w:autoRedefine/>
    <w:uiPriority w:val="99"/>
    <w:semiHidden/>
    <w:qFormat/>
    <w:rsid w:val="00711691"/>
    <w:pPr>
      <w:ind w:left="220" w:hanging="220"/>
    </w:pPr>
    <w:rPr/>
  </w:style>
  <w:style w:type="paragraph" w:styleId="Indexheading">
    <w:name w:val="index heading"/>
    <w:basedOn w:val="Normal"/>
    <w:uiPriority w:val="99"/>
    <w:qFormat/>
    <w:rsid w:val="00190da3"/>
    <w:pPr>
      <w:suppressLineNumbers/>
    </w:pPr>
    <w:rPr>
      <w:rFonts w:cs="Mangal"/>
    </w:rPr>
  </w:style>
  <w:style w:type="paragraph" w:styleId="3" w:customStyle="1">
    <w:name w:val="Указатель3"/>
    <w:basedOn w:val="Normal"/>
    <w:uiPriority w:val="99"/>
    <w:qFormat/>
    <w:rsid w:val="00190da3"/>
    <w:pPr>
      <w:suppressLineNumbers/>
    </w:pPr>
    <w:rPr/>
  </w:style>
  <w:style w:type="paragraph" w:styleId="22" w:customStyle="1">
    <w:name w:val="Название объекта2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23" w:customStyle="1">
    <w:name w:val="Указатель2"/>
    <w:basedOn w:val="Normal"/>
    <w:uiPriority w:val="99"/>
    <w:qFormat/>
    <w:rsid w:val="00190da3"/>
    <w:pPr>
      <w:suppressLineNumbers/>
    </w:pPr>
    <w:rPr/>
  </w:style>
  <w:style w:type="paragraph" w:styleId="14" w:customStyle="1">
    <w:name w:val="Название объекта1"/>
    <w:basedOn w:val="Normal"/>
    <w:uiPriority w:val="99"/>
    <w:qFormat/>
    <w:rsid w:val="00190da3"/>
    <w:pPr>
      <w:suppressLineNumbers/>
      <w:spacing w:before="120" w:after="120"/>
    </w:pPr>
    <w:rPr>
      <w:i/>
      <w:iCs/>
      <w:sz w:val="24"/>
    </w:rPr>
  </w:style>
  <w:style w:type="paragraph" w:styleId="15" w:customStyle="1">
    <w:name w:val="Указатель1"/>
    <w:basedOn w:val="Normal"/>
    <w:uiPriority w:val="99"/>
    <w:qFormat/>
    <w:rsid w:val="00190da3"/>
    <w:pPr>
      <w:suppressLineNumbers/>
    </w:pPr>
    <w:rPr/>
  </w:style>
  <w:style w:type="paragraph" w:styleId="Style27" w:customStyle="1">
    <w:name w:val="Содержимое таблицы"/>
    <w:basedOn w:val="Normal"/>
    <w:uiPriority w:val="99"/>
    <w:qFormat/>
    <w:rsid w:val="00190da3"/>
    <w:pPr>
      <w:suppressLineNumbers/>
    </w:pPr>
    <w:rPr/>
  </w:style>
  <w:style w:type="paragraph" w:styleId="Style28" w:customStyle="1">
    <w:name w:val="Заголовок таблицы"/>
    <w:basedOn w:val="Style27"/>
    <w:uiPriority w:val="99"/>
    <w:qFormat/>
    <w:rsid w:val="00190da3"/>
    <w:pPr>
      <w:jc w:val="center"/>
    </w:pPr>
    <w:rPr>
      <w:b/>
      <w:bCs/>
    </w:rPr>
  </w:style>
  <w:style w:type="paragraph" w:styleId="Style29" w:customStyle="1">
    <w:name w:val="Верхній і нижній колонтитули"/>
    <w:basedOn w:val="Normal"/>
    <w:uiPriority w:val="99"/>
    <w:qFormat/>
    <w:rsid w:val="00190da3"/>
    <w:pPr>
      <w:suppressLineNumbers/>
      <w:tabs>
        <w:tab w:val="clear" w:pos="306"/>
        <w:tab w:val="center" w:pos="4819" w:leader="none"/>
        <w:tab w:val="right" w:pos="9638" w:leader="none"/>
      </w:tabs>
    </w:pPr>
    <w:rPr/>
  </w:style>
  <w:style w:type="paragraph" w:styleId="Style30">
    <w:name w:val="Header"/>
    <w:basedOn w:val="Normal"/>
    <w:link w:val="aa"/>
    <w:uiPriority w:val="99"/>
    <w:unhideWhenUsed/>
    <w:rsid w:val="00fb50b0"/>
    <w:pPr>
      <w:tabs>
        <w:tab w:val="clear" w:pos="306"/>
        <w:tab w:val="center" w:pos="4819" w:leader="none"/>
        <w:tab w:val="right" w:pos="9639" w:leader="none"/>
      </w:tabs>
    </w:pPr>
    <w:rPr>
      <w:rFonts w:cs="Mangal"/>
    </w:rPr>
  </w:style>
  <w:style w:type="paragraph" w:styleId="Style31">
    <w:name w:val="Footer"/>
    <w:basedOn w:val="Normal"/>
    <w:link w:val="ac"/>
    <w:uiPriority w:val="99"/>
    <w:semiHidden/>
    <w:unhideWhenUsed/>
    <w:rsid w:val="00fb50b0"/>
    <w:pPr>
      <w:tabs>
        <w:tab w:val="clear" w:pos="306"/>
        <w:tab w:val="center" w:pos="4819" w:leader="none"/>
        <w:tab w:val="right" w:pos="9639" w:leader="none"/>
      </w:tabs>
    </w:pPr>
    <w:rPr>
      <w:rFonts w:cs="Mangal"/>
    </w:rPr>
  </w:style>
  <w:style w:type="paragraph" w:styleId="Style32" w:customStyle="1">
    <w:name w:val="Вміст таблиці"/>
    <w:basedOn w:val="Normal"/>
    <w:uiPriority w:val="99"/>
    <w:qFormat/>
    <w:rsid w:val="00190da3"/>
    <w:pPr>
      <w:suppressLineNumbers/>
    </w:pPr>
    <w:rPr/>
  </w:style>
  <w:style w:type="paragraph" w:styleId="Style33" w:customStyle="1">
    <w:name w:val="Заголовок таблиці"/>
    <w:basedOn w:val="Style32"/>
    <w:uiPriority w:val="99"/>
    <w:qFormat/>
    <w:rsid w:val="00190da3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qFormat/>
    <w:rsid w:val="00190da3"/>
    <w:pPr>
      <w:suppressAutoHyphens w:val="false"/>
      <w:spacing w:before="280" w:after="119"/>
    </w:pPr>
    <w:rPr>
      <w:sz w:val="24"/>
      <w:lang w:val="ru-RU"/>
    </w:rPr>
  </w:style>
  <w:style w:type="paragraph" w:styleId="Style34" w:customStyle="1">
    <w:name w:val="Абзац списка"/>
    <w:basedOn w:val="Normal"/>
    <w:uiPriority w:val="99"/>
    <w:qFormat/>
    <w:rsid w:val="00190da3"/>
    <w:pPr>
      <w:spacing w:before="0" w:after="0"/>
      <w:ind w:left="720" w:hanging="0"/>
      <w:contextualSpacing/>
    </w:pPr>
    <w:rPr/>
  </w:style>
  <w:style w:type="paragraph" w:styleId="Style35" w:customStyle="1">
    <w:name w:val="Обычный (веб)"/>
    <w:basedOn w:val="Normal"/>
    <w:qFormat/>
    <w:rsid w:val="00711691"/>
    <w:pPr>
      <w:suppressAutoHyphens w:val="false"/>
      <w:spacing w:before="280" w:after="119"/>
    </w:pPr>
    <w:rPr>
      <w:sz w:val="24"/>
      <w:lang w:val="ru-RU"/>
    </w:rPr>
  </w:style>
  <w:style w:type="paragraph" w:styleId="31" w:customStyle="1">
    <w:name w:val="Продовження нумерації 3"/>
    <w:basedOn w:val="Style23"/>
    <w:qFormat/>
    <w:rsid w:val="00711691"/>
    <w:pPr>
      <w:spacing w:before="0" w:after="120"/>
      <w:ind w:left="1080" w:hanging="0"/>
    </w:pPr>
    <w:rPr/>
  </w:style>
  <w:style w:type="paragraph" w:styleId="32" w:customStyle="1">
    <w:name w:val="Початок нумерації 3"/>
    <w:basedOn w:val="Style23"/>
    <w:next w:val="ListNumber3"/>
    <w:qFormat/>
    <w:rsid w:val="00711691"/>
    <w:pPr>
      <w:spacing w:before="240" w:after="120"/>
      <w:ind w:left="1080" w:hanging="360"/>
    </w:pPr>
    <w:rPr/>
  </w:style>
  <w:style w:type="paragraph" w:styleId="ListNumber3">
    <w:name w:val="List Number 3"/>
    <w:basedOn w:val="Style23"/>
    <w:qFormat/>
    <w:rsid w:val="00711691"/>
    <w:pPr>
      <w:spacing w:before="0" w:after="120"/>
      <w:ind w:left="1080" w:hanging="36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1422</TotalTime>
  <Application>LibreOffice/6.3.4.2$Windows_X86_64 LibreOffice_project/60da17e045e08f1793c57c00ba83cdfce946d0aa</Application>
  <Pages>14</Pages>
  <Words>11908</Words>
  <Characters>6788</Characters>
  <CharactersWithSpaces>18659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/>
  <dc:description/>
  <dc:language>uk-UA</dc:language>
  <cp:lastModifiedBy/>
  <cp:lastPrinted>2023-10-12T14:46:00Z</cp:lastPrinted>
  <dcterms:modified xsi:type="dcterms:W3CDTF">2024-08-09T11:02:37Z</dcterms:modified>
  <cp:revision>219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