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firstLine="720"/>
        <w:jc w:val="center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Пояснювальна записка </w:t>
      </w:r>
    </w:p>
    <w:p>
      <w:pPr>
        <w:pStyle w:val="Normal"/>
        <w:spacing w:lineRule="auto" w:line="240" w:before="0" w:after="0"/>
        <w:ind w:firstLine="720"/>
        <w:jc w:val="center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до  проєкту рішення виконавчого комітету</w:t>
      </w:r>
    </w:p>
    <w:p>
      <w:pPr>
        <w:pStyle w:val="Style26"/>
        <w:spacing w:before="0" w:after="0"/>
        <w:jc w:val="center"/>
        <w:textAlignment w:val="baseline"/>
        <w:rPr/>
      </w:pPr>
      <w:r>
        <w:rPr>
          <w:rFonts w:ascii="Times New Roman" w:hAnsi="Times New Roman"/>
          <w:sz w:val="28"/>
          <w:szCs w:val="28"/>
        </w:rPr>
        <w:t xml:space="preserve">«Про встановлення </w:t>
      </w:r>
      <w:r>
        <w:rPr>
          <w:rFonts w:ascii="Times New Roman" w:hAnsi="Times New Roman"/>
          <w:sz w:val="28"/>
          <w:szCs w:val="28"/>
          <w:lang w:val="uk-UA"/>
        </w:rPr>
        <w:t>т</w:t>
      </w:r>
      <w:r>
        <w:rPr>
          <w:rFonts w:ascii="Times New Roman" w:hAnsi="Times New Roman"/>
          <w:sz w:val="28"/>
          <w:szCs w:val="28"/>
        </w:rPr>
        <w:t xml:space="preserve">арифів </w:t>
      </w:r>
      <w:r>
        <w:rPr>
          <w:rFonts w:ascii="Times New Roman" w:hAnsi="Times New Roman"/>
          <w:sz w:val="28"/>
          <w:lang w:val="uk-UA"/>
        </w:rPr>
        <w:t>н</w:t>
      </w:r>
      <w:r>
        <w:rPr>
          <w:rFonts w:ascii="Times New Roman" w:hAnsi="Times New Roman"/>
          <w:sz w:val="28"/>
        </w:rPr>
        <w:t>а теплову енергію та послуги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що надаються </w:t>
      </w:r>
    </w:p>
    <w:p>
      <w:pPr>
        <w:pStyle w:val="Normal"/>
        <w:spacing w:before="0" w:after="0"/>
        <w:jc w:val="center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ДКП </w:t>
      </w:r>
      <w:r>
        <w:rPr>
          <w:rFonts w:ascii="Times New Roman" w:hAnsi="Times New Roman"/>
          <w:sz w:val="28"/>
          <w:szCs w:val="28"/>
          <w:lang w:val="en-US" w:eastAsia="ru-RU"/>
        </w:rPr>
        <w:t>“</w:t>
      </w:r>
      <w:r>
        <w:rPr>
          <w:rFonts w:ascii="Times New Roman" w:hAnsi="Times New Roman"/>
          <w:sz w:val="28"/>
          <w:szCs w:val="28"/>
          <w:lang w:val="uk-UA" w:eastAsia="ru-RU"/>
        </w:rPr>
        <w:t>Луцьктепло</w:t>
      </w:r>
      <w:r>
        <w:rPr>
          <w:rFonts w:ascii="Times New Roman" w:hAnsi="Times New Roman"/>
          <w:sz w:val="28"/>
          <w:szCs w:val="28"/>
          <w:lang w:val="en-US" w:eastAsia="ru-RU"/>
        </w:rPr>
        <w:t>”</w:t>
      </w:r>
      <w:r>
        <w:rPr>
          <w:rFonts w:ascii="Times New Roman" w:hAnsi="Times New Roman"/>
          <w:sz w:val="28"/>
          <w:szCs w:val="28"/>
          <w:lang w:val="uk-UA" w:eastAsia="ru-RU"/>
        </w:rPr>
        <w:t>»</w:t>
      </w:r>
    </w:p>
    <w:p>
      <w:pPr>
        <w:pStyle w:val="Normal"/>
        <w:spacing w:before="0" w:after="0"/>
        <w:jc w:val="center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Normal"/>
        <w:spacing w:lineRule="auto" w:line="240" w:before="0" w:after="0"/>
        <w:ind w:firstLine="567"/>
        <w:jc w:val="both"/>
        <w:textAlignment w:val="baseline"/>
        <w:rPr/>
      </w:pPr>
      <w:r>
        <w:rPr>
          <w:rFonts w:ascii="Times New Roman" w:hAnsi="Times New Roman"/>
          <w:bCs/>
          <w:sz w:val="28"/>
          <w:szCs w:val="28"/>
          <w:lang w:val="uk-UA" w:eastAsia="ru-RU"/>
        </w:rPr>
        <w:t>Розрахунки тарифів на послуги з постачання теплової енергії та гарячого водопостачання здійснено ДКП «Луцьктепло» відповідно до вимог постанови Кабінету Міністрів України від 01.06.2011 № 869 «</w:t>
      </w:r>
      <w:r>
        <w:rPr>
          <w:rStyle w:val="Rvts23"/>
          <w:rFonts w:ascii="Times New Roman" w:hAnsi="Times New Roman"/>
          <w:bCs/>
          <w:sz w:val="28"/>
          <w:szCs w:val="28"/>
          <w:lang w:val="uk-UA" w:eastAsia="ru-RU"/>
        </w:rPr>
        <w:t xml:space="preserve">Про забезпечення єдиного підходу до формування тарифів на комунальні послуги». </w:t>
      </w:r>
    </w:p>
    <w:p>
      <w:pPr>
        <w:pStyle w:val="Normal"/>
        <w:spacing w:lineRule="auto" w:line="240" w:before="0" w:after="0"/>
        <w:ind w:firstLine="567"/>
        <w:contextualSpacing/>
        <w:jc w:val="both"/>
        <w:rPr/>
      </w:pPr>
      <w:r>
        <w:rPr>
          <w:rFonts w:ascii="Times New Roman" w:hAnsi="Times New Roman"/>
          <w:bCs/>
          <w:sz w:val="28"/>
          <w:szCs w:val="28"/>
          <w:lang w:val="uk-UA" w:eastAsia="ru-RU"/>
        </w:rPr>
        <w:t>Відповідно до пункту 46 постанови Кабінету Міністрів України від 01.06.2011 № 869 «</w:t>
      </w:r>
      <w:r>
        <w:rPr>
          <w:rStyle w:val="Rvts23"/>
          <w:rFonts w:ascii="Times New Roman" w:hAnsi="Times New Roman"/>
          <w:sz w:val="28"/>
          <w:szCs w:val="28"/>
        </w:rPr>
        <w:t>Про забезпечення єдиного підходу до формування тарифів на комунальні послуги</w:t>
      </w:r>
      <w:r>
        <w:rPr>
          <w:rStyle w:val="Rvts23"/>
          <w:rFonts w:ascii="Times New Roman" w:hAnsi="Times New Roman"/>
          <w:sz w:val="28"/>
          <w:szCs w:val="28"/>
          <w:lang w:val="uk-UA"/>
        </w:rPr>
        <w:t>»</w:t>
      </w:r>
      <w:r>
        <w:rPr>
          <w:rFonts w:ascii="Times New Roman" w:hAnsi="Times New Roman"/>
          <w:bCs/>
          <w:sz w:val="28"/>
          <w:szCs w:val="28"/>
          <w:lang w:val="uk-UA" w:eastAsia="ru-RU"/>
        </w:rPr>
        <w:t xml:space="preserve"> тарифи на теплову енергію визначено як сума тарифів на: виробництво, транспортування та постачання теплової енергії; та розподілені відповідно до умов транспортування та постачання на:</w:t>
      </w:r>
    </w:p>
    <w:p>
      <w:pPr>
        <w:pStyle w:val="ListParagraph"/>
        <w:spacing w:lineRule="auto" w:line="240" w:before="0" w:after="0"/>
        <w:ind w:left="0" w:firstLine="567"/>
        <w:contextualSpacing/>
        <w:jc w:val="both"/>
        <w:rPr>
          <w:rFonts w:ascii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sz w:val="28"/>
          <w:szCs w:val="28"/>
          <w:lang w:val="uk-UA" w:eastAsia="ru-RU"/>
        </w:rPr>
        <w:t>виробництво теплової енергії, транспортування теплової енергії без урахування витрат на утримання та ремонт центральних теплових пунктів, постачання теплової енергії без урахування витрат на утримання індивідуальних теплових пунктів;</w:t>
      </w:r>
    </w:p>
    <w:p>
      <w:pPr>
        <w:pStyle w:val="ListParagraph"/>
        <w:spacing w:lineRule="auto" w:line="240" w:before="0" w:after="0"/>
        <w:ind w:left="0" w:firstLine="567"/>
        <w:contextualSpacing/>
        <w:jc w:val="both"/>
        <w:rPr>
          <w:rFonts w:ascii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sz w:val="28"/>
          <w:szCs w:val="28"/>
          <w:lang w:val="uk-UA" w:eastAsia="ru-RU"/>
        </w:rPr>
        <w:t>виробництво теплової енергії, транспортування теплової енергії з урахуванням витрат на утримання центральних теплових пунктів, постачання теплової енергії без урахування витрат на утримання індивідуальних теплових пунктів;</w:t>
      </w:r>
    </w:p>
    <w:p>
      <w:pPr>
        <w:pStyle w:val="ListParagraph"/>
        <w:spacing w:lineRule="auto" w:line="240" w:before="0" w:after="0"/>
        <w:ind w:left="0" w:firstLine="567"/>
        <w:contextualSpacing/>
        <w:jc w:val="both"/>
        <w:rPr>
          <w:rFonts w:ascii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sz w:val="28"/>
          <w:szCs w:val="28"/>
          <w:lang w:val="uk-UA" w:eastAsia="ru-RU"/>
        </w:rPr>
        <w:t>виробництво теплової енергії, транспортування теплової енергії без урахування витрат на утримання центральних теплових пунктів, постачання теплової енергії з урахуванням витрат на утримання індивідуальних теплових пунктів;</w:t>
      </w:r>
    </w:p>
    <w:p>
      <w:pPr>
        <w:pStyle w:val="ListParagraph"/>
        <w:spacing w:lineRule="auto" w:line="240" w:before="0" w:after="0"/>
        <w:ind w:left="0" w:firstLine="567"/>
        <w:contextualSpacing/>
        <w:jc w:val="both"/>
        <w:rPr/>
      </w:pPr>
      <w:r>
        <w:rPr>
          <w:rFonts w:ascii="Times New Roman" w:hAnsi="Times New Roman"/>
          <w:bCs/>
          <w:sz w:val="28"/>
          <w:szCs w:val="28"/>
          <w:lang w:val="uk-UA" w:eastAsia="ru-RU"/>
        </w:rPr>
        <w:t xml:space="preserve">виробництво теплової енергії та її постачання у будинках, обладнаних системою автономного опалення (САО). Таких систем на балансі </w:t>
        <w:br/>
        <w:t>ДКП «Луцьктепло» – 7, зокрема, за адресами: вул. Захисників України, 20, вул. Дубнівська, 15, вул. Ковельська, 47а, вул. Кравчука, 11б, вул. Кравчука, 11в, вул. Героїв-добровольців, 4в, вул. Героїв-добровольців, 4д. Відповідно до цього розраховано тарифи на теплову енергію та постачання теплової енергії індивідуально по кожному будинку.</w:t>
      </w:r>
    </w:p>
    <w:p>
      <w:pPr>
        <w:pStyle w:val="ListParagraph"/>
        <w:spacing w:lineRule="auto" w:line="240" w:before="0" w:after="0"/>
        <w:ind w:left="0" w:firstLine="567"/>
        <w:contextualSpacing/>
        <w:jc w:val="both"/>
        <w:rPr/>
      </w:pPr>
      <w:r>
        <w:rPr>
          <w:rFonts w:ascii="Times New Roman" w:hAnsi="Times New Roman"/>
          <w:bCs/>
          <w:sz w:val="28"/>
          <w:szCs w:val="28"/>
          <w:lang w:val="uk-UA" w:eastAsia="ru-RU"/>
        </w:rPr>
        <w:t>Тарифи на послуги з постачання гарячої води сформовано із вартості теплової енергії та вартості послуги з централізованого водопостачання згідно із затвердженими тарифами, що використовуються для надання послуг з постачання гарячої води та витрат, які пов’язані із забезпеченням надання послуги з централізованого постачання гарячої води та які не включено до тарифів на постачання теплової енергії.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ascii="Times New Roman" w:hAnsi="Times New Roman"/>
          <w:bCs/>
          <w:sz w:val="28"/>
          <w:szCs w:val="28"/>
          <w:lang w:val="uk-UA" w:eastAsia="ru-RU"/>
        </w:rPr>
        <w:t>Усі розрахунки проведено відповідно до затверджених форм до наказів Міністерства регіонального розвитку будівництва та житлово-комунального господарства України від 12.09.2018 № 239 «Про затвердження Порядку розгляду органами місцевого самоврядування розрахунків тарифів на теплову енергію, її виробництво, транспортування та постачання, а також розрахунків тарифів на комунальні послуги, поданих для їх встановлення» та від 17.07.2019 № 162 «Про затвердження Примірних форм, необхідних для розрахунку двоставкових тарифів на теплову енергію, послуги з постачання теплової енергії і постачання гарячої води», та рішення виконавчого комітету Луцької міської ради від 18.05.2023 № 290-1 «Про затвердження форм для розрахунку тарифів на послуги з постачання теплової енергії та постачання гарячої води».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sz w:val="28"/>
          <w:szCs w:val="28"/>
          <w:lang w:val="uk-UA" w:eastAsia="ru-RU"/>
        </w:rPr>
        <w:t>Розрахунок річного корисного відпуску теплової енергії на потреби опалення, вентиляції та гарячого водопостачання виконаний на підставі вимог постанови Кабінету Міністрів України від 01.06.2011 № 869, з урахуванням фактичних за останні 5 років та прогнозованих обсягів виробництва та споживання теплової енергії з урахуванням укладених із споживачами договорів, отже корисний відпуск теплової енергії у проєкті тарифів становить 458 781,162 Гкал, в тому числі на постачання теплової енергії 390 482,841 Гкал, на постачання гарячої води 68 298,321 Гкал. Для потреб категорії населення – планова реалізація склала 371 009,768 Гкал, для бюджетних установ – 65 252,199 Гкал, для інших споживачів – 22 360,662 Гкал та для релігійних організацій – 158,533 Гкал.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ascii="Times New Roman" w:hAnsi="Times New Roman"/>
          <w:bCs/>
          <w:sz w:val="28"/>
          <w:szCs w:val="28"/>
          <w:lang w:val="uk-UA" w:eastAsia="ru-RU"/>
        </w:rPr>
        <w:t>Розрахунок питомих витрат палива здійснено відповідно до «Міжгалузевих норм витрат палива для опалювальних котлів, які експлуатуються в Україні», затверджених Наказом Держкоменергозбереження від 07.05.2001 № 46, «Галузевої методики нормування витрат палива на виробництво та відпуск теплової енергії котельнями теплового господарства» КТМ 204 України 246-99; Норм та вказівок по нормуванню витрат палива та теплової енергії на опалення житлових та громадських споруд, а також на господарсько-побутові потреби в Україні» КТМ 204 України 244-94.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Розрахунок теплового навантаження системи опалення для житлових будинків здійснюється з урахуванням нормативних питомих витрат теплової енергії для опалення будинків м. Луцька згідно з </w:t>
      </w:r>
      <w:r>
        <w:rPr>
          <w:rFonts w:eastAsia="Times New Roman" w:ascii="Times New Roman" w:hAnsi="Times New Roman"/>
          <w:sz w:val="28"/>
          <w:szCs w:val="28"/>
          <w:lang w:val="uk-UA" w:eastAsia="ru-RU"/>
        </w:rPr>
        <w:t>КТМ 204 України 244-94.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>Планування витрат на придбання електричної енергії для технологічних потреб з метою включення їх до тарифів здійснено виходячи із</w:t>
      </w:r>
      <w:bookmarkStart w:id="0" w:name="n1884"/>
      <w:bookmarkEnd w:id="0"/>
      <w:r>
        <w:rPr>
          <w:rFonts w:ascii="Times New Roman" w:hAnsi="Times New Roman"/>
          <w:sz w:val="28"/>
          <w:szCs w:val="28"/>
          <w:lang w:val="uk-UA"/>
        </w:rPr>
        <w:t xml:space="preserve"> планованих обсягів електричної енергії, необхідних для провадження ліцензованої діяльності та </w:t>
      </w:r>
      <w:bookmarkStart w:id="1" w:name="n1885"/>
      <w:bookmarkEnd w:id="1"/>
      <w:r>
        <w:rPr>
          <w:rFonts w:ascii="Times New Roman" w:hAnsi="Times New Roman"/>
          <w:sz w:val="28"/>
          <w:szCs w:val="28"/>
          <w:lang w:val="uk-UA"/>
        </w:rPr>
        <w:t>середньої ціни електричної енергії, що склалася у ліцензіата за шість календарних місяців</w:t>
      </w:r>
      <w:bookmarkStart w:id="2" w:name="n1886"/>
      <w:bookmarkEnd w:id="2"/>
      <w:r>
        <w:rPr>
          <w:rFonts w:ascii="Times New Roman" w:hAnsi="Times New Roman"/>
          <w:sz w:val="28"/>
          <w:szCs w:val="28"/>
          <w:lang w:val="uk-UA"/>
        </w:rPr>
        <w:t xml:space="preserve"> і становить 6,98964 грн/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кВт*год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У розрахунку проєкту тарифів враховані нові тарифи </w:t>
        <w:br/>
        <w:t xml:space="preserve">КП «Луцькводоканал» на водопостачання та водовідведення, що введені в дію з 01.06.2024. </w:t>
        <w:tab/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ascii="Times New Roman" w:hAnsi="Times New Roman"/>
          <w:bCs/>
          <w:sz w:val="28"/>
          <w:szCs w:val="28"/>
          <w:lang w:val="uk-UA" w:eastAsia="ru-RU"/>
        </w:rPr>
        <w:t xml:space="preserve">Матеріали на поточні ремонти основних засобів, задіяних у процесі виробництва, транспортування, постачання теплової енергії, розраховані на основі передбачених планом виконання планово-попереджувальних робіт, згідно з кошторисами, які виконані у ліцензованому програмному комплексі АВК–5 (3.2.2). Ріст становить </w:t>
      </w:r>
      <w:r>
        <w:rPr>
          <w:rFonts w:ascii="Times New Roman" w:hAnsi="Times New Roman"/>
          <w:sz w:val="28"/>
          <w:szCs w:val="28"/>
          <w:lang w:val="uk-UA"/>
        </w:rPr>
        <w:t>316,9 тис. грн. Основною причиною збільшення цієї статті є вартість хімматеріалів та у зв’язку із значним збільшенням обсягів використання солі технічної (у 2023 році 200 тонн солі було надано безкоштовно).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ascii="Times New Roman" w:hAnsi="Times New Roman"/>
          <w:bCs/>
          <w:sz w:val="28"/>
          <w:szCs w:val="28"/>
          <w:lang w:val="uk-UA" w:eastAsia="ru-RU"/>
        </w:rPr>
        <w:t xml:space="preserve">Планування витрат на оплату праці здійснюється відповідно постанови НКРКП від 18.05.2012 № 181 із забезпеченням мінімальної заробітної плати,  розміру прожиткового мінімуму для працездатних осіб у розмірі – 3 028 грн та коефіцієнтів визначених Галузевою угодою між Міністерством регіонального розвитку, будівництва та житлово-комунального господарства України, Об’єднанням організацій роботодавців «Всеукраїнська конфедерація роботодавців житлово-комунальної галузі України» та Центральним комітетом профспілки працівників житлово-комунального господарства, місцевої промисловості, побутового обслуговування населення України з 01.04.2024, що затверджено </w:t>
      </w:r>
      <w:r>
        <w:rPr>
          <w:rFonts w:ascii="Times New Roman" w:hAnsi="Times New Roman"/>
          <w:bCs/>
          <w:sz w:val="28"/>
          <w:szCs w:val="28"/>
          <w:lang w:val="uk-UA"/>
        </w:rPr>
        <w:t>Штатним розписом підприємства з 01січня 2024 року.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ascii="Times New Roman" w:hAnsi="Times New Roman"/>
          <w:bCs/>
          <w:sz w:val="28"/>
          <w:szCs w:val="28"/>
          <w:lang w:val="uk-UA" w:eastAsia="ru-RU"/>
        </w:rPr>
        <w:t>Розмір щомісячної премії в проєкті тарифів та передбаченим в діючому тарифі у розмірі 10 %. Ріст фонду оплати праці складає 7,9 %.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ascii="Times New Roman" w:hAnsi="Times New Roman"/>
          <w:bCs/>
          <w:sz w:val="28"/>
          <w:szCs w:val="28"/>
          <w:lang w:val="uk-UA" w:eastAsia="ru-RU"/>
        </w:rPr>
        <w:t xml:space="preserve">Витрати, об’єктивне нормування яких неможливе, були сплановані з урахуванням фактичних витрат за попередній рік. </w:t>
      </w:r>
    </w:p>
    <w:p>
      <w:pPr>
        <w:pStyle w:val="Normal"/>
        <w:spacing w:lineRule="auto" w:line="240" w:before="0" w:after="0"/>
        <w:ind w:firstLine="567"/>
        <w:jc w:val="both"/>
        <w:rPr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 w:eastAsia="ru-RU"/>
        </w:rPr>
        <w:t xml:space="preserve">Інвестиційна програма розроблена, виходячи з річного обсягу фінансування в розмірі 38 433,02 тис. грн (без ПДВ) та включає в себе: </w:t>
      </w:r>
      <w:r>
        <w:rPr>
          <w:rFonts w:ascii="Times New Roman" w:hAnsi="Times New Roman"/>
          <w:sz w:val="28"/>
          <w:szCs w:val="28"/>
          <w:lang w:val="uk-UA"/>
        </w:rPr>
        <w:t>реконструкцію котельні за адресою: вул. Ранкова, 20в, заміну підігрівачів в ЦТП на бульв. Івана Газюка, 15б (бульв. Дружби Народів, 15б); реконструкцію теплової мережі від ВТ-21 на пр-ті Волі, 74 до ВТ-31 на</w:t>
        <w:br/>
        <w:t>пр-ті Волі, 58 в м. Луцьку та влаштування вузлів комерційного обліку теплової енергії до житлових будинків за адресами: вул. Шевченка, 6; вул. Шевченка, 4; вул. Богдана Хмельницького,  43; вул. Героїв рятувальників,  17; вул. Мистецька, 2; вул. Саперів, 8; вул. Прогресу, 4; вул. Костюка Дениса, 5; вул. Ковельська,60; вул. Святогірська, 2; вул. Гірна, 2а; вул. Винниченка, 21.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Style w:val="Rvts0"/>
          <w:rFonts w:ascii="Times New Roman" w:hAnsi="Times New Roman"/>
          <w:sz w:val="28"/>
          <w:szCs w:val="28"/>
          <w:lang w:val="uk-UA"/>
        </w:rPr>
        <w:t xml:space="preserve">У проєкті тарифів на теплову енергію, її виробництво, транспортування та постачання враховані обігові кошти за рахунок планованого прибутку в обсязі, 2 % повної планованої собівартості теплової енергії. 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Таким чином, економічно обґрунтовані тарифи на теплову енергію </w:t>
      </w:r>
      <w:r>
        <w:rPr>
          <w:rFonts w:ascii="Times New Roman" w:hAnsi="Times New Roman"/>
          <w:bCs/>
          <w:sz w:val="28"/>
          <w:szCs w:val="28"/>
          <w:lang w:val="uk-UA" w:eastAsia="ru-RU"/>
        </w:rPr>
        <w:t>на період 2024/2025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зростають для «населення» на 2,5 – 14,9 %, для «</w:t>
      </w:r>
      <w:r>
        <w:rPr>
          <w:rFonts w:ascii="Times New Roman" w:hAnsi="Times New Roman"/>
          <w:sz w:val="28"/>
          <w:szCs w:val="28"/>
          <w:lang w:val="uk-UA" w:eastAsia="ru-RU"/>
        </w:rPr>
        <w:t>бюджетних установ»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– на 4 %; для категорії «інші споживачі» – на 4–13 % </w:t>
      </w:r>
      <w:r>
        <w:rPr>
          <w:rFonts w:ascii="Times New Roman" w:hAnsi="Times New Roman"/>
          <w:bCs/>
          <w:sz w:val="28"/>
          <w:szCs w:val="28"/>
          <w:lang w:val="uk-UA" w:eastAsia="ru-RU"/>
        </w:rPr>
        <w:t>у порівнянні з діючими</w:t>
      </w:r>
      <w:r>
        <w:rPr>
          <w:rFonts w:ascii="Times New Roman" w:hAnsi="Times New Roman"/>
          <w:bCs/>
          <w:sz w:val="28"/>
          <w:szCs w:val="28"/>
          <w:lang w:val="uk-UA"/>
        </w:rPr>
        <w:t>.</w:t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/>
      </w:pPr>
      <w:r>
        <w:rPr>
          <w:rStyle w:val="Rvts0"/>
          <w:rFonts w:ascii="Times New Roman" w:hAnsi="Times New Roman"/>
          <w:color w:val="000000"/>
          <w:sz w:val="28"/>
          <w:szCs w:val="28"/>
          <w:lang w:val="uk-UA"/>
        </w:rPr>
        <w:t xml:space="preserve">Застосовуватимуться запропоновані тарифи для категорій споживачів «бюджетні установи», «інші споживачі» та «релігійні організації», враховуючи зміни та доповнення, внесені до Закону України «Про особливості регулювання відносин на ринку природного газу та у сфері теплопостачання під час дії воєнного стану та подальшого відновлення їх функціонування».  Для категорій «населення» застосовуватимуться тарифи, що діяли станом на 24 лютого 2022 року. 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/>
          <w:sz w:val="28"/>
          <w:szCs w:val="28"/>
          <w:lang w:val="uk-UA" w:eastAsia="uk-UA"/>
        </w:rPr>
      </w:pPr>
      <w:r>
        <w:rPr>
          <w:rFonts w:eastAsia="Times New Roman" w:ascii="Times New Roman" w:hAnsi="Times New Roman"/>
          <w:sz w:val="28"/>
          <w:szCs w:val="28"/>
          <w:lang w:val="uk-UA" w:eastAsia="uk-UA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/>
          <w:sz w:val="28"/>
          <w:szCs w:val="28"/>
          <w:lang w:val="uk-UA" w:eastAsia="uk-UA"/>
        </w:rPr>
      </w:pPr>
      <w:r>
        <w:rPr>
          <w:rFonts w:eastAsia="Times New Roman" w:ascii="Times New Roman" w:hAnsi="Times New Roman"/>
          <w:sz w:val="28"/>
          <w:szCs w:val="28"/>
          <w:lang w:val="uk-UA" w:eastAsia="uk-UA"/>
        </w:rPr>
      </w:r>
    </w:p>
    <w:p>
      <w:pPr>
        <w:pStyle w:val="Normal"/>
        <w:widowControl w:val="false"/>
        <w:spacing w:lineRule="auto" w:line="240" w:before="0" w:after="0"/>
        <w:rPr/>
      </w:pPr>
      <w:r>
        <w:rPr>
          <w:rFonts w:eastAsia="Times New Roman" w:ascii="Times New Roman" w:hAnsi="Times New Roman"/>
          <w:sz w:val="28"/>
          <w:szCs w:val="28"/>
          <w:lang w:val="uk-UA" w:eastAsia="uk-UA"/>
        </w:rPr>
        <w:t>Директор департаменту</w:t>
      </w:r>
    </w:p>
    <w:p>
      <w:pPr>
        <w:pStyle w:val="Normal"/>
        <w:widowControl w:val="false"/>
        <w:spacing w:lineRule="auto" w:line="240" w:before="0" w:after="0"/>
        <w:rPr/>
      </w:pPr>
      <w:r>
        <w:rPr>
          <w:rFonts w:eastAsia="Times New Roman" w:ascii="Times New Roman" w:hAnsi="Times New Roman"/>
          <w:sz w:val="28"/>
          <w:szCs w:val="28"/>
          <w:lang w:val="uk-UA" w:eastAsia="uk-UA"/>
        </w:rPr>
        <w:t xml:space="preserve">економічної політики        </w:t>
        <w:tab/>
        <w:tab/>
        <w:tab/>
        <w:tab/>
        <w:t xml:space="preserve">            </w:t>
        <w:tab/>
        <w:tab/>
        <w:t>Борис СМАЛЬ</w:t>
      </w:r>
    </w:p>
    <w:sectPr>
      <w:headerReference w:type="default" r:id="rId2"/>
      <w:type w:val="nextPage"/>
      <w:pgSz w:w="11906" w:h="16838"/>
      <w:pgMar w:left="1701" w:right="567" w:header="0" w:top="1134" w:footer="0" w:bottom="1134" w:gutter="0"/>
      <w:pgNumType w:fmt="decimal"/>
      <w:formProt w:val="false"/>
      <w:titlePg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672902735"/>
    </w:sdtPr>
    <w:sdtContent>
      <w:p>
        <w:pPr>
          <w:pStyle w:val="Style24"/>
          <w:jc w:val="center"/>
          <w:rPr>
            <w:lang w:val="uk-UA"/>
          </w:rPr>
        </w:pPr>
        <w:r>
          <w:rPr>
            <w:lang w:val="uk-UA"/>
          </w:rPr>
        </w:r>
      </w:p>
      <w:p>
        <w:pPr>
          <w:pStyle w:val="Style24"/>
          <w:jc w:val="center"/>
          <w:rPr>
            <w:lang w:val="uk-UA"/>
          </w:rPr>
        </w:pPr>
        <w:r>
          <w:rPr>
            <w:lang w:val="uk-UA"/>
          </w:rPr>
        </w:r>
      </w:p>
      <w:p>
        <w:pPr>
          <w:pStyle w:val="Style24"/>
          <w:jc w:val="center"/>
          <w:rPr/>
        </w:pPr>
        <w:r>
          <w:rPr>
            <w:rFonts w:ascii="Times New Roman" w:hAnsi="Times New Roman"/>
            <w:sz w:val="28"/>
            <w:szCs w:val="28"/>
          </w:rPr>
          <w:fldChar w:fldCharType="begin"/>
        </w:r>
        <w:r>
          <w:rPr>
            <w:sz w:val="28"/>
            <w:szCs w:val="28"/>
            <w:rFonts w:ascii="Times New Roman" w:hAnsi="Times New Roman"/>
          </w:rPr>
          <w:instrText> PAGE </w:instrText>
        </w:r>
        <w:r>
          <w:rPr>
            <w:sz w:val="28"/>
            <w:szCs w:val="28"/>
            <w:rFonts w:ascii="Times New Roman" w:hAnsi="Times New Roman"/>
          </w:rPr>
          <w:fldChar w:fldCharType="separate"/>
        </w:r>
        <w:r>
          <w:rPr>
            <w:sz w:val="28"/>
            <w:szCs w:val="28"/>
            <w:rFonts w:ascii="Times New Roman" w:hAnsi="Times New Roman"/>
          </w:rPr>
          <w:t>3</w:t>
        </w:r>
        <w:r>
          <w:rPr>
            <w:sz w:val="28"/>
            <w:szCs w:val="28"/>
            <w:rFonts w:ascii="Times New Roman" w:hAnsi="Times New Roman"/>
          </w:rPr>
          <w:fldChar w:fldCharType="end"/>
        </w:r>
      </w:p>
    </w:sdtContent>
  </w:sdt>
  <w:p>
    <w:pPr>
      <w:pStyle w:val="Style24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d6484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Гіперпосилання"/>
    <w:basedOn w:val="DefaultParagraphFont"/>
    <w:uiPriority w:val="99"/>
    <w:semiHidden/>
    <w:unhideWhenUsed/>
    <w:rsid w:val="008d6484"/>
    <w:rPr>
      <w:rFonts w:ascii="Times New Roman" w:hAnsi="Times New Roman" w:cs="Times New Roman"/>
      <w:color w:val="0000FF"/>
      <w:u w:val="single"/>
    </w:rPr>
  </w:style>
  <w:style w:type="character" w:styleId="Style15" w:customStyle="1">
    <w:name w:val="Текст выноски Знак"/>
    <w:basedOn w:val="DefaultParagraphFont"/>
    <w:uiPriority w:val="99"/>
    <w:semiHidden/>
    <w:qFormat/>
    <w:rsid w:val="00004ada"/>
    <w:rPr>
      <w:rFonts w:ascii="Segoe UI" w:hAnsi="Segoe UI" w:eastAsia="Calibri" w:cs="Segoe UI"/>
      <w:sz w:val="18"/>
      <w:szCs w:val="18"/>
    </w:rPr>
  </w:style>
  <w:style w:type="character" w:styleId="Style16" w:customStyle="1">
    <w:name w:val="Верхний колонтитул Знак"/>
    <w:basedOn w:val="DefaultParagraphFont"/>
    <w:uiPriority w:val="99"/>
    <w:qFormat/>
    <w:rsid w:val="00387534"/>
    <w:rPr>
      <w:rFonts w:ascii="Calibri" w:hAnsi="Calibri" w:eastAsia="Calibri" w:cs="Times New Roman"/>
    </w:rPr>
  </w:style>
  <w:style w:type="character" w:styleId="Style17" w:customStyle="1">
    <w:name w:val="Нижний колонтитул Знак"/>
    <w:basedOn w:val="DefaultParagraphFont"/>
    <w:uiPriority w:val="99"/>
    <w:qFormat/>
    <w:rsid w:val="00387534"/>
    <w:rPr>
      <w:rFonts w:ascii="Calibri" w:hAnsi="Calibri" w:eastAsia="Calibri" w:cs="Times New Roman"/>
    </w:rPr>
  </w:style>
  <w:style w:type="character" w:styleId="Rvts23" w:customStyle="1">
    <w:name w:val="rvts23"/>
    <w:basedOn w:val="DefaultParagraphFont"/>
    <w:qFormat/>
    <w:rsid w:val="006836c3"/>
    <w:rPr/>
  </w:style>
  <w:style w:type="character" w:styleId="Rvts0" w:customStyle="1">
    <w:name w:val="rvts0"/>
    <w:basedOn w:val="DefaultParagraphFont"/>
    <w:qFormat/>
    <w:rsid w:val="00bc5341"/>
    <w:rPr/>
  </w:style>
  <w:style w:type="character" w:styleId="ListLabel1" w:customStyle="1">
    <w:name w:val="ListLabel 1"/>
    <w:qFormat/>
    <w:rPr>
      <w:rFonts w:cs="Times New Roman"/>
    </w:rPr>
  </w:style>
  <w:style w:type="character" w:styleId="ListLabel2" w:customStyle="1">
    <w:name w:val="ListLabel 2"/>
    <w:qFormat/>
    <w:rPr>
      <w:rFonts w:cs="Times New Roman"/>
    </w:rPr>
  </w:style>
  <w:style w:type="character" w:styleId="ListLabel3" w:customStyle="1">
    <w:name w:val="ListLabel 3"/>
    <w:qFormat/>
    <w:rPr>
      <w:rFonts w:cs="Times New Roman"/>
    </w:rPr>
  </w:style>
  <w:style w:type="character" w:styleId="ListLabel4" w:customStyle="1">
    <w:name w:val="ListLabel 4"/>
    <w:qFormat/>
    <w:rPr>
      <w:rFonts w:eastAsia="Calibri" w:cs="Times New Roman"/>
    </w:rPr>
  </w:style>
  <w:style w:type="character" w:styleId="ListLabel5" w:customStyle="1">
    <w:name w:val="ListLabel 5"/>
    <w:qFormat/>
    <w:rPr>
      <w:rFonts w:cs="Courier New"/>
    </w:rPr>
  </w:style>
  <w:style w:type="character" w:styleId="ListLabel6" w:customStyle="1">
    <w:name w:val="ListLabel 6"/>
    <w:qFormat/>
    <w:rPr>
      <w:rFonts w:cs="Courier New"/>
    </w:rPr>
  </w:style>
  <w:style w:type="character" w:styleId="ListLabel7" w:customStyle="1">
    <w:name w:val="ListLabel 7"/>
    <w:qFormat/>
    <w:rPr>
      <w:rFonts w:cs="Courier New"/>
    </w:rPr>
  </w:style>
  <w:style w:type="character" w:styleId="ListLabel8" w:customStyle="1">
    <w:name w:val="ListLabel 8"/>
    <w:qFormat/>
    <w:rPr>
      <w:b/>
    </w:rPr>
  </w:style>
  <w:style w:type="character" w:styleId="ListLabel9" w:customStyle="1">
    <w:name w:val="ListLabel 9"/>
    <w:qFormat/>
    <w:rPr>
      <w:rFonts w:cs="Times New Roman"/>
    </w:rPr>
  </w:style>
  <w:style w:type="character" w:styleId="ListLabel10" w:customStyle="1">
    <w:name w:val="ListLabel 10"/>
    <w:qFormat/>
    <w:rPr>
      <w:rFonts w:cs="Courier New"/>
    </w:rPr>
  </w:style>
  <w:style w:type="character" w:styleId="ListLabel11" w:customStyle="1">
    <w:name w:val="ListLabel 11"/>
    <w:qFormat/>
    <w:rPr>
      <w:rFonts w:cs="Courier New"/>
    </w:rPr>
  </w:style>
  <w:style w:type="character" w:styleId="ListLabel12" w:customStyle="1">
    <w:name w:val="ListLabel 12"/>
    <w:qFormat/>
    <w:rPr>
      <w:rFonts w:cs="Courier New"/>
    </w:rPr>
  </w:style>
  <w:style w:type="character" w:styleId="ListLabel13" w:customStyle="1">
    <w:name w:val="ListLabel 13"/>
    <w:qFormat/>
    <w:rPr>
      <w:rFonts w:eastAsia="Calibri" w:cs="Times New Roman"/>
    </w:rPr>
  </w:style>
  <w:style w:type="character" w:styleId="ListLabel14" w:customStyle="1">
    <w:name w:val="ListLabel 14"/>
    <w:qFormat/>
    <w:rPr>
      <w:rFonts w:cs="Courier New"/>
    </w:rPr>
  </w:style>
  <w:style w:type="character" w:styleId="ListLabel15" w:customStyle="1">
    <w:name w:val="ListLabel 15"/>
    <w:qFormat/>
    <w:rPr>
      <w:rFonts w:cs="Courier New"/>
    </w:rPr>
  </w:style>
  <w:style w:type="character" w:styleId="ListLabel16" w:customStyle="1">
    <w:name w:val="ListLabel 16"/>
    <w:qFormat/>
    <w:rPr>
      <w:rFonts w:cs="Courier New"/>
    </w:rPr>
  </w:style>
  <w:style w:type="character" w:styleId="ListLabel17" w:customStyle="1">
    <w:name w:val="ListLabel 17"/>
    <w:qFormat/>
    <w:rPr>
      <w:rFonts w:eastAsia="Calibri" w:cs="Times New Roman"/>
    </w:rPr>
  </w:style>
  <w:style w:type="character" w:styleId="ListLabel18" w:customStyle="1">
    <w:name w:val="ListLabel 18"/>
    <w:qFormat/>
    <w:rPr>
      <w:rFonts w:cs="Courier New"/>
    </w:rPr>
  </w:style>
  <w:style w:type="character" w:styleId="ListLabel19" w:customStyle="1">
    <w:name w:val="ListLabel 19"/>
    <w:qFormat/>
    <w:rPr>
      <w:rFonts w:cs="Courier New"/>
    </w:rPr>
  </w:style>
  <w:style w:type="character" w:styleId="ListLabel20" w:customStyle="1">
    <w:name w:val="ListLabel 20"/>
    <w:qFormat/>
    <w:rPr>
      <w:rFonts w:cs="Courier New"/>
    </w:rPr>
  </w:style>
  <w:style w:type="character" w:styleId="Style18" w:customStyle="1">
    <w:name w:val="Верхній колонтитул Знак"/>
    <w:basedOn w:val="DefaultParagraphFont"/>
    <w:link w:val="ae"/>
    <w:uiPriority w:val="99"/>
    <w:qFormat/>
    <w:rsid w:val="00bd044b"/>
    <w:rPr>
      <w:rFonts w:ascii="Calibri" w:hAnsi="Calibri" w:eastAsia="Calibri" w:cs="Times New Roman" w:asciiTheme="minorHAnsi" w:eastAsiaTheme="minorHAnsi" w:hAnsiTheme="minorHAnsi"/>
      <w:kern w:val="0"/>
      <w:sz w:val="22"/>
      <w:szCs w:val="22"/>
      <w:lang w:eastAsia="en-US" w:bidi="ar-SA"/>
    </w:rPr>
  </w:style>
  <w:style w:type="paragraph" w:styleId="Style19" w:customStyle="1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Body Text"/>
    <w:basedOn w:val="Normal"/>
    <w:pPr>
      <w:spacing w:before="0" w:after="140"/>
    </w:pPr>
    <w:rPr/>
  </w:style>
  <w:style w:type="paragraph" w:styleId="Style21">
    <w:name w:val="List"/>
    <w:basedOn w:val="Style20"/>
    <w:pPr/>
    <w:rPr>
      <w:rFonts w:cs="Ari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8d6484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uiPriority w:val="99"/>
    <w:semiHidden/>
    <w:unhideWhenUsed/>
    <w:qFormat/>
    <w:rsid w:val="00004ada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Style24">
    <w:name w:val="Header"/>
    <w:basedOn w:val="Normal"/>
    <w:link w:val="af"/>
    <w:uiPriority w:val="99"/>
    <w:unhideWhenUsed/>
    <w:rsid w:val="00387534"/>
    <w:pPr>
      <w:tabs>
        <w:tab w:val="clear" w:pos="709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5">
    <w:name w:val="Footer"/>
    <w:basedOn w:val="Normal"/>
    <w:uiPriority w:val="99"/>
    <w:unhideWhenUsed/>
    <w:rsid w:val="00387534"/>
    <w:pPr>
      <w:tabs>
        <w:tab w:val="clear" w:pos="709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Rvps2" w:customStyle="1">
    <w:name w:val="rvps2"/>
    <w:basedOn w:val="Normal"/>
    <w:qFormat/>
    <w:rsid w:val="00fa6202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NormalWeb">
    <w:name w:val="Normal (Web)"/>
    <w:basedOn w:val="Normal"/>
    <w:qFormat/>
    <w:rsid w:val="00d66f6e"/>
    <w:pPr>
      <w:suppressAutoHyphens w:val="true"/>
      <w:spacing w:lineRule="auto" w:line="240" w:before="280" w:after="280"/>
    </w:pPr>
    <w:rPr>
      <w:rFonts w:ascii="Times New Roman" w:hAnsi="Times New Roman" w:eastAsia="Times New Roman"/>
      <w:sz w:val="24"/>
      <w:szCs w:val="20"/>
      <w:lang w:eastAsia="zh-CN"/>
    </w:rPr>
  </w:style>
  <w:style w:type="paragraph" w:styleId="NoSpacing">
    <w:name w:val="No Spacing"/>
    <w:uiPriority w:val="1"/>
    <w:qFormat/>
    <w:rsid w:val="00d740c2"/>
    <w:pPr>
      <w:widowControl/>
      <w:bidi w:val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Default" w:customStyle="1">
    <w:name w:val="Default"/>
    <w:qFormat/>
    <w:pPr>
      <w:widowControl/>
      <w:suppressAutoHyphens w:val="true"/>
      <w:bidi w:val="0"/>
      <w:jc w:val="left"/>
    </w:pPr>
    <w:rPr>
      <w:rFonts w:ascii="Times New Roman" w:hAnsi="Times New Roman" w:eastAsia="NSimSun" w:cs="Times New Roman"/>
      <w:color w:val="000000"/>
      <w:kern w:val="0"/>
      <w:sz w:val="22"/>
      <w:szCs w:val="24"/>
      <w:lang w:val="uk-UA" w:eastAsia="zh-CN" w:bidi="hi-IN"/>
    </w:rPr>
  </w:style>
  <w:style w:type="paragraph" w:styleId="Style26" w:customStyle="1">
    <w:name w:val="Обычный (веб)"/>
    <w:basedOn w:val="Normal"/>
    <w:qFormat/>
    <w:pPr>
      <w:spacing w:before="280" w:after="280"/>
    </w:pPr>
    <w:rPr>
      <w:sz w:val="24"/>
    </w:rPr>
  </w:style>
  <w:style w:type="paragraph" w:styleId="Style27" w:customStyle="1">
    <w:name w:val="Верхній і нижній колонтитул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01869F-5251-4482-9FF1-E9011ED47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4674</TotalTime>
  <Application>LibreOffice/6.2.1.2$Windows_X86_64 LibreOffice_project/7bcb35dc3024a62dea0caee87020152d1ee96e71</Application>
  <Pages>3</Pages>
  <Words>1069</Words>
  <Characters>7153</Characters>
  <CharactersWithSpaces>8242</CharactersWithSpaces>
  <Paragraphs>28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2017-10-05T21:08:00Z</dcterms:created>
  <dc:creator>User</dc:creator>
  <dc:description/>
  <dc:language>ru-RU</dc:language>
  <cp:lastModifiedBy/>
  <cp:lastPrinted>2023-08-08T12:26:00Z</cp:lastPrinted>
  <dcterms:modified xsi:type="dcterms:W3CDTF">2024-09-05T15:54:24Z</dcterms:modified>
  <cp:revision>159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