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B44E" w14:textId="77777777" w:rsidR="001B0624" w:rsidRDefault="00000000">
      <w:pPr>
        <w:ind w:left="10632" w:right="-456"/>
      </w:pPr>
      <w:r>
        <w:rPr>
          <w:sz w:val="26"/>
          <w:szCs w:val="26"/>
          <w:lang w:val="uk-UA"/>
        </w:rPr>
        <w:t>Додаток 1</w:t>
      </w:r>
    </w:p>
    <w:p w14:paraId="4CF3267D" w14:textId="77777777" w:rsidR="00187502" w:rsidRDefault="00000000">
      <w:pPr>
        <w:ind w:left="10632" w:right="-4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виконавчого комітету</w:t>
      </w:r>
    </w:p>
    <w:p w14:paraId="1582FF1D" w14:textId="27185564" w:rsidR="001B0624" w:rsidRDefault="00000000">
      <w:pPr>
        <w:ind w:left="10632" w:right="-456"/>
      </w:pPr>
      <w:r>
        <w:rPr>
          <w:sz w:val="26"/>
          <w:szCs w:val="26"/>
          <w:lang w:val="uk-UA"/>
        </w:rPr>
        <w:t>міської ради</w:t>
      </w:r>
    </w:p>
    <w:p w14:paraId="5D81A8CA" w14:textId="77777777" w:rsidR="001B0624" w:rsidRDefault="00000000">
      <w:pPr>
        <w:ind w:left="10632" w:right="-456"/>
      </w:pPr>
      <w:r>
        <w:rPr>
          <w:sz w:val="26"/>
          <w:szCs w:val="26"/>
          <w:lang w:val="uk-UA"/>
        </w:rPr>
        <w:t>_________________№___________</w:t>
      </w:r>
    </w:p>
    <w:p w14:paraId="5235427F" w14:textId="77777777" w:rsidR="001B0624" w:rsidRDefault="001B0624">
      <w:pPr>
        <w:ind w:left="10632" w:right="-456"/>
        <w:rPr>
          <w:sz w:val="10"/>
          <w:szCs w:val="10"/>
        </w:rPr>
      </w:pPr>
    </w:p>
    <w:p w14:paraId="6044D84D" w14:textId="1DB1722D" w:rsidR="001B062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p w14:paraId="3453B5C1" w14:textId="77777777" w:rsidR="00187502" w:rsidRDefault="00187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lang w:val="uk-UA"/>
        </w:rPr>
      </w:pP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27"/>
        <w:gridCol w:w="914"/>
        <w:gridCol w:w="1420"/>
        <w:gridCol w:w="1306"/>
        <w:gridCol w:w="1294"/>
        <w:gridCol w:w="1259"/>
        <w:gridCol w:w="1420"/>
        <w:gridCol w:w="1520"/>
        <w:gridCol w:w="1296"/>
        <w:gridCol w:w="4944"/>
      </w:tblGrid>
      <w:tr w:rsidR="001B0624" w14:paraId="2F4AF43F" w14:textId="77777777">
        <w:trPr>
          <w:cantSplit/>
          <w:trHeight w:val="182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AFDD4" w14:textId="77777777" w:rsidR="001B0624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9186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7D8C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42B9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06509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0DC17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287845AF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10A2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4E88EA52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32F6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04BA0C25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707095D2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83D7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14:paraId="223E8DF9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4C24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1B0624" w14:paraId="7BC9134D" w14:textId="77777777">
        <w:trPr>
          <w:trHeight w:val="237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CF54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BD6E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0C1DFEBB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75C1F045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2C2B8AF1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1D7E0D67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07D4F7B2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102F21E3" w14:textId="77777777" w:rsidR="001B0624" w:rsidRDefault="001B0624">
            <w:pPr>
              <w:widowControl w:val="0"/>
              <w:rPr>
                <w:lang w:val="uk-UA"/>
              </w:rPr>
            </w:pPr>
          </w:p>
          <w:p w14:paraId="7B33BA1B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C35A" w14:textId="77777777" w:rsidR="0018750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Вересневе</w:t>
            </w:r>
            <w:r w:rsidR="00187502">
              <w:rPr>
                <w:lang w:val="uk-UA"/>
              </w:rPr>
              <w:t> –</w:t>
            </w:r>
          </w:p>
          <w:p w14:paraId="0A77AA4E" w14:textId="55C0466E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Окружна</w:t>
            </w:r>
          </w:p>
          <w:p w14:paraId="2BCD15A1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75C38A2A" w14:textId="77777777" w:rsidR="001B0624" w:rsidRDefault="001B0624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699874CD" w14:textId="77777777" w:rsidR="001B0624" w:rsidRDefault="001B0624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18C5CCF1" w14:textId="77777777" w:rsidR="001B0624" w:rsidRDefault="001B0624">
            <w:pPr>
              <w:pStyle w:val="af"/>
              <w:widowControl w:val="0"/>
              <w:rPr>
                <w:color w:val="000000"/>
                <w:lang w:val="uk-UA"/>
              </w:rPr>
            </w:pPr>
          </w:p>
          <w:p w14:paraId="775405AD" w14:textId="77777777" w:rsidR="001B0624" w:rsidRDefault="001B0624">
            <w:pPr>
              <w:pStyle w:val="af"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ACAA" w14:textId="77777777" w:rsidR="001B062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Звичай-ний режим</w:t>
            </w:r>
          </w:p>
          <w:p w14:paraId="306EE879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29D94765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0F94B494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56E03ECC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  <w:p w14:paraId="73D5F851" w14:textId="77777777" w:rsidR="001B0624" w:rsidRDefault="001B0624">
            <w:pPr>
              <w:widowControl w:val="0"/>
              <w:rPr>
                <w:lang w:val="uk-UA"/>
              </w:rPr>
            </w:pPr>
          </w:p>
          <w:p w14:paraId="72A41DF4" w14:textId="77777777" w:rsidR="001B0624" w:rsidRDefault="001B0624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E1473" w14:textId="77777777" w:rsidR="001B0624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26034E87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7E86735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9CC581C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F5D0DAE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FE28813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08B4620" w14:textId="77777777" w:rsidR="001B0624" w:rsidRDefault="001B0624">
            <w:pPr>
              <w:widowControl w:val="0"/>
              <w:snapToGrid w:val="0"/>
              <w:rPr>
                <w:lang w:val="uk-UA"/>
              </w:rPr>
            </w:pPr>
          </w:p>
          <w:p w14:paraId="6A0E11F7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107D" w14:textId="77777777" w:rsidR="001B0624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3A896A7F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4C750DE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D764079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C94240C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A379BC7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25FFCB4" w14:textId="77777777" w:rsidR="001B0624" w:rsidRDefault="001B0624">
            <w:pPr>
              <w:widowControl w:val="0"/>
              <w:snapToGrid w:val="0"/>
              <w:rPr>
                <w:lang w:val="uk-UA"/>
              </w:rPr>
            </w:pPr>
          </w:p>
          <w:p w14:paraId="476E764F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8445" w14:textId="77777777" w:rsidR="001B0624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84786" w14:textId="77777777" w:rsidR="001B0624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CAE48" w14:textId="77777777" w:rsidR="001B0624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14:paraId="6026C863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AE25BB3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8E4C4C8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B5E15EF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37C2D2B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DDD9F10" w14:textId="77777777" w:rsidR="001B0624" w:rsidRDefault="001B0624">
            <w:pPr>
              <w:widowControl w:val="0"/>
              <w:snapToGrid w:val="0"/>
              <w:rPr>
                <w:lang w:val="uk-UA"/>
              </w:rPr>
            </w:pPr>
          </w:p>
          <w:p w14:paraId="1A2C1DDA" w14:textId="77777777" w:rsidR="001B0624" w:rsidRDefault="001B0624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0365" w14:textId="77777777" w:rsidR="001B0624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У прямому та зворотному напрямках: вул. 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Межова, вул. Молодіжна, вул. 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Полонківська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 xml:space="preserve">, вул. Корольова, вул. Валерії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Новодворської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 xml:space="preserve">, вул. Ранкова, вул. Магістральна, вул. Окружна,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бульв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 xml:space="preserve">. Івана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Газюка</w:t>
            </w:r>
            <w:proofErr w:type="spellEnd"/>
            <w:r>
              <w:rPr>
                <w:rFonts w:eastAsia="Andale Sans UI"/>
                <w:color w:val="000000"/>
                <w:kern w:val="2"/>
                <w:lang w:val="uk-UA"/>
              </w:rPr>
              <w:t>, вул. Климчука Сергія, вул. Ярослава Мудрого,  вул. Львівська, вул. Червоного Хреста, вул. Ковельська, вул. Глушець, вул. Паркова (вул. Словацького, вул. Богдана Хмельницького), пр-т Волі, Київський майдан, вул. Рівненська, вул. </w:t>
            </w:r>
            <w:r>
              <w:rPr>
                <w:color w:val="000000"/>
                <w:kern w:val="2"/>
                <w:lang w:val="uk-UA"/>
              </w:rPr>
              <w:t xml:space="preserve">Окружна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Окружній біля ТЦ “Епіцентр” та  вул. Межовій біля КХП)</w:t>
            </w:r>
          </w:p>
        </w:tc>
      </w:tr>
    </w:tbl>
    <w:p w14:paraId="6BF67A77" w14:textId="77777777" w:rsidR="001B0624" w:rsidRDefault="001B0624">
      <w:pPr>
        <w:rPr>
          <w:lang w:val="uk-UA"/>
        </w:rPr>
      </w:pPr>
    </w:p>
    <w:p w14:paraId="69C50D0E" w14:textId="77777777" w:rsidR="001B0624" w:rsidRPr="00187502" w:rsidRDefault="00000000">
      <w:pPr>
        <w:rPr>
          <w:sz w:val="27"/>
          <w:szCs w:val="27"/>
          <w:lang w:val="uk-UA"/>
        </w:rPr>
      </w:pPr>
      <w:r w:rsidRPr="00187502">
        <w:rPr>
          <w:sz w:val="27"/>
          <w:szCs w:val="27"/>
          <w:lang w:val="uk-UA"/>
        </w:rPr>
        <w:t xml:space="preserve">Заступник міського голови, </w:t>
      </w:r>
    </w:p>
    <w:p w14:paraId="4792CC98" w14:textId="77777777" w:rsidR="001B0624" w:rsidRPr="00187502" w:rsidRDefault="00000000">
      <w:pPr>
        <w:jc w:val="both"/>
        <w:rPr>
          <w:sz w:val="27"/>
          <w:szCs w:val="27"/>
          <w:lang w:val="uk-UA"/>
        </w:rPr>
      </w:pPr>
      <w:r w:rsidRPr="00187502">
        <w:rPr>
          <w:sz w:val="27"/>
          <w:szCs w:val="27"/>
          <w:lang w:val="uk-UA"/>
        </w:rPr>
        <w:t>керуючий справами виконкому</w:t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</w:r>
      <w:r w:rsidRPr="00187502">
        <w:rPr>
          <w:sz w:val="27"/>
          <w:szCs w:val="27"/>
          <w:lang w:val="uk-UA"/>
        </w:rPr>
        <w:tab/>
        <w:t>Юрій ВЕРБИЧ</w:t>
      </w:r>
    </w:p>
    <w:p w14:paraId="65BFBC62" w14:textId="77777777" w:rsidR="001B0624" w:rsidRDefault="001B0624">
      <w:pPr>
        <w:jc w:val="both"/>
        <w:rPr>
          <w:sz w:val="28"/>
          <w:szCs w:val="28"/>
          <w:lang w:val="uk-UA"/>
        </w:rPr>
      </w:pPr>
    </w:p>
    <w:p w14:paraId="07AADB4A" w14:textId="77777777" w:rsidR="001B0624" w:rsidRDefault="00000000">
      <w:pPr>
        <w:rPr>
          <w:lang w:val="uk-UA"/>
        </w:rPr>
      </w:pPr>
      <w:r>
        <w:rPr>
          <w:color w:val="000000"/>
          <w:lang w:val="uk-UA"/>
        </w:rPr>
        <w:t>Середа 777 919</w:t>
      </w:r>
    </w:p>
    <w:sectPr w:rsidR="001B0624" w:rsidSect="00187502">
      <w:pgSz w:w="16838" w:h="11906" w:orient="landscape"/>
      <w:pgMar w:top="187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24"/>
    <w:rsid w:val="00187502"/>
    <w:rsid w:val="001B0624"/>
    <w:rsid w:val="0075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EA0"/>
  <w15:docId w15:val="{6DC2E01C-9F4C-4AC8-B5E2-A1FAF373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787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12</cp:revision>
  <cp:lastPrinted>2022-08-25T12:19:00Z</cp:lastPrinted>
  <dcterms:created xsi:type="dcterms:W3CDTF">2022-08-26T12:51:00Z</dcterms:created>
  <dcterms:modified xsi:type="dcterms:W3CDTF">2024-09-04T12:56:00Z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