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5103" w:hanging="0"/>
        <w:rPr>
          <w:sz w:val="28"/>
          <w:lang w:val="uk-UA"/>
        </w:rPr>
      </w:pPr>
      <w:r>
        <w:rPr>
          <w:sz w:val="28"/>
          <w:lang w:val="uk-UA"/>
        </w:rPr>
        <w:t xml:space="preserve">Додаток </w:t>
      </w:r>
    </w:p>
    <w:p>
      <w:pPr>
        <w:pStyle w:val="Normal"/>
        <w:ind w:left="5103" w:hanging="0"/>
        <w:rPr>
          <w:sz w:val="28"/>
          <w:lang w:val="uk-UA"/>
        </w:rPr>
      </w:pPr>
      <w:r>
        <w:rPr>
          <w:sz w:val="28"/>
          <w:lang w:val="uk-UA"/>
        </w:rPr>
        <w:t xml:space="preserve">до рішення міської ради </w:t>
      </w:r>
    </w:p>
    <w:p>
      <w:pPr>
        <w:pStyle w:val="Normal"/>
        <w:ind w:left="5103" w:hanging="0"/>
        <w:rPr>
          <w:sz w:val="28"/>
          <w:lang w:val="uk-UA"/>
        </w:rPr>
      </w:pPr>
      <w:r>
        <w:rPr>
          <w:sz w:val="28"/>
          <w:lang w:val="uk-UA"/>
        </w:rPr>
        <w:t>_______________№ ___________</w:t>
      </w:r>
    </w:p>
    <w:p>
      <w:pPr>
        <w:pStyle w:val="Normal"/>
        <w:jc w:val="center"/>
        <w:rPr>
          <w:b/>
          <w:b/>
          <w:sz w:val="28"/>
          <w:lang w:val="uk-UA"/>
        </w:rPr>
      </w:pPr>
      <w:r>
        <w:rPr>
          <w:b/>
          <w:sz w:val="28"/>
          <w:lang w:val="uk-UA"/>
        </w:rPr>
      </w:r>
    </w:p>
    <w:p>
      <w:pPr>
        <w:pStyle w:val="Normal"/>
        <w:jc w:val="center"/>
        <w:rPr>
          <w:b/>
          <w:b/>
          <w:sz w:val="28"/>
          <w:lang w:val="uk-UA"/>
        </w:rPr>
      </w:pPr>
      <w:r>
        <w:rPr>
          <w:b/>
          <w:sz w:val="28"/>
          <w:lang w:val="uk-UA"/>
        </w:rPr>
        <w:t>ПАСПОРТ  ПРОГРАМИ</w:t>
      </w:r>
    </w:p>
    <w:tbl>
      <w:tblPr>
        <w:tblW w:w="10491" w:type="dxa"/>
        <w:jc w:val="left"/>
        <w:tblInd w:w="-84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513"/>
        <w:gridCol w:w="4775"/>
        <w:gridCol w:w="5203"/>
      </w:tblGrid>
      <w:tr>
        <w:trPr/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1.</w:t>
            </w:r>
          </w:p>
        </w:tc>
        <w:tc>
          <w:tcPr>
            <w:tcW w:w="4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Ініціатор розроблення Програми</w:t>
            </w:r>
          </w:p>
        </w:tc>
        <w:tc>
          <w:tcPr>
            <w:tcW w:w="5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Луцька міська рада</w:t>
            </w:r>
          </w:p>
        </w:tc>
      </w:tr>
      <w:tr>
        <w:trPr/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2.</w:t>
            </w:r>
          </w:p>
        </w:tc>
        <w:tc>
          <w:tcPr>
            <w:tcW w:w="4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Дата, номер та назва документу органу виконавчої влади про розроблення Програми</w:t>
            </w:r>
          </w:p>
        </w:tc>
        <w:tc>
          <w:tcPr>
            <w:tcW w:w="5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highlight w:val="yellow"/>
                <w:lang w:val="uk-UA"/>
              </w:rPr>
            </w:pPr>
            <w:r>
              <w:rPr>
                <w:sz w:val="28"/>
                <w:lang w:val="uk-UA"/>
              </w:rPr>
              <w:t>-</w:t>
            </w:r>
          </w:p>
        </w:tc>
      </w:tr>
      <w:tr>
        <w:trPr/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3.</w:t>
            </w:r>
          </w:p>
        </w:tc>
        <w:tc>
          <w:tcPr>
            <w:tcW w:w="4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Розробник Програми</w:t>
            </w:r>
          </w:p>
        </w:tc>
        <w:tc>
          <w:tcPr>
            <w:tcW w:w="5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8"/>
                <w:highlight w:val="yellow"/>
                <w:lang w:val="uk-UA"/>
              </w:rPr>
            </w:pPr>
            <w:r>
              <w:rPr>
                <w:sz w:val="28"/>
                <w:lang w:val="uk-UA"/>
              </w:rPr>
              <w:t xml:space="preserve">Департамент житлово-комунального господарства Луцької міської ради </w:t>
            </w:r>
          </w:p>
        </w:tc>
      </w:tr>
      <w:tr>
        <w:trPr/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4.</w:t>
            </w:r>
          </w:p>
        </w:tc>
        <w:tc>
          <w:tcPr>
            <w:tcW w:w="4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Співрозробники Програми</w:t>
            </w:r>
          </w:p>
        </w:tc>
        <w:tc>
          <w:tcPr>
            <w:tcW w:w="5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color w:val="auto"/>
                <w:sz w:val="28"/>
                <w:lang w:val="uk-UA"/>
              </w:rPr>
            </w:pPr>
            <w:r>
              <w:rPr>
                <w:color w:val="auto"/>
                <w:sz w:val="28"/>
                <w:lang w:val="uk-UA"/>
              </w:rPr>
              <w:t>Об’єднання співвласників багатоквартирних будинків Луцької міської територіальної громади (далі – ОСББ, Позичальники)</w:t>
            </w:r>
          </w:p>
        </w:tc>
      </w:tr>
      <w:tr>
        <w:trPr/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5.</w:t>
            </w:r>
          </w:p>
        </w:tc>
        <w:tc>
          <w:tcPr>
            <w:tcW w:w="4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left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Відповідальний виконавець Програми</w:t>
            </w:r>
          </w:p>
        </w:tc>
        <w:tc>
          <w:tcPr>
            <w:tcW w:w="5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color w:val="000000"/>
                <w:sz w:val="28"/>
                <w:lang w:val="uk-UA"/>
              </w:rPr>
            </w:pPr>
            <w:r>
              <w:rPr>
                <w:sz w:val="28"/>
                <w:lang w:val="uk-UA"/>
              </w:rPr>
              <w:t>Департамент житлово-комунального господарства Луцької міської ради</w:t>
            </w:r>
          </w:p>
        </w:tc>
      </w:tr>
      <w:tr>
        <w:trPr/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6.</w:t>
            </w:r>
          </w:p>
        </w:tc>
        <w:tc>
          <w:tcPr>
            <w:tcW w:w="4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Учасники Програми</w:t>
            </w:r>
          </w:p>
        </w:tc>
        <w:tc>
          <w:tcPr>
            <w:tcW w:w="5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ОСББ</w:t>
            </w:r>
          </w:p>
        </w:tc>
      </w:tr>
      <w:tr>
        <w:trPr/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7.</w:t>
            </w:r>
          </w:p>
        </w:tc>
        <w:tc>
          <w:tcPr>
            <w:tcW w:w="4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 xml:space="preserve">Термін реалізації Програми </w:t>
            </w:r>
          </w:p>
        </w:tc>
        <w:tc>
          <w:tcPr>
            <w:tcW w:w="5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202</w:t>
            </w:r>
            <w:r>
              <w:rPr>
                <w:color w:val="auto"/>
                <w:sz w:val="28"/>
                <w:lang w:val="uk-UA"/>
              </w:rPr>
              <w:t>1–2026 роки</w:t>
            </w:r>
          </w:p>
        </w:tc>
      </w:tr>
      <w:tr>
        <w:trPr>
          <w:trHeight w:val="821" w:hRule="atLeast"/>
        </w:trPr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8.</w:t>
            </w:r>
          </w:p>
        </w:tc>
        <w:tc>
          <w:tcPr>
            <w:tcW w:w="4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Загальний обсяг фінансових  ресурсів, необхідних для реалізації Програми, всього</w:t>
            </w:r>
          </w:p>
        </w:tc>
        <w:tc>
          <w:tcPr>
            <w:tcW w:w="5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color w:val="auto"/>
                <w:sz w:val="28"/>
                <w:lang w:val="uk-UA"/>
              </w:rPr>
            </w:pPr>
            <w:r>
              <w:rPr>
                <w:rFonts w:eastAsia="Times New Roman" w:cs="Times New Roman"/>
                <w:iCs/>
                <w:color w:val="auto"/>
                <w:sz w:val="28"/>
                <w:szCs w:val="28"/>
                <w:lang w:val="uk-UA" w:eastAsia="ru-RU"/>
              </w:rPr>
              <w:t>2 050 000,0</w:t>
            </w:r>
            <w:r>
              <w:rPr>
                <w:color w:val="auto"/>
                <w:sz w:val="28"/>
                <w:lang w:val="uk-UA"/>
              </w:rPr>
              <w:t xml:space="preserve"> тис. грн</w:t>
            </w:r>
          </w:p>
        </w:tc>
      </w:tr>
      <w:tr>
        <w:trPr>
          <w:trHeight w:val="373" w:hRule="atLeast"/>
        </w:trPr>
        <w:tc>
          <w:tcPr>
            <w:tcW w:w="104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firstLine="720"/>
              <w:jc w:val="both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у тому числі:</w:t>
            </w:r>
          </w:p>
        </w:tc>
      </w:tr>
      <w:tr>
        <w:trPr>
          <w:trHeight w:val="1024" w:hRule="atLeast"/>
        </w:trPr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right="-108" w:hanging="0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8.1</w:t>
            </w:r>
          </w:p>
        </w:tc>
        <w:tc>
          <w:tcPr>
            <w:tcW w:w="4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кошти бюджету Луцької міської територіальної громади</w:t>
            </w:r>
          </w:p>
        </w:tc>
        <w:tc>
          <w:tcPr>
            <w:tcW w:w="5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  <w:sz w:val="28"/>
                <w:lang w:val="uk-UA"/>
              </w:rPr>
            </w:pPr>
            <w:r>
              <w:rPr>
                <w:color w:val="auto"/>
                <w:sz w:val="28"/>
                <w:lang w:val="uk-UA"/>
              </w:rPr>
              <w:t>2021 рік – 20 000,00 тис. грн</w:t>
            </w:r>
          </w:p>
          <w:p>
            <w:pPr>
              <w:pStyle w:val="Normal"/>
              <w:widowControl w:val="false"/>
              <w:jc w:val="both"/>
              <w:rPr>
                <w:color w:val="auto"/>
                <w:sz w:val="28"/>
                <w:lang w:val="uk-UA"/>
              </w:rPr>
            </w:pPr>
            <w:r>
              <w:rPr>
                <w:color w:val="auto"/>
                <w:sz w:val="28"/>
                <w:lang w:val="uk-UA"/>
              </w:rPr>
              <w:t>2022 рік – 25 000,00 тис. грн</w:t>
            </w:r>
          </w:p>
          <w:p>
            <w:pPr>
              <w:pStyle w:val="Normal"/>
              <w:widowControl w:val="false"/>
              <w:jc w:val="both"/>
              <w:rPr>
                <w:color w:val="auto"/>
                <w:sz w:val="28"/>
                <w:lang w:val="uk-UA"/>
              </w:rPr>
            </w:pPr>
            <w:r>
              <w:rPr>
                <w:color w:val="auto"/>
                <w:sz w:val="28"/>
                <w:lang w:val="uk-UA"/>
              </w:rPr>
              <w:t>2023 рік – 30 000,00 тис. грн</w:t>
            </w:r>
          </w:p>
          <w:p>
            <w:pPr>
              <w:pStyle w:val="Normal"/>
              <w:widowControl w:val="false"/>
              <w:jc w:val="both"/>
              <w:rPr>
                <w:color w:val="auto"/>
                <w:sz w:val="28"/>
                <w:lang w:val="uk-UA"/>
              </w:rPr>
            </w:pPr>
            <w:r>
              <w:rPr>
                <w:color w:val="auto"/>
                <w:sz w:val="28"/>
                <w:lang w:val="uk-UA"/>
              </w:rPr>
              <w:t>2024 рік – 40 000,00 тис. грн</w:t>
            </w:r>
          </w:p>
          <w:p>
            <w:pPr>
              <w:pStyle w:val="Normal"/>
              <w:widowControl w:val="false"/>
              <w:jc w:val="both"/>
              <w:rPr>
                <w:color w:val="auto"/>
                <w:sz w:val="28"/>
                <w:lang w:val="uk-UA"/>
              </w:rPr>
            </w:pPr>
            <w:r>
              <w:rPr>
                <w:color w:val="auto"/>
                <w:sz w:val="28"/>
                <w:lang w:val="uk-UA"/>
              </w:rPr>
              <w:t>2025 рік – 43 000,00 тис. грн</w:t>
            </w:r>
          </w:p>
          <w:p>
            <w:pPr>
              <w:pStyle w:val="Normal"/>
              <w:widowControl w:val="false"/>
              <w:jc w:val="both"/>
              <w:rPr>
                <w:color w:val="auto"/>
                <w:sz w:val="28"/>
                <w:lang w:val="uk-UA"/>
              </w:rPr>
            </w:pPr>
            <w:r>
              <w:rPr>
                <w:color w:val="auto"/>
                <w:sz w:val="28"/>
                <w:lang w:val="uk-UA"/>
              </w:rPr>
              <w:t>2026 рік – 47 000,00 тис. грн</w:t>
            </w:r>
          </w:p>
        </w:tc>
      </w:tr>
      <w:tr>
        <w:trPr>
          <w:trHeight w:val="723" w:hRule="atLeast"/>
        </w:trPr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right="-108" w:hanging="0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8.2</w:t>
            </w:r>
          </w:p>
        </w:tc>
        <w:tc>
          <w:tcPr>
            <w:tcW w:w="4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кошти співвласників</w:t>
            </w:r>
          </w:p>
          <w:p>
            <w:pPr>
              <w:pStyle w:val="Normal"/>
              <w:widowControl w:val="false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відповідно до Державної цільової програми енергоефективності</w:t>
            </w:r>
          </w:p>
        </w:tc>
        <w:tc>
          <w:tcPr>
            <w:tcW w:w="5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color w:val="auto"/>
                <w:sz w:val="28"/>
                <w:lang w:val="uk-UA"/>
              </w:rPr>
            </w:pPr>
            <w:r>
              <w:rPr>
                <w:color w:val="auto"/>
                <w:sz w:val="28"/>
                <w:lang w:val="uk-UA"/>
              </w:rPr>
              <w:t>2021 рік – 40 000,00 тис. грн</w:t>
            </w:r>
          </w:p>
          <w:p>
            <w:pPr>
              <w:pStyle w:val="Normal"/>
              <w:widowControl w:val="false"/>
              <w:rPr>
                <w:color w:val="auto"/>
                <w:sz w:val="28"/>
                <w:lang w:val="uk-UA"/>
              </w:rPr>
            </w:pPr>
            <w:r>
              <w:rPr>
                <w:color w:val="auto"/>
                <w:sz w:val="28"/>
                <w:lang w:val="uk-UA"/>
              </w:rPr>
              <w:t>2022 рік – 50 000,00 тис. грн</w:t>
            </w:r>
          </w:p>
          <w:p>
            <w:pPr>
              <w:pStyle w:val="Normal"/>
              <w:widowControl w:val="false"/>
              <w:rPr>
                <w:color w:val="auto"/>
                <w:sz w:val="28"/>
                <w:lang w:val="uk-UA"/>
              </w:rPr>
            </w:pPr>
            <w:r>
              <w:rPr>
                <w:color w:val="auto"/>
                <w:sz w:val="28"/>
                <w:lang w:val="uk-UA"/>
              </w:rPr>
              <w:t>2023 рік – 60 000,00 тис. грн</w:t>
            </w:r>
          </w:p>
          <w:p>
            <w:pPr>
              <w:pStyle w:val="Normal"/>
              <w:widowControl w:val="false"/>
              <w:jc w:val="both"/>
              <w:rPr>
                <w:color w:val="auto"/>
                <w:sz w:val="28"/>
                <w:lang w:val="uk-UA"/>
              </w:rPr>
            </w:pPr>
            <w:r>
              <w:rPr>
                <w:color w:val="auto"/>
                <w:sz w:val="28"/>
                <w:lang w:val="uk-UA"/>
              </w:rPr>
              <w:t>2024 рік – 80 000,00 тис. грн</w:t>
            </w:r>
          </w:p>
          <w:p>
            <w:pPr>
              <w:pStyle w:val="Normal"/>
              <w:widowControl w:val="false"/>
              <w:jc w:val="both"/>
              <w:rPr>
                <w:color w:val="auto"/>
                <w:sz w:val="28"/>
                <w:lang w:val="uk-UA"/>
              </w:rPr>
            </w:pPr>
            <w:r>
              <w:rPr>
                <w:color w:val="auto"/>
                <w:sz w:val="28"/>
                <w:lang w:val="uk-UA"/>
              </w:rPr>
              <w:t>2025 рік – 86 000,00 тис. грн</w:t>
            </w:r>
          </w:p>
          <w:p>
            <w:pPr>
              <w:pStyle w:val="Normal"/>
              <w:widowControl w:val="false"/>
              <w:jc w:val="both"/>
              <w:rPr>
                <w:color w:val="auto"/>
                <w:sz w:val="28"/>
                <w:lang w:val="uk-UA"/>
              </w:rPr>
            </w:pPr>
            <w:r>
              <w:rPr>
                <w:color w:val="auto"/>
                <w:sz w:val="28"/>
                <w:lang w:val="uk-UA"/>
              </w:rPr>
              <w:t>2026 рік – 94 000,00 тис. грн</w:t>
            </w:r>
          </w:p>
        </w:tc>
      </w:tr>
      <w:tr>
        <w:trPr>
          <w:trHeight w:val="723" w:hRule="atLeast"/>
        </w:trPr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right="-108" w:hanging="0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8.3</w:t>
            </w:r>
          </w:p>
        </w:tc>
        <w:tc>
          <w:tcPr>
            <w:tcW w:w="4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кошти інших джерел відповідно до Державної цільової програми енергоефективності</w:t>
            </w:r>
          </w:p>
        </w:tc>
        <w:tc>
          <w:tcPr>
            <w:tcW w:w="5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color w:val="auto"/>
                <w:sz w:val="28"/>
                <w:lang w:val="uk-UA"/>
              </w:rPr>
            </w:pPr>
            <w:r>
              <w:rPr>
                <w:color w:val="auto"/>
                <w:sz w:val="28"/>
                <w:lang w:val="uk-UA"/>
              </w:rPr>
              <w:t>2021 рік – 140 000,00 тис. грн</w:t>
            </w:r>
          </w:p>
          <w:p>
            <w:pPr>
              <w:pStyle w:val="Normal"/>
              <w:widowControl w:val="false"/>
              <w:rPr>
                <w:color w:val="auto"/>
                <w:sz w:val="28"/>
                <w:lang w:val="uk-UA"/>
              </w:rPr>
            </w:pPr>
            <w:r>
              <w:rPr>
                <w:color w:val="auto"/>
                <w:sz w:val="28"/>
                <w:lang w:val="uk-UA"/>
              </w:rPr>
              <w:t>2022 рік – 175 000,00 тис. грн</w:t>
            </w:r>
          </w:p>
          <w:p>
            <w:pPr>
              <w:pStyle w:val="Normal"/>
              <w:widowControl w:val="false"/>
              <w:rPr>
                <w:color w:val="auto"/>
                <w:sz w:val="28"/>
                <w:lang w:val="uk-UA"/>
              </w:rPr>
            </w:pPr>
            <w:r>
              <w:rPr>
                <w:color w:val="auto"/>
                <w:sz w:val="28"/>
                <w:lang w:val="uk-UA"/>
              </w:rPr>
              <w:t>2023 рік – 210 000,00 тис. грн</w:t>
            </w:r>
          </w:p>
          <w:p>
            <w:pPr>
              <w:pStyle w:val="Normal"/>
              <w:widowControl w:val="false"/>
              <w:jc w:val="both"/>
              <w:rPr>
                <w:color w:val="auto"/>
                <w:sz w:val="28"/>
                <w:lang w:val="uk-UA"/>
              </w:rPr>
            </w:pPr>
            <w:r>
              <w:rPr>
                <w:color w:val="auto"/>
                <w:sz w:val="28"/>
                <w:lang w:val="uk-UA"/>
              </w:rPr>
              <w:t>2024 рік – 280 000,00 тис. грн</w:t>
            </w:r>
          </w:p>
          <w:p>
            <w:pPr>
              <w:pStyle w:val="Normal"/>
              <w:widowControl w:val="false"/>
              <w:jc w:val="both"/>
              <w:rPr>
                <w:color w:val="auto"/>
                <w:sz w:val="28"/>
                <w:lang w:val="uk-UA"/>
              </w:rPr>
            </w:pPr>
            <w:r>
              <w:rPr>
                <w:color w:val="auto"/>
                <w:sz w:val="28"/>
                <w:lang w:val="uk-UA"/>
              </w:rPr>
              <w:t xml:space="preserve">2025 рік – </w:t>
            </w:r>
            <w:r>
              <w:rPr>
                <w:rFonts w:eastAsia="Times New Roman" w:cs="Times New Roman"/>
                <w:iCs/>
                <w:color w:val="auto"/>
                <w:kern w:val="0"/>
                <w:sz w:val="28"/>
                <w:szCs w:val="28"/>
                <w:lang w:val="uk-UA" w:eastAsia="ru-RU" w:bidi="ar-SA"/>
              </w:rPr>
              <w:t xml:space="preserve">300 </w:t>
            </w:r>
            <w:r>
              <w:rPr>
                <w:color w:val="auto"/>
                <w:sz w:val="28"/>
                <w:lang w:val="uk-UA"/>
              </w:rPr>
              <w:t>000,00 тис. грн</w:t>
            </w:r>
          </w:p>
          <w:p>
            <w:pPr>
              <w:pStyle w:val="Normal"/>
              <w:widowControl w:val="false"/>
              <w:jc w:val="both"/>
              <w:rPr>
                <w:color w:val="auto"/>
                <w:sz w:val="28"/>
                <w:lang w:val="uk-UA"/>
              </w:rPr>
            </w:pPr>
            <w:r>
              <w:rPr>
                <w:color w:val="auto"/>
                <w:sz w:val="28"/>
                <w:lang w:val="uk-UA"/>
              </w:rPr>
              <w:t>2026 рік – 330 000,00 тис. грн</w:t>
            </w:r>
          </w:p>
        </w:tc>
      </w:tr>
    </w:tbl>
    <w:p>
      <w:pPr>
        <w:pStyle w:val="Normal"/>
        <w:jc w:val="both"/>
        <w:rPr>
          <w:color w:val="000000"/>
          <w:sz w:val="28"/>
          <w:lang w:val="uk-UA"/>
        </w:rPr>
      </w:pPr>
      <w:r>
        <w:rPr>
          <w:color w:val="000000"/>
          <w:sz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850"/>
        <w:jc w:val="left"/>
        <w:rPr>
          <w:color w:val="000000"/>
          <w:sz w:val="28"/>
          <w:lang w:val="uk-UA"/>
        </w:rPr>
      </w:pPr>
      <w:r>
        <w:rPr>
          <w:color w:val="000000"/>
          <w:sz w:val="28"/>
          <w:lang w:val="uk-UA"/>
        </w:rPr>
        <w:t>Секретар міської ради</w:t>
        <w:tab/>
        <w:tab/>
        <w:tab/>
        <w:tab/>
        <w:tab/>
        <w:tab/>
        <w:t xml:space="preserve">                 Юрій БЕЗПЯТКО</w:t>
        <w:br/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850"/>
        <w:jc w:val="both"/>
        <w:rPr>
          <w:lang w:val="uk-UA"/>
        </w:rPr>
      </w:pPr>
      <w:r>
        <w:rPr>
          <w:lang w:val="uk-UA"/>
        </w:rPr>
        <w:t>Осіюк 773 150</w:t>
      </w:r>
    </w:p>
    <w:p>
      <w:pPr>
        <w:pStyle w:val="Normal"/>
        <w:ind w:left="4956" w:hanging="0"/>
        <w:jc w:val="both"/>
        <w:rPr>
          <w:sz w:val="28"/>
          <w:lang w:val="uk-UA"/>
        </w:rPr>
      </w:pPr>
      <w:r>
        <w:rPr>
          <w:sz w:val="28"/>
          <w:lang w:val="uk-UA"/>
        </w:rPr>
        <w:t>Додаток 1</w:t>
      </w:r>
    </w:p>
    <w:p>
      <w:pPr>
        <w:pStyle w:val="Normal"/>
        <w:ind w:left="4956" w:firstLine="6"/>
        <w:jc w:val="both"/>
        <w:rPr/>
      </w:pPr>
      <w:r>
        <w:rPr>
          <w:sz w:val="28"/>
          <w:lang w:val="uk-UA"/>
        </w:rPr>
        <w:t>до Програми відшкодування частини суми кредитів ОСББ Луцької</w:t>
        <w:br/>
        <w:t>міської територіальної громади, залучених на впровадження в</w:t>
        <w:br/>
        <w:t>будинках енергоефективних та енергозберігаючих заходів на</w:t>
        <w:br/>
        <w:t>2021–</w:t>
      </w:r>
      <w:r>
        <w:rPr>
          <w:color w:val="auto"/>
          <w:sz w:val="28"/>
          <w:lang w:val="uk-UA"/>
        </w:rPr>
        <w:t>2026 роки</w:t>
      </w:r>
    </w:p>
    <w:p>
      <w:pPr>
        <w:pStyle w:val="Normal"/>
        <w:jc w:val="both"/>
        <w:rPr>
          <w:sz w:val="28"/>
          <w:lang w:val="uk-UA"/>
        </w:rPr>
      </w:pPr>
      <w:r>
        <w:rPr>
          <w:sz w:val="28"/>
          <w:lang w:val="uk-UA"/>
        </w:rPr>
      </w:r>
    </w:p>
    <w:p>
      <w:pPr>
        <w:pStyle w:val="Normal"/>
        <w:jc w:val="center"/>
        <w:rPr>
          <w:sz w:val="28"/>
          <w:lang w:val="uk-UA"/>
        </w:rPr>
      </w:pPr>
      <w:r>
        <w:rPr>
          <w:sz w:val="28"/>
          <w:lang w:val="uk-UA"/>
        </w:rPr>
        <w:t xml:space="preserve">Ресурсне забезпечення </w:t>
      </w:r>
    </w:p>
    <w:p>
      <w:pPr>
        <w:pStyle w:val="Normal"/>
        <w:jc w:val="center"/>
        <w:rPr>
          <w:sz w:val="28"/>
          <w:lang w:val="uk-UA"/>
        </w:rPr>
      </w:pPr>
      <w:r>
        <w:rPr>
          <w:sz w:val="28"/>
          <w:lang w:val="uk-UA"/>
        </w:rPr>
        <w:t>Програми відшкодування частини суми кредитів ОСББ Луцької міської територіальної громади, залучених на впровадження в будинках енергоефективних та енергозберігаючих заходів на 2021</w:t>
      </w:r>
      <w:r>
        <w:rPr>
          <w:color w:val="auto"/>
          <w:sz w:val="28"/>
          <w:lang w:val="uk-UA"/>
        </w:rPr>
        <w:t>–2026 роки</w:t>
      </w:r>
    </w:p>
    <w:p>
      <w:pPr>
        <w:pStyle w:val="Normal"/>
        <w:ind w:left="4956" w:firstLine="708"/>
        <w:jc w:val="both"/>
        <w:rPr>
          <w:color w:val="auto"/>
          <w:sz w:val="28"/>
          <w:lang w:val="uk-UA"/>
        </w:rPr>
      </w:pPr>
      <w:r>
        <w:rPr>
          <w:color w:val="auto"/>
          <w:sz w:val="28"/>
          <w:lang w:val="uk-UA"/>
        </w:rPr>
      </w:r>
    </w:p>
    <w:p>
      <w:pPr>
        <w:pStyle w:val="Normal"/>
        <w:rPr>
          <w:iCs w:val="false"/>
          <w:color w:val="auto"/>
          <w:sz w:val="28"/>
          <w:lang w:val="uk-UA"/>
        </w:rPr>
      </w:pPr>
      <w:r>
        <w:rPr>
          <w:iCs w:val="false"/>
          <w:color w:val="auto"/>
          <w:sz w:val="28"/>
          <w:lang w:val="uk-UA"/>
        </w:rPr>
      </w:r>
    </w:p>
    <w:tbl>
      <w:tblPr>
        <w:tblpPr w:bottomFromText="0" w:horzAnchor="text" w:leftFromText="180" w:rightFromText="180" w:tblpX="108" w:tblpY="1" w:topFromText="0" w:vertAnchor="text"/>
        <w:tblW w:w="992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2036"/>
        <w:gridCol w:w="1256"/>
        <w:gridCol w:w="1075"/>
        <w:gridCol w:w="1070"/>
        <w:gridCol w:w="1079"/>
        <w:gridCol w:w="1075"/>
        <w:gridCol w:w="1088"/>
        <w:gridCol w:w="1244"/>
      </w:tblGrid>
      <w:tr>
        <w:trPr>
          <w:trHeight w:val="575" w:hRule="atLeast"/>
        </w:trPr>
        <w:tc>
          <w:tcPr>
            <w:tcW w:w="20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left="0" w:right="0" w:hanging="0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 xml:space="preserve">Обсяг коштів, які пропонується залучити на виконання Програми, </w:t>
              <w:br/>
              <w:t>тис. грн</w:t>
            </w:r>
          </w:p>
        </w:tc>
        <w:tc>
          <w:tcPr>
            <w:tcW w:w="664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  <w:sz w:val="24"/>
                <w:szCs w:val="24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Етапи  виконання програми</w:t>
            </w:r>
          </w:p>
        </w:tc>
        <w:tc>
          <w:tcPr>
            <w:tcW w:w="12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color w:val="auto"/>
                <w:sz w:val="18"/>
                <w:szCs w:val="18"/>
                <w:lang w:val="uk-UA"/>
              </w:rPr>
              <w:t xml:space="preserve">Загальний  обсяг фінансува-ння Програми, </w:t>
              <w:br/>
              <w:t>тис. грн</w:t>
            </w:r>
          </w:p>
        </w:tc>
      </w:tr>
      <w:tr>
        <w:trPr>
          <w:trHeight w:val="1606" w:hRule="atLeast"/>
        </w:trPr>
        <w:tc>
          <w:tcPr>
            <w:tcW w:w="203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  <w:sz w:val="24"/>
                <w:szCs w:val="24"/>
                <w:lang w:val="uk-UA"/>
              </w:rPr>
            </w:pPr>
            <w:r>
              <w:rPr>
                <w:color w:val="auto"/>
                <w:sz w:val="24"/>
                <w:szCs w:val="24"/>
                <w:lang w:val="uk-UA"/>
              </w:rPr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left="0" w:right="170" w:hanging="0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2021 рік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2022 рік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2023 рік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2024 рік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2025 рік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2026 рік</w:t>
            </w:r>
          </w:p>
        </w:tc>
        <w:tc>
          <w:tcPr>
            <w:tcW w:w="124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color w:val="auto"/>
                <w:sz w:val="24"/>
                <w:szCs w:val="24"/>
                <w:lang w:val="uk-UA"/>
              </w:rPr>
            </w:pPr>
            <w:r>
              <w:rPr>
                <w:color w:val="auto"/>
                <w:sz w:val="24"/>
                <w:szCs w:val="24"/>
                <w:lang w:val="uk-UA"/>
              </w:rPr>
            </w:r>
          </w:p>
        </w:tc>
      </w:tr>
      <w:tr>
        <w:trPr>
          <w:trHeight w:val="1504" w:hRule="atLeast"/>
        </w:trPr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  <w:sz w:val="24"/>
                <w:szCs w:val="24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Обсяг фінансових ресурсів всього, у тому числі: бюджет міської територіальної громади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left="0" w:right="170" w:hanging="0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20000,00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25000,00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30000,00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40000,00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43000,00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47000,00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left="0" w:right="57" w:hanging="0"/>
              <w:jc w:val="center"/>
              <w:rPr>
                <w:color w:val="auto"/>
                <w:sz w:val="20"/>
                <w:szCs w:val="20"/>
                <w:lang w:val="en-US"/>
              </w:rPr>
            </w:pPr>
            <w:r>
              <w:rPr>
                <w:color w:val="auto"/>
                <w:sz w:val="20"/>
                <w:szCs w:val="20"/>
                <w:lang w:val="en-US"/>
              </w:rPr>
              <w:t>205000,00</w:t>
            </w:r>
          </w:p>
        </w:tc>
      </w:tr>
      <w:tr>
        <w:trPr/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  <w:sz w:val="24"/>
                <w:szCs w:val="24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кошти співвласників відповідно до Державної цільової програми енергоефективності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left="0" w:right="170" w:hanging="0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40000,00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50000,00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60000,00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80000,00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86000,00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94000,00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410000,00</w:t>
            </w:r>
          </w:p>
        </w:tc>
      </w:tr>
      <w:tr>
        <w:trPr>
          <w:trHeight w:val="1202" w:hRule="atLeast"/>
        </w:trPr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  <w:sz w:val="24"/>
                <w:szCs w:val="24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кошти інших джерел відповідно до Державної цільової програми енергоефективності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left="0" w:right="170" w:hanging="0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140000,00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175000,00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210000,00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280000,00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300000,00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330000,00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/>
                <w:iCs/>
                <w:color w:val="auto"/>
                <w:kern w:val="0"/>
                <w:sz w:val="20"/>
                <w:szCs w:val="20"/>
                <w:lang w:val="uk-UA" w:eastAsia="ru-RU" w:bidi="ar-SA"/>
              </w:rPr>
              <w:t>1435</w:t>
            </w:r>
            <w:r>
              <w:rPr>
                <w:color w:val="auto"/>
                <w:sz w:val="20"/>
                <w:szCs w:val="20"/>
                <w:lang w:val="uk-UA"/>
              </w:rPr>
              <w:t>000,00</w:t>
            </w:r>
          </w:p>
        </w:tc>
      </w:tr>
    </w:tbl>
    <w:p>
      <w:pPr>
        <w:pStyle w:val="Normal"/>
        <w:rPr>
          <w:iCs w:val="false"/>
          <w:color w:val="auto"/>
          <w:sz w:val="28"/>
          <w:lang w:val="uk-UA"/>
        </w:rPr>
      </w:pPr>
      <w:r>
        <w:rPr>
          <w:iCs w:val="false"/>
          <w:color w:val="auto"/>
          <w:sz w:val="28"/>
          <w:lang w:val="uk-UA"/>
        </w:rPr>
      </w:r>
    </w:p>
    <w:p>
      <w:pPr>
        <w:sectPr>
          <w:headerReference w:type="default" r:id="rId2"/>
          <w:type w:val="nextPage"/>
          <w:pgSz w:w="11906" w:h="16838"/>
          <w:pgMar w:left="1701" w:right="567" w:header="454" w:top="511" w:footer="0" w:bottom="1134" w:gutter="0"/>
          <w:pgNumType w:start="2" w:fmt="decimal"/>
          <w:formProt w:val="false"/>
          <w:textDirection w:val="lrTb"/>
          <w:docGrid w:type="default" w:linePitch="360" w:charSpace="0"/>
        </w:sectPr>
        <w:pStyle w:val="Normal"/>
        <w:widowControl/>
        <w:suppressAutoHyphens w:val="true"/>
        <w:bidi w:val="0"/>
        <w:spacing w:before="0" w:after="0"/>
        <w:ind w:left="0" w:right="0" w:hanging="0"/>
        <w:jc w:val="left"/>
        <w:rPr>
          <w:szCs w:val="24"/>
          <w:lang w:val="uk-UA"/>
        </w:rPr>
      </w:pPr>
      <w:r>
        <w:rPr>
          <w:szCs w:val="24"/>
          <w:lang w:val="uk-UA"/>
        </w:rPr>
        <w:t>Осіюк 773 150</w:t>
      </w:r>
    </w:p>
    <w:p>
      <w:pPr>
        <w:pStyle w:val="Normal"/>
        <w:ind w:left="9912" w:hanging="0"/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    </w:t>
      </w:r>
      <w:r>
        <w:rPr>
          <w:sz w:val="28"/>
          <w:lang w:val="uk-UA"/>
        </w:rPr>
        <w:t>Додаток 2</w:t>
      </w:r>
    </w:p>
    <w:p>
      <w:pPr>
        <w:pStyle w:val="Normal"/>
        <w:widowControl/>
        <w:suppressAutoHyphens w:val="true"/>
        <w:bidi w:val="0"/>
        <w:spacing w:before="0" w:after="0"/>
        <w:ind w:left="10205" w:right="0" w:hanging="0"/>
        <w:jc w:val="both"/>
        <w:rPr>
          <w:sz w:val="28"/>
          <w:lang w:val="uk-UA"/>
        </w:rPr>
      </w:pPr>
      <w:r>
        <w:rPr>
          <w:sz w:val="28"/>
          <w:lang w:val="uk-UA"/>
        </w:rPr>
        <w:t>до Програми відшкодування частини суми кредитів ОСББ Луцької міської територіальної громади, залучених</w:t>
        <w:br/>
        <w:t>на впровадження в будинках енергоефективних та енергозберігаючих заходів на 2021–</w:t>
      </w:r>
      <w:r>
        <w:rPr>
          <w:color w:val="auto"/>
          <w:sz w:val="28"/>
          <w:lang w:val="uk-UA"/>
        </w:rPr>
        <w:t>2026 роки</w:t>
      </w:r>
    </w:p>
    <w:p>
      <w:pPr>
        <w:pStyle w:val="Normal"/>
        <w:jc w:val="center"/>
        <w:rPr>
          <w:b/>
          <w:b/>
          <w:sz w:val="28"/>
          <w:lang w:val="uk-UA"/>
        </w:rPr>
      </w:pPr>
      <w:r>
        <w:rPr>
          <w:b/>
          <w:sz w:val="28"/>
          <w:lang w:val="uk-UA"/>
        </w:rPr>
      </w:r>
    </w:p>
    <w:p>
      <w:pPr>
        <w:pStyle w:val="Normal"/>
        <w:jc w:val="center"/>
        <w:rPr>
          <w:b/>
          <w:b/>
          <w:sz w:val="28"/>
          <w:lang w:val="uk-UA"/>
        </w:rPr>
      </w:pPr>
      <w:r>
        <w:rPr>
          <w:b/>
          <w:sz w:val="28"/>
          <w:lang w:val="uk-UA"/>
        </w:rPr>
        <w:t>НАПРЯМИ ДІЯЛЬНОСТІ І ЗАХОДИ РЕАЛІЗАЦІЇ ПРОГРАМИ</w:t>
      </w:r>
    </w:p>
    <w:tbl>
      <w:tblPr>
        <w:tblW w:w="15325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  <w:tblLook w:firstRow="1" w:noVBand="0" w:lastRow="1" w:firstColumn="1" w:lastColumn="1" w:noHBand="0" w:val="01e0"/>
      </w:tblPr>
      <w:tblGrid>
        <w:gridCol w:w="317"/>
        <w:gridCol w:w="1"/>
        <w:gridCol w:w="1303"/>
        <w:gridCol w:w="3404"/>
        <w:gridCol w:w="1074"/>
        <w:gridCol w:w="1022"/>
        <w:gridCol w:w="849"/>
        <w:gridCol w:w="851"/>
        <w:gridCol w:w="850"/>
        <w:gridCol w:w="849"/>
        <w:gridCol w:w="851"/>
        <w:gridCol w:w="849"/>
        <w:gridCol w:w="850"/>
        <w:gridCol w:w="906"/>
        <w:gridCol w:w="1347"/>
        <w:gridCol w:w="2"/>
      </w:tblGrid>
      <w:tr>
        <w:trPr>
          <w:tblHeader w:val="true"/>
          <w:trHeight w:val="276" w:hRule="atLeast"/>
          <w:cantSplit w:val="true"/>
        </w:trPr>
        <w:tc>
          <w:tcPr>
            <w:tcW w:w="3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6D9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lang w:val="uk-UA"/>
              </w:rPr>
            </w:pPr>
            <w:r>
              <w:rPr>
                <w:b/>
                <w:sz w:val="22"/>
                <w:szCs w:val="22"/>
                <w:lang w:val="uk-UA"/>
              </w:rPr>
              <w:t xml:space="preserve">№ </w:t>
            </w:r>
            <w:r>
              <w:rPr>
                <w:b/>
                <w:sz w:val="22"/>
                <w:szCs w:val="22"/>
                <w:lang w:val="uk-UA"/>
              </w:rPr>
              <w:t>з/п</w:t>
            </w:r>
          </w:p>
        </w:tc>
        <w:tc>
          <w:tcPr>
            <w:tcW w:w="13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6D9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lang w:val="uk-UA"/>
              </w:rPr>
            </w:pPr>
            <w:r>
              <w:rPr>
                <w:b/>
                <w:sz w:val="22"/>
                <w:szCs w:val="22"/>
                <w:lang w:val="uk-UA"/>
              </w:rPr>
              <w:t>Назва напряму діяльності (пріоритетні завдання)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6D9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lang w:val="uk-UA"/>
              </w:rPr>
            </w:pPr>
            <w:r>
              <w:rPr>
                <w:b/>
                <w:sz w:val="22"/>
                <w:szCs w:val="22"/>
                <w:lang w:val="uk-UA"/>
              </w:rPr>
              <w:t xml:space="preserve">Перелік заходів Програми 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6D9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lang w:val="uk-UA"/>
              </w:rPr>
            </w:pPr>
            <w:r>
              <w:rPr>
                <w:b/>
                <w:sz w:val="22"/>
                <w:szCs w:val="22"/>
                <w:lang w:val="uk-UA"/>
              </w:rPr>
              <w:t>Термін вико-нання</w:t>
            </w:r>
          </w:p>
        </w:tc>
        <w:tc>
          <w:tcPr>
            <w:tcW w:w="10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6D9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lang w:val="uk-UA"/>
              </w:rPr>
            </w:pPr>
            <w:r>
              <w:rPr>
                <w:b/>
                <w:sz w:val="22"/>
                <w:szCs w:val="22"/>
                <w:lang w:val="uk-UA"/>
              </w:rPr>
              <w:t>Виконавці</w:t>
            </w:r>
          </w:p>
        </w:tc>
        <w:tc>
          <w:tcPr>
            <w:tcW w:w="8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6D9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lang w:val="uk-UA"/>
              </w:rPr>
            </w:pPr>
            <w:r>
              <w:rPr>
                <w:b/>
                <w:sz w:val="22"/>
                <w:szCs w:val="22"/>
                <w:lang w:val="uk-UA"/>
              </w:rPr>
              <w:t>Джерела фінансування</w:t>
            </w:r>
          </w:p>
        </w:tc>
        <w:tc>
          <w:tcPr>
            <w:tcW w:w="600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6D9F1" w:val="clear"/>
          </w:tcPr>
          <w:p>
            <w:pPr>
              <w:pStyle w:val="Normal"/>
              <w:widowControl w:val="false"/>
              <w:ind w:left="-136" w:right="-79" w:hanging="0"/>
              <w:jc w:val="center"/>
              <w:rPr>
                <w:b/>
                <w:b/>
                <w:sz w:val="22"/>
                <w:szCs w:val="22"/>
                <w:lang w:val="uk-UA"/>
              </w:rPr>
            </w:pPr>
            <w:r>
              <w:rPr>
                <w:b/>
                <w:sz w:val="22"/>
                <w:szCs w:val="22"/>
                <w:lang w:val="uk-UA"/>
              </w:rPr>
              <w:t>Орієнтовні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  <w:lang w:val="uk-UA"/>
              </w:rPr>
            </w:pPr>
            <w:r>
              <w:rPr>
                <w:b/>
                <w:sz w:val="22"/>
                <w:szCs w:val="22"/>
                <w:lang w:val="uk-UA"/>
              </w:rPr>
              <w:t>обсяги фінансування (вартість) тис. грн.</w:t>
            </w:r>
          </w:p>
        </w:tc>
        <w:tc>
          <w:tcPr>
            <w:tcW w:w="1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6D9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lang w:val="uk-UA"/>
              </w:rPr>
            </w:pPr>
            <w:r>
              <w:rPr>
                <w:b/>
                <w:sz w:val="22"/>
                <w:szCs w:val="22"/>
                <w:lang w:val="uk-UA"/>
              </w:rPr>
              <w:t>Очікуваний результат</w:t>
            </w:r>
          </w:p>
        </w:tc>
      </w:tr>
      <w:tr>
        <w:trPr>
          <w:tblHeader w:val="true"/>
          <w:trHeight w:val="539" w:hRule="atLeast"/>
          <w:cantSplit w:val="true"/>
        </w:trPr>
        <w:tc>
          <w:tcPr>
            <w:tcW w:w="31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lang w:val="uk-UA"/>
              </w:rPr>
            </w:pPr>
            <w:r>
              <w:rPr>
                <w:b/>
                <w:lang w:val="uk-UA"/>
              </w:rPr>
            </w:r>
          </w:p>
        </w:tc>
        <w:tc>
          <w:tcPr>
            <w:tcW w:w="1304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lang w:val="uk-UA"/>
              </w:rPr>
            </w:pPr>
            <w:r>
              <w:rPr>
                <w:b/>
                <w:lang w:val="uk-UA"/>
              </w:rPr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lang w:val="uk-UA"/>
              </w:rPr>
            </w:pPr>
            <w:r>
              <w:rPr>
                <w:b/>
                <w:lang w:val="uk-UA"/>
              </w:rPr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lang w:val="uk-UA"/>
              </w:rPr>
            </w:pPr>
            <w:r>
              <w:rPr>
                <w:b/>
                <w:lang w:val="uk-UA"/>
              </w:rPr>
            </w:r>
          </w:p>
        </w:tc>
        <w:tc>
          <w:tcPr>
            <w:tcW w:w="10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lang w:val="uk-UA"/>
              </w:rPr>
            </w:pPr>
            <w:r>
              <w:rPr>
                <w:b/>
                <w:lang w:val="uk-UA"/>
              </w:rPr>
            </w:r>
          </w:p>
        </w:tc>
        <w:tc>
          <w:tcPr>
            <w:tcW w:w="84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lang w:val="uk-UA"/>
              </w:rPr>
            </w:pPr>
            <w:r>
              <w:rPr>
                <w:b/>
                <w:lang w:val="uk-UA"/>
              </w:rPr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sz w:val="22"/>
                <w:szCs w:val="22"/>
                <w:lang w:val="uk-UA"/>
              </w:rPr>
            </w:pPr>
            <w:r>
              <w:rPr>
                <w:b/>
                <w:sz w:val="22"/>
                <w:szCs w:val="22"/>
                <w:lang w:val="uk-UA"/>
              </w:rPr>
              <w:t xml:space="preserve">2021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lang w:val="uk-UA"/>
              </w:rPr>
            </w:pPr>
            <w:r>
              <w:rPr>
                <w:b/>
                <w:sz w:val="22"/>
                <w:szCs w:val="22"/>
                <w:lang w:val="uk-UA"/>
              </w:rPr>
              <w:t>2022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lang w:val="uk-UA"/>
              </w:rPr>
            </w:pPr>
            <w:r>
              <w:rPr>
                <w:b/>
                <w:sz w:val="22"/>
                <w:szCs w:val="22"/>
                <w:lang w:val="uk-UA"/>
              </w:rPr>
              <w:t xml:space="preserve">2023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lang w:val="uk-UA"/>
              </w:rPr>
            </w:pPr>
            <w:r>
              <w:rPr>
                <w:b/>
                <w:sz w:val="22"/>
                <w:szCs w:val="22"/>
                <w:lang w:val="uk-UA"/>
              </w:rPr>
              <w:t>202</w:t>
            </w:r>
            <w:r>
              <w:rPr>
                <w:b/>
                <w:sz w:val="22"/>
                <w:szCs w:val="22"/>
                <w:lang w:val="en-US"/>
              </w:rPr>
              <w:t>4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lang w:val="uk-UA"/>
              </w:rPr>
            </w:pPr>
            <w:r>
              <w:rPr>
                <w:b/>
                <w:lang w:val="uk-UA"/>
              </w:rPr>
              <w:t>2025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lang w:val="uk-UA"/>
              </w:rPr>
            </w:pPr>
            <w:r>
              <w:rPr>
                <w:b/>
                <w:lang w:val="uk-UA"/>
              </w:rPr>
              <w:t>2026</w:t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lang w:val="uk-UA"/>
              </w:rPr>
            </w:pPr>
            <w:r>
              <w:rPr>
                <w:b/>
                <w:sz w:val="22"/>
                <w:szCs w:val="22"/>
                <w:lang w:val="uk-UA"/>
              </w:rPr>
              <w:t>РАЗОМ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lang w:val="uk-UA"/>
              </w:rPr>
            </w:pPr>
            <w:r>
              <w:rPr>
                <w:b/>
                <w:lang w:val="uk-UA"/>
              </w:rPr>
            </w:r>
          </w:p>
        </w:tc>
        <w:tc>
          <w:tcPr>
            <w:tcW w:w="2" w:type="dxa"/>
            <w:tcBorders/>
          </w:tcPr>
          <w:p>
            <w:pPr>
              <w:pStyle w:val="Normal"/>
              <w:widowControl w:val="false"/>
              <w:rPr>
                <w:lang w:val="uk-UA"/>
              </w:rPr>
            </w:pPr>
            <w:r>
              <w:rPr>
                <w:lang w:val="uk-UA"/>
              </w:rPr>
            </w:r>
          </w:p>
        </w:tc>
      </w:tr>
      <w:tr>
        <w:trPr>
          <w:tblHeader w:val="true"/>
          <w:cantSplit w:val="true"/>
        </w:trPr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lang w:val="uk-UA"/>
              </w:rPr>
            </w:pPr>
            <w:r>
              <w:rPr>
                <w:b/>
                <w:sz w:val="22"/>
                <w:szCs w:val="22"/>
                <w:lang w:val="uk-UA"/>
              </w:rPr>
              <w:t>1</w:t>
            </w:r>
          </w:p>
        </w:tc>
        <w:tc>
          <w:tcPr>
            <w:tcW w:w="13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lang w:val="uk-UA"/>
              </w:rPr>
            </w:pPr>
            <w:r>
              <w:rPr>
                <w:b/>
                <w:sz w:val="22"/>
                <w:szCs w:val="22"/>
                <w:lang w:val="uk-UA"/>
              </w:rPr>
              <w:t>2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lang w:val="uk-UA"/>
              </w:rPr>
            </w:pPr>
            <w:r>
              <w:rPr>
                <w:b/>
                <w:sz w:val="22"/>
                <w:szCs w:val="22"/>
                <w:lang w:val="uk-UA"/>
              </w:rPr>
              <w:t>3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lang w:val="uk-UA"/>
              </w:rPr>
            </w:pPr>
            <w:r>
              <w:rPr>
                <w:b/>
                <w:sz w:val="22"/>
                <w:szCs w:val="22"/>
                <w:lang w:val="uk-UA"/>
              </w:rPr>
              <w:t>4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lang w:val="uk-UA"/>
              </w:rPr>
            </w:pPr>
            <w:r>
              <w:rPr>
                <w:b/>
                <w:sz w:val="22"/>
                <w:szCs w:val="22"/>
                <w:lang w:val="uk-UA"/>
              </w:rPr>
              <w:t>5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lang w:val="uk-UA"/>
              </w:rPr>
            </w:pPr>
            <w:r>
              <w:rPr>
                <w:b/>
                <w:sz w:val="22"/>
                <w:szCs w:val="22"/>
                <w:lang w:val="uk-UA"/>
              </w:rPr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lang w:val="uk-UA"/>
              </w:rPr>
            </w:pPr>
            <w:r>
              <w:rPr>
                <w:b/>
                <w:lang w:val="uk-UA"/>
              </w:rPr>
              <w:t>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lang w:val="uk-UA"/>
              </w:rPr>
            </w:pPr>
            <w:r>
              <w:rPr>
                <w:b/>
                <w:lang w:val="uk-UA"/>
              </w:rPr>
              <w:t>8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lang w:val="uk-UA"/>
              </w:rPr>
            </w:pPr>
            <w:r>
              <w:rPr>
                <w:b/>
                <w:lang w:val="uk-UA"/>
              </w:rPr>
              <w:t>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lang w:val="uk-UA"/>
              </w:rPr>
            </w:pPr>
            <w:r>
              <w:rPr>
                <w:b/>
                <w:lang w:val="uk-UA"/>
              </w:rPr>
              <w:t>10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lang w:val="uk-UA"/>
              </w:rPr>
            </w:pPr>
            <w:r>
              <w:rPr>
                <w:b/>
                <w:lang w:val="uk-UA"/>
              </w:rPr>
              <w:t>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lang w:val="uk-UA"/>
              </w:rPr>
            </w:pPr>
            <w:r>
              <w:rPr>
                <w:b/>
                <w:lang w:val="uk-UA"/>
              </w:rPr>
              <w:t>12</w:t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lang w:val="uk-UA"/>
              </w:rPr>
            </w:pPr>
            <w:r>
              <w:rPr>
                <w:b/>
                <w:lang w:val="uk-UA"/>
              </w:rPr>
              <w:t>13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lang w:val="uk-UA"/>
              </w:rPr>
            </w:pPr>
            <w:r>
              <w:rPr>
                <w:b/>
                <w:lang w:val="uk-UA"/>
              </w:rPr>
              <w:t>1</w:t>
            </w:r>
            <w:r>
              <w:rPr>
                <w:b/>
                <w:lang w:val="en-US"/>
              </w:rPr>
              <w:t>4</w:t>
            </w:r>
          </w:p>
        </w:tc>
        <w:tc>
          <w:tcPr>
            <w:tcW w:w="2" w:type="dxa"/>
            <w:tcBorders/>
          </w:tcPr>
          <w:p>
            <w:pPr>
              <w:pStyle w:val="Normal"/>
              <w:widowControl w:val="false"/>
              <w:rPr>
                <w:lang w:val="uk-UA"/>
              </w:rPr>
            </w:pPr>
            <w:r>
              <w:rPr>
                <w:lang w:val="uk-UA"/>
              </w:rPr>
            </w:r>
          </w:p>
        </w:tc>
      </w:tr>
      <w:tr>
        <w:trPr>
          <w:cantSplit w:val="true"/>
        </w:trPr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1.</w:t>
            </w:r>
          </w:p>
        </w:tc>
        <w:tc>
          <w:tcPr>
            <w:tcW w:w="130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Стимулювати впровадження енерго-ефективних заходів населенням та суб’єктами господарю-вання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Висвітленням в ЗМІ переваг та ефективності впровадження заходів з енергоефективності, в т.ч. на основі місцевого досвіду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  <w:szCs w:val="20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2021-202</w:t>
            </w:r>
            <w:r>
              <w:rPr>
                <w:color w:val="auto"/>
                <w:sz w:val="20"/>
                <w:szCs w:val="20"/>
                <w:lang w:val="en-US"/>
              </w:rPr>
              <w:t>6</w:t>
            </w:r>
            <w:r>
              <w:rPr>
                <w:color w:val="auto"/>
                <w:sz w:val="20"/>
                <w:szCs w:val="20"/>
                <w:lang w:val="uk-UA"/>
              </w:rPr>
              <w:t xml:space="preserve"> роки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Департа-мент ЖКГ Луцької міської ради, ОСББ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Фінансу-вання не потребує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</w:r>
          </w:p>
        </w:tc>
        <w:tc>
          <w:tcPr>
            <w:tcW w:w="13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Скорочення споживання енергії кінцевим споживачем</w:t>
            </w:r>
          </w:p>
        </w:tc>
        <w:tc>
          <w:tcPr>
            <w:tcW w:w="2" w:type="dxa"/>
            <w:tcBorders/>
          </w:tcPr>
          <w:p>
            <w:pPr>
              <w:pStyle w:val="Normal"/>
              <w:widowControl w:val="false"/>
              <w:rPr>
                <w:lang w:val="uk-UA"/>
              </w:rPr>
            </w:pPr>
            <w:r>
              <w:rPr>
                <w:lang w:val="uk-UA"/>
              </w:rPr>
            </w:r>
          </w:p>
        </w:tc>
      </w:tr>
      <w:tr>
        <w:trPr>
          <w:trHeight w:val="1152" w:hRule="atLeast"/>
          <w:cantSplit w:val="true"/>
        </w:trPr>
        <w:tc>
          <w:tcPr>
            <w:tcW w:w="3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2.</w:t>
            </w:r>
          </w:p>
        </w:tc>
        <w:tc>
          <w:tcPr>
            <w:tcW w:w="1304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</w:tc>
        <w:tc>
          <w:tcPr>
            <w:tcW w:w="34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  <w:lang w:val="uk-UA"/>
              </w:rPr>
            </w:pPr>
            <w:bookmarkStart w:id="0" w:name="_Hlk27577940"/>
            <w:r>
              <w:rPr>
                <w:sz w:val="20"/>
                <w:szCs w:val="20"/>
                <w:lang w:val="uk-UA"/>
              </w:rPr>
              <w:t>Надання фінансової підтримки та відшкодування частини суми кредитів  ОСББ Луцької міської територіальної громади, які беруть участь у програмах державної установи «Фонд енергоефективності», зокрема, програмах «</w:t>
            </w:r>
            <w:r>
              <w:rPr>
                <w:rFonts w:eastAsia="Times New Roman" w:cs="Times New Roman"/>
                <w:iCs/>
                <w:sz w:val="20"/>
                <w:szCs w:val="20"/>
                <w:lang w:val="uk-UA" w:eastAsia="ru-RU"/>
              </w:rPr>
              <w:t>ЕНЕРГОДІМ</w:t>
            </w:r>
            <w:r>
              <w:rPr>
                <w:sz w:val="20"/>
                <w:szCs w:val="20"/>
                <w:lang w:val="uk-UA"/>
              </w:rPr>
              <w:t xml:space="preserve">» та/або «ГРІНДІМ» та залучають кредитні кошти на впровадження </w:t>
            </w:r>
            <w:r>
              <w:rPr>
                <w:rFonts w:eastAsia="Times New Roman" w:cs="Times New Roman"/>
                <w:iCs/>
                <w:sz w:val="20"/>
                <w:szCs w:val="20"/>
                <w:lang w:val="uk-UA" w:eastAsia="ru-RU"/>
              </w:rPr>
              <w:t>в житлових будинках</w:t>
            </w:r>
            <w:r>
              <w:rPr>
                <w:sz w:val="20"/>
                <w:szCs w:val="20"/>
                <w:lang w:val="uk-UA"/>
              </w:rPr>
              <w:t xml:space="preserve"> </w:t>
            </w:r>
            <w:bookmarkEnd w:id="0"/>
            <w:r>
              <w:rPr>
                <w:sz w:val="20"/>
                <w:szCs w:val="20"/>
                <w:lang w:val="uk-UA"/>
              </w:rPr>
              <w:t>енергозберігаючих заходів</w:t>
            </w:r>
          </w:p>
        </w:tc>
        <w:tc>
          <w:tcPr>
            <w:tcW w:w="10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  <w:szCs w:val="20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2021-202</w:t>
            </w:r>
            <w:r>
              <w:rPr>
                <w:color w:val="auto"/>
                <w:sz w:val="20"/>
                <w:szCs w:val="20"/>
                <w:lang w:val="en-US"/>
              </w:rPr>
              <w:t>6</w:t>
            </w:r>
            <w:r>
              <w:rPr>
                <w:color w:val="auto"/>
                <w:sz w:val="20"/>
                <w:szCs w:val="20"/>
                <w:lang w:val="uk-UA"/>
              </w:rPr>
              <w:t xml:space="preserve"> роки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Департа-мент ЖКГ Луцької міської ради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Бюджет Луцької міської терито-ріальної громади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15500,0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21900,0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28000,0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39000,0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42000,0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46000,0</w:t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Cs w:val="20"/>
                <w:lang w:val="uk-UA"/>
              </w:rPr>
            </w:pPr>
            <w:r>
              <w:rPr>
                <w:rFonts w:eastAsia="Times New Roman" w:cs="Times New Roman"/>
                <w:iCs/>
                <w:color w:val="auto"/>
                <w:sz w:val="20"/>
                <w:szCs w:val="20"/>
                <w:lang w:val="uk-UA" w:eastAsia="ru-RU"/>
              </w:rPr>
              <w:t>192400</w:t>
            </w:r>
            <w:r>
              <w:rPr>
                <w:color w:val="auto"/>
                <w:sz w:val="20"/>
                <w:szCs w:val="20"/>
                <w:lang w:val="uk-UA"/>
              </w:rPr>
              <w:t>,0</w:t>
            </w:r>
          </w:p>
        </w:tc>
        <w:tc>
          <w:tcPr>
            <w:tcW w:w="134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</w:tc>
        <w:tc>
          <w:tcPr>
            <w:tcW w:w="2" w:type="dxa"/>
            <w:tcBorders/>
          </w:tcPr>
          <w:p>
            <w:pPr>
              <w:pStyle w:val="Normal"/>
              <w:widowControl w:val="false"/>
              <w:rPr>
                <w:lang w:val="uk-UA"/>
              </w:rPr>
            </w:pPr>
            <w:r>
              <w:rPr>
                <w:lang w:val="uk-UA"/>
              </w:rPr>
            </w:r>
          </w:p>
        </w:tc>
      </w:tr>
      <w:tr>
        <w:trPr>
          <w:trHeight w:val="1067" w:hRule="atLeast"/>
          <w:cantSplit w:val="true"/>
        </w:trPr>
        <w:tc>
          <w:tcPr>
            <w:tcW w:w="31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</w:tc>
        <w:tc>
          <w:tcPr>
            <w:tcW w:w="1304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</w:tc>
        <w:tc>
          <w:tcPr>
            <w:tcW w:w="340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</w:tc>
        <w:tc>
          <w:tcPr>
            <w:tcW w:w="107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ОСББ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Кошти співвлас-ників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40000,0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50000,0</w:t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60000,0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80000,0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86000,0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94000,0</w:t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410000,0</w:t>
            </w:r>
          </w:p>
        </w:tc>
        <w:tc>
          <w:tcPr>
            <w:tcW w:w="134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</w:tc>
        <w:tc>
          <w:tcPr>
            <w:tcW w:w="2" w:type="dxa"/>
            <w:tcBorders/>
          </w:tcPr>
          <w:p>
            <w:pPr>
              <w:pStyle w:val="Normal"/>
              <w:widowControl w:val="false"/>
              <w:rPr>
                <w:lang w:val="uk-UA"/>
              </w:rPr>
            </w:pPr>
            <w:r>
              <w:rPr>
                <w:lang w:val="uk-UA"/>
              </w:rPr>
            </w:r>
          </w:p>
        </w:tc>
      </w:tr>
      <w:tr>
        <w:trPr>
          <w:trHeight w:val="1919" w:hRule="atLeast"/>
          <w:cantSplit w:val="true"/>
        </w:trPr>
        <w:tc>
          <w:tcPr>
            <w:tcW w:w="31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</w:tc>
        <w:tc>
          <w:tcPr>
            <w:tcW w:w="1304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</w:tc>
        <w:tc>
          <w:tcPr>
            <w:tcW w:w="340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</w:tc>
        <w:tc>
          <w:tcPr>
            <w:tcW w:w="107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Фонд ЕЕ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Кошти інших джерел Програм ЕНЕР-ГОДІМ та/або ГРІН-ДІМ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140000,0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175000,0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210000,0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280000,0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300000,0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330000,0</w:t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171" w:after="171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rFonts w:eastAsia="Times New Roman" w:cs="Times New Roman"/>
                <w:iCs/>
                <w:color w:val="auto"/>
                <w:kern w:val="0"/>
                <w:sz w:val="20"/>
                <w:szCs w:val="20"/>
                <w:lang w:val="uk-UA" w:eastAsia="ru-RU" w:bidi="ar-SA"/>
              </w:rPr>
              <w:br/>
              <w:br/>
              <w:t>1435</w:t>
            </w:r>
            <w:r>
              <w:rPr>
                <w:color w:val="auto"/>
                <w:sz w:val="20"/>
                <w:szCs w:val="20"/>
                <w:lang w:val="uk-UA"/>
              </w:rPr>
              <w:t>000,0</w:t>
            </w:r>
          </w:p>
        </w:tc>
        <w:tc>
          <w:tcPr>
            <w:tcW w:w="134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</w:tc>
        <w:tc>
          <w:tcPr>
            <w:tcW w:w="2" w:type="dxa"/>
            <w:tcBorders/>
          </w:tcPr>
          <w:p>
            <w:pPr>
              <w:pStyle w:val="Normal"/>
              <w:widowControl w:val="false"/>
              <w:rPr>
                <w:lang w:val="uk-UA"/>
              </w:rPr>
            </w:pPr>
            <w:r>
              <w:rPr>
                <w:lang w:val="uk-UA"/>
              </w:rPr>
            </w:r>
          </w:p>
        </w:tc>
      </w:tr>
      <w:tr>
        <w:trPr>
          <w:cantSplit w:val="true"/>
        </w:trPr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3.</w:t>
            </w:r>
          </w:p>
        </w:tc>
        <w:tc>
          <w:tcPr>
            <w:tcW w:w="1304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Розробка, тиражування та поширення поліграфічної продукції навчального, довідкового, рекламного характеру; проведення круглих столів, семінарів, семінарів-тренінгів з питань енергозбереження та енергоефективності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  <w:szCs w:val="20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2021-202</w:t>
            </w:r>
            <w:r>
              <w:rPr>
                <w:color w:val="auto"/>
                <w:sz w:val="20"/>
                <w:szCs w:val="20"/>
                <w:lang w:val="en-US"/>
              </w:rPr>
              <w:t>6</w:t>
            </w:r>
            <w:r>
              <w:rPr>
                <w:color w:val="auto"/>
                <w:sz w:val="20"/>
                <w:szCs w:val="20"/>
                <w:lang w:val="uk-UA"/>
              </w:rPr>
              <w:t xml:space="preserve"> роки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Департа-мент ЖКГ Луцької міської ради, ОСББ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Фінансу-вання не потребує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</w:tc>
        <w:tc>
          <w:tcPr>
            <w:tcW w:w="134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</w:tc>
        <w:tc>
          <w:tcPr>
            <w:tcW w:w="2" w:type="dxa"/>
            <w:tcBorders/>
          </w:tcPr>
          <w:p>
            <w:pPr>
              <w:pStyle w:val="Normal"/>
              <w:widowControl w:val="false"/>
              <w:rPr>
                <w:lang w:val="uk-UA"/>
              </w:rPr>
            </w:pPr>
            <w:r>
              <w:rPr>
                <w:lang w:val="uk-UA"/>
              </w:rPr>
            </w:r>
          </w:p>
        </w:tc>
      </w:tr>
      <w:tr>
        <w:trPr>
          <w:cantSplit w:val="true"/>
        </w:trPr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4.</w:t>
            </w:r>
          </w:p>
        </w:tc>
        <w:tc>
          <w:tcPr>
            <w:tcW w:w="13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Забезпечити участь активних мешканців в реалізації місцевої енергетичної політики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Залучення до співпраці активної молоді та людей з громадських організацій і бізнесу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2021-202</w:t>
            </w:r>
            <w:r>
              <w:rPr>
                <w:color w:val="auto"/>
                <w:sz w:val="20"/>
                <w:szCs w:val="20"/>
                <w:lang w:val="en-US"/>
              </w:rPr>
              <w:t>6</w:t>
            </w:r>
            <w:r>
              <w:rPr>
                <w:color w:val="auto"/>
                <w:sz w:val="20"/>
                <w:szCs w:val="20"/>
                <w:lang w:val="uk-UA"/>
              </w:rPr>
              <w:t xml:space="preserve"> роки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Департа-мент ЖКГ Луцької міської ради, ОСББ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Фінансу-вання не потребує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Нові ідеї та проекти</w:t>
            </w:r>
          </w:p>
        </w:tc>
        <w:tc>
          <w:tcPr>
            <w:tcW w:w="2" w:type="dxa"/>
            <w:tcBorders/>
          </w:tcPr>
          <w:p>
            <w:pPr>
              <w:pStyle w:val="Normal"/>
              <w:widowControl w:val="false"/>
              <w:rPr>
                <w:lang w:val="uk-UA"/>
              </w:rPr>
            </w:pPr>
            <w:r>
              <w:rPr>
                <w:lang w:val="uk-UA"/>
              </w:rPr>
            </w:r>
          </w:p>
        </w:tc>
      </w:tr>
      <w:tr>
        <w:trPr>
          <w:trHeight w:val="2267" w:hRule="atLeast"/>
          <w:cantSplit w:val="true"/>
        </w:trPr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5.</w:t>
            </w:r>
          </w:p>
        </w:tc>
        <w:tc>
          <w:tcPr>
            <w:tcW w:w="130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Підвищити обізнаність населення з питань раціонального споживання енергії та оптимальних технічних рішень для скорочення споживання енергії на рівні кінцевого споживача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3"/>
              <w:widowControl w:val="false"/>
              <w:spacing w:lineRule="auto" w:line="240"/>
              <w:rPr>
                <w:rFonts w:ascii="Times New Roman" w:hAnsi="Times New Roman" w:cs="Times New Roman"/>
                <w:spacing w:val="0"/>
                <w:sz w:val="20"/>
                <w:szCs w:val="20"/>
                <w:lang w:val="uk-UA" w:eastAsia="ru-RU"/>
              </w:rPr>
            </w:pPr>
            <w:r>
              <w:rPr>
                <w:rFonts w:cs="Times New Roman" w:ascii="Times New Roman" w:hAnsi="Times New Roman"/>
                <w:spacing w:val="0"/>
                <w:sz w:val="20"/>
                <w:szCs w:val="20"/>
                <w:lang w:val="uk-UA" w:eastAsia="ru-RU"/>
              </w:rPr>
              <w:t>Створення окремого розділу на сайті міської ради, присвяченого підтримці інформаційних кампаній, місцевій енергетичній політиці. Ведення на сайті ради відкритого реєстру заяв та договорів ОСББ про надання фінансової підтримки.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2021-202</w:t>
            </w:r>
            <w:r>
              <w:rPr>
                <w:color w:val="auto"/>
                <w:sz w:val="20"/>
                <w:szCs w:val="20"/>
                <w:lang w:val="en-US"/>
              </w:rPr>
              <w:t>6</w:t>
            </w:r>
            <w:r>
              <w:rPr>
                <w:color w:val="auto"/>
                <w:sz w:val="20"/>
                <w:szCs w:val="20"/>
                <w:lang w:val="uk-UA"/>
              </w:rPr>
              <w:t xml:space="preserve"> роки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Департа-мент ЖКГ Луцької міської ради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Фінансу-вання не потребує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</w:tc>
        <w:tc>
          <w:tcPr>
            <w:tcW w:w="13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Скорочення споживання енергії кінцевим споживачем</w:t>
            </w:r>
          </w:p>
        </w:tc>
        <w:tc>
          <w:tcPr>
            <w:tcW w:w="2" w:type="dxa"/>
            <w:tcBorders/>
          </w:tcPr>
          <w:p>
            <w:pPr>
              <w:pStyle w:val="Normal"/>
              <w:widowControl w:val="false"/>
              <w:rPr>
                <w:lang w:val="uk-UA"/>
              </w:rPr>
            </w:pPr>
            <w:r>
              <w:rPr>
                <w:lang w:val="uk-UA"/>
              </w:rPr>
            </w:r>
          </w:p>
        </w:tc>
      </w:tr>
      <w:tr>
        <w:trPr>
          <w:cantSplit w:val="true"/>
        </w:trPr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6.</w:t>
            </w:r>
          </w:p>
        </w:tc>
        <w:tc>
          <w:tcPr>
            <w:tcW w:w="1304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Просвітницька робота та інформаційні заходи в навчальних закладах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2021-202</w:t>
            </w:r>
            <w:r>
              <w:rPr>
                <w:color w:val="auto"/>
                <w:sz w:val="20"/>
                <w:szCs w:val="20"/>
                <w:lang w:val="en-US"/>
              </w:rPr>
              <w:t>6</w:t>
            </w:r>
            <w:r>
              <w:rPr>
                <w:color w:val="auto"/>
                <w:sz w:val="20"/>
                <w:szCs w:val="20"/>
                <w:lang w:val="uk-UA"/>
              </w:rPr>
              <w:t xml:space="preserve"> роки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Департа-мент ЖКГ Луцької міської ради, ОСББ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Фінансу-вання не потребує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</w:tc>
        <w:tc>
          <w:tcPr>
            <w:tcW w:w="134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</w:tc>
        <w:tc>
          <w:tcPr>
            <w:tcW w:w="2" w:type="dxa"/>
            <w:tcBorders/>
          </w:tcPr>
          <w:p>
            <w:pPr>
              <w:pStyle w:val="Normal"/>
              <w:widowControl w:val="false"/>
              <w:rPr>
                <w:lang w:val="uk-UA"/>
              </w:rPr>
            </w:pPr>
            <w:r>
              <w:rPr>
                <w:lang w:val="uk-UA"/>
              </w:rPr>
            </w:r>
          </w:p>
        </w:tc>
      </w:tr>
      <w:tr>
        <w:trPr>
          <w:cantSplit w:val="true"/>
        </w:trPr>
        <w:tc>
          <w:tcPr>
            <w:tcW w:w="3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highlight w:val="yellow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7</w:t>
            </w:r>
          </w:p>
        </w:tc>
        <w:tc>
          <w:tcPr>
            <w:tcW w:w="130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highlight w:val="yellow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Залучення кредитних коштів на заходи термомодер-нізації та підвищення енергоефек-тивності житлових будинків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Відшкодування відсотків</w:t>
            </w:r>
            <w:r>
              <w:rPr>
                <w:color w:val="FF0000"/>
                <w:sz w:val="20"/>
                <w:szCs w:val="20"/>
                <w:lang w:val="uk-UA"/>
              </w:rPr>
              <w:t xml:space="preserve">  </w:t>
            </w:r>
            <w:r>
              <w:rPr>
                <w:sz w:val="20"/>
                <w:szCs w:val="20"/>
                <w:lang w:val="uk-UA"/>
              </w:rPr>
              <w:t xml:space="preserve">за кредитами, залученими ОСББ на заходи  енергозбереження </w:t>
            </w:r>
          </w:p>
          <w:p>
            <w:pPr>
              <w:pStyle w:val="Normal"/>
              <w:widowControl w:val="false"/>
              <w:rPr>
                <w:sz w:val="20"/>
                <w:szCs w:val="20"/>
                <w:highlight w:val="yellow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у житлових будинках за час дії Програми по відшкодуванню відсоткових ставок за залученими кредитами у 2013-2017 роках (у тому числі оплата кредиторської заборгованості)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  <w:szCs w:val="20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2021-202</w:t>
            </w:r>
            <w:r>
              <w:rPr>
                <w:color w:val="auto"/>
                <w:sz w:val="20"/>
                <w:szCs w:val="20"/>
                <w:lang w:val="en-US"/>
              </w:rPr>
              <w:t>6</w:t>
            </w:r>
            <w:r>
              <w:rPr>
                <w:color w:val="auto"/>
                <w:sz w:val="20"/>
                <w:szCs w:val="20"/>
                <w:lang w:val="uk-UA"/>
              </w:rPr>
              <w:t xml:space="preserve"> роки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Департа-мент ЖКГ Луцької міської ради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Бюджет Луцької міської терито-ріальної громади</w:t>
            </w:r>
          </w:p>
          <w:p>
            <w:pPr>
              <w:pStyle w:val="Normal"/>
              <w:widowControl w:val="false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1600,0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1100,0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Cs w:val="20"/>
              </w:rPr>
            </w:pPr>
            <w:r>
              <w:rPr>
                <w:color w:val="auto"/>
                <w:sz w:val="20"/>
                <w:szCs w:val="20"/>
                <w:lang w:val="en-US"/>
              </w:rPr>
              <w:t>2000</w:t>
            </w:r>
            <w:r>
              <w:rPr>
                <w:color w:val="auto"/>
                <w:sz w:val="20"/>
                <w:szCs w:val="20"/>
                <w:lang w:val="uk-UA"/>
              </w:rPr>
              <w:t>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en-US"/>
              </w:rPr>
            </w:pPr>
            <w:r>
              <w:rPr>
                <w:color w:val="auto"/>
                <w:sz w:val="20"/>
                <w:szCs w:val="20"/>
                <w:lang w:val="en-US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en-US"/>
              </w:rPr>
            </w:pPr>
            <w:r>
              <w:rPr>
                <w:color w:val="auto"/>
                <w:sz w:val="20"/>
                <w:szCs w:val="20"/>
                <w:lang w:val="en-US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en-US"/>
              </w:rPr>
            </w:pPr>
            <w:r>
              <w:rPr>
                <w:color w:val="auto"/>
                <w:sz w:val="20"/>
                <w:szCs w:val="20"/>
                <w:lang w:val="en-US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en-US"/>
              </w:rPr>
            </w:pPr>
            <w:r>
              <w:rPr>
                <w:color w:val="auto"/>
                <w:sz w:val="20"/>
                <w:szCs w:val="20"/>
                <w:lang w:val="en-US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en-US"/>
              </w:rPr>
            </w:pPr>
            <w:r>
              <w:rPr>
                <w:color w:val="auto"/>
                <w:sz w:val="20"/>
                <w:szCs w:val="20"/>
                <w:lang w:val="en-US"/>
              </w:rPr>
              <w:t>1000,0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en-US"/>
              </w:rPr>
            </w:pPr>
            <w:r>
              <w:rPr>
                <w:color w:val="auto"/>
                <w:sz w:val="20"/>
                <w:szCs w:val="20"/>
                <w:lang w:val="en-US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en-US"/>
              </w:rPr>
            </w:pPr>
            <w:r>
              <w:rPr>
                <w:color w:val="auto"/>
                <w:sz w:val="20"/>
                <w:szCs w:val="20"/>
                <w:lang w:val="en-US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en-US"/>
              </w:rPr>
            </w:pPr>
            <w:r>
              <w:rPr>
                <w:color w:val="auto"/>
                <w:sz w:val="20"/>
                <w:szCs w:val="20"/>
                <w:lang w:val="en-US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en-US"/>
              </w:rPr>
            </w:pPr>
            <w:r>
              <w:rPr>
                <w:color w:val="auto"/>
                <w:sz w:val="20"/>
                <w:szCs w:val="20"/>
                <w:lang w:val="en-US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en-US"/>
              </w:rPr>
            </w:pPr>
            <w:r>
              <w:rPr>
                <w:color w:val="auto"/>
                <w:sz w:val="20"/>
                <w:szCs w:val="20"/>
                <w:lang w:val="en-US"/>
              </w:rPr>
              <w:t>1000,0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en-US"/>
              </w:rPr>
            </w:pPr>
            <w:r>
              <w:rPr>
                <w:color w:val="auto"/>
                <w:sz w:val="20"/>
                <w:szCs w:val="20"/>
                <w:lang w:val="en-US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en-US"/>
              </w:rPr>
            </w:pPr>
            <w:r>
              <w:rPr>
                <w:color w:val="auto"/>
                <w:sz w:val="20"/>
                <w:szCs w:val="20"/>
                <w:lang w:val="en-US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en-US"/>
              </w:rPr>
            </w:pPr>
            <w:r>
              <w:rPr>
                <w:color w:val="auto"/>
                <w:sz w:val="20"/>
                <w:szCs w:val="20"/>
                <w:lang w:val="en-US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en-US"/>
              </w:rPr>
            </w:pPr>
            <w:r>
              <w:rPr>
                <w:color w:val="auto"/>
                <w:sz w:val="20"/>
                <w:szCs w:val="20"/>
                <w:lang w:val="en-US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en-US"/>
              </w:rPr>
            </w:pPr>
            <w:r>
              <w:rPr>
                <w:color w:val="auto"/>
                <w:sz w:val="20"/>
                <w:szCs w:val="20"/>
                <w:lang w:val="en-US"/>
              </w:rPr>
              <w:t>1000,0</w:t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Cs w:val="20"/>
              </w:rPr>
            </w:pPr>
            <w:r>
              <w:rPr>
                <w:color w:val="auto"/>
                <w:sz w:val="20"/>
                <w:szCs w:val="20"/>
                <w:lang w:val="en-US"/>
              </w:rPr>
              <w:t>77</w:t>
            </w:r>
            <w:r>
              <w:rPr>
                <w:color w:val="auto"/>
                <w:sz w:val="20"/>
                <w:szCs w:val="20"/>
                <w:lang w:val="uk-UA"/>
              </w:rPr>
              <w:t>00,0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Скорочення споживання енергії кінцевим споживачем</w:t>
            </w:r>
          </w:p>
        </w:tc>
        <w:tc>
          <w:tcPr>
            <w:tcW w:w="2" w:type="dxa"/>
            <w:tcBorders/>
          </w:tcPr>
          <w:p>
            <w:pPr>
              <w:pStyle w:val="Normal"/>
              <w:widowControl w:val="false"/>
              <w:rPr>
                <w:lang w:val="uk-UA"/>
              </w:rPr>
            </w:pPr>
            <w:r>
              <w:rPr>
                <w:lang w:val="uk-UA"/>
              </w:rPr>
            </w:r>
          </w:p>
        </w:tc>
      </w:tr>
      <w:tr>
        <w:trPr>
          <w:cantSplit w:val="true"/>
        </w:trPr>
        <w:tc>
          <w:tcPr>
            <w:tcW w:w="31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highlight w:val="yellow"/>
                <w:lang w:val="uk-UA"/>
              </w:rPr>
            </w:pPr>
            <w:r>
              <w:rPr>
                <w:sz w:val="20"/>
                <w:szCs w:val="20"/>
                <w:highlight w:val="yellow"/>
                <w:lang w:val="uk-UA"/>
              </w:rPr>
            </w:r>
          </w:p>
        </w:tc>
        <w:tc>
          <w:tcPr>
            <w:tcW w:w="1304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highlight w:val="yellow"/>
                <w:lang w:val="uk-UA"/>
              </w:rPr>
            </w:pPr>
            <w:r>
              <w:rPr>
                <w:sz w:val="20"/>
                <w:szCs w:val="20"/>
                <w:highlight w:val="yellow"/>
                <w:lang w:val="uk-UA"/>
              </w:rPr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  <w:highlight w:val="yellow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 xml:space="preserve">Відшкодування  </w:t>
            </w:r>
            <w:r>
              <w:rPr>
                <w:b/>
                <w:sz w:val="28"/>
                <w:lang w:val="uk-UA"/>
              </w:rPr>
              <w:t xml:space="preserve"> </w:t>
            </w:r>
            <w:r>
              <w:rPr>
                <w:sz w:val="20"/>
                <w:szCs w:val="20"/>
                <w:lang w:val="uk-UA"/>
              </w:rPr>
              <w:t>частини суми кредитів та відсотки</w:t>
            </w:r>
            <w:r>
              <w:rPr>
                <w:color w:val="FF0000"/>
                <w:sz w:val="20"/>
                <w:szCs w:val="20"/>
                <w:lang w:val="uk-UA"/>
              </w:rPr>
              <w:t xml:space="preserve">  </w:t>
            </w:r>
            <w:r>
              <w:rPr>
                <w:sz w:val="20"/>
                <w:szCs w:val="20"/>
                <w:lang w:val="uk-UA"/>
              </w:rPr>
              <w:t>за кредитами ОСББ міста Луцька, залучених на впровадження в будинках енергоефективних заходів на 2018-2020 роки (у тому числі оплата кредиторської заборгованості)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  <w:szCs w:val="20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2021-202</w:t>
            </w:r>
            <w:r>
              <w:rPr>
                <w:color w:val="auto"/>
                <w:sz w:val="20"/>
                <w:szCs w:val="20"/>
                <w:lang w:val="en-US"/>
              </w:rPr>
              <w:t>6</w:t>
            </w:r>
            <w:r>
              <w:rPr>
                <w:color w:val="auto"/>
                <w:sz w:val="20"/>
                <w:szCs w:val="20"/>
                <w:lang w:val="uk-UA"/>
              </w:rPr>
              <w:t xml:space="preserve"> роки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Департа-мент ЖКГ Луцької міської ради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Бюджет Луцької міської терито-ріальної громади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2900,0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2000,0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  <w:sz w:val="20"/>
                <w:szCs w:val="20"/>
                <w:lang w:val="uk-UA"/>
              </w:rPr>
            </w:pPr>
            <w:r>
              <w:rPr>
                <w:color w:val="auto"/>
                <w:sz w:val="20"/>
                <w:szCs w:val="20"/>
                <w:lang w:val="uk-UA"/>
              </w:rPr>
              <w:t>4900,0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Скорочення споживання енергії кінцевим споживачем</w:t>
            </w:r>
          </w:p>
        </w:tc>
        <w:tc>
          <w:tcPr>
            <w:tcW w:w="2" w:type="dxa"/>
            <w:tcBorders/>
          </w:tcPr>
          <w:p>
            <w:pPr>
              <w:pStyle w:val="Normal"/>
              <w:widowControl w:val="false"/>
              <w:rPr>
                <w:lang w:val="uk-UA"/>
              </w:rPr>
            </w:pPr>
            <w:r>
              <w:rPr>
                <w:lang w:val="uk-UA"/>
              </w:rPr>
            </w:r>
          </w:p>
        </w:tc>
      </w:tr>
    </w:tbl>
    <w:p>
      <w:pPr>
        <w:pStyle w:val="Normal"/>
        <w:rPr>
          <w:b/>
          <w:b/>
          <w:sz w:val="12"/>
          <w:szCs w:val="12"/>
          <w:lang w:val="uk-UA"/>
        </w:rPr>
      </w:pPr>
      <w:r>
        <w:rPr>
          <w:b/>
          <w:sz w:val="12"/>
          <w:szCs w:val="12"/>
          <w:lang w:val="uk-UA"/>
        </w:rPr>
      </w:r>
    </w:p>
    <w:p>
      <w:pPr>
        <w:pStyle w:val="Normal"/>
        <w:rPr>
          <w:b/>
          <w:b/>
          <w:sz w:val="12"/>
          <w:szCs w:val="12"/>
          <w:lang w:val="uk-UA"/>
        </w:rPr>
      </w:pPr>
      <w:r>
        <w:rPr>
          <w:b/>
          <w:sz w:val="12"/>
          <w:szCs w:val="12"/>
          <w:lang w:val="uk-UA"/>
        </w:rPr>
      </w:r>
    </w:p>
    <w:p>
      <w:pPr>
        <w:pStyle w:val="Normal"/>
        <w:rPr>
          <w:b/>
          <w:b/>
          <w:sz w:val="12"/>
          <w:szCs w:val="12"/>
          <w:lang w:val="uk-UA"/>
        </w:rPr>
      </w:pPr>
      <w:r>
        <w:rPr>
          <w:b/>
          <w:sz w:val="12"/>
          <w:szCs w:val="12"/>
          <w:lang w:val="uk-UA"/>
        </w:rPr>
      </w:r>
    </w:p>
    <w:p>
      <w:pPr>
        <w:pStyle w:val="Normal"/>
        <w:rPr>
          <w:b/>
          <w:b/>
          <w:sz w:val="12"/>
          <w:szCs w:val="12"/>
          <w:lang w:val="uk-UA"/>
        </w:rPr>
      </w:pPr>
      <w:r>
        <w:rPr>
          <w:b/>
          <w:sz w:val="12"/>
          <w:szCs w:val="12"/>
          <w:lang w:val="uk-UA"/>
        </w:rPr>
      </w:r>
    </w:p>
    <w:p>
      <w:pPr>
        <w:pStyle w:val="Normal"/>
        <w:rPr>
          <w:b/>
          <w:b/>
          <w:sz w:val="12"/>
          <w:szCs w:val="12"/>
          <w:lang w:val="uk-UA"/>
        </w:rPr>
      </w:pPr>
      <w:r>
        <w:rPr>
          <w:b/>
          <w:sz w:val="12"/>
          <w:szCs w:val="12"/>
          <w:lang w:val="uk-UA"/>
        </w:rPr>
      </w:r>
    </w:p>
    <w:p>
      <w:pPr>
        <w:pStyle w:val="Normal"/>
        <w:rPr>
          <w:b/>
          <w:b/>
          <w:sz w:val="12"/>
          <w:szCs w:val="12"/>
          <w:lang w:val="uk-UA"/>
        </w:rPr>
      </w:pPr>
      <w:r>
        <w:rPr>
          <w:b/>
          <w:sz w:val="12"/>
          <w:szCs w:val="12"/>
          <w:lang w:val="uk-UA"/>
        </w:rPr>
      </w:r>
    </w:p>
    <w:p>
      <w:pPr>
        <w:pStyle w:val="Normal"/>
        <w:ind w:left="142" w:hanging="0"/>
        <w:rPr>
          <w:b/>
          <w:b/>
          <w:sz w:val="28"/>
          <w:lang w:val="uk-UA"/>
        </w:rPr>
      </w:pPr>
      <w:r>
        <w:rPr>
          <w:lang w:val="uk-UA"/>
        </w:rPr>
        <w:t>Осіюк 773 150</w:t>
      </w:r>
    </w:p>
    <w:p>
      <w:pPr>
        <w:pStyle w:val="Normal"/>
        <w:jc w:val="both"/>
        <w:rPr>
          <w:lang w:val="uk-UA"/>
        </w:rPr>
      </w:pPr>
      <w:r>
        <w:rPr/>
      </w:r>
    </w:p>
    <w:sectPr>
      <w:headerReference w:type="default" r:id="rId3"/>
      <w:footerReference w:type="default" r:id="rId4"/>
      <w:type w:val="nextPage"/>
      <w:pgSz w:orient="landscape" w:w="16838" w:h="11906"/>
      <w:pgMar w:left="851" w:right="851" w:header="709" w:top="1560" w:footer="290" w:bottom="851" w:gutter="0"/>
      <w:pgNumType w:start="10"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8"/>
      <w:tabs>
        <w:tab w:val="center" w:pos="4677" w:leader="none"/>
        <w:tab w:val="center" w:pos="7568" w:leader="none"/>
        <w:tab w:val="left" w:pos="8148" w:leader="none"/>
        <w:tab w:val="right" w:pos="9355" w:leader="none"/>
      </w:tabs>
      <w:rPr/>
    </w:pPr>
    <w:r>
      <w:rPr/>
      <w:tab/>
      <w:tab/>
    </w:r>
  </w:p>
  <w:p>
    <w:pPr>
      <w:pStyle w:val="Style28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589934015"/>
    </w:sdtPr>
    <w:sdtContent>
      <w:p>
        <w:pPr>
          <w:pStyle w:val="Style27"/>
          <w:jc w:val="center"/>
          <w:rPr/>
        </w:pPr>
        <w:r>
          <w:rPr>
            <w:sz w:val="28"/>
          </w:rPr>
          <w:fldChar w:fldCharType="begin"/>
        </w:r>
        <w:r>
          <w:rPr>
            <w:sz w:val="28"/>
          </w:rPr>
          <w:instrText> PAGE </w:instrText>
        </w:r>
        <w:r>
          <w:rPr>
            <w:sz w:val="28"/>
          </w:rPr>
          <w:fldChar w:fldCharType="separate"/>
        </w:r>
        <w:r>
          <w:rPr>
            <w:sz w:val="28"/>
          </w:rPr>
          <w:t>3</w:t>
        </w:r>
        <w:r>
          <w:rPr>
            <w:sz w:val="28"/>
          </w:rPr>
          <w:fldChar w:fldCharType="end"/>
        </w:r>
      </w:p>
      <w:p>
        <w:pPr>
          <w:pStyle w:val="Style27"/>
          <w:rPr/>
        </w:pPr>
        <w:r>
          <w:rPr/>
        </w:r>
      </w:p>
    </w:sdtContent>
  </w:sdt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1212210751"/>
    </w:sdtPr>
    <w:sdtContent>
      <w:p>
        <w:pPr>
          <w:pStyle w:val="Style27"/>
          <w:jc w:val="center"/>
          <w:rPr/>
        </w:pPr>
        <w:r>
          <w:rPr>
            <w:sz w:val="28"/>
          </w:rPr>
          <w:fldChar w:fldCharType="begin"/>
        </w:r>
        <w:r>
          <w:rPr>
            <w:sz w:val="28"/>
          </w:rPr>
          <w:instrText> PAGE </w:instrText>
        </w:r>
        <w:r>
          <w:rPr>
            <w:sz w:val="28"/>
          </w:rPr>
          <w:fldChar w:fldCharType="separate"/>
        </w:r>
        <w:r>
          <w:rPr>
            <w:sz w:val="28"/>
          </w:rPr>
          <w:t>12</w:t>
        </w:r>
        <w:r>
          <w:rPr>
            <w:sz w:val="28"/>
          </w:rPr>
          <w:fldChar w:fldCharType="end"/>
        </w:r>
      </w:p>
      <w:p>
        <w:pPr>
          <w:pStyle w:val="Style27"/>
          <w:rPr/>
        </w:pPr>
        <w:r>
          <w:rPr/>
        </w:r>
      </w:p>
    </w:sdtContent>
  </w:sdt>
</w:hdr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uiPriority="0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iPriority="0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13c4d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iCs/>
      <w:color w:val="auto"/>
      <w:kern w:val="0"/>
      <w:sz w:val="24"/>
      <w:szCs w:val="28"/>
      <w:lang w:val="ru-RU" w:eastAsia="ru-RU" w:bidi="ar-SA"/>
    </w:rPr>
  </w:style>
  <w:style w:type="paragraph" w:styleId="1">
    <w:name w:val="Heading 1"/>
    <w:basedOn w:val="Normal"/>
    <w:next w:val="Normal"/>
    <w:uiPriority w:val="9"/>
    <w:qFormat/>
    <w:rsid w:val="00ca4d3c"/>
    <w:pPr>
      <w:keepNext w:val="true"/>
      <w:keepLines/>
      <w:spacing w:before="480" w:after="0"/>
      <w:outlineLvl w:val="0"/>
    </w:pPr>
    <w:rPr>
      <w:rFonts w:ascii="Cambria" w:hAnsi="Cambria" w:eastAsia="" w:cs="" w:asciiTheme="majorHAnsi" w:cstheme="majorBidi" w:eastAsiaTheme="majorEastAsia" w:hAnsiTheme="majorHAnsi"/>
      <w:b/>
      <w:bCs/>
      <w:color w:val="365F91" w:themeColor="accent1" w:themeShade="bf"/>
      <w:sz w:val="28"/>
    </w:rPr>
  </w:style>
  <w:style w:type="paragraph" w:styleId="3">
    <w:name w:val="Heading 3"/>
    <w:basedOn w:val="Normal"/>
    <w:next w:val="Normal"/>
    <w:uiPriority w:val="9"/>
    <w:semiHidden/>
    <w:unhideWhenUsed/>
    <w:qFormat/>
    <w:rsid w:val="00fd02e5"/>
    <w:pPr>
      <w:keepNext w:val="true"/>
      <w:keepLines/>
      <w:spacing w:before="200" w:after="0"/>
      <w:outlineLvl w:val="2"/>
    </w:pPr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2" w:customStyle="1">
    <w:name w:val="Верхний колонтитул Знак"/>
    <w:basedOn w:val="DefaultParagraphFont"/>
    <w:uiPriority w:val="99"/>
    <w:qFormat/>
    <w:rsid w:val="00f13c4d"/>
    <w:rPr>
      <w:rFonts w:ascii="Times New Roman" w:hAnsi="Times New Roman" w:eastAsia="Times New Roman" w:cs="Times New Roman"/>
      <w:iCs/>
      <w:sz w:val="24"/>
      <w:szCs w:val="28"/>
      <w:lang w:eastAsia="ru-RU"/>
    </w:rPr>
  </w:style>
  <w:style w:type="character" w:styleId="Style13" w:customStyle="1">
    <w:name w:val="Нижний колонтитул Знак"/>
    <w:basedOn w:val="DefaultParagraphFont"/>
    <w:uiPriority w:val="99"/>
    <w:qFormat/>
    <w:rsid w:val="00f13c4d"/>
    <w:rPr>
      <w:rFonts w:ascii="Times New Roman" w:hAnsi="Times New Roman" w:eastAsia="Times New Roman" w:cs="Times New Roman"/>
      <w:iCs/>
      <w:sz w:val="24"/>
      <w:szCs w:val="28"/>
      <w:lang w:eastAsia="ru-RU"/>
    </w:rPr>
  </w:style>
  <w:style w:type="character" w:styleId="11" w:customStyle="1">
    <w:name w:val="Заголовок 1 Знак"/>
    <w:basedOn w:val="DefaultParagraphFont"/>
    <w:uiPriority w:val="9"/>
    <w:qFormat/>
    <w:rsid w:val="00ca4d3c"/>
    <w:rPr>
      <w:rFonts w:ascii="Cambria" w:hAnsi="Cambria" w:eastAsia="" w:cs="" w:asciiTheme="majorHAnsi" w:cstheme="majorBidi" w:eastAsiaTheme="majorEastAsia" w:hAnsiTheme="majorHAnsi"/>
      <w:b/>
      <w:bCs/>
      <w:iCs/>
      <w:color w:val="365F91" w:themeColor="accent1" w:themeShade="bf"/>
      <w:sz w:val="28"/>
      <w:szCs w:val="28"/>
      <w:lang w:eastAsia="ru-RU"/>
    </w:rPr>
  </w:style>
  <w:style w:type="character" w:styleId="Style14">
    <w:name w:val="Гіперпосилання"/>
    <w:basedOn w:val="DefaultParagraphFont"/>
    <w:uiPriority w:val="99"/>
    <w:unhideWhenUsed/>
    <w:rsid w:val="00ca4d3c"/>
    <w:rPr>
      <w:color w:val="0000FF" w:themeColor="hyperlink"/>
      <w:u w:val="single"/>
    </w:rPr>
  </w:style>
  <w:style w:type="character" w:styleId="Style15" w:customStyle="1">
    <w:name w:val="Текст выноски Знак"/>
    <w:basedOn w:val="DefaultParagraphFont"/>
    <w:uiPriority w:val="99"/>
    <w:semiHidden/>
    <w:qFormat/>
    <w:rsid w:val="00ca4d3c"/>
    <w:rPr>
      <w:rFonts w:ascii="Tahoma" w:hAnsi="Tahoma" w:eastAsia="Times New Roman" w:cs="Tahoma"/>
      <w:iCs/>
      <w:sz w:val="16"/>
      <w:szCs w:val="16"/>
      <w:lang w:eastAsia="ru-RU"/>
    </w:rPr>
  </w:style>
  <w:style w:type="character" w:styleId="Style16" w:customStyle="1">
    <w:name w:val="Основной текст с отступом Знак"/>
    <w:basedOn w:val="DefaultParagraphFont"/>
    <w:qFormat/>
    <w:rsid w:val="00ca4d3c"/>
    <w:rPr>
      <w:rFonts w:ascii="Times New Roman" w:hAnsi="Times New Roman" w:eastAsia="Times New Roman" w:cs="Times New Roman"/>
      <w:sz w:val="28"/>
      <w:szCs w:val="24"/>
      <w:lang w:val="uk-UA" w:eastAsia="ru-RU"/>
    </w:rPr>
  </w:style>
  <w:style w:type="character" w:styleId="Style17" w:customStyle="1">
    <w:name w:val="Основной текст Знак"/>
    <w:basedOn w:val="DefaultParagraphFont"/>
    <w:qFormat/>
    <w:rsid w:val="00ca4d3c"/>
    <w:rPr>
      <w:rFonts w:ascii="Times New Roman" w:hAnsi="Times New Roman" w:eastAsia="Times New Roman" w:cs="Times New Roman"/>
      <w:sz w:val="28"/>
      <w:szCs w:val="24"/>
      <w:lang w:val="uk-UA" w:eastAsia="ru-RU"/>
    </w:rPr>
  </w:style>
  <w:style w:type="character" w:styleId="2" w:customStyle="1">
    <w:name w:val="Основной текст 2 Знак"/>
    <w:basedOn w:val="DefaultParagraphFont"/>
    <w:qFormat/>
    <w:rsid w:val="00ca4d3c"/>
    <w:rPr>
      <w:rFonts w:ascii="Times New Roman" w:hAnsi="Times New Roman" w:eastAsia="Times New Roman" w:cs="Times New Roman"/>
      <w:sz w:val="24"/>
      <w:szCs w:val="24"/>
      <w:lang w:val="uk-UA" w:eastAsia="ru-RU"/>
    </w:rPr>
  </w:style>
  <w:style w:type="character" w:styleId="31" w:customStyle="1">
    <w:name w:val="Заголовок 3 Знак"/>
    <w:basedOn w:val="DefaultParagraphFont"/>
    <w:uiPriority w:val="9"/>
    <w:semiHidden/>
    <w:qFormat/>
    <w:rsid w:val="00fd02e5"/>
    <w:rPr>
      <w:rFonts w:ascii="Cambria" w:hAnsi="Cambria" w:eastAsia="" w:cs="" w:asciiTheme="majorHAnsi" w:cstheme="majorBidi" w:eastAsiaTheme="majorEastAsia" w:hAnsiTheme="majorHAnsi"/>
      <w:b/>
      <w:bCs/>
      <w:iCs/>
      <w:color w:val="4F81BD" w:themeColor="accent1"/>
      <w:sz w:val="24"/>
      <w:szCs w:val="28"/>
      <w:lang w:eastAsia="ru-RU"/>
    </w:rPr>
  </w:style>
  <w:style w:type="character" w:styleId="FontStyle62" w:customStyle="1">
    <w:name w:val="Font Style62"/>
    <w:basedOn w:val="DefaultParagraphFont"/>
    <w:qFormat/>
    <w:rsid w:val="00121b32"/>
    <w:rPr>
      <w:rFonts w:ascii="Times New Roman" w:hAnsi="Times New Roman" w:cs="Times New Roman"/>
      <w:sz w:val="26"/>
      <w:szCs w:val="26"/>
    </w:rPr>
  </w:style>
  <w:style w:type="character" w:styleId="FontStyle67" w:customStyle="1">
    <w:name w:val="Font Style67"/>
    <w:basedOn w:val="DefaultParagraphFont"/>
    <w:qFormat/>
    <w:rsid w:val="00121b32"/>
    <w:rPr>
      <w:rFonts w:ascii="Times New Roman" w:hAnsi="Times New Roman" w:cs="Times New Roman"/>
      <w:b/>
      <w:bCs/>
      <w:sz w:val="26"/>
      <w:szCs w:val="26"/>
    </w:rPr>
  </w:style>
  <w:style w:type="character" w:styleId="Rvts23" w:customStyle="1">
    <w:name w:val="rvts23"/>
    <w:basedOn w:val="DefaultParagraphFont"/>
    <w:qFormat/>
    <w:rsid w:val="00740fb3"/>
    <w:rPr/>
  </w:style>
  <w:style w:type="character" w:styleId="Appleconvertedspace" w:customStyle="1">
    <w:name w:val="apple-converted-space"/>
    <w:basedOn w:val="DefaultParagraphFont"/>
    <w:qFormat/>
    <w:rsid w:val="00740fb3"/>
    <w:rPr/>
  </w:style>
  <w:style w:type="character" w:styleId="Rvts64" w:customStyle="1">
    <w:name w:val="rvts64"/>
    <w:basedOn w:val="DefaultParagraphFont"/>
    <w:qFormat/>
    <w:rsid w:val="00740fb3"/>
    <w:rPr/>
  </w:style>
  <w:style w:type="character" w:styleId="Rvts9" w:customStyle="1">
    <w:name w:val="rvts9"/>
    <w:basedOn w:val="DefaultParagraphFont"/>
    <w:qFormat/>
    <w:rsid w:val="00740fb3"/>
    <w:rPr/>
  </w:style>
  <w:style w:type="character" w:styleId="Annotationreference">
    <w:name w:val="annotation reference"/>
    <w:basedOn w:val="DefaultParagraphFont"/>
    <w:unhideWhenUsed/>
    <w:qFormat/>
    <w:rsid w:val="00163ca2"/>
    <w:rPr>
      <w:sz w:val="16"/>
      <w:szCs w:val="16"/>
    </w:rPr>
  </w:style>
  <w:style w:type="character" w:styleId="Style18" w:customStyle="1">
    <w:name w:val="Текст примечания Знак"/>
    <w:basedOn w:val="DefaultParagraphFont"/>
    <w:qFormat/>
    <w:rsid w:val="00163ca2"/>
    <w:rPr>
      <w:rFonts w:ascii="Times New Roman" w:hAnsi="Times New Roman" w:eastAsia="Times New Roman" w:cs="Times New Roman"/>
      <w:iCs/>
      <w:sz w:val="20"/>
      <w:szCs w:val="20"/>
      <w:lang w:eastAsia="ru-RU"/>
    </w:rPr>
  </w:style>
  <w:style w:type="character" w:styleId="Style19" w:customStyle="1">
    <w:name w:val="Тема примечания Знак"/>
    <w:basedOn w:val="Style18"/>
    <w:uiPriority w:val="99"/>
    <w:semiHidden/>
    <w:qFormat/>
    <w:rsid w:val="00163ca2"/>
    <w:rPr>
      <w:rFonts w:ascii="Times New Roman" w:hAnsi="Times New Roman" w:eastAsia="Times New Roman" w:cs="Times New Roman"/>
      <w:b/>
      <w:bCs/>
      <w:iCs/>
      <w:sz w:val="20"/>
      <w:szCs w:val="20"/>
      <w:lang w:eastAsia="ru-RU"/>
    </w:rPr>
  </w:style>
  <w:style w:type="character" w:styleId="Style20" w:customStyle="1">
    <w:name w:val="Подзаголовок Знак"/>
    <w:basedOn w:val="DefaultParagraphFont"/>
    <w:qFormat/>
    <w:rsid w:val="004c40f3"/>
    <w:rPr>
      <w:rFonts w:ascii="Arial" w:hAnsi="Arial" w:eastAsia="Times New Roman" w:cs="Times New Roman"/>
      <w:i/>
      <w:sz w:val="24"/>
      <w:szCs w:val="24"/>
      <w:lang w:val="uk-UA" w:eastAsia="ru-RU"/>
    </w:rPr>
  </w:style>
  <w:style w:type="paragraph" w:styleId="Style21" w:customStyle="1">
    <w:name w:val="Заголовок"/>
    <w:basedOn w:val="Normal"/>
    <w:next w:val="Style22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</w:rPr>
  </w:style>
  <w:style w:type="paragraph" w:styleId="Style22">
    <w:name w:val="Body Text"/>
    <w:basedOn w:val="Normal"/>
    <w:rsid w:val="00ca4d3c"/>
    <w:pPr>
      <w:jc w:val="both"/>
    </w:pPr>
    <w:rPr>
      <w:iCs w:val="false"/>
      <w:sz w:val="28"/>
      <w:szCs w:val="24"/>
      <w:lang w:val="uk-UA"/>
    </w:rPr>
  </w:style>
  <w:style w:type="paragraph" w:styleId="Style23">
    <w:name w:val="List"/>
    <w:basedOn w:val="Style22"/>
    <w:pPr/>
    <w:rPr>
      <w:rFonts w:cs="Arial Unicode MS"/>
    </w:rPr>
  </w:style>
  <w:style w:type="paragraph" w:styleId="Style24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5" w:customStyle="1">
    <w:name w:val="Покажчик"/>
    <w:basedOn w:val="Normal"/>
    <w:qFormat/>
    <w:pPr>
      <w:suppressLineNumbers/>
    </w:pPr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szCs w:val="24"/>
    </w:rPr>
  </w:style>
  <w:style w:type="paragraph" w:styleId="Style26">
    <w:name w:val="Верхній і нижній колонтитули"/>
    <w:basedOn w:val="Normal"/>
    <w:qFormat/>
    <w:pPr/>
    <w:rPr/>
  </w:style>
  <w:style w:type="paragraph" w:styleId="Style27">
    <w:name w:val="Header"/>
    <w:basedOn w:val="Normal"/>
    <w:uiPriority w:val="99"/>
    <w:unhideWhenUsed/>
    <w:rsid w:val="00f13c4d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8">
    <w:name w:val="Footer"/>
    <w:basedOn w:val="Normal"/>
    <w:uiPriority w:val="99"/>
    <w:unhideWhenUsed/>
    <w:rsid w:val="00f13c4d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9">
    <w:name w:val="Index Heading"/>
    <w:basedOn w:val="Style21"/>
    <w:pPr/>
    <w:rPr/>
  </w:style>
  <w:style w:type="paragraph" w:styleId="TOCHeading">
    <w:name w:val="TOC Heading"/>
    <w:basedOn w:val="1"/>
    <w:next w:val="Normal"/>
    <w:uiPriority w:val="39"/>
    <w:unhideWhenUsed/>
    <w:qFormat/>
    <w:rsid w:val="00ca4d3c"/>
    <w:pPr>
      <w:spacing w:lineRule="auto" w:line="276"/>
    </w:pPr>
    <w:rPr>
      <w:iCs w:val="false"/>
      <w:lang w:eastAsia="en-US"/>
    </w:rPr>
  </w:style>
  <w:style w:type="paragraph" w:styleId="12">
    <w:name w:val="TOC 1"/>
    <w:basedOn w:val="Normal"/>
    <w:next w:val="Normal"/>
    <w:autoRedefine/>
    <w:uiPriority w:val="39"/>
    <w:unhideWhenUsed/>
    <w:rsid w:val="00ca4d3c"/>
    <w:pPr>
      <w:spacing w:before="0" w:after="100"/>
    </w:pPr>
    <w:rPr/>
  </w:style>
  <w:style w:type="paragraph" w:styleId="BalloonText">
    <w:name w:val="Balloon Text"/>
    <w:basedOn w:val="Normal"/>
    <w:uiPriority w:val="99"/>
    <w:semiHidden/>
    <w:unhideWhenUsed/>
    <w:qFormat/>
    <w:rsid w:val="00ca4d3c"/>
    <w:pPr/>
    <w:rPr>
      <w:rFonts w:ascii="Tahoma" w:hAnsi="Tahoma" w:cs="Tahoma"/>
      <w:sz w:val="16"/>
      <w:szCs w:val="16"/>
    </w:rPr>
  </w:style>
  <w:style w:type="paragraph" w:styleId="Style30">
    <w:name w:val="Body Text Indent"/>
    <w:basedOn w:val="Normal"/>
    <w:rsid w:val="00ca4d3c"/>
    <w:pPr>
      <w:ind w:firstLine="720"/>
      <w:jc w:val="both"/>
    </w:pPr>
    <w:rPr>
      <w:iCs w:val="false"/>
      <w:sz w:val="28"/>
      <w:szCs w:val="24"/>
      <w:lang w:val="uk-UA"/>
    </w:rPr>
  </w:style>
  <w:style w:type="paragraph" w:styleId="BodyText2">
    <w:name w:val="Body Text 2"/>
    <w:basedOn w:val="Normal"/>
    <w:qFormat/>
    <w:rsid w:val="00ca4d3c"/>
    <w:pPr>
      <w:jc w:val="center"/>
    </w:pPr>
    <w:rPr>
      <w:iCs w:val="false"/>
      <w:szCs w:val="24"/>
      <w:lang w:val="uk-UA"/>
    </w:rPr>
  </w:style>
  <w:style w:type="paragraph" w:styleId="ListParagraph">
    <w:name w:val="List Paragraph"/>
    <w:basedOn w:val="Normal"/>
    <w:uiPriority w:val="99"/>
    <w:qFormat/>
    <w:rsid w:val="008c348c"/>
    <w:pPr>
      <w:spacing w:before="0" w:after="0"/>
      <w:ind w:left="720" w:hanging="0"/>
      <w:contextualSpacing/>
    </w:pPr>
    <w:rPr/>
  </w:style>
  <w:style w:type="paragraph" w:styleId="Default" w:customStyle="1">
    <w:name w:val="Default"/>
    <w:qFormat/>
    <w:rsid w:val="00754b1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0"/>
      <w:kern w:val="0"/>
      <w:sz w:val="24"/>
      <w:szCs w:val="24"/>
      <w:lang w:val="ru-RU" w:eastAsia="en-US" w:bidi="ar-SA"/>
    </w:rPr>
  </w:style>
  <w:style w:type="paragraph" w:styleId="NormalWeb">
    <w:name w:val="Normal (Web)"/>
    <w:basedOn w:val="Normal"/>
    <w:uiPriority w:val="99"/>
    <w:qFormat/>
    <w:rsid w:val="003222e5"/>
    <w:pPr>
      <w:spacing w:beforeAutospacing="1" w:afterAutospacing="1"/>
    </w:pPr>
    <w:rPr>
      <w:iCs w:val="false"/>
      <w:szCs w:val="24"/>
    </w:rPr>
  </w:style>
  <w:style w:type="paragraph" w:styleId="Style31" w:customStyle="1">
    <w:name w:val="Style3"/>
    <w:basedOn w:val="Normal"/>
    <w:qFormat/>
    <w:rsid w:val="00121b32"/>
    <w:pPr>
      <w:widowControl w:val="false"/>
      <w:spacing w:lineRule="exact" w:line="323"/>
      <w:ind w:firstLine="710"/>
      <w:jc w:val="both"/>
    </w:pPr>
    <w:rPr>
      <w:iCs w:val="false"/>
      <w:szCs w:val="24"/>
    </w:rPr>
  </w:style>
  <w:style w:type="paragraph" w:styleId="Style281" w:customStyle="1">
    <w:name w:val="Style28"/>
    <w:basedOn w:val="Normal"/>
    <w:qFormat/>
    <w:rsid w:val="00121b32"/>
    <w:pPr>
      <w:widowControl w:val="false"/>
      <w:spacing w:lineRule="exact" w:line="326"/>
      <w:jc w:val="both"/>
    </w:pPr>
    <w:rPr>
      <w:iCs w:val="false"/>
      <w:szCs w:val="24"/>
    </w:rPr>
  </w:style>
  <w:style w:type="paragraph" w:styleId="Style301" w:customStyle="1">
    <w:name w:val="Style30"/>
    <w:basedOn w:val="Normal"/>
    <w:qFormat/>
    <w:rsid w:val="00121b32"/>
    <w:pPr>
      <w:widowControl w:val="false"/>
      <w:spacing w:lineRule="exact" w:line="322"/>
      <w:ind w:firstLine="360"/>
      <w:jc w:val="both"/>
    </w:pPr>
    <w:rPr>
      <w:iCs w:val="false"/>
      <w:szCs w:val="24"/>
    </w:rPr>
  </w:style>
  <w:style w:type="paragraph" w:styleId="Style311" w:customStyle="1">
    <w:name w:val="Style31"/>
    <w:basedOn w:val="Normal"/>
    <w:qFormat/>
    <w:rsid w:val="00121b32"/>
    <w:pPr>
      <w:widowControl w:val="false"/>
      <w:spacing w:lineRule="exact" w:line="331"/>
      <w:ind w:hanging="384"/>
      <w:jc w:val="both"/>
    </w:pPr>
    <w:rPr>
      <w:iCs w:val="false"/>
      <w:szCs w:val="24"/>
    </w:rPr>
  </w:style>
  <w:style w:type="paragraph" w:styleId="Rvps17" w:customStyle="1">
    <w:name w:val="rvps17"/>
    <w:basedOn w:val="Normal"/>
    <w:qFormat/>
    <w:rsid w:val="00740fb3"/>
    <w:pPr>
      <w:spacing w:beforeAutospacing="1" w:afterAutospacing="1"/>
    </w:pPr>
    <w:rPr>
      <w:iCs w:val="false"/>
      <w:szCs w:val="24"/>
    </w:rPr>
  </w:style>
  <w:style w:type="paragraph" w:styleId="Rvps3" w:customStyle="1">
    <w:name w:val="rvps3"/>
    <w:basedOn w:val="Normal"/>
    <w:qFormat/>
    <w:rsid w:val="00740fb3"/>
    <w:pPr>
      <w:spacing w:beforeAutospacing="1" w:afterAutospacing="1"/>
    </w:pPr>
    <w:rPr>
      <w:iCs w:val="false"/>
      <w:szCs w:val="24"/>
    </w:rPr>
  </w:style>
  <w:style w:type="paragraph" w:styleId="Rvps6" w:customStyle="1">
    <w:name w:val="rvps6"/>
    <w:basedOn w:val="Normal"/>
    <w:qFormat/>
    <w:rsid w:val="00740fb3"/>
    <w:pPr>
      <w:spacing w:beforeAutospacing="1" w:afterAutospacing="1"/>
    </w:pPr>
    <w:rPr>
      <w:iCs w:val="false"/>
      <w:szCs w:val="24"/>
    </w:rPr>
  </w:style>
  <w:style w:type="paragraph" w:styleId="Annotationtext">
    <w:name w:val="annotation text"/>
    <w:basedOn w:val="Normal"/>
    <w:unhideWhenUsed/>
    <w:qFormat/>
    <w:rsid w:val="00163ca2"/>
    <w:pPr/>
    <w:rPr>
      <w:sz w:val="20"/>
      <w:szCs w:val="20"/>
    </w:rPr>
  </w:style>
  <w:style w:type="paragraph" w:styleId="Annotationsubject">
    <w:name w:val="annotation subject"/>
    <w:basedOn w:val="Annotationtext"/>
    <w:next w:val="Annotationtext"/>
    <w:uiPriority w:val="99"/>
    <w:semiHidden/>
    <w:unhideWhenUsed/>
    <w:qFormat/>
    <w:rsid w:val="00163ca2"/>
    <w:pPr/>
    <w:rPr>
      <w:b/>
      <w:bCs/>
    </w:rPr>
  </w:style>
  <w:style w:type="paragraph" w:styleId="Rvps2" w:customStyle="1">
    <w:name w:val="rvps2"/>
    <w:basedOn w:val="Normal"/>
    <w:qFormat/>
    <w:rsid w:val="00215d69"/>
    <w:pPr>
      <w:spacing w:beforeAutospacing="1" w:afterAutospacing="1"/>
    </w:pPr>
    <w:rPr>
      <w:iCs w:val="false"/>
      <w:szCs w:val="24"/>
      <w:lang w:val="uk-UA" w:eastAsia="uk-UA"/>
    </w:rPr>
  </w:style>
  <w:style w:type="paragraph" w:styleId="Style32">
    <w:name w:val="Subtitle"/>
    <w:basedOn w:val="Normal"/>
    <w:qFormat/>
    <w:rsid w:val="004c40f3"/>
    <w:pPr>
      <w:spacing w:before="0" w:after="60"/>
      <w:jc w:val="center"/>
    </w:pPr>
    <w:rPr>
      <w:rFonts w:ascii="Arial" w:hAnsi="Arial"/>
      <w:i/>
      <w:iCs w:val="false"/>
      <w:szCs w:val="24"/>
      <w:lang w:val="uk-UA"/>
    </w:rPr>
  </w:style>
  <w:style w:type="paragraph" w:styleId="Docdata" w:customStyle="1">
    <w:name w:val="docdata"/>
    <w:basedOn w:val="Normal"/>
    <w:qFormat/>
    <w:rsid w:val="00304e6f"/>
    <w:pPr>
      <w:spacing w:beforeAutospacing="1" w:afterAutospacing="1"/>
    </w:pPr>
    <w:rPr>
      <w:iCs w:val="false"/>
      <w:szCs w:val="24"/>
    </w:rPr>
  </w:style>
  <w:style w:type="paragraph" w:styleId="Style33" w:customStyle="1">
    <w:name w:val="Обычный + полужирный"/>
    <w:basedOn w:val="Normal"/>
    <w:qFormat/>
    <w:rsid w:val="00fc6d6b"/>
    <w:pPr>
      <w:spacing w:lineRule="atLeast" w:line="240"/>
    </w:pPr>
    <w:rPr>
      <w:rFonts w:ascii="Arial" w:hAnsi="Arial" w:cs="Tahoma"/>
      <w:iCs w:val="false"/>
      <w:spacing w:val="4"/>
      <w:sz w:val="16"/>
      <w:szCs w:val="16"/>
      <w:lang w:val="en-GB" w:eastAsia="de-DE"/>
    </w:rPr>
  </w:style>
  <w:style w:type="paragraph" w:styleId="Style34">
    <w:name w:val="Вміст таблиці"/>
    <w:basedOn w:val="Normal"/>
    <w:qFormat/>
    <w:pPr>
      <w:widowControl w:val="false"/>
      <w:suppressLineNumbers/>
    </w:pPr>
    <w:rPr/>
  </w:style>
  <w:style w:type="paragraph" w:styleId="Style35">
    <w:name w:val="Заголовок таблиці"/>
    <w:basedOn w:val="Style34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c">
    <w:name w:val="Table Grid"/>
    <w:basedOn w:val="a1"/>
    <w:rsid w:val="008718af"/>
    <w:rPr>
      <w:lang w:eastAsia="ru-RU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oter" Target="foot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241112-92A4-4277-9C3F-6F68CA3D01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Application>LibreOffice/7.1.4.2$Windows_X86_64 LibreOffice_project/a529a4fab45b75fefc5b6226684193eb000654f6</Application>
  <AppVersion>15.0000</AppVersion>
  <Pages>5</Pages>
  <Words>841</Words>
  <Characters>5574</Characters>
  <CharactersWithSpaces>6268</CharactersWithSpaces>
  <Paragraphs>215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2021-01-25T13:07:00Z</dcterms:created>
  <dc:creator>DNA7 X64</dc:creator>
  <dc:description/>
  <dc:language>uk-UA</dc:language>
  <cp:lastModifiedBy/>
  <dcterms:modified xsi:type="dcterms:W3CDTF">2024-09-09T12:32:43Z</dcterms:modified>
  <cp:revision>82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