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t xml:space="preserve"> </w:t>
      </w: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64937927"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rPr>
      </w:pPr>
      <w:r>
        <w:rPr>
          <w:sz w:val="10"/>
          <w:szCs w:val="10"/>
        </w:rPr>
      </w:r>
    </w:p>
    <w:p>
      <w:pPr>
        <w:pStyle w:val="Normal"/>
        <w:widowControl w:val="false"/>
        <w:jc w:val="center"/>
        <w:rPr>
          <w:b/>
          <w:bCs/>
          <w:sz w:val="16"/>
          <w:szCs w:val="16"/>
        </w:rPr>
      </w:pPr>
      <w:r>
        <w:rPr>
          <w:b/>
          <w:bCs/>
          <w:sz w:val="16"/>
          <w:szCs w:val="16"/>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28"/>
          <w:szCs w:val="28"/>
        </w:rPr>
      </w:pPr>
      <w:r>
        <w:rPr>
          <w:b/>
          <w:bCs/>
          <w:sz w:val="28"/>
          <w:szCs w:val="28"/>
        </w:rPr>
      </w:r>
    </w:p>
    <w:p>
      <w:pPr>
        <w:pStyle w:val="Normal"/>
        <w:widowControl w:val="false"/>
        <w:tabs>
          <w:tab w:val="clear" w:pos="709"/>
          <w:tab w:val="left" w:pos="4687" w:leader="none"/>
        </w:tabs>
        <w:jc w:val="both"/>
        <w:rPr/>
      </w:pPr>
      <w:r>
        <w:rPr/>
        <w:t xml:space="preserve">________________                                        </w:t>
      </w:r>
      <w:r>
        <w:rPr>
          <w:rFonts w:cs="Times New Roman" w:ascii="Times New Roman" w:hAnsi="Times New Roman"/>
        </w:rPr>
        <w:t xml:space="preserve">Луцьк </w:t>
      </w:r>
      <w:r>
        <w:rPr/>
        <w:t xml:space="preserve">                                        №______________</w:t>
      </w:r>
    </w:p>
    <w:p>
      <w:pPr>
        <w:pStyle w:val="Normal"/>
        <w:widowControl w:val="false"/>
        <w:tabs>
          <w:tab w:val="clear" w:pos="709"/>
          <w:tab w:val="left" w:pos="4687" w:leader="none"/>
        </w:tabs>
        <w:jc w:val="both"/>
        <w:rPr>
          <w:sz w:val="12"/>
          <w:szCs w:val="12"/>
        </w:rPr>
      </w:pPr>
      <w:r>
        <w:rPr>
          <w:sz w:val="12"/>
          <w:szCs w:val="12"/>
        </w:rPr>
      </w:r>
    </w:p>
    <w:p>
      <w:pPr>
        <w:pStyle w:val="Normal"/>
        <w:tabs>
          <w:tab w:val="clear" w:pos="709"/>
          <w:tab w:val="left" w:pos="4310" w:leader="none"/>
          <w:tab w:val="left" w:pos="4370" w:leader="none"/>
          <w:tab w:val="left" w:pos="6010" w:leader="none"/>
        </w:tabs>
        <w:jc w:val="both"/>
        <w:rPr>
          <w:sz w:val="28"/>
          <w:szCs w:val="28"/>
        </w:rPr>
      </w:pPr>
      <w:r>
        <w:rPr>
          <w:rFonts w:cs="Times New Roman" w:ascii="Times New Roman" w:hAnsi="Times New Roman"/>
          <w:sz w:val="28"/>
          <w:szCs w:val="28"/>
        </w:rPr>
        <w:t xml:space="preserve">Про припинення  </w:t>
      </w:r>
      <w:r>
        <w:rPr>
          <w:rFonts w:eastAsia="Times New Roman" w:cs="Times New Roman" w:ascii="Times New Roman" w:hAnsi="Times New Roman"/>
          <w:color w:val="000000"/>
          <w:spacing w:val="-6"/>
          <w:kern w:val="0"/>
          <w:sz w:val="28"/>
          <w:szCs w:val="28"/>
          <w:lang w:val="uk-UA" w:eastAsia="zh-CN" w:bidi="ar-SA"/>
        </w:rPr>
        <w:t>МИЛУШІВСЬКОМУ</w:t>
      </w:r>
    </w:p>
    <w:p>
      <w:pPr>
        <w:pStyle w:val="Normal"/>
        <w:tabs>
          <w:tab w:val="clear" w:pos="709"/>
          <w:tab w:val="left" w:pos="4310" w:leader="none"/>
          <w:tab w:val="left" w:pos="4370" w:leader="none"/>
          <w:tab w:val="left" w:pos="6010" w:leader="none"/>
        </w:tabs>
        <w:jc w:val="both"/>
        <w:rPr/>
      </w:pPr>
      <w:r>
        <w:rPr>
          <w:rFonts w:eastAsia="Times New Roman" w:cs="Times New Roman" w:ascii="Times New Roman" w:hAnsi="Times New Roman"/>
          <w:color w:val="000000"/>
          <w:spacing w:val="-6"/>
          <w:kern w:val="0"/>
          <w:sz w:val="28"/>
          <w:szCs w:val="28"/>
          <w:lang w:val="uk-UA" w:eastAsia="zh-CN" w:bidi="ar-SA"/>
        </w:rPr>
        <w:t>СПОЖИВЧОМУ  ТОВАРИСТВУ</w:t>
      </w:r>
      <w:r>
        <w:rPr>
          <w:rFonts w:eastAsia="SimSun;宋体" w:cs="Times New Roman" w:ascii="Times New Roman" w:hAnsi="Times New Roman"/>
          <w:color w:val="000000"/>
          <w:spacing w:val="-2"/>
          <w:kern w:val="2"/>
          <w:sz w:val="28"/>
          <w:szCs w:val="28"/>
          <w:lang w:val="uk-UA" w:eastAsia="zh-CN" w:bidi="hi-IN"/>
        </w:rPr>
        <w:t xml:space="preserve"> </w:t>
      </w:r>
      <w:r>
        <w:rPr>
          <w:rFonts w:cs="Times New Roman" w:ascii="Times New Roman" w:hAnsi="Times New Roman"/>
          <w:sz w:val="28"/>
          <w:szCs w:val="28"/>
        </w:rPr>
        <w:t>права</w:t>
      </w:r>
    </w:p>
    <w:p>
      <w:pPr>
        <w:pStyle w:val="Normal"/>
        <w:tabs>
          <w:tab w:val="clear" w:pos="709"/>
          <w:tab w:val="left" w:pos="4310" w:leader="none"/>
          <w:tab w:val="left" w:pos="4370" w:leader="none"/>
          <w:tab w:val="left" w:pos="4483" w:leader="none"/>
        </w:tabs>
        <w:jc w:val="both"/>
        <w:rPr/>
      </w:pPr>
      <w:r>
        <w:rPr>
          <w:rFonts w:cs="Times New Roman" w:ascii="Times New Roman" w:hAnsi="Times New Roman"/>
          <w:sz w:val="28"/>
          <w:szCs w:val="28"/>
        </w:rPr>
        <w:t>постійного   користування   земельною</w:t>
      </w:r>
    </w:p>
    <w:p>
      <w:pPr>
        <w:pStyle w:val="Normal"/>
        <w:tabs>
          <w:tab w:val="clear" w:pos="709"/>
          <w:tab w:val="left" w:pos="4310" w:leader="none"/>
          <w:tab w:val="left" w:pos="4370" w:leader="none"/>
          <w:tab w:val="left" w:pos="4483" w:leader="none"/>
        </w:tabs>
        <w:jc w:val="both"/>
        <w:rPr/>
      </w:pPr>
      <w:r>
        <w:rPr>
          <w:rFonts w:cs="Times New Roman" w:ascii="Times New Roman" w:hAnsi="Times New Roman"/>
          <w:sz w:val="28"/>
          <w:szCs w:val="28"/>
        </w:rPr>
        <w:t>ділянкою у с.</w:t>
      </w:r>
      <w:r>
        <w:rPr>
          <w:rFonts w:eastAsia="Times New Roman" w:cs="Times New Roman" w:ascii="Times New Roman" w:hAnsi="Times New Roman"/>
          <w:b w:val="false"/>
          <w:bCs/>
          <w:color w:val="auto"/>
          <w:spacing w:val="-8"/>
          <w:sz w:val="28"/>
          <w:szCs w:val="28"/>
          <w:u w:val="none"/>
          <w:lang w:val="uk-UA" w:eastAsia="zh-CN" w:bidi="ar-SA"/>
        </w:rPr>
        <w:t> Милуші</w:t>
      </w:r>
      <w:r>
        <w:rPr>
          <w:rFonts w:eastAsia="Times New Roman" w:cs="Times New Roman" w:ascii="Times New Roman" w:hAnsi="Times New Roman"/>
          <w:b w:val="false"/>
          <w:bCs/>
          <w:color w:val="000000"/>
          <w:spacing w:val="-4"/>
          <w:sz w:val="28"/>
          <w:szCs w:val="28"/>
          <w:u w:val="none"/>
          <w:lang w:val="uk-UA" w:eastAsia="zh-CN" w:bidi="ar-SA"/>
        </w:rPr>
        <w:t xml:space="preserve">  Луцького району</w:t>
      </w:r>
    </w:p>
    <w:p>
      <w:pPr>
        <w:pStyle w:val="Normal"/>
        <w:tabs>
          <w:tab w:val="clear" w:pos="709"/>
          <w:tab w:val="left" w:pos="4310" w:leader="none"/>
          <w:tab w:val="left" w:pos="4370" w:leader="none"/>
          <w:tab w:val="left" w:pos="6010" w:leader="none"/>
        </w:tabs>
        <w:jc w:val="both"/>
        <w:rPr/>
      </w:pPr>
      <w:r>
        <w:rPr>
          <w:rFonts w:eastAsia="SimSun;宋体" w:cs="Times New Roman" w:ascii="Times New Roman" w:hAnsi="Times New Roman"/>
          <w:color w:val="auto"/>
          <w:kern w:val="2"/>
          <w:sz w:val="28"/>
          <w:szCs w:val="28"/>
          <w:lang w:val="uk-UA" w:eastAsia="zh-CN" w:bidi="hi-IN"/>
        </w:rPr>
        <w:t>Волинської області</w:t>
      </w:r>
    </w:p>
    <w:p>
      <w:pPr>
        <w:pStyle w:val="Normal"/>
        <w:ind w:firstLine="73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rPr>
        <w:t xml:space="preserve">Розглянувши заяву </w:t>
      </w:r>
      <w:r>
        <w:rPr>
          <w:rFonts w:cs="Times New Roman" w:ascii="Times New Roman" w:hAnsi="Times New Roman"/>
          <w:color w:val="000000"/>
          <w:spacing w:val="-2"/>
          <w:sz w:val="28"/>
          <w:szCs w:val="28"/>
          <w:lang w:val="uk-UA"/>
        </w:rPr>
        <w:t>МИЛУШІВСЬКОГО СПОЖИВЧОГО ТОВАРИСТВА</w:t>
      </w:r>
      <w:r>
        <w:rPr>
          <w:rFonts w:eastAsia="SimSun;宋体" w:cs="Times New Roman" w:ascii="Times New Roman" w:hAnsi="Times New Roman"/>
          <w:color w:val="000000"/>
          <w:spacing w:val="-2"/>
          <w:kern w:val="2"/>
          <w:sz w:val="28"/>
          <w:szCs w:val="28"/>
          <w:lang w:val="uk-UA" w:eastAsia="zh-CN" w:bidi="hi-IN"/>
        </w:rPr>
        <w:t xml:space="preserve"> </w:t>
      </w:r>
      <w:r>
        <w:rPr>
          <w:rFonts w:cs="Times New Roman" w:ascii="Times New Roman" w:hAnsi="Times New Roman"/>
          <w:color w:val="000000"/>
          <w:sz w:val="28"/>
          <w:szCs w:val="28"/>
        </w:rPr>
        <w:t>про припинення права постійного користування земельною ділянкою</w:t>
      </w:r>
      <w:r>
        <w:rPr>
          <w:rFonts w:cs="Times New Roman" w:ascii="Times New Roman" w:hAnsi="Times New Roman"/>
          <w:color w:val="000000"/>
          <w:spacing w:val="-2"/>
          <w:sz w:val="28"/>
          <w:szCs w:val="28"/>
        </w:rPr>
        <w:t xml:space="preserve"> комунальної власності площею 0,7141 га з кадастровим номером </w:t>
      </w:r>
      <w:r>
        <w:rPr>
          <w:rFonts w:eastAsia="Times New Roman" w:cs="Times New Roman" w:ascii="Times New Roman" w:hAnsi="Times New Roman"/>
          <w:color w:val="auto"/>
          <w:spacing w:val="-2"/>
          <w:kern w:val="0"/>
          <w:sz w:val="28"/>
          <w:szCs w:val="28"/>
          <w:lang w:val="uk-UA" w:eastAsia="zh-CN" w:bidi="ar-SA"/>
        </w:rPr>
        <w:t>0722883700</w:t>
      </w:r>
      <w:r>
        <w:rPr>
          <w:rFonts w:cs="Times New Roman" w:ascii="Times New Roman" w:hAnsi="Times New Roman"/>
          <w:color w:val="000000"/>
          <w:spacing w:val="-2"/>
          <w:sz w:val="28"/>
          <w:szCs w:val="28"/>
        </w:rPr>
        <w:t>:</w:t>
      </w:r>
      <w:r>
        <w:rPr>
          <w:rFonts w:eastAsia="Times New Roman" w:cs="Times New Roman" w:ascii="Times New Roman" w:hAnsi="Times New Roman"/>
          <w:color w:val="auto"/>
          <w:spacing w:val="-2"/>
          <w:kern w:val="0"/>
          <w:sz w:val="28"/>
          <w:szCs w:val="28"/>
          <w:lang w:val="uk-UA" w:eastAsia="zh-CN" w:bidi="ar-SA"/>
        </w:rPr>
        <w:t>05</w:t>
      </w:r>
      <w:r>
        <w:rPr>
          <w:rFonts w:cs="Times New Roman" w:ascii="Times New Roman" w:hAnsi="Times New Roman"/>
          <w:color w:val="000000"/>
          <w:spacing w:val="-2"/>
          <w:sz w:val="28"/>
          <w:szCs w:val="28"/>
        </w:rPr>
        <w:t xml:space="preserve">:001:4884 </w:t>
      </w:r>
      <w:r>
        <w:rPr>
          <w:rFonts w:eastAsia="SimSun;宋体" w:cs="Times New Roman" w:ascii="Times New Roman" w:hAnsi="Times New Roman"/>
          <w:color w:val="auto"/>
          <w:spacing w:val="-2"/>
          <w:kern w:val="2"/>
          <w:sz w:val="28"/>
          <w:szCs w:val="28"/>
          <w:lang w:val="uk-UA" w:eastAsia="zh-CN" w:bidi="hi-IN"/>
        </w:rPr>
        <w:t>у с. Милуші Луцького району Волинської області</w:t>
      </w:r>
      <w:r>
        <w:rPr>
          <w:rFonts w:cs="Times New Roman" w:ascii="Times New Roman" w:hAnsi="Times New Roman"/>
          <w:color w:val="000000"/>
          <w:sz w:val="28"/>
          <w:szCs w:val="28"/>
        </w:rPr>
        <w:t>, в</w:t>
      </w:r>
      <w:r>
        <w:rPr>
          <w:rFonts w:eastAsia="SimSun;宋体" w:cs="Times New Roman" w:ascii="Times New Roman" w:hAnsi="Times New Roman"/>
          <w:color w:val="000000"/>
          <w:sz w:val="28"/>
          <w:szCs w:val="28"/>
          <w:lang w:val="uk-UA"/>
        </w:rPr>
        <w:t xml:space="preserve"> зв’язку з передачею майна до статутного капіталу ТОВАРИСТВА З ОБМЕЖЕНОЮ ВІДПОВІДАЛЬНІСТЮ «ЛУЧЕСЬК-ТОРГ»</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постанови правління МИЛУШІВСЬКОГО СПОЖИВЧОГО ТОВАРИСТВА від 31.03.2023 № 7 «Про передачу майна ТОВАРИСТВУ З ОБМЕЖЕНОЮ ВІДПОВІДАЛЬНІСТЮ ,,ЛУЧЕСЬК-ТОРГˮ» та від 12.07.2024 № 19 «Про припинення користування земельною ділянкою», державний акт на право постійного користування землею серії ІІ-ВЛ № 000017, зареєстрований в Книзі записів державних актів на право постійного користування землею від 09.10.2000 за № 10, витяг з Державного реєстру речових прав на нерухоме майно про реєстрацію іншого речового права від 24.12.2021, номер запису про інше речове право: 46271536, в</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итяг з Державного земельного кадастру про земельну ділянку від 06.09.2024 № НВ-6300633072024,</w:t>
      </w:r>
      <w:r>
        <w:rPr>
          <w:rFonts w:eastAsia="SimSun;宋体" w:cs="Times New Roman" w:ascii="Times New Roman" w:hAnsi="Times New Roman"/>
          <w:b w:val="false"/>
          <w:bCs w:val="false"/>
          <w:color w:val="000000"/>
          <w:spacing w:val="-2"/>
          <w:kern w:val="2"/>
          <w:sz w:val="24"/>
          <w:szCs w:val="24"/>
          <w:u w:val="none"/>
          <w:shd w:fill="FFFFFF" w:val="clear"/>
          <w:lang w:val="uk-UA" w:eastAsia="zh-CN" w:bidi="hi-IN"/>
        </w:rPr>
        <w:t xml:space="preserve"> </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враховуючи акти приймання-передачі майна до статутного капіталу ТОВАРИСТВА З ОБМЕЖЕНОЮ ВІДПОВІДАЛЬНІСТЮ «ЛУЧЕСЬК-ТОРГ» від 06.04.2023               № 1, № 2, № 3, № 4, витяги з Державного реєстру речових прав на нерухоме майно про реєстрацію права власності від 06.04.2023, номери відомостей про речове право: 49884246, 49884361, 49884616, 49884467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відповідно до яких, право власності на обʼєкти нерухомого майна (</w:t>
      </w:r>
      <w:r>
        <w:rPr>
          <w:rFonts w:eastAsia="SimSun;宋体" w:cs="Times New Roman" w:ascii="Times New Roman" w:hAnsi="Times New Roman"/>
          <w:b w:val="false"/>
          <w:bCs w:val="false"/>
          <w:color w:val="000000"/>
          <w:spacing w:val="-2"/>
          <w:kern w:val="2"/>
          <w:sz w:val="28"/>
          <w:szCs w:val="28"/>
          <w:highlight w:val="white"/>
          <w:u w:val="none"/>
          <w:shd w:fill="FFFFFF" w:val="clear"/>
          <w:lang w:val="uk-UA" w:eastAsia="zh-CN" w:bidi="hi-IN"/>
        </w:rPr>
        <w:t>будівля магазину «Продовольчі товари», будівля контори споживчого товариства, будівля магазину «Господарчі товари», будівля ковбасного цеху)</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 розташовані на земельній ділянці, належить </w:t>
      </w:r>
      <w:r>
        <w:rPr>
          <w:rFonts w:eastAsia="SimSun;宋体" w:cs="Times New Roman" w:ascii="Times New Roman" w:hAnsi="Times New Roman"/>
          <w:b w:val="false"/>
          <w:bCs w:val="false"/>
          <w:color w:val="000000"/>
          <w:spacing w:val="-2"/>
          <w:kern w:val="2"/>
          <w:sz w:val="28"/>
          <w:szCs w:val="28"/>
          <w:highlight w:val="white"/>
          <w:u w:val="none"/>
          <w:shd w:fill="FFFFFF" w:val="clear"/>
          <w:lang w:val="uk-UA" w:eastAsia="zh-CN" w:bidi="hi-IN"/>
        </w:rPr>
        <w:t>ТОВАРИСТВУ З ОБМЕЖЕНОЮ ВІДПОВІДАЛЬНІСТЮ «ЛУЧЕСЬК-ТОРГ»,</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 технічні паспорти на обʼєкти нерухомого майна: будівля магазину «Продовольчі товари», будівля контори споживчого товариства, будівля магазину «Господарчі товари», будівля ковбасного цеху, постанова правління МИЛУШІВСЬКОГО СПОЖИВЧОГО ТОВАРИСТВА від 10.07.2024 № 18 «Про передачу майна ТОВАРИСТВУ З ОБМЕЖЕНОЮ ВІДПОВІДАЛЬНІСТЮ «ЛУЧЕСЬК-ТОРГ», акти приймання-передачі між МИЛУШІВСЬКИМ СПОЖИВЧИМ ТОВАРИСТВОМ та ТОВАРИСТВОМ З ОБМЕЖЕНОЮ ВІДПОВІДАЛЬНІСТЮ «ЛУЧЕСЬК-ТОРГ» від 10.07.20</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24              № 1,</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 № 2, № 3, № 4, № 5, № 6, № 7, № 8, № 9</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протокол № 2 Загальних зборів учасників</w:t>
      </w:r>
      <w:r>
        <w:rPr>
          <w:rFonts w:eastAsia="SimSun;宋体" w:cs="Times New Roman" w:ascii="Times New Roman" w:hAnsi="Times New Roman"/>
          <w:b/>
          <w:bCs/>
          <w:color w:val="000000"/>
          <w:spacing w:val="-6"/>
          <w:kern w:val="2"/>
          <w:sz w:val="28"/>
          <w:szCs w:val="28"/>
          <w:highlight w:val="white"/>
          <w:u w:val="none"/>
          <w:shd w:fill="FFFFFF" w:val="clear"/>
          <w:lang w:val="uk-UA" w:eastAsia="zh-CN" w:bidi="hi-IN"/>
        </w:rPr>
        <w:t xml:space="preserve"> </w:t>
      </w:r>
      <w:r>
        <w:rPr>
          <w:rFonts w:eastAsia="SimSun;宋体" w:cs="Times New Roman" w:ascii="Times New Roman" w:hAnsi="Times New Roman"/>
          <w:b w:val="false"/>
          <w:bCs w:val="false"/>
          <w:color w:val="000000"/>
          <w:spacing w:val="-2"/>
          <w:kern w:val="2"/>
          <w:sz w:val="28"/>
          <w:szCs w:val="28"/>
          <w:highlight w:val="white"/>
          <w:u w:val="none"/>
          <w:shd w:fill="FFFFFF" w:val="clear"/>
          <w:lang w:val="uk-UA" w:eastAsia="zh-CN" w:bidi="hi-IN"/>
        </w:rPr>
        <w:t>ТОВАРИСТВА</w:t>
      </w:r>
      <w:r>
        <w:rPr>
          <w:rFonts w:eastAsia="SimSun;宋体" w:cs="Times New Roman" w:ascii="Times New Roman" w:hAnsi="Times New Roman"/>
          <w:b/>
          <w:bCs/>
          <w:color w:val="000000"/>
          <w:spacing w:val="-6"/>
          <w:kern w:val="2"/>
          <w:sz w:val="28"/>
          <w:szCs w:val="28"/>
          <w:highlight w:val="white"/>
          <w:u w:val="none"/>
          <w:shd w:fill="FFFFFF" w:val="clear"/>
          <w:lang w:val="uk-UA" w:eastAsia="zh-CN" w:bidi="hi-IN"/>
        </w:rPr>
        <w:t xml:space="preserve"> </w:t>
      </w:r>
      <w:r>
        <w:rPr>
          <w:rFonts w:eastAsia="SimSun;宋体" w:cs="Times New Roman" w:ascii="Times New Roman" w:hAnsi="Times New Roman"/>
          <w:b w:val="false"/>
          <w:bCs w:val="false"/>
          <w:color w:val="000000"/>
          <w:spacing w:val="-2"/>
          <w:kern w:val="2"/>
          <w:sz w:val="28"/>
          <w:szCs w:val="28"/>
          <w:highlight w:val="white"/>
          <w:u w:val="none"/>
          <w:shd w:fill="FFFFFF" w:val="clear"/>
          <w:lang w:val="uk-UA" w:eastAsia="zh-CN" w:bidi="hi-IN"/>
        </w:rPr>
        <w:t>З ОБМЕЖЕНОЮ ВІДПОВІДАЛЬНІСТЮ «ЛУЧЕСЬК-ТОРГ» від 31</w:t>
      </w:r>
      <w:r>
        <w:rPr>
          <w:rFonts w:eastAsia="SimSun;宋体" w:cs="Times New Roman" w:ascii="Times New Roman" w:hAnsi="Times New Roman"/>
          <w:b w:val="false"/>
          <w:bCs w:val="false"/>
          <w:color w:val="000000"/>
          <w:spacing w:val="-2"/>
          <w:kern w:val="2"/>
          <w:sz w:val="28"/>
          <w:szCs w:val="28"/>
          <w:highlight w:val="white"/>
          <w:u w:val="none"/>
          <w:shd w:fill="FFFFFF" w:val="clear"/>
          <w:lang w:val="uk-UA" w:eastAsia="zh-CN" w:bidi="hi-IN"/>
        </w:rPr>
        <w:t>.</w:t>
      </w:r>
      <w:r>
        <w:rPr>
          <w:rFonts w:eastAsia="SimSun;宋体" w:cs="Times New Roman" w:ascii="Times New Roman" w:hAnsi="Times New Roman"/>
          <w:b w:val="false"/>
          <w:bCs w:val="false"/>
          <w:color w:val="000000"/>
          <w:spacing w:val="-2"/>
          <w:kern w:val="2"/>
          <w:sz w:val="28"/>
          <w:szCs w:val="28"/>
          <w:highlight w:val="white"/>
          <w:u w:val="none"/>
          <w:shd w:fill="FFFFFF" w:val="clear"/>
          <w:lang w:val="uk-UA" w:eastAsia="zh-CN" w:bidi="hi-IN"/>
        </w:rPr>
        <w:t xml:space="preserve">03.2023,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інформацію Головного управління Державної податкової служби у Волинській області щодо відсутності заборгованості зі сплати земельного податку від 28.08.2024                                            № 13416/6/03-20-04-08-06, керуючись статтями 12, 92, 96, 122, 125, 141, 142 Перехідних положень Земельного кодексу України, Законом України «Про Державний земельний кадастр», Законом України «Про державну реєстрацію речових прав на нерухоме майно та їх обтяжень», Законом України «Про внесення змін до деяких законодавчих актів України щодо розмежування земель державної та комунальної власності», постановами Кабінету Міністрів України від 17.10.2012 № 1051 «Про затвердження Порядку ведення Державного земельного кадастру» та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статтею 26 та пунктом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uk-UA" w:bidi="hi-IN"/>
        </w:rPr>
        <w:t>6</w:t>
      </w:r>
      <w:r>
        <w:rPr>
          <w:rFonts w:eastAsia="SimSun;宋体" w:cs="Times New Roman" w:ascii="Times New Roman" w:hAnsi="Times New Roman"/>
          <w:b w:val="false"/>
          <w:bCs w:val="false"/>
          <w:color w:val="000000"/>
          <w:spacing w:val="-6"/>
          <w:kern w:val="2"/>
          <w:sz w:val="28"/>
          <w:szCs w:val="28"/>
          <w:highlight w:val="white"/>
          <w:u w:val="none"/>
          <w:shd w:fill="FFFFFF" w:val="clear"/>
          <w:vertAlign w:val="superscript"/>
          <w:lang w:val="uk-UA" w:eastAsia="uk-UA" w:bidi="hi-IN"/>
        </w:rPr>
        <w:t>-1</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 розділу V</w:t>
      </w:r>
      <w:r>
        <w:rPr>
          <w:rFonts w:eastAsia="SimSun;宋体" w:cs="Times New Roman" w:ascii="Times New Roman" w:hAnsi="Times New Roman"/>
          <w:b w:val="false"/>
          <w:bCs w:val="false"/>
          <w:color w:val="000000"/>
          <w:spacing w:val="-6"/>
          <w:kern w:val="2"/>
          <w:sz w:val="28"/>
          <w:szCs w:val="28"/>
          <w:highlight w:val="white"/>
          <w:u w:val="none"/>
          <w:shd w:fill="FFFFFF" w:val="clear"/>
          <w:lang w:val="en-US" w:eastAsia="zh-CN" w:bidi="hi-IN"/>
        </w:rPr>
        <w:t xml:space="preserve">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Прикінцевих та перехідних положень Закону України «Про місцеве самоврядування в Україні», міська рада </w:t>
      </w:r>
    </w:p>
    <w:p>
      <w:pPr>
        <w:pStyle w:val="Normal"/>
        <w:ind w:firstLine="737" w:left="0" w:right="0"/>
        <w:jc w:val="both"/>
        <w:rPr>
          <w:rFonts w:ascii="Times New Roman" w:hAnsi="Times New Roman" w:eastAsia="SimSun;宋体" w:cs="Times New Roman"/>
          <w:b w:val="false"/>
          <w:bCs w:val="false"/>
          <w:color w:val="000000"/>
          <w:spacing w:val="-6"/>
          <w:kern w:val="2"/>
          <w:sz w:val="28"/>
          <w:szCs w:val="28"/>
          <w:highlight w:val="white"/>
          <w:u w:val="none"/>
          <w:shd w:fill="FFFFFF" w:val="clear"/>
          <w:lang w:val="uk-UA" w:eastAsia="zh-CN" w:bidi="hi-IN"/>
        </w:rPr>
      </w:pP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r>
    </w:p>
    <w:p>
      <w:pPr>
        <w:pStyle w:val="Normal"/>
        <w:ind w:hanging="0" w:left="0" w:right="0"/>
        <w:jc w:val="both"/>
        <w:rPr/>
      </w:pPr>
      <w:r>
        <w:rPr>
          <w:rFonts w:cs="Times New Roman" w:ascii="Times New Roman" w:hAnsi="Times New Roman"/>
          <w:sz w:val="28"/>
          <w:szCs w:val="28"/>
        </w:rPr>
        <w:t>ВИРІШИЛА:</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rPr>
        <w:t xml:space="preserve">1. Припинити </w:t>
      </w:r>
      <w:r>
        <w:rPr>
          <w:rFonts w:eastAsia="SimSun;宋体" w:cs="Times New Roman" w:ascii="Times New Roman" w:hAnsi="Times New Roman"/>
          <w:color w:val="000000"/>
          <w:spacing w:val="-2"/>
          <w:kern w:val="2"/>
          <w:sz w:val="28"/>
          <w:szCs w:val="28"/>
          <w:lang w:val="uk-UA" w:eastAsia="zh-CN" w:bidi="hi-IN"/>
        </w:rPr>
        <w:t>МИЛУШІВСЬКОМУ СПОЖИВЧОМУ ТОВАРИСТВУ</w:t>
      </w:r>
      <w:r>
        <w:rPr>
          <w:rFonts w:cs="Times New Roman" w:ascii="Times New Roman" w:hAnsi="Times New Roman"/>
          <w:sz w:val="28"/>
          <w:szCs w:val="28"/>
        </w:rPr>
        <w:t xml:space="preserve"> право постійного користування земельною ділянкою площею </w:t>
      </w:r>
      <w:r>
        <w:rPr>
          <w:rFonts w:cs="Times New Roman" w:ascii="Times New Roman" w:hAnsi="Times New Roman"/>
          <w:color w:val="000000"/>
          <w:spacing w:val="-2"/>
          <w:sz w:val="28"/>
          <w:szCs w:val="28"/>
        </w:rPr>
        <w:t>0,7141</w:t>
      </w:r>
      <w:r>
        <w:rPr>
          <w:rFonts w:cs="Times New Roman" w:ascii="Times New Roman" w:hAnsi="Times New Roman"/>
          <w:sz w:val="28"/>
          <w:szCs w:val="28"/>
        </w:rPr>
        <w:t xml:space="preserve"> га з кадастровим номером </w:t>
      </w:r>
      <w:r>
        <w:rPr>
          <w:rFonts w:eastAsia="Times New Roman" w:cs="Times New Roman" w:ascii="Times New Roman" w:hAnsi="Times New Roman"/>
          <w:color w:val="auto"/>
          <w:spacing w:val="-2"/>
          <w:kern w:val="0"/>
          <w:sz w:val="28"/>
          <w:szCs w:val="28"/>
          <w:lang w:val="uk-UA" w:eastAsia="zh-CN" w:bidi="ar-SA"/>
        </w:rPr>
        <w:t>0722883700</w:t>
      </w:r>
      <w:r>
        <w:rPr>
          <w:rFonts w:cs="Times New Roman" w:ascii="Times New Roman" w:hAnsi="Times New Roman"/>
          <w:color w:val="000000"/>
          <w:spacing w:val="-2"/>
          <w:sz w:val="28"/>
          <w:szCs w:val="28"/>
          <w:lang w:val="uk-UA"/>
        </w:rPr>
        <w:t>:</w:t>
      </w:r>
      <w:r>
        <w:rPr>
          <w:rFonts w:eastAsia="Times New Roman" w:cs="Times New Roman" w:ascii="Times New Roman" w:hAnsi="Times New Roman"/>
          <w:color w:val="auto"/>
          <w:spacing w:val="-2"/>
          <w:kern w:val="0"/>
          <w:sz w:val="28"/>
          <w:szCs w:val="28"/>
          <w:lang w:val="uk-UA" w:eastAsia="zh-CN" w:bidi="ar-SA"/>
        </w:rPr>
        <w:t>05</w:t>
      </w:r>
      <w:r>
        <w:rPr>
          <w:rFonts w:cs="Times New Roman" w:ascii="Times New Roman" w:hAnsi="Times New Roman"/>
          <w:color w:val="000000"/>
          <w:spacing w:val="-2"/>
          <w:sz w:val="28"/>
          <w:szCs w:val="28"/>
          <w:lang w:val="uk-UA"/>
        </w:rPr>
        <w:t>:001:4884</w:t>
      </w:r>
      <w:r>
        <w:rPr>
          <w:rFonts w:cs="Times New Roman" w:ascii="Times New Roman" w:hAnsi="Times New Roman"/>
          <w:sz w:val="28"/>
          <w:szCs w:val="28"/>
        </w:rPr>
        <w:t xml:space="preserve"> </w:t>
      </w:r>
      <w:r>
        <w:rPr>
          <w:rFonts w:eastAsia="Times New Roman" w:cs="Times New Roman" w:ascii="Times New Roman" w:hAnsi="Times New Roman"/>
          <w:color w:val="000000"/>
          <w:spacing w:val="-4"/>
          <w:kern w:val="0"/>
          <w:sz w:val="28"/>
          <w:szCs w:val="28"/>
          <w:lang w:val="uk-UA" w:eastAsia="zh-CN" w:bidi="ar-SA"/>
        </w:rPr>
        <w:t xml:space="preserve">для будівництва та обслуговування будівель торгівлі (03.07) </w:t>
      </w:r>
      <w:r>
        <w:rPr>
          <w:rFonts w:eastAsia="SimSun;宋体" w:cs="Times New Roman" w:ascii="Times New Roman" w:hAnsi="Times New Roman"/>
          <w:color w:val="auto"/>
          <w:spacing w:val="-2"/>
          <w:kern w:val="2"/>
          <w:sz w:val="28"/>
          <w:szCs w:val="28"/>
          <w:lang w:val="uk-UA" w:eastAsia="zh-CN" w:bidi="hi-IN"/>
        </w:rPr>
        <w:t>у с. Милуші Луцького району Волинської області</w:t>
      </w:r>
      <w:r>
        <w:rPr>
          <w:rFonts w:cs="Times New Roman" w:ascii="Times New Roman" w:hAnsi="Times New Roman"/>
          <w:sz w:val="28"/>
          <w:szCs w:val="28"/>
        </w:rPr>
        <w:t xml:space="preserve">, </w:t>
      </w:r>
      <w:r>
        <w:rPr>
          <w:rFonts w:eastAsia="SimSun;宋体" w:cs="Times New Roman" w:ascii="Times New Roman" w:hAnsi="Times New Roman"/>
          <w:color w:val="000000"/>
          <w:sz w:val="28"/>
          <w:szCs w:val="28"/>
          <w:lang w:val="uk-UA"/>
        </w:rPr>
        <w:t>в зв’язку з передачею майна до статутного капіталу ТОВАРИСТВА З ОБМЕЖЕНОЮ ВІДПОВІДАЛЬНІСТЮ «ЛУЧЕСЬК-ТОРГ»,</w:t>
      </w:r>
      <w:r>
        <w:rPr>
          <w:rFonts w:cs="Times New Roman" w:ascii="Times New Roman" w:hAnsi="Times New Roman"/>
          <w:sz w:val="28"/>
          <w:szCs w:val="28"/>
        </w:rPr>
        <w:t xml:space="preserve"> </w:t>
      </w:r>
      <w:r>
        <w:rPr>
          <w:rFonts w:eastAsia="SimSun;宋体" w:cs="Times New Roman" w:ascii="Times New Roman" w:hAnsi="Times New Roman"/>
          <w:color w:val="000000"/>
          <w:sz w:val="28"/>
          <w:szCs w:val="28"/>
          <w:lang w:val="uk-UA"/>
        </w:rPr>
        <w:t>згідно з додатком</w:t>
      </w:r>
      <w:r>
        <w:rPr>
          <w:rFonts w:eastAsia="SimSun;宋体" w:cs="Times New Roman" w:ascii="Times New Roman" w:hAnsi="Times New Roman"/>
          <w:color w:val="000000"/>
          <w:sz w:val="28"/>
          <w:szCs w:val="28"/>
          <w:u w:val="none"/>
          <w:lang w:val="uk-UA"/>
        </w:rPr>
        <w:t>.</w:t>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lang w:val="uk-UA"/>
        </w:rPr>
        <w:t>2. </w:t>
      </w:r>
      <w:r>
        <w:rPr>
          <w:rFonts w:eastAsia="SimSun;宋体" w:cs="Times New Roman" w:ascii="Times New Roman" w:hAnsi="Times New Roman"/>
          <w:color w:val="000000"/>
          <w:spacing w:val="-2"/>
          <w:kern w:val="2"/>
          <w:sz w:val="28"/>
          <w:szCs w:val="28"/>
          <w:lang w:val="uk-UA" w:eastAsia="zh-CN" w:bidi="hi-IN"/>
        </w:rPr>
        <w:t>МИЛУШІВСЬКОМУ СПОЖИВЧОМУ ТОВАРИСТВУ</w:t>
      </w:r>
      <w:r>
        <w:rPr>
          <w:rFonts w:eastAsia="SimSun;宋体" w:cs="Times New Roman" w:ascii="Times New Roman" w:hAnsi="Times New Roman"/>
          <w:bCs/>
          <w:color w:val="000000"/>
          <w:spacing w:val="-2"/>
          <w:kern w:val="2"/>
          <w:sz w:val="28"/>
          <w:szCs w:val="28"/>
          <w:lang w:val="uk-UA" w:eastAsia="zh-CN" w:bidi="hi-IN"/>
        </w:rPr>
        <w:t xml:space="preserve"> </w:t>
      </w:r>
      <w:r>
        <w:rPr>
          <w:rFonts w:cs="Times New Roman" w:ascii="Times New Roman" w:hAnsi="Times New Roman"/>
          <w:sz w:val="28"/>
          <w:szCs w:val="28"/>
          <w:lang w:val="uk-UA"/>
        </w:rPr>
        <w:t>зареєструвати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rPr>
        <w:t>3. </w:t>
      </w:r>
      <w:r>
        <w:rPr>
          <w:rFonts w:cs="Times New Roman" w:ascii="Times New Roman" w:hAnsi="Times New Roman"/>
          <w:spacing w:val="-4"/>
          <w:sz w:val="28"/>
          <w:szCs w:val="28"/>
        </w:rPr>
        <w:t xml:space="preserve">Контроль за виконанням рішення покласти на заступника міського голови </w:t>
      </w:r>
      <w:r>
        <w:rPr>
          <w:rFonts w:eastAsia="Times New Roman" w:cs="Times New Roman" w:ascii="Times New Roman" w:hAnsi="Times New Roman"/>
          <w:color w:val="auto"/>
          <w:spacing w:val="-4"/>
          <w:kern w:val="0"/>
          <w:sz w:val="28"/>
          <w:szCs w:val="28"/>
          <w:lang w:val="uk-UA" w:eastAsia="zh-CN" w:bidi="ar-SA"/>
        </w:rPr>
        <w:t>Ірину Чебелюк</w:t>
      </w:r>
      <w:r>
        <w:rPr>
          <w:rFonts w:cs="Times New Roman" w:ascii="Times New Roman" w:hAnsi="Times New Roman"/>
          <w:spacing w:val="-4"/>
          <w:sz w:val="28"/>
          <w:szCs w:val="28"/>
        </w:rPr>
        <w:t xml:space="preserve"> та постійну комісію міської ради з питань земельних відносин та земельного кадастру.</w:t>
      </w:r>
    </w:p>
    <w:p>
      <w:pPr>
        <w:pStyle w:val="Normal"/>
        <w:ind w:firstLine="680" w:left="0" w:right="0"/>
        <w:jc w:val="both"/>
        <w:rPr>
          <w:sz w:val="28"/>
          <w:szCs w:val="28"/>
        </w:rPr>
      </w:pPr>
      <w:r>
        <w:rPr>
          <w:sz w:val="28"/>
          <w:szCs w:val="28"/>
        </w:rPr>
      </w:r>
    </w:p>
    <w:p>
      <w:pPr>
        <w:pStyle w:val="Normal"/>
        <w:ind w:firstLine="680" w:left="0" w:right="0"/>
        <w:jc w:val="both"/>
        <w:rPr>
          <w:sz w:val="28"/>
          <w:szCs w:val="28"/>
        </w:rPr>
      </w:pPr>
      <w:r>
        <w:rPr>
          <w:sz w:val="28"/>
          <w:szCs w:val="28"/>
        </w:rPr>
      </w:r>
    </w:p>
    <w:p>
      <w:pPr>
        <w:pStyle w:val="Normal"/>
        <w:tabs>
          <w:tab w:val="clear" w:pos="709"/>
          <w:tab w:val="left" w:pos="5387"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tabs>
          <w:tab w:val="clear" w:pos="709"/>
          <w:tab w:val="left" w:pos="3220" w:leader="none"/>
        </w:tabs>
        <w:ind w:hanging="0" w:right="-319"/>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tabs>
          <w:tab w:val="clear" w:pos="709"/>
          <w:tab w:val="left" w:pos="3220" w:leader="none"/>
        </w:tabs>
        <w:suppressAutoHyphens w:val="true"/>
        <w:bidi w:val="0"/>
        <w:ind w:hanging="0" w:right="-319"/>
        <w:jc w:val="both"/>
        <w:rPr>
          <w:sz w:val="24"/>
          <w:szCs w:val="24"/>
        </w:rPr>
      </w:pPr>
      <w:r>
        <w:rPr>
          <w:rFonts w:cs="Times New Roman" w:ascii="Times New Roman" w:hAnsi="Times New Roman"/>
          <w:sz w:val="24"/>
          <w:szCs w:val="24"/>
          <w:lang w:val="uk-UA"/>
        </w:rPr>
        <w:t>Туз 777 863</w:t>
      </w:r>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Times New Roman" w:hAnsi="Liberation Serif;Times New Roman" w:eastAsia="SimSun;宋体" w:cs="Arial"/>
      <w:color w:val="auto"/>
      <w:kern w:val="2"/>
      <w:sz w:val="24"/>
      <w:szCs w:val="24"/>
      <w:lang w:val="uk-UA" w:eastAsia="zh-CN" w:bidi="hi-IN"/>
    </w:rPr>
  </w:style>
  <w:style w:type="paragraph" w:styleId="Heading1">
    <w:name w:val="Heading 1"/>
    <w:basedOn w:val="Normal"/>
    <w:next w:val="Normal"/>
    <w:qFormat/>
    <w:pPr>
      <w:keepNext w:val="true"/>
      <w:numPr>
        <w:ilvl w:val="0"/>
        <w:numId w:val="1"/>
      </w:numPr>
      <w:jc w:val="center"/>
      <w:outlineLvl w:val="0"/>
    </w:pPr>
    <w:rPr>
      <w:rFonts w:ascii="Times New Roman" w:hAnsi="Times New Roman" w:eastAsia="Times New Roman" w:cs="Times New Roman"/>
      <w:b/>
      <w:bCs/>
      <w:kern w:val="2"/>
      <w:sz w:val="32"/>
      <w:lang w:bidi="ar-SA"/>
    </w:rPr>
  </w:style>
  <w:style w:type="paragraph" w:styleId="Heading2">
    <w:name w:val="Heading 2"/>
    <w:basedOn w:val="Normal"/>
    <w:next w:val="Normal"/>
    <w:qFormat/>
    <w:pPr>
      <w:keepNext w:val="true"/>
      <w:numPr>
        <w:ilvl w:val="1"/>
        <w:numId w:val="1"/>
      </w:numPr>
      <w:jc w:val="center"/>
      <w:outlineLvl w:val="1"/>
    </w:pPr>
    <w:rPr>
      <w:rFonts w:ascii="Times New Roman" w:hAnsi="Times New Roman" w:eastAsia="Times New Roman" w:cs="Times New Roman"/>
      <w:b/>
      <w:bCs/>
      <w:kern w:val="2"/>
      <w:sz w:val="36"/>
      <w:lang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paragraph" w:styleId="Style13">
    <w:name w:val="Заголовок"/>
    <w:basedOn w:val="Normal"/>
    <w:next w:val="BodyText"/>
    <w:qFormat/>
    <w:pPr>
      <w:keepNext w:val="true"/>
      <w:spacing w:before="240" w:after="120"/>
    </w:pPr>
    <w:rPr>
      <w:rFonts w:ascii="Liberation Sans;Arial" w:hAnsi="Liberation Sans;Arial"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Arial"/>
      <w:i/>
      <w:iCs/>
      <w:sz w:val="24"/>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1954</TotalTime>
  <Application>LibreOffice/7.6.4.1$Windows_X86_64 LibreOffice_project/e19e193f88cd6c0525a17fb7a176ed8e6a3e2aa1</Application>
  <AppVersion>15.0000</AppVersion>
  <Pages>2</Pages>
  <Words>575</Words>
  <Characters>3937</Characters>
  <CharactersWithSpaces>4735</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2019-01-18T14:45:00Z</dcterms:created>
  <dc:creator>olyas</dc:creator>
  <dc:description/>
  <dc:language>uk-UA</dc:language>
  <cp:lastModifiedBy/>
  <cp:lastPrinted>2024-09-09T10:04:59Z</cp:lastPrinted>
  <dcterms:modified xsi:type="dcterms:W3CDTF">2024-09-09T12:45:12Z</dcterms:modified>
  <cp:revision>243</cp:revision>
  <dc:subject/>
  <dc:title>mvk</dc:title>
</cp:coreProperties>
</file>

<file path=docProps/custom.xml><?xml version="1.0" encoding="utf-8"?>
<Properties xmlns="http://schemas.openxmlformats.org/officeDocument/2006/custom-properties" xmlns:vt="http://schemas.openxmlformats.org/officeDocument/2006/docPropsVTypes"/>
</file>