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7"/>
          <w:szCs w:val="27"/>
        </w:rPr>
      </w:pPr>
      <w:r>
        <w:rPr>
          <w:b/>
          <w:bCs w:val="false"/>
          <w:sz w:val="27"/>
          <w:szCs w:val="27"/>
        </w:rPr>
        <w:t>Пояснювальна записка</w:t>
      </w:r>
    </w:p>
    <w:p>
      <w:pPr>
        <w:pStyle w:val="Normal"/>
        <w:jc w:val="center"/>
        <w:rPr>
          <w:sz w:val="27"/>
          <w:szCs w:val="27"/>
        </w:rPr>
      </w:pPr>
      <w:r>
        <w:rPr>
          <w:b/>
          <w:sz w:val="27"/>
          <w:szCs w:val="27"/>
        </w:rPr>
        <w:t xml:space="preserve">до проєкту рішення міської ради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«Про затвердження Плану заходів з реалізації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>Стратегії розвитку Луцької міської територіальної громади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>до 2030 року на 2024-2027 роки»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hd w:val="clear" w:color="auto" w:fill="FFFFFF"/>
        <w:ind w:firstLine="567"/>
        <w:jc w:val="both"/>
        <w:rPr>
          <w:sz w:val="27"/>
          <w:szCs w:val="27"/>
        </w:rPr>
      </w:pPr>
      <w:r>
        <w:rPr>
          <w:b/>
          <w:sz w:val="27"/>
          <w:szCs w:val="27"/>
        </w:rPr>
        <w:t>1. Потреба і мета прийняття рішення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В межах проєкту Ради Європи «Зміцнення стійкості демократичних процесів через громадську участь під час війни та в післявоєнний період», що впроваджується Офісом Ради Європи в Україні в рамках ухваленого Плану дій для України «Стійкість, відновлення і відбудова» на 2023-2026 роки було розроблено та затверджено Стратегію розвитку Луцької міської територіальної громади (рішення міської ради від 31.07.2024 № 61/128 «Про затвердження Стратегії розвитку Луцької міської територіальної громади до 2030 року»). Згідно Методичних рекомендацій щодо порядку розроблення, затвердження, реалізації стратегій розвитку територіальних громад (</w:t>
      </w:r>
      <w:r>
        <w:rPr>
          <w:color w:val="000000"/>
          <w:sz w:val="27"/>
          <w:szCs w:val="27"/>
        </w:rPr>
        <w:t xml:space="preserve">наказ Міністерства розвитку громад та територій України від 21.12.2022 № 265), </w:t>
      </w:r>
      <w:r>
        <w:rPr>
          <w:sz w:val="27"/>
          <w:szCs w:val="27"/>
        </w:rPr>
        <w:t>проєкт Плану заходів на перші три роки подається на затвердження відповідній міській раді не пізніше, ніж через 3 місяці після затвердження Стратегії.</w:t>
      </w:r>
    </w:p>
    <w:p>
      <w:pPr>
        <w:pStyle w:val="Style18"/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Питання оцінки впровадження/реалізації вказаних заходів належить виключно до повноважень моніторингової групи (затверджена розпорядженням міського голови від 05.09.2024 № 677), яка є відповідальною за оцінку актуальності та реалістичності стратегічних і оперативних цілей та їх досягнення. Оцінювання результатів реалізації Плану заходів є необхідним етапом для отримання інформації щодо досягнення очікуваних результатів, їх впливу на стан соціально-економічного розвитку територіальної громади та інформації щодо сталості змін з метою прийняття в подальшому необхідних управлінських рішень та коригувань.</w:t>
      </w:r>
    </w:p>
    <w:p>
      <w:pPr>
        <w:pStyle w:val="Style18"/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shd w:val="clear" w:color="auto" w:fill="FFFFFF"/>
        <w:ind w:firstLine="567"/>
        <w:jc w:val="both"/>
        <w:rPr>
          <w:sz w:val="27"/>
          <w:szCs w:val="27"/>
        </w:rPr>
      </w:pPr>
      <w:r>
        <w:rPr>
          <w:b/>
          <w:sz w:val="27"/>
          <w:szCs w:val="27"/>
        </w:rPr>
        <w:t>2. Прогнозовані суспільні, економічні, фінансові та юридичні наслідки прийняття рішення.</w:t>
      </w:r>
    </w:p>
    <w:p>
      <w:pPr>
        <w:pStyle w:val="Normal"/>
        <w:shd w:val="clear" w:color="auto" w:fill="FFFFFF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Стратегія Луцької міської територіальної громади до 2030 року є документом, який поєднує в собі уявлення та бачення жителів громади про майбутнє міста Луцьк та приєднаних населених пунктів, відображає проведений аналіз та адміністративні рішення органів представницької та виконавчої місцевої влади, а також дає пропозиції на виклики, які постали перед громадою щодо соціально-економічного розвитку під час воєнних дій, та бачення держави щодо регіонального розвитку.</w:t>
      </w:r>
    </w:p>
    <w:p>
      <w:pPr>
        <w:pStyle w:val="Normal"/>
        <w:widowControl w:val="false"/>
        <w:shd w:val="clear" w:color="auto" w:fill="FFFFFF"/>
        <w:ind w:firstLine="567"/>
        <w:jc w:val="both"/>
        <w:rPr>
          <w:sz w:val="27"/>
          <w:szCs w:val="27"/>
        </w:rPr>
      </w:pPr>
      <w:r>
        <w:rPr>
          <w:bCs w:val="false"/>
          <w:color w:val="000000"/>
          <w:sz w:val="27"/>
          <w:szCs w:val="27"/>
        </w:rPr>
        <w:t>Завдання та заходи, визначені Планом заходів, будуть реалізовані шляхом тісної співпраці Луцької міської ради, її виконавчого комітету, підприємств, установ та організацій усіх форм власності.</w:t>
      </w:r>
    </w:p>
    <w:p>
      <w:pPr>
        <w:pStyle w:val="Style18"/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Style18"/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Style18"/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>Директор департаменту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>економічної політики</w:t>
        <w:tab/>
        <w:tab/>
        <w:tab/>
        <w:tab/>
        <w:tab/>
        <w:tab/>
        <w:tab/>
        <w:tab/>
        <w:t>Борис СМАЛЬ</w:t>
      </w:r>
    </w:p>
    <w:p>
      <w:pPr>
        <w:pStyle w:val="Normal"/>
        <w:jc w:val="both"/>
        <w:rPr>
          <w:szCs w:val="28"/>
        </w:rPr>
      </w:pPr>
      <w:r>
        <w:rPr/>
      </w:r>
    </w:p>
    <w:sectPr>
      <w:type w:val="nextPage"/>
      <w:pgSz w:w="11906" w:h="16838"/>
      <w:pgMar w:left="1560" w:right="707" w:gutter="0" w:header="0" w:top="851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Microsoft Sans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eastAsia="zh-CN" w:val="uk-UA" w:bidi="ar-SA"/>
    </w:rPr>
  </w:style>
  <w:style w:type="paragraph" w:styleId="2">
    <w:name w:val="Heading 2"/>
    <w:basedOn w:val="Normal"/>
    <w:next w:val="Style18"/>
    <w:link w:val="Heading2Char"/>
    <w:uiPriority w:val="99"/>
    <w:qFormat/>
    <w:pPr>
      <w:numPr>
        <w:ilvl w:val="1"/>
        <w:numId w:val="1"/>
      </w:numPr>
      <w:spacing w:before="280" w:after="280"/>
      <w:outlineLvl w:val="1"/>
    </w:pPr>
    <w:rPr>
      <w:rFonts w:ascii="Cambria" w:hAnsi="Cambria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/>
      <w:b/>
      <w:i/>
      <w:sz w:val="28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rFonts w:ascii="Symbol" w:hAnsi="Symbol"/>
    </w:rPr>
  </w:style>
  <w:style w:type="character" w:styleId="WW8Num2z1" w:customStyle="1">
    <w:name w:val="WW8Num2z1"/>
    <w:uiPriority w:val="99"/>
    <w:qFormat/>
    <w:rPr>
      <w:rFonts w:ascii="Courier New" w:hAnsi="Courier New"/>
    </w:rPr>
  </w:style>
  <w:style w:type="character" w:styleId="WW8Num2z2" w:customStyle="1">
    <w:name w:val="WW8Num2z2"/>
    <w:uiPriority w:val="99"/>
    <w:qFormat/>
    <w:rPr>
      <w:rFonts w:ascii="Wingdings" w:hAnsi="Wingdings"/>
    </w:rPr>
  </w:style>
  <w:style w:type="character" w:styleId="WW8Num2z3" w:customStyle="1">
    <w:name w:val="WW8Num2z3"/>
    <w:uiPriority w:val="99"/>
    <w:qFormat/>
    <w:rPr>
      <w:rFonts w:ascii="Symbol" w:hAnsi="Symbol"/>
    </w:rPr>
  </w:style>
  <w:style w:type="character" w:styleId="Style13">
    <w:name w:val="Гіперпосилання"/>
    <w:basedOn w:val="DefaultParagraphFont"/>
    <w:uiPriority w:val="99"/>
    <w:rPr>
      <w:rFonts w:cs="Times New Roman"/>
      <w:color w:val="0000FF"/>
      <w:u w:val="single"/>
    </w:rPr>
  </w:style>
  <w:style w:type="character" w:styleId="Style14" w:customStyle="1">
    <w:name w:val="Виділення жирним"/>
    <w:uiPriority w:val="99"/>
    <w:qFormat/>
    <w:rPr>
      <w:b/>
    </w:rPr>
  </w:style>
  <w:style w:type="character" w:styleId="Fontstyle01" w:customStyle="1">
    <w:name w:val="fontstyle01"/>
    <w:uiPriority w:val="99"/>
    <w:qFormat/>
    <w:rPr>
      <w:rFonts w:ascii="Times New Roman" w:hAnsi="Times New Roman"/>
      <w:color w:val="000000"/>
      <w:sz w:val="28"/>
    </w:rPr>
  </w:style>
  <w:style w:type="character" w:styleId="Style15" w:customStyle="1">
    <w:name w:val="Основний текст Знак"/>
    <w:uiPriority w:val="99"/>
    <w:semiHidden/>
    <w:qFormat/>
    <w:rPr>
      <w:rFonts w:ascii="Times New Roman" w:hAnsi="Times New Roman"/>
      <w:sz w:val="24"/>
      <w:lang w:eastAsia="zh-CN"/>
    </w:rPr>
  </w:style>
  <w:style w:type="character" w:styleId="Style16" w:customStyle="1">
    <w:name w:val="Текст у виносці Знак"/>
    <w:uiPriority w:val="99"/>
    <w:semiHidden/>
    <w:qFormat/>
    <w:rPr>
      <w:rFonts w:ascii="Times New Roman" w:hAnsi="Times New Roman"/>
      <w:sz w:val="2"/>
      <w:lang w:eastAsia="zh-CN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29012a"/>
    <w:rPr>
      <w:rFonts w:ascii="Times New Roman" w:hAnsi="Times New Roman" w:cs="Times New Roman"/>
      <w:bCs/>
      <w:sz w:val="28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29012a"/>
    <w:rPr>
      <w:rFonts w:ascii="Times New Roman" w:hAnsi="Times New Roman" w:cs="Times New Roman"/>
      <w:bCs/>
      <w:sz w:val="0"/>
      <w:szCs w:val="0"/>
      <w:lang w:eastAsia="zh-CN"/>
    </w:rPr>
  </w:style>
  <w:style w:type="paragraph" w:styleId="Style17" w:customStyle="1">
    <w:name w:val="Заголовок"/>
    <w:basedOn w:val="Normal"/>
    <w:next w:val="Style18"/>
    <w:uiPriority w:val="99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link w:val="BodyTextChar"/>
    <w:uiPriority w:val="99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"/>
    <w:uiPriority w:val="99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Tahoma" w:hAnsi="Tahoma" w:cs="Tahoma"/>
      <w:bCs w:val="false"/>
      <w:color w:val="666666"/>
      <w:sz w:val="24"/>
      <w:lang w:val="ru-RU"/>
    </w:rPr>
  </w:style>
  <w:style w:type="paragraph" w:styleId="Style22" w:customStyle="1">
    <w:name w:val="Знак Знак Знак Знак Знак Знак Знак Знак Знак Знак Знак Знак"/>
    <w:basedOn w:val="Normal"/>
    <w:uiPriority w:val="99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cs="Tahoma" w:ascii="Liberation Serif" w:hAnsi="Liberation Serif" w:eastAsia="NSimSun"/>
      <w:color w:val="000000"/>
      <w:kern w:val="2"/>
      <w:sz w:val="24"/>
      <w:szCs w:val="24"/>
      <w:lang w:eastAsia="zh-CN" w:bidi="hi-IN" w:val="uk-UA"/>
    </w:rPr>
  </w:style>
  <w:style w:type="paragraph" w:styleId="Style23" w:customStyle="1">
    <w:name w:val="Текст у вказаному форматі"/>
    <w:basedOn w:val="Normal"/>
    <w:uiPriority w:val="99"/>
    <w:qFormat/>
    <w:pPr>
      <w:spacing w:lineRule="auto" w:line="259"/>
    </w:pPr>
    <w:rPr>
      <w:rFonts w:ascii="Liberation Mono" w:hAnsi="Liberation Mono" w:cs="Liberation Mono"/>
      <w:bCs w:val="false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pPr>
      <w:widowControl w:val="false"/>
      <w:overflowPunct w:val="true"/>
      <w:ind w:left="1360" w:hanging="0"/>
    </w:pPr>
    <w:rPr>
      <w:rFonts w:ascii="Microsoft Sans Serif" w:hAnsi="Microsoft Sans Serif" w:cs="Microsoft Sans Serif"/>
      <w:bCs w:val="false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Application>LibreOffice/7.2.3.2$Windows_X86_64 LibreOffice_project/d166454616c1632304285822f9c83ce2e660fd92</Application>
  <AppVersion>15.0000</AppVersion>
  <Pages>1</Pages>
  <Words>318</Words>
  <Characters>2180</Characters>
  <CharactersWithSpaces>2494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2024-07-09T06:14:00Z</dcterms:created>
  <dc:creator>Polishcuk</dc:creator>
  <dc:description/>
  <dc:language>uk-UA</dc:language>
  <cp:lastModifiedBy/>
  <cp:lastPrinted>1995-11-21T17:41:00Z</cp:lastPrinted>
  <dcterms:modified xsi:type="dcterms:W3CDTF">2024-10-09T17:09:04Z</dcterms:modified>
  <cp:revision>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