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3645245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зміну Луцькій 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громаді, від  імені якої  діє  Луцька  міська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рада (землекористувач громадян</w:t>
      </w:r>
      <w:r>
        <w:rPr>
          <w:sz w:val="28"/>
          <w:szCs w:val="28"/>
          <w:lang w:val="uk-UA" w:eastAsia="zh-CN" w:bidi="hi-IN"/>
        </w:rPr>
        <w:t>к</w:t>
      </w:r>
      <w:r>
        <w:rPr>
          <w:sz w:val="28"/>
          <w:szCs w:val="28"/>
          <w:lang w:val="uk-UA" w:eastAsia="ar-SA" w:bidi="hi-IN"/>
        </w:rPr>
        <w:t>а</w:t>
      </w:r>
      <w:r>
        <w:rPr>
          <w:sz w:val="28"/>
          <w:szCs w:val="28"/>
          <w:lang w:val="uk-UA" w:eastAsia="zh-CN" w:bidi="ar-SA"/>
        </w:rPr>
        <w:t xml:space="preserve"> Бондар-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чук Т.І.), цільового призначення земельної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ділянки та надання  на умовах  оренди  для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будівництва та обслуговування  жилого бу-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динку,  господарських   будівель  і  споруд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(02.01) на вул. Ковельській, 145</w:t>
      </w:r>
      <w:r>
        <w:rPr>
          <w:sz w:val="28"/>
          <w:szCs w:val="28"/>
          <w:lang w:val="uk-UA" w:eastAsia="ar-SA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громадянки Бондарчук Тетяни Ігорівни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Тетяні Ігорівні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62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-ї сесії Луцької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en-US" w:eastAsia="zh-CN" w:bidi="ar-SA"/>
        </w:rPr>
        <w:t xml:space="preserve"> VIII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скликання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28.08.2024,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120, 122, 123-126, частиною другою статті 134, 186 Земельного кодексу України, статтями 29, 50 Закону України «Про землеустрій», статтями</w:t>
        <w:br/>
        <w:t xml:space="preserve">4-7,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0,0</w:t>
      </w:r>
      <w:r>
        <w:rPr>
          <w:rFonts w:eastAsia="Segoe UI" w:cs="Tahoma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381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0710100000:31:004:0025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Тетяні Ігорівні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Тетяною Ігорівною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11_40587759871"/>
      <w:bookmarkStart w:id="1" w:name="__DdeLink__706_453342394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Бондарчук Тетяну Ігорівну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197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Application>LibreOffice/7.1.5.2$Windows_X86_64 LibreOffice_project/85f04e9f809797b8199d13c421bd8a2b025d52b5</Application>
  <AppVersion>15.0000</AppVersion>
  <Pages>3</Pages>
  <Words>687</Words>
  <Characters>4471</Characters>
  <CharactersWithSpaces>5315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2024-10-10T12:43:58Z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