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8"/>
          <w:szCs w:val="28"/>
        </w:rPr>
      </w:pPr>
      <w:r>
        <w:rPr/>
        <w:object w:dxaOrig="2812" w:dyaOrig="2989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788238118" r:id="rId2"/>
        </w:object>
      </w:r>
    </w:p>
    <w:p>
      <w:pPr>
        <w:pStyle w:val="Heading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Heading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 w:val="false"/>
          <w:sz w:val="12"/>
          <w:szCs w:val="12"/>
        </w:rPr>
      </w:pPr>
      <w:r>
        <w:rPr>
          <w:b/>
          <w:bCs w:val="false"/>
          <w:sz w:val="12"/>
          <w:szCs w:val="12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12"/>
          <w:szCs w:val="12"/>
        </w:rPr>
        <w:t xml:space="preserve">                     </w:t>
      </w:r>
    </w:p>
    <w:p>
      <w:pPr>
        <w:pStyle w:val="Normal"/>
        <w:tabs>
          <w:tab w:val="clear" w:pos="708"/>
          <w:tab w:val="left" w:pos="5040" w:leader="none"/>
          <w:tab w:val="left" w:pos="5529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 надання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Державному агентству України</w:t>
      </w:r>
    </w:p>
    <w:p>
      <w:pPr>
        <w:pStyle w:val="Normal"/>
        <w:tabs>
          <w:tab w:val="clear" w:pos="708"/>
          <w:tab w:val="left" w:pos="5040" w:leader="none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з розвитку меліорації,  рибного господарства</w:t>
      </w:r>
    </w:p>
    <w:p>
      <w:pPr>
        <w:pStyle w:val="Normal"/>
        <w:tabs>
          <w:tab w:val="clear" w:pos="708"/>
          <w:tab w:val="left" w:pos="5040" w:leader="none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та продовольчих програм </w:t>
      </w:r>
      <w:r>
        <w:rPr>
          <w:sz w:val="28"/>
          <w:szCs w:val="28"/>
        </w:rPr>
        <w:t>дозволу на розроб-</w:t>
      </w:r>
    </w:p>
    <w:p>
      <w:pPr>
        <w:pStyle w:val="Normal"/>
        <w:tabs>
          <w:tab w:val="clear" w:pos="708"/>
          <w:tab w:val="left" w:pos="5040" w:leader="none"/>
          <w:tab w:val="left" w:pos="5529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лення проєкту землеустрою щодо відведення </w:t>
      </w:r>
    </w:p>
    <w:p>
      <w:pPr>
        <w:pStyle w:val="Normal"/>
        <w:tabs>
          <w:tab w:val="clear" w:pos="708"/>
          <w:tab w:val="left" w:pos="5040" w:leader="none"/>
          <w:tab w:val="left" w:pos="5529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земельної ділянки  для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будівництва та обслу-</w:t>
      </w:r>
    </w:p>
    <w:p>
      <w:pPr>
        <w:pStyle w:val="Normal"/>
        <w:tabs>
          <w:tab w:val="clear" w:pos="708"/>
          <w:tab w:val="left" w:pos="5040" w:leader="none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говування будівель  органів державної влади</w:t>
      </w:r>
    </w:p>
    <w:p>
      <w:pPr>
        <w:pStyle w:val="Normal"/>
        <w:tabs>
          <w:tab w:val="clear" w:pos="708"/>
          <w:tab w:val="left" w:pos="5040" w:leader="none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та органів місцевого  самоврядування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(03.01)</w:t>
      </w:r>
    </w:p>
    <w:p>
      <w:pPr>
        <w:pStyle w:val="Normal"/>
        <w:tabs>
          <w:tab w:val="clear" w:pos="708"/>
          <w:tab w:val="left" w:pos="5040" w:leader="none"/>
          <w:tab w:val="left" w:pos="5529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вул. Георгія Гонгадзе, 56</w:t>
      </w:r>
      <w:r>
        <w:rPr>
          <w:sz w:val="28"/>
          <w:szCs w:val="28"/>
        </w:rPr>
        <w:t xml:space="preserve"> у м. Луцьку</w:t>
      </w:r>
    </w:p>
    <w:p>
      <w:pPr>
        <w:pStyle w:val="Normal"/>
        <w:tabs>
          <w:tab w:val="clear" w:pos="708"/>
          <w:tab w:val="left" w:pos="5040" w:leader="none"/>
          <w:tab w:val="left" w:pos="5529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5040" w:leader="none"/>
          <w:tab w:val="left" w:pos="5529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680" w:leader="none"/>
          <w:tab w:val="left" w:pos="790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Державного агентства України з розвитку меліорації, рибного господарства та продовольчих програм про надання дозволу на розроблення проєкту землеустрою щодо відведення земельної ділянки, орієнтовною площею 0,0188 га для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будівництва та обслуговування будівель органів державної влади та органів місцевого самоврядування 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(03.01)</w:t>
      </w:r>
      <w:r>
        <w:rPr>
          <w:sz w:val="28"/>
          <w:szCs w:val="28"/>
        </w:rPr>
        <w:t xml:space="preserve"> 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вул. Георгія Гонгадзе, 56</w:t>
      </w:r>
      <w:r>
        <w:rPr>
          <w:sz w:val="28"/>
          <w:szCs w:val="28"/>
        </w:rPr>
        <w:t xml:space="preserve"> у м. Луцьку, виписку з Єдиного державного реєстру юридичних осіб, фізичних осіб-підприємців та громадських формувань, п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оложення про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Державне агентство України з розвитку меліорації, рибного господарства та продовольчих програм, затверджене постановою Кабінету Міністрів України від 30.09.2015 № 895</w:t>
      </w:r>
      <w:r>
        <w:rPr>
          <w:sz w:val="28"/>
          <w:szCs w:val="28"/>
        </w:rPr>
        <w:t xml:space="preserve">,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генплан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бмеження у використанні земель,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витяг з Державного реєстру речових прав, 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згідно з яким право власності на гараж зареєстровано в Державному реєстрі речових прав на нерухоме майно 04.05.2020, номер запису про право власності: 36611529, технічний паспорт на гараж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, </w:t>
      </w:r>
      <w:r>
        <w:rPr>
          <w:sz w:val="28"/>
          <w:szCs w:val="28"/>
        </w:rPr>
        <w:t>керуючись статтями 12, 92, 95-96,  122-123, 186 Земельного кодексу України, п</w:t>
      </w:r>
      <w:r>
        <w:rPr>
          <w:sz w:val="28"/>
          <w:szCs w:val="28"/>
        </w:rPr>
        <w:t xml:space="preserve">унктом </w:t>
      </w:r>
      <w:r>
        <w:rPr>
          <w:sz w:val="28"/>
          <w:szCs w:val="28"/>
        </w:rPr>
        <w:t xml:space="preserve">6 Прикінцевих та перехідних положень Закону України </w:t>
      </w:r>
      <w:r>
        <w:rPr>
          <w:spacing w:val="-6"/>
          <w:sz w:val="28"/>
          <w:szCs w:val="28"/>
        </w:rPr>
        <w:t>«</w:t>
      </w:r>
      <w:r>
        <w:rPr>
          <w:sz w:val="28"/>
          <w:szCs w:val="28"/>
        </w:rPr>
        <w:t>Про внесення змін до деяких законодавчих актів України щодо розмежування земель державної та комунальної власності</w:t>
      </w:r>
      <w:r>
        <w:rPr>
          <w:spacing w:val="-6"/>
          <w:sz w:val="28"/>
          <w:szCs w:val="28"/>
        </w:rPr>
        <w:t>»</w:t>
      </w:r>
      <w:r>
        <w:rPr>
          <w:sz w:val="28"/>
          <w:szCs w:val="28"/>
        </w:rPr>
        <w:t>, статтями 26, 33, 59 Закону України</w:t>
      </w:r>
      <w:r>
        <w:rPr>
          <w:spacing w:val="-6"/>
          <w:sz w:val="28"/>
          <w:szCs w:val="28"/>
        </w:rPr>
        <w:t xml:space="preserve"> «</w:t>
      </w:r>
      <w:r>
        <w:rPr>
          <w:sz w:val="28"/>
          <w:szCs w:val="28"/>
        </w:rPr>
        <w:t>Про місцеве самоврядування в Україні</w:t>
      </w:r>
      <w:r>
        <w:rPr>
          <w:spacing w:val="-6"/>
          <w:sz w:val="28"/>
          <w:szCs w:val="28"/>
        </w:rPr>
        <w:t xml:space="preserve">», 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Законом України «Про регулювання містобудівної діяльності», статтями 19, 22, 25, 29, 50 Закону України «Про землеустрій»</w:t>
      </w:r>
      <w:r>
        <w:rPr>
          <w:spacing w:val="-6"/>
          <w:sz w:val="28"/>
          <w:szCs w:val="28"/>
        </w:rPr>
        <w:t xml:space="preserve"> та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Генеральним планом міста Луцька, затвердженим рішенням міської ради від 23.02.2022 № 26/49 «Про затвердження містобудівної документації проєкт “м. Луцьк. Внесення змін до генерального плану”»</w:t>
      </w:r>
      <w:r>
        <w:rPr>
          <w:spacing w:val="-6"/>
          <w:sz w:val="28"/>
          <w:szCs w:val="28"/>
          <w:u w:val="none"/>
          <w:lang w:val="uk-UA"/>
        </w:rPr>
        <w:t>,</w:t>
      </w:r>
      <w:r>
        <w:rPr>
          <w:rFonts w:cs="Times New Roman"/>
          <w:sz w:val="28"/>
          <w:szCs w:val="28"/>
          <w:u w:val="none"/>
          <w:lang w:val="uk-UA"/>
        </w:rPr>
        <w:t xml:space="preserve"> міська рада</w:t>
      </w:r>
    </w:p>
    <w:p>
      <w:pPr>
        <w:pStyle w:val="Normal"/>
        <w:ind w:hanging="0" w:left="0" w:right="-185"/>
        <w:jc w:val="center"/>
        <w:rPr>
          <w:sz w:val="40"/>
          <w:szCs w:val="40"/>
        </w:rPr>
      </w:pPr>
      <w:r>
        <w:rPr>
          <w:sz w:val="40"/>
          <w:szCs w:val="40"/>
        </w:rPr>
      </w:r>
    </w:p>
    <w:p>
      <w:pPr>
        <w:pStyle w:val="Normal"/>
        <w:ind w:hanging="0" w:left="0" w:right="-185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tabs>
          <w:tab w:val="clear" w:pos="708"/>
          <w:tab w:val="left" w:pos="740" w:leader="none"/>
        </w:tabs>
        <w:ind w:hanging="0" w:left="0" w:right="-185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/>
        <w:tabs>
          <w:tab w:val="clear" w:pos="708"/>
          <w:tab w:val="left" w:pos="740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Надати </w:t>
      </w:r>
      <w:r>
        <w:rPr>
          <w:rFonts w:eastAsia="SimSun;宋体" w:cs="Times New Roman"/>
          <w:bCs/>
          <w:color w:val="000000"/>
          <w:kern w:val="0"/>
          <w:sz w:val="28"/>
          <w:szCs w:val="28"/>
          <w:lang w:val="uk-UA" w:eastAsia="zh-CN" w:bidi="ar-SA"/>
        </w:rPr>
        <w:t>Державному агентству України з розвитку меліорації, рибного господарства та продовольчих програм</w:t>
      </w:r>
      <w:r>
        <w:rPr>
          <w:sz w:val="28"/>
          <w:szCs w:val="28"/>
        </w:rPr>
        <w:t xml:space="preserve"> дозвіл на розроблення проєкту землеустрою щодо відведення земельної ділянки 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вул. Георгія Гонгадзе, 56</w:t>
      </w:r>
      <w:r>
        <w:rPr>
          <w:sz w:val="28"/>
          <w:szCs w:val="28"/>
        </w:rPr>
        <w:t xml:space="preserve"> у м. Луцьку, орієнтовною площею 0,0188 га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для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будівництва та обслуговування будівель</w:t>
      </w:r>
      <w:r>
        <w:rPr>
          <w:rFonts w:eastAsia="Times New Roman" w:cs="Times New Roman"/>
          <w:bCs/>
          <w:color w:val="auto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органів</w:t>
      </w:r>
      <w:r>
        <w:rPr>
          <w:rFonts w:eastAsia="Times New Roman" w:cs="Times New Roman"/>
          <w:bCs/>
          <w:color w:val="auto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державної</w:t>
      </w:r>
      <w:r>
        <w:rPr>
          <w:rFonts w:eastAsia="Times New Roman" w:cs="Times New Roman"/>
          <w:bCs/>
          <w:color w:val="auto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влади</w:t>
      </w:r>
      <w:r>
        <w:rPr>
          <w:rFonts w:eastAsia="Times New Roman" w:cs="Times New Roman"/>
          <w:bCs/>
          <w:color w:val="auto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та</w:t>
      </w:r>
      <w:r>
        <w:rPr>
          <w:rFonts w:eastAsia="Times New Roman" w:cs="Times New Roman"/>
          <w:bCs/>
          <w:color w:val="auto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органів</w:t>
      </w:r>
      <w:r>
        <w:rPr>
          <w:rFonts w:eastAsia="Times New Roman" w:cs="Times New Roman"/>
          <w:bCs/>
          <w:color w:val="auto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місцевого самоврядування 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(03.01)</w:t>
      </w:r>
      <w:r>
        <w:rPr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>2. </w:t>
      </w:r>
      <w:r>
        <w:rPr>
          <w:rFonts w:eastAsia="SimSun;宋体" w:cs="Times New Roman"/>
          <w:bCs/>
          <w:color w:val="000000"/>
          <w:kern w:val="0"/>
          <w:sz w:val="28"/>
          <w:szCs w:val="28"/>
          <w:lang w:val="uk-UA" w:eastAsia="zh-CN" w:bidi="ar-SA"/>
        </w:rPr>
        <w:t>Державному агентству України з розвитку меліорації, рибного господарства та продовольчих програм</w:t>
      </w:r>
      <w:r>
        <w:rPr>
          <w:szCs w:val="28"/>
        </w:rPr>
        <w:t xml:space="preserve"> подати на затвердження розроблений проєкт землеустрою щодо відведення земельної ділянки 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вул. Георгія Гонгадзе, 56 </w:t>
      </w:r>
      <w:r>
        <w:rPr>
          <w:szCs w:val="28"/>
        </w:rPr>
        <w:t xml:space="preserve">у м. Луцьку, орієнтовною площею 0,0188 га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для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будівництва та обслуговування будівель</w:t>
      </w:r>
      <w:r>
        <w:rPr>
          <w:rFonts w:eastAsia="Times New Roman" w:cs="Times New Roman"/>
          <w:bCs/>
          <w:color w:val="auto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органів</w:t>
      </w:r>
      <w:r>
        <w:rPr>
          <w:rFonts w:eastAsia="Times New Roman" w:cs="Times New Roman"/>
          <w:bCs/>
          <w:color w:val="auto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державної</w:t>
      </w:r>
      <w:r>
        <w:rPr>
          <w:rFonts w:eastAsia="Times New Roman" w:cs="Times New Roman"/>
          <w:bCs/>
          <w:color w:val="auto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влади</w:t>
      </w:r>
      <w:r>
        <w:rPr>
          <w:rFonts w:eastAsia="Times New Roman" w:cs="Times New Roman"/>
          <w:bCs/>
          <w:color w:val="auto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та</w:t>
      </w:r>
      <w:r>
        <w:rPr>
          <w:rFonts w:eastAsia="Times New Roman" w:cs="Times New Roman"/>
          <w:bCs/>
          <w:color w:val="auto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органів</w:t>
      </w:r>
      <w:r>
        <w:rPr>
          <w:rFonts w:eastAsia="Times New Roman" w:cs="Times New Roman"/>
          <w:bCs/>
          <w:color w:val="auto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місцевого самоврядування 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(03.01)</w:t>
      </w:r>
      <w:r>
        <w:rPr>
          <w:szCs w:val="28"/>
        </w:rPr>
        <w:t>, в порядку,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Cs w:val="28"/>
        </w:rPr>
      </w:pPr>
      <w:r>
        <w:rPr>
          <w:szCs w:val="28"/>
        </w:rPr>
        <w:t>3.</w:t>
      </w:r>
      <w:r>
        <w:rPr>
          <w:spacing w:val="-4"/>
          <w:sz w:val="28"/>
          <w:szCs w:val="28"/>
          <w:lang w:val="uk-UA"/>
        </w:rPr>
        <w:t> </w:t>
      </w:r>
      <w:r>
        <w:rPr>
          <w:rFonts w:cs="Times New Roman"/>
          <w:spacing w:val="-4"/>
          <w:sz w:val="28"/>
          <w:szCs w:val="28"/>
          <w:lang w:val="uk-UA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/>
          <w:spacing w:val="-4"/>
          <w:sz w:val="28"/>
          <w:szCs w:val="28"/>
          <w:lang w:val="uk-UA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ind w:firstLine="720" w:left="0" w:right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720" w:left="0" w:right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/>
      </w:pPr>
      <w:r>
        <w:rPr>
          <w:sz w:val="24"/>
        </w:rPr>
        <w:t>Туз 777 863</w:t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WW-WW8Num1ztrue711111111">
    <w:name w:val="WW-WW8Num1ztrue711111111"/>
    <w:qFormat/>
    <w:rPr/>
  </w:style>
  <w:style w:type="character" w:styleId="WW-WW8Num1ztrue1111111111">
    <w:name w:val="WW-WW8Num1ztrue1111111111"/>
    <w:qFormat/>
    <w:rPr/>
  </w:style>
  <w:style w:type="character" w:styleId="WW-WW8Num1ztrue2111111111">
    <w:name w:val="WW-WW8Num1ztrue2111111111"/>
    <w:qFormat/>
    <w:rPr/>
  </w:style>
  <w:style w:type="character" w:styleId="WW-WW8Num1ztrue3111111111">
    <w:name w:val="WW-WW8Num1ztrue3111111111"/>
    <w:qFormat/>
    <w:rPr/>
  </w:style>
  <w:style w:type="character" w:styleId="WW-WW8Num1ztrue4111111111">
    <w:name w:val="WW-WW8Num1ztrue4111111111"/>
    <w:qFormat/>
    <w:rPr/>
  </w:style>
  <w:style w:type="character" w:styleId="WW-WW8Num1ztrue5111111111">
    <w:name w:val="WW-WW8Num1ztrue5111111111"/>
    <w:qFormat/>
    <w:rPr/>
  </w:style>
  <w:style w:type="character" w:styleId="WW-WW8Num1ztrue6111111111">
    <w:name w:val="WW-WW8Num1ztrue6111111111"/>
    <w:qFormat/>
    <w:rPr/>
  </w:style>
  <w:style w:type="character" w:styleId="WW-WW8Num1ztrue7111111111">
    <w:name w:val="WW-WW8Num1ztrue7111111111"/>
    <w:qFormat/>
    <w:rPr/>
  </w:style>
  <w:style w:type="character" w:styleId="WW-WW8Num1ztrue11111111111">
    <w:name w:val="WW-WW8Num1ztrue11111111111"/>
    <w:qFormat/>
    <w:rPr/>
  </w:style>
  <w:style w:type="character" w:styleId="WW-WW8Num1ztrue21111111111">
    <w:name w:val="WW-WW8Num1ztrue21111111111"/>
    <w:qFormat/>
    <w:rPr/>
  </w:style>
  <w:style w:type="character" w:styleId="WW-WW8Num1ztrue31111111111">
    <w:name w:val="WW-WW8Num1ztrue31111111111"/>
    <w:qFormat/>
    <w:rPr/>
  </w:style>
  <w:style w:type="character" w:styleId="WW-WW8Num1ztrue41111111111">
    <w:name w:val="WW-WW8Num1ztrue41111111111"/>
    <w:qFormat/>
    <w:rPr/>
  </w:style>
  <w:style w:type="character" w:styleId="WW-WW8Num1ztrue51111111111">
    <w:name w:val="WW-WW8Num1ztrue51111111111"/>
    <w:qFormat/>
    <w:rPr/>
  </w:style>
  <w:style w:type="character" w:styleId="WW-WW8Num1ztrue61111111111">
    <w:name w:val="WW-WW8Num1ztrue61111111111"/>
    <w:qFormat/>
    <w:rPr/>
  </w:style>
  <w:style w:type="character" w:styleId="WW-WW8Num1ztrue71111111111">
    <w:name w:val="WW-WW8Num1ztrue71111111111"/>
    <w:qFormat/>
    <w:rPr/>
  </w:style>
  <w:style w:type="character" w:styleId="WW-WW8Num1ztrue111111111111">
    <w:name w:val="WW-WW8Num1ztrue111111111111"/>
    <w:qFormat/>
    <w:rPr/>
  </w:style>
  <w:style w:type="character" w:styleId="WW-WW8Num1ztrue211111111111">
    <w:name w:val="WW-WW8Num1ztrue211111111111"/>
    <w:qFormat/>
    <w:rPr/>
  </w:style>
  <w:style w:type="character" w:styleId="WW-WW8Num1ztrue311111111111">
    <w:name w:val="WW-WW8Num1ztrue311111111111"/>
    <w:qFormat/>
    <w:rPr/>
  </w:style>
  <w:style w:type="character" w:styleId="WW-WW8Num1ztrue411111111111">
    <w:name w:val="WW-WW8Num1ztrue411111111111"/>
    <w:qFormat/>
    <w:rPr/>
  </w:style>
  <w:style w:type="character" w:styleId="WW-WW8Num1ztrue511111111111">
    <w:name w:val="WW-WW8Num1ztrue511111111111"/>
    <w:qFormat/>
    <w:rPr/>
  </w:style>
  <w:style w:type="character" w:styleId="WW-WW8Num1ztrue611111111111">
    <w:name w:val="WW-WW8Num1ztrue611111111111"/>
    <w:qFormat/>
    <w:rPr/>
  </w:style>
  <w:style w:type="character" w:styleId="WW-WW8Num1ztrue711111111111">
    <w:name w:val="WW-WW8Num1ztrue7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6111111111111">
    <w:name w:val="WW-WW8Num1ztrue6111111111111"/>
    <w:qFormat/>
    <w:rPr/>
  </w:style>
  <w:style w:type="character" w:styleId="1">
    <w:name w:val="Основной шрифт абзаца1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1">
    <w:name w:val="Указатель2"/>
    <w:basedOn w:val="Normal"/>
    <w:qFormat/>
    <w:pPr>
      <w:suppressLineNumbers/>
    </w:pPr>
    <w:rPr>
      <w:rFonts w:cs="Mangal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876</TotalTime>
  <Application>LibreOffice/7.6.4.1$Windows_X86_64 LibreOffice_project/e19e193f88cd6c0525a17fb7a176ed8e6a3e2aa1</Application>
  <AppVersion>15.0000</AppVersion>
  <Pages>2</Pages>
  <Words>421</Words>
  <Characters>2790</Characters>
  <CharactersWithSpaces>3375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2021-02-05T13:02:00Z</dcterms:created>
  <dc:creator>natasha_18</dc:creator>
  <dc:description/>
  <dc:language>uk-UA</dc:language>
  <cp:lastModifiedBy/>
  <cp:lastPrinted>2024-07-25T16:39:41Z</cp:lastPrinted>
  <dcterms:modified xsi:type="dcterms:W3CDTF">2024-11-08T12:39:47Z</dcterms:modified>
  <cp:revision>97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