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 w:val="20"/>
          <w:szCs w:val="20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1939290869" r:id="rId2"/>
        </w:object>
      </w:r>
    </w:p>
    <w:p>
      <w:pPr>
        <w:pStyle w:val="1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0"/>
          <w:szCs w:val="30"/>
        </w:rPr>
      </w:pPr>
      <w:r>
        <w:rPr>
          <w:rFonts w:cs="Times New Roman" w:ascii="Times New Roman" w:hAnsi="Times New Roman"/>
          <w:i w:val="false"/>
          <w:sz w:val="30"/>
          <w:szCs w:val="30"/>
        </w:rPr>
        <w:t>Р І Ш Е Н Н Я</w:t>
      </w:r>
    </w:p>
    <w:p>
      <w:pPr>
        <w:pStyle w:val="Normal"/>
        <w:jc w:val="center"/>
        <w:rPr>
          <w:b/>
          <w:b/>
          <w:bCs w:val="false"/>
          <w:i/>
          <w:i/>
          <w:sz w:val="40"/>
          <w:szCs w:val="40"/>
        </w:rPr>
      </w:pPr>
      <w:r>
        <w:rPr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 xml:space="preserve">________________                                        </w:t>
      </w:r>
      <w:r>
        <w:rPr>
          <w:sz w:val="22"/>
          <w:szCs w:val="22"/>
        </w:rPr>
        <w:t>Луцьк</w:t>
      </w:r>
      <w:r>
        <w:rPr>
          <w:sz w:val="24"/>
        </w:rPr>
        <w:t xml:space="preserve">                                         </w:t>
      </w:r>
      <w:r>
        <w:rPr>
          <w:sz w:val="22"/>
          <w:szCs w:val="22"/>
        </w:rPr>
        <w:t>№</w:t>
      </w:r>
      <w:r>
        <w:rPr>
          <w:sz w:val="24"/>
        </w:rPr>
        <w:t>______________</w:t>
      </w:r>
    </w:p>
    <w:p>
      <w:pPr>
        <w:pStyle w:val="Normal"/>
        <w:rPr>
          <w:szCs w:val="28"/>
        </w:rPr>
      </w:pPr>
      <w:r>
        <w:rPr>
          <w:szCs w:val="28"/>
        </w:rPr>
        <w:t xml:space="preserve">                      </w:t>
      </w:r>
    </w:p>
    <w:p>
      <w:pPr>
        <w:pStyle w:val="Normal"/>
        <w:rPr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Про  надання  ПрАТ «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ВГП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»  дозволу  на</w:t>
      </w:r>
    </w:p>
    <w:p>
      <w:pPr>
        <w:pStyle w:val="Normal"/>
        <w:rPr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розроблення проєкту землеустрою щодо</w:t>
      </w:r>
    </w:p>
    <w:p>
      <w:pPr>
        <w:pStyle w:val="Normal"/>
        <w:rPr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відведення земельної ділянки  для будів-</w:t>
      </w:r>
    </w:p>
    <w:p>
      <w:pPr>
        <w:pStyle w:val="Normal"/>
        <w:rPr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ництва   та  обслуговування  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відстійника</w:t>
      </w:r>
    </w:p>
    <w:p>
      <w:pPr>
        <w:pStyle w:val="Normal"/>
        <w:rPr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нейтральних зіткнень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(11.02) на вул. Ви-</w:t>
      </w:r>
    </w:p>
    <w:p>
      <w:pPr>
        <w:pStyle w:val="Normal"/>
        <w:rPr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робничій, 34 у м. Луцьку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Розглянувши заяву ПРИВАТНОГО АКЦІОНЕРНОГО ТОВАРИСТВА «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ВГП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» 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про надання дозволу на розроблення проєкту землеустрою щодо відведення земельної ділянки в оренду на вул. Виробничій, 34 у м. Луцьку </w:t>
      </w: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для будівництва та обслуговування </w:t>
      </w: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відстійника нейтральних зіткнень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(11.02 – для розміщення та експлуатації основних, підсобних і допоміжних будівель та споруд підприємств переробної, машинобудівної та іншої промисловості, включаючи об’єкти оброблення відходів, зокрема із енергогенеруючим блоком)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, схему генплану земельної ділянки з прикладеною інформацією департаменту містобудування, земельних ресурсів та реклами Луцької міської ради про наявні в межах об’єкта землеустрою обмеження у використанні земель, документи, що посвідчують право власності 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ПРИВАТНОГО АКЦІОНЕРНОГО ТОВАРИСТВА «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ВГП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»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на об’єкт нерухомого майна на вул. Виробничій, 34 у м. Луцьку: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договір купівлі-продажу від 21.10.2024 за № 2664,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відповідно до якого право власності на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відстійник нейтральних зіткнень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зареєстровано в Державному реєстрі речових прав на нерухоме майно від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21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.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10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.20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24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, номер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відомостей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про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речове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право: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57201634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, технічний паспорт на об'єкт нерухомого майна від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05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.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11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.20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24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, керуючись статтями 12, 79-1, 93, 122, 123, частиною другою статті 134 Земельного кодексу України, статтею 6 Закону України «Про оренду землі», статтями 25, 50 Закону України «Про землеустрій», Законом України «Про регулювання містобудівної діяльності»,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 статтями 26, 33 Закону України «Про місцеве самоврядування в Україні», пу</w:t>
      </w:r>
      <w:r>
        <w:rPr>
          <w:spacing w:val="-6"/>
          <w:sz w:val="28"/>
          <w:szCs w:val="28"/>
        </w:rPr>
        <w:t>нктом 107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ind w:firstLine="654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1. Надат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и ПРИВАТНОМУ АКЦІОНЕРНОМУ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ТОВАРИСТВУ «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ВГП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b/>
          <w:bCs/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дозвіл на розроблення проєкту землеустрою щодо відведення земельної ділянки на умовах оренди </w:t>
      </w: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для будівництва та обслуговування </w:t>
      </w: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відстійника нейтральних зіткнень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(11.02 </w:t>
      </w:r>
      <w:r>
        <w:rPr>
          <w:rFonts w:eastAsia="Times New Roman" w:cs="Times New Roman"/>
          <w:b w:val="false"/>
          <w:bCs w:val="false"/>
          <w:i w:val="false"/>
          <w:iCs w:val="false"/>
          <w:spacing w:val="-4"/>
          <w:sz w:val="28"/>
          <w:szCs w:val="28"/>
          <w:lang w:val="uk-UA"/>
        </w:rPr>
        <w:t>– для розміщення та експлуатації основних, підсобних і допоміжних будівель та споруд підприємств переробної, машинобудівної та іншої промисловості, включаючи об’єкти оброблення відходів, зокрема із енергогенеруючим блоком)</w:t>
      </w: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 xml:space="preserve">на </w:t>
      </w:r>
      <w:r>
        <w:rPr>
          <w:color w:val="000000"/>
          <w:spacing w:val="-6"/>
          <w:sz w:val="28"/>
          <w:szCs w:val="28"/>
        </w:rPr>
        <w:t>вул. Виробничій, 34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у м. Луцьку, орієнтовною площею 1,</w:t>
      </w:r>
      <w:r>
        <w:rPr>
          <w:sz w:val="28"/>
          <w:szCs w:val="28"/>
        </w:rPr>
        <w:t>50</w:t>
      </w:r>
      <w:r>
        <w:rPr>
          <w:sz w:val="28"/>
          <w:szCs w:val="28"/>
        </w:rPr>
        <w:t xml:space="preserve"> га, з земель комунальної власності, згідно з додатком. </w:t>
      </w:r>
    </w:p>
    <w:p>
      <w:pPr>
        <w:pStyle w:val="Normal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Проєкт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>2.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color w:val="000000"/>
          <w:spacing w:val="-4"/>
          <w:sz w:val="28"/>
          <w:szCs w:val="28"/>
        </w:rPr>
      </w:pPr>
      <w:r>
        <w:rPr>
          <w:color w:val="000000"/>
          <w:spacing w:val="-4"/>
          <w:sz w:val="28"/>
          <w:szCs w:val="28"/>
        </w:rPr>
      </w:r>
    </w:p>
    <w:p>
      <w:pPr>
        <w:pStyle w:val="Normal"/>
        <w:widowControl w:val="false"/>
        <w:ind w:firstLine="763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>Міський голова       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/>
      </w:pPr>
      <w:r>
        <w:rPr>
          <w:rFonts w:eastAsia="Times New Roman" w:cs="Times New Roman"/>
          <w:bCs w:val="false"/>
          <w:color w:val="000000"/>
          <w:spacing w:val="-6"/>
          <w:kern w:val="0"/>
          <w:sz w:val="24"/>
          <w:szCs w:val="24"/>
          <w:highlight w:val="white"/>
          <w:lang w:val="uk-UA" w:eastAsia="zh-CN" w:bidi="ar-SA"/>
        </w:rPr>
        <w:t>Туз 777 863</w:t>
      </w:r>
    </w:p>
    <w:sectPr>
      <w:type w:val="nextPage"/>
      <w:pgSz w:w="11906" w:h="16838"/>
      <w:pgMar w:left="1985" w:right="567" w:gutter="0" w:header="0" w:top="899" w:footer="0" w:bottom="179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Symbol">
    <w:charset w:val="cc"/>
    <w:family w:val="roman"/>
    <w:pitch w:val="variable"/>
  </w:font>
  <w:font w:name="Wingdings">
    <w:charset w:val="cc"/>
    <w:family w:val="roman"/>
    <w:pitch w:val="variable"/>
  </w:font>
  <w:font w:name="Courier New">
    <w:charset w:val="cc"/>
    <w:family w:val="roman"/>
    <w:pitch w:val="variable"/>
  </w:font>
  <w:font w:name="Cambria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6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11">
    <w:name w:val="Основной шрифт абзаца1"/>
    <w:qFormat/>
    <w:rPr/>
  </w:style>
  <w:style w:type="character" w:styleId="Rvts82">
    <w:name w:val="rvts82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BodyTextIndentChar">
    <w:name w:val="Body Text Indent Char"/>
    <w:qFormat/>
    <w:rPr>
      <w:rFonts w:ascii="Times New Roman" w:hAnsi="Times New Roman" w:eastAsia="Times New Roman" w:cs="Times New Roman"/>
      <w:color w:val="000000"/>
    </w:rPr>
  </w:style>
  <w:style w:type="character" w:styleId="BodyTextChar">
    <w:name w:val="Body Text Char"/>
    <w:qFormat/>
    <w:rPr>
      <w:rFonts w:ascii="Times New Roman" w:hAnsi="Times New Roman" w:eastAsia="Times New Roman" w:cs="Times New Roman"/>
      <w:color w:val="000000"/>
    </w:rPr>
  </w:style>
  <w:style w:type="character" w:styleId="WW8Num3z8">
    <w:name w:val="WW8Num3z8"/>
    <w:qFormat/>
    <w:rPr/>
  </w:style>
  <w:style w:type="character" w:styleId="WW8Num3z7">
    <w:name w:val="WW8Num3z7"/>
    <w:qFormat/>
    <w:rPr/>
  </w:style>
  <w:style w:type="character" w:styleId="WW8Num3z6">
    <w:name w:val="WW8Num3z6"/>
    <w:qFormat/>
    <w:rPr/>
  </w:style>
  <w:style w:type="character" w:styleId="WW8Num3z5">
    <w:name w:val="WW8Num3z5"/>
    <w:qFormat/>
    <w:rPr/>
  </w:style>
  <w:style w:type="character" w:styleId="WW8Num3z4">
    <w:name w:val="WW8Num3z4"/>
    <w:qFormat/>
    <w:rPr/>
  </w:style>
  <w:style w:type="character" w:styleId="WW8Num3z3">
    <w:name w:val="WW8Num3z3"/>
    <w:qFormat/>
    <w:rPr/>
  </w:style>
  <w:style w:type="character" w:styleId="WW8Num3z2">
    <w:name w:val="WW8Num3z2"/>
    <w:qFormat/>
    <w:rPr/>
  </w:style>
  <w:style w:type="character" w:styleId="WW8Num3z1">
    <w:name w:val="WW8Num3z1"/>
    <w:qFormat/>
    <w:rPr/>
  </w:style>
  <w:style w:type="character" w:styleId="WW8Num3z0">
    <w:name w:val="WW8Num3z0"/>
    <w:qFormat/>
    <w:rPr/>
  </w:style>
  <w:style w:type="character" w:styleId="WW8Num2z3">
    <w:name w:val="WW8Num2z3"/>
    <w:qFormat/>
    <w:rPr>
      <w:rFonts w:ascii="Symbol" w:hAnsi="Symbol"/>
    </w:rPr>
  </w:style>
  <w:style w:type="character" w:styleId="WW8Num2z2">
    <w:name w:val="WW8Num2z2"/>
    <w:qFormat/>
    <w:rPr>
      <w:rFonts w:ascii="Wingdings" w:hAnsi="Wingdings"/>
    </w:rPr>
  </w:style>
  <w:style w:type="character" w:styleId="WW8Num2z1">
    <w:name w:val="WW8Num2z1"/>
    <w:qFormat/>
    <w:rPr>
      <w:rFonts w:ascii="Courier New" w:hAnsi="Courier New"/>
    </w:rPr>
  </w:style>
  <w:style w:type="character" w:styleId="WW8Num2z0">
    <w:name w:val="WW8Num2z0"/>
    <w:qFormat/>
    <w:rPr>
      <w:rFonts w:ascii="Symbol" w:hAnsi="Symbol"/>
    </w:rPr>
  </w:style>
  <w:style w:type="character" w:styleId="WWWW8Num1ztrue61">
    <w:name w:val="WW-WW8Num1ztrue61"/>
    <w:qFormat/>
    <w:rPr/>
  </w:style>
  <w:style w:type="character" w:styleId="WWWW8Num1ztrue51">
    <w:name w:val="WW-WW8Num1ztrue51"/>
    <w:qFormat/>
    <w:rPr/>
  </w:style>
  <w:style w:type="character" w:styleId="WWWW8Num1ztrue41">
    <w:name w:val="WW-WW8Num1ztrue41"/>
    <w:qFormat/>
    <w:rPr/>
  </w:style>
  <w:style w:type="character" w:styleId="WWWW8Num1ztrue31">
    <w:name w:val="WW-WW8Num1ztrue31"/>
    <w:qFormat/>
    <w:rPr/>
  </w:style>
  <w:style w:type="character" w:styleId="WWWW8Num1ztrue21">
    <w:name w:val="WW-WW8Num1ztrue21"/>
    <w:qFormat/>
    <w:rPr/>
  </w:style>
  <w:style w:type="character" w:styleId="WWWW8Num1ztrue11">
    <w:name w:val="WW-WW8Num1ztrue11"/>
    <w:qFormat/>
    <w:rPr/>
  </w:style>
  <w:style w:type="character" w:styleId="WWWW8Num1ztrue7">
    <w:name w:val="WW-WW8Num1ztrue7"/>
    <w:qFormat/>
    <w:rPr/>
  </w:style>
  <w:style w:type="character" w:styleId="WWWW8Num1ztrue6">
    <w:name w:val="WW-WW8Num1ztrue6"/>
    <w:qFormat/>
    <w:rPr/>
  </w:style>
  <w:style w:type="character" w:styleId="WWWW8Num1ztrue5">
    <w:name w:val="WW-WW8Num1ztrue5"/>
    <w:qFormat/>
    <w:rPr/>
  </w:style>
  <w:style w:type="character" w:styleId="WWWW8Num1ztrue4">
    <w:name w:val="WW-WW8Num1ztrue4"/>
    <w:qFormat/>
    <w:rPr/>
  </w:style>
  <w:style w:type="character" w:styleId="WWWW8Num1ztrue3">
    <w:name w:val="WW-WW8Num1ztrue3"/>
    <w:qFormat/>
    <w:rPr/>
  </w:style>
  <w:style w:type="character" w:styleId="WWWW8Num1ztrue2">
    <w:name w:val="WW-WW8Num1ztrue2"/>
    <w:qFormat/>
    <w:rPr/>
  </w:style>
  <w:style w:type="character" w:styleId="WWWW8Num1ztrue1">
    <w:name w:val="WW-WW8Num1ztrue1"/>
    <w:qFormat/>
    <w:rPr/>
  </w:style>
  <w:style w:type="character" w:styleId="WWWW8Num1ztrue">
    <w:name w:val="WW-WW8Num1ztrue"/>
    <w:qFormat/>
    <w:rPr/>
  </w:style>
  <w:style w:type="character" w:styleId="WW8Num1ztrue">
    <w:name w:val="WW8Num1ztrue"/>
    <w:qFormat/>
    <w:rPr/>
  </w:style>
  <w:style w:type="character" w:styleId="WW8Num1zfalse">
    <w:name w:val="WW8Num1zfalse"/>
    <w:qFormat/>
    <w:rPr/>
  </w:style>
  <w:style w:type="character" w:styleId="21">
    <w:name w:val="Основной шрифт абзаца2"/>
    <w:qFormat/>
    <w:rPr/>
  </w:style>
  <w:style w:type="character" w:styleId="Heading2Char">
    <w:name w:val="Heading 2 Char"/>
    <w:qFormat/>
    <w:rPr>
      <w:rFonts w:ascii="Cambria" w:hAnsi="Cambria" w:eastAsia="Times New Roman" w:cs="Times New Roman"/>
      <w:b/>
      <w:bCs/>
      <w:i/>
      <w:iCs/>
      <w:color w:val="000000"/>
      <w:sz w:val="28"/>
      <w:szCs w:val="28"/>
    </w:rPr>
  </w:style>
  <w:style w:type="character" w:styleId="Heading1Char">
    <w:name w:val="Heading 1 Char"/>
    <w:qFormat/>
    <w:rPr>
      <w:rFonts w:ascii="Cambria" w:hAnsi="Cambria" w:eastAsia="Times New Roman" w:cs="Times New Roman"/>
      <w:b/>
      <w:bCs/>
      <w:color w:val="000000"/>
      <w:kern w:val="2"/>
      <w:sz w:val="32"/>
      <w:szCs w:val="32"/>
    </w:rPr>
  </w:style>
  <w:style w:type="character" w:styleId="DefaultParagraphFont">
    <w:name w:val="Default Paragraph Font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  <w:sz w:val="24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  <w:sz w:val="24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lang w:val="uk-UA"/>
    </w:rPr>
  </w:style>
  <w:style w:type="paragraph" w:styleId="12">
    <w:name w:val="Текст1"/>
    <w:basedOn w:val="Normal"/>
    <w:qFormat/>
    <w:pPr/>
    <w:rPr>
      <w:rFonts w:ascii="Courier New" w:hAnsi="Courier New" w:cs="Courier New"/>
      <w:sz w:val="20"/>
      <w:szCs w:val="20"/>
    </w:rPr>
  </w:style>
  <w:style w:type="paragraph" w:styleId="13">
    <w:name w:val="Указатель1"/>
    <w:basedOn w:val="Normal"/>
    <w:qFormat/>
    <w:pPr/>
    <w:rPr>
      <w:rFonts w:cs="Mangal"/>
    </w:rPr>
  </w:style>
  <w:style w:type="paragraph" w:styleId="14">
    <w:name w:val="Название объекта1"/>
    <w:basedOn w:val="Normal"/>
    <w:qFormat/>
    <w:pPr>
      <w:spacing w:before="120" w:after="120"/>
    </w:pPr>
    <w:rPr>
      <w:rFonts w:cs="Mangal"/>
      <w:i/>
      <w:iCs/>
    </w:rPr>
  </w:style>
  <w:style w:type="paragraph" w:styleId="Caption">
    <w:name w:val="caption"/>
    <w:basedOn w:val="Normal"/>
    <w:qFormat/>
    <w:pPr>
      <w:spacing w:before="120" w:after="120"/>
    </w:pPr>
    <w:rPr>
      <w:rFonts w:cs="FreeSans"/>
      <w:i/>
      <w:iCs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392</TotalTime>
  <Application>LibreOffice/7.4.0.3$Windows_X86_64 LibreOffice_project/f85e47c08ddd19c015c0114a68350214f7066f5a</Application>
  <AppVersion>15.0000</AppVersion>
  <Pages>2</Pages>
  <Words>392</Words>
  <Characters>2604</Characters>
  <CharactersWithSpaces>3186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nkhmel</dc:creator>
  <dc:description/>
  <dc:language>uk-UA</dc:language>
  <cp:lastModifiedBy/>
  <dcterms:modified xsi:type="dcterms:W3CDTF">2024-11-11T09:50:26Z</dcterms:modified>
  <cp:revision>186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